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b w:val="1"/>
        </w:rPr>
      </w:pPr>
      <w:r w:rsidDel="00000000" w:rsidR="00000000" w:rsidRPr="00000000">
        <w:rPr/>
        <w:drawing>
          <wp:inline distB="0" distT="0" distL="0" distR="0">
            <wp:extent cx="3057525" cy="147637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057525" cy="14763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right"/>
        <w:rPr>
          <w:b w:val="1"/>
        </w:rPr>
      </w:pPr>
      <w:r w:rsidDel="00000000" w:rsidR="00000000" w:rsidRPr="00000000">
        <w:rPr>
          <w:rtl w:val="0"/>
        </w:rPr>
      </w:r>
    </w:p>
    <w:p w:rsidR="00000000" w:rsidDel="00000000" w:rsidP="00000000" w:rsidRDefault="00000000" w:rsidRPr="00000000" w14:paraId="00000003">
      <w:pPr>
        <w:jc w:val="center"/>
        <w:rPr>
          <w:b w:val="1"/>
        </w:rPr>
      </w:pPr>
      <w:r w:rsidDel="00000000" w:rsidR="00000000" w:rsidRPr="00000000">
        <w:rPr>
          <w:rtl w:val="0"/>
        </w:rPr>
      </w:r>
    </w:p>
    <w:p w:rsidR="00000000" w:rsidDel="00000000" w:rsidP="00000000" w:rsidRDefault="00000000" w:rsidRPr="00000000" w14:paraId="00000004">
      <w:pPr>
        <w:jc w:val="center"/>
        <w:rPr>
          <w:b w:val="1"/>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b w:val="1"/>
          <w:rtl w:val="0"/>
        </w:rPr>
        <w:t xml:space="preserve">Module Title: Entrepreneurship</w:t>
      </w:r>
    </w:p>
    <w:p w:rsidR="00000000" w:rsidDel="00000000" w:rsidP="00000000" w:rsidRDefault="00000000" w:rsidRPr="00000000" w14:paraId="00000006">
      <w:pPr>
        <w:jc w:val="center"/>
        <w:rPr>
          <w:b w:val="1"/>
        </w:rPr>
      </w:pPr>
      <w:r w:rsidDel="00000000" w:rsidR="00000000" w:rsidRPr="00000000">
        <w:rPr>
          <w:b w:val="1"/>
          <w:rtl w:val="0"/>
        </w:rPr>
        <w:t xml:space="preserve">Programme: BA International Hotel Management</w:t>
      </w:r>
    </w:p>
    <w:p w:rsidR="00000000" w:rsidDel="00000000" w:rsidP="00000000" w:rsidRDefault="00000000" w:rsidRPr="00000000" w14:paraId="00000007">
      <w:pPr>
        <w:jc w:val="center"/>
        <w:rPr>
          <w:b w:val="1"/>
        </w:rPr>
      </w:pPr>
      <w:r w:rsidDel="00000000" w:rsidR="00000000" w:rsidRPr="00000000">
        <w:rPr>
          <w:b w:val="1"/>
          <w:rtl w:val="0"/>
        </w:rPr>
        <w:t xml:space="preserve">Module code: BMIH5001</w:t>
      </w:r>
    </w:p>
    <w:p w:rsidR="00000000" w:rsidDel="00000000" w:rsidP="00000000" w:rsidRDefault="00000000" w:rsidRPr="00000000" w14:paraId="00000008">
      <w:pPr>
        <w:jc w:val="center"/>
        <w:rPr>
          <w:b w:val="1"/>
        </w:rPr>
      </w:pPr>
      <w:r w:rsidDel="00000000" w:rsidR="00000000" w:rsidRPr="00000000">
        <w:rPr>
          <w:b w:val="1"/>
          <w:rtl w:val="0"/>
        </w:rPr>
        <w:t xml:space="preserve">Module leader: Charlotte Joyner, Chris Wilkins</w:t>
      </w:r>
    </w:p>
    <w:p w:rsidR="00000000" w:rsidDel="00000000" w:rsidP="00000000" w:rsidRDefault="00000000" w:rsidRPr="00000000" w14:paraId="00000009">
      <w:pPr>
        <w:jc w:val="center"/>
        <w:rPr>
          <w:b w:val="1"/>
        </w:rPr>
      </w:pPr>
      <w:r w:rsidDel="00000000" w:rsidR="00000000" w:rsidRPr="00000000">
        <w:rPr>
          <w:b w:val="1"/>
          <w:rtl w:val="0"/>
        </w:rPr>
        <w:t xml:space="preserve">Assignment Title: Business Report - </w:t>
      </w:r>
      <w:r w:rsidDel="00000000" w:rsidR="00000000" w:rsidRPr="00000000">
        <w:rPr>
          <w:rFonts w:ascii="Times New Roman" w:cs="Times New Roman" w:eastAsia="Times New Roman" w:hAnsi="Times New Roman"/>
          <w:b w:val="1"/>
          <w:i w:val="0"/>
          <w:sz w:val="24"/>
          <w:szCs w:val="24"/>
          <w:rtl w:val="0"/>
        </w:rPr>
        <w:t xml:space="preserve">Critically Evaluate a Range of Traits and Motivations across a Variety of Different Types of Entrepreneurs</w:t>
      </w:r>
      <w:r w:rsidDel="00000000" w:rsidR="00000000" w:rsidRPr="00000000">
        <w:rPr>
          <w:rtl w:val="0"/>
        </w:rPr>
      </w:r>
    </w:p>
    <w:p w:rsidR="00000000" w:rsidDel="00000000" w:rsidP="00000000" w:rsidRDefault="00000000" w:rsidRPr="00000000" w14:paraId="0000000A">
      <w:pPr>
        <w:spacing w:after="160" w:line="259" w:lineRule="auto"/>
        <w:jc w:val="left"/>
        <w:rPr>
          <w:b w:val="1"/>
        </w:rPr>
      </w:pPr>
      <w:r w:rsidDel="00000000" w:rsidR="00000000" w:rsidRPr="00000000">
        <w:rPr>
          <w:b w:val="1"/>
          <w:rtl w:val="0"/>
        </w:rPr>
        <w:t xml:space="preserve">                                                  Student:Oana Adamoaia </w:t>
      </w:r>
    </w:p>
    <w:p w:rsidR="00000000" w:rsidDel="00000000" w:rsidP="00000000" w:rsidRDefault="00000000" w:rsidRPr="00000000" w14:paraId="0000000B">
      <w:pPr>
        <w:spacing w:after="160" w:line="259" w:lineRule="auto"/>
        <w:jc w:val="left"/>
        <w:rPr>
          <w:b w:val="1"/>
        </w:rPr>
      </w:pPr>
      <w:r w:rsidDel="00000000" w:rsidR="00000000" w:rsidRPr="00000000">
        <w:rPr>
          <w:b w:val="1"/>
          <w:rtl w:val="0"/>
        </w:rPr>
        <w:t xml:space="preserve">LEVEL 5</w:t>
      </w:r>
    </w:p>
    <w:p w:rsidR="00000000" w:rsidDel="00000000" w:rsidP="00000000" w:rsidRDefault="00000000" w:rsidRPr="00000000" w14:paraId="0000000C">
      <w:pPr>
        <w:spacing w:after="160" w:line="259" w:lineRule="auto"/>
        <w:jc w:val="left"/>
        <w:rPr>
          <w:b w:val="1"/>
        </w:rPr>
      </w:pPr>
      <w:r w:rsidDel="00000000" w:rsidR="00000000" w:rsidRPr="00000000">
        <w:rPr>
          <w:b w:val="1"/>
          <w:rtl w:val="0"/>
        </w:rPr>
        <w:t xml:space="preserve">Deceleration</w:t>
      </w:r>
    </w:p>
    <w:p w:rsidR="00000000" w:rsidDel="00000000" w:rsidP="00000000" w:rsidRDefault="00000000" w:rsidRPr="00000000" w14:paraId="0000000D">
      <w:pPr>
        <w:spacing w:after="160" w:line="259" w:lineRule="auto"/>
        <w:jc w:val="left"/>
        <w:rPr>
          <w:b w:val="1"/>
        </w:rPr>
      </w:pPr>
      <w:r w:rsidDel="00000000" w:rsidR="00000000" w:rsidRPr="00000000">
        <w:rPr>
          <w:b w:val="1"/>
          <w:rtl w:val="0"/>
        </w:rPr>
        <w:t xml:space="preserve">I acknowledge the use of Grammarly (https://www.grammarly.com/) on 16 October 2024 to check spelling errors in my work. Grammarly did not require me to key in any prompt but only provided the document for spelling and grammar checks, and I chose what I wanted to change and what I wanted to dismiss from change among the issues it highlighted.</w:t>
      </w:r>
    </w:p>
    <w:p w:rsidR="00000000" w:rsidDel="00000000" w:rsidP="00000000" w:rsidRDefault="00000000" w:rsidRPr="00000000" w14:paraId="0000000E">
      <w:pPr>
        <w:spacing w:after="160" w:line="259" w:lineRule="auto"/>
        <w:jc w:val="left"/>
        <w:rPr>
          <w:b w:val="1"/>
        </w:rPr>
      </w:pPr>
      <w:r w:rsidDel="00000000" w:rsidR="00000000" w:rsidRPr="00000000">
        <w:rPr>
          <w:b w:val="1"/>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000000" w:rsidDel="00000000" w:rsidP="00000000" w:rsidRDefault="00000000" w:rsidRPr="00000000" w14:paraId="0000000F">
      <w:pPr>
        <w:spacing w:after="160" w:line="259" w:lineRule="auto"/>
        <w:jc w:val="left"/>
        <w:rPr>
          <w:b w:val="1"/>
        </w:rPr>
      </w:pPr>
      <w:r w:rsidDel="00000000" w:rsidR="00000000" w:rsidRPr="00000000">
        <w:rPr>
          <w:rtl w:val="0"/>
        </w:rPr>
      </w:r>
    </w:p>
    <w:p w:rsidR="00000000" w:rsidDel="00000000" w:rsidP="00000000" w:rsidRDefault="00000000" w:rsidRPr="00000000" w14:paraId="00000010">
      <w:pPr>
        <w:spacing w:after="160" w:line="259" w:lineRule="auto"/>
        <w:jc w:val="left"/>
        <w:rPr>
          <w:b w:val="1"/>
        </w:rPr>
      </w:pPr>
      <w:r w:rsidDel="00000000" w:rsidR="00000000" w:rsidRPr="00000000">
        <w:rPr>
          <w:rtl w:val="0"/>
        </w:rPr>
      </w:r>
    </w:p>
    <w:p w:rsidR="00000000" w:rsidDel="00000000" w:rsidP="00000000" w:rsidRDefault="00000000" w:rsidRPr="00000000" w14:paraId="00000011">
      <w:pPr>
        <w:spacing w:after="160" w:line="259" w:lineRule="auto"/>
        <w:jc w:val="left"/>
        <w:rPr>
          <w:b w:val="1"/>
        </w:rPr>
      </w:pPr>
      <w:r w:rsidDel="00000000" w:rsidR="00000000" w:rsidRPr="00000000">
        <w:rPr>
          <w:rtl w:val="0"/>
        </w:rPr>
      </w:r>
    </w:p>
    <w:p w:rsidR="00000000" w:rsidDel="00000000" w:rsidP="00000000" w:rsidRDefault="00000000" w:rsidRPr="00000000" w14:paraId="00000012">
      <w:pPr>
        <w:rPr>
          <w:b w:val="1"/>
          <w:sz w:val="32"/>
          <w:szCs w:val="32"/>
        </w:rPr>
      </w:pP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hyperlink>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_heading=h.30j0zll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hyperlink>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_heading=h.1fob9te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hyperlink>
          <w:hyperlink w:anchor="_heading=h.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_heading=h.3znysh7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rFonts w:ascii="Times New Roman" w:cs="Times New Roman" w:eastAsia="Times New Roman" w:hAnsi="Times New Roman"/>
          <w:b w:val="1"/>
          <w:i w:val="0"/>
          <w:sz w:val="24"/>
          <w:szCs w:val="24"/>
        </w:rPr>
      </w:pPr>
      <w:r w:rsidDel="00000000" w:rsidR="00000000" w:rsidRPr="00000000">
        <w:rPr>
          <w:rtl w:val="0"/>
        </w:rPr>
      </w:r>
    </w:p>
    <w:p w:rsidR="00000000" w:rsidDel="00000000" w:rsidP="00000000" w:rsidRDefault="00000000" w:rsidRPr="00000000" w14:paraId="0000001A">
      <w:pPr>
        <w:spacing w:after="160" w:line="259" w:lineRule="auto"/>
        <w:jc w:val="left"/>
        <w:rPr>
          <w:rFonts w:ascii="Times New Roman" w:cs="Times New Roman" w:eastAsia="Times New Roman" w:hAnsi="Times New Roman"/>
          <w:b w:val="1"/>
          <w:i w:val="0"/>
          <w:sz w:val="24"/>
          <w:szCs w:val="24"/>
        </w:rPr>
      </w:pPr>
      <w:bookmarkStart w:colFirst="0" w:colLast="0" w:name="_heading=h.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numPr>
          <w:ilvl w:val="0"/>
          <w:numId w:val="1"/>
        </w:numPr>
        <w:ind w:left="720" w:hanging="360"/>
        <w:rPr/>
      </w:pPr>
      <w:bookmarkStart w:colFirst="0" w:colLast="0" w:name="_heading=h.30j0zll" w:id="1"/>
      <w:bookmarkEnd w:id="1"/>
      <w:r w:rsidDel="00000000" w:rsidR="00000000" w:rsidRPr="00000000">
        <w:rPr>
          <w:rtl w:val="0"/>
        </w:rPr>
        <w:t xml:space="preserve">Introduction </w:t>
      </w:r>
    </w:p>
    <w:p w:rsidR="00000000" w:rsidDel="00000000" w:rsidP="00000000" w:rsidRDefault="00000000" w:rsidRPr="00000000" w14:paraId="0000001C">
      <w:pPr>
        <w:rPr/>
      </w:pPr>
      <w:r w:rsidDel="00000000" w:rsidR="00000000" w:rsidRPr="00000000">
        <w:rPr>
          <w:rtl w:val="0"/>
        </w:rPr>
        <w:t xml:space="preserve">Entrepreneurship plays a greater part for measuring the dynamic landscape in different sectors such for driving powerful resources to the innovation, job management and creation, and economic innovation and growth (Rickman and Roddick, 2013). Therefore, the essay is based on critically describe a wider range of knowledge on the entrepreneurial traits and motivational factors that are utilised with the established and relevant models and theories. It also offers a greater comprehensive analysis for the understanding of the traits and motivation.</w:t>
      </w:r>
    </w:p>
    <w:p w:rsidR="00000000" w:rsidDel="00000000" w:rsidP="00000000" w:rsidRDefault="00000000" w:rsidRPr="00000000" w14:paraId="0000001D">
      <w:pPr>
        <w:rPr/>
      </w:pPr>
      <w:r w:rsidDel="00000000" w:rsidR="00000000" w:rsidRPr="00000000">
        <w:rPr>
          <w:rtl w:val="0"/>
        </w:rPr>
        <w:t xml:space="preserve">The essay helps in examining the values and experiences of the figures presented in the UK hospitality industry like Heston Blumenthal, José Andrés, and Richard Branso. The explanation in the essay allows learning of the specific traits such as passion, resilience, and risk-taking that intersect with different actions of motivations such as desire for independence and social impact in the business and management. </w:t>
      </w:r>
    </w:p>
    <w:p w:rsidR="00000000" w:rsidDel="00000000" w:rsidP="00000000" w:rsidRDefault="00000000" w:rsidRPr="00000000" w14:paraId="0000001E">
      <w:pPr>
        <w:pStyle w:val="Heading1"/>
        <w:numPr>
          <w:ilvl w:val="0"/>
          <w:numId w:val="1"/>
        </w:numPr>
        <w:ind w:left="720" w:hanging="360"/>
        <w:rPr/>
      </w:pPr>
      <w:bookmarkStart w:colFirst="0" w:colLast="0" w:name="_heading=h.1fob9te" w:id="2"/>
      <w:bookmarkEnd w:id="2"/>
      <w:r w:rsidDel="00000000" w:rsidR="00000000" w:rsidRPr="00000000">
        <w:rPr>
          <w:rtl w:val="0"/>
        </w:rPr>
        <w:t xml:space="preserve">Discussion</w:t>
      </w:r>
    </w:p>
    <w:p w:rsidR="00000000" w:rsidDel="00000000" w:rsidP="00000000" w:rsidRDefault="00000000" w:rsidRPr="00000000" w14:paraId="0000001F">
      <w:pPr>
        <w:rPr/>
      </w:pPr>
      <w:r w:rsidDel="00000000" w:rsidR="00000000" w:rsidRPr="00000000">
        <w:rPr>
          <w:rtl w:val="0"/>
        </w:rPr>
        <w:t xml:space="preserve">The essay reflects on different theories help entrepreneurs in the hospitality business. Knight’s Theory of Uncertainty is presented by Frank Knight to define the entrepreneur's ability for managing the uncertainty and making powerful decisions to overcome the incomplete information (Burns, 2023). Entrepreneurs are allowed to provide their willingness towards the calculated risks for making capitalised actions on the opportunities. For example, Heston Blumenthal who was the founder of the Fat Duck has provided the exemplified options to the trait. He has provided a successful navigation to the uncertainties based on the restaurant business using innovating and adaptation to the innovative concepts. Therefore, the approach helps learning the customer service and provide better options to the dining experiences that have offered new standards in the international industry (Machani et al., 2021). The industries continue to make evolvement to the understanding of relevant traits and motivations that are characterised for gaining successful options for the entrepreneurs. The resources are used to make entrepreneurs an important part in the societies (Postigo et al., 2021).</w:t>
      </w:r>
    </w:p>
    <w:p w:rsidR="00000000" w:rsidDel="00000000" w:rsidP="00000000" w:rsidRDefault="00000000" w:rsidRPr="00000000" w14:paraId="00000020">
      <w:pPr>
        <w:rPr/>
      </w:pPr>
      <w:r w:rsidDel="00000000" w:rsidR="00000000" w:rsidRPr="00000000">
        <w:rPr>
          <w:rtl w:val="0"/>
        </w:rPr>
        <w:t xml:space="preserve">McClelland’s Theory of Achievement Motivation is another theory that allows the entrepreneurs to leverage unique options on the basis of knowledge, skills, and networking. It helps in creating positive effects to the competitive advantages. The theory offers importance to the resource management in the success of the entrepreneurs (Wach and Głodowska, 2021). For example, Sir Terence Conran is one of the celebrity chefs and entrepreneurs who has utilised her skills in culinary arts and media presence with building a brand like cookbooks, a unique talk show, and also a range of food products. He offered effective management for maintaining the competitive edge in the hospitality industry UK. Schumpeter’s Theory of Innovation was presented by Joseph Schumpeter for the entrepreneurs to become innovators and make success in the economic development. The theory helps in introducing new products within the disruptive existing markets. For example, Yotam Ottolenghi is a chef and also a co-owner of Noma in Copenhagen who embodied the trait using the revolutionising Nordic cuisine and make innovative ideas in the cooking techniques with innovative practices. His approach is not only helpful for Noma to earn multiple awards but also offered influencing effects to the culinary trends in the UK and other parts of the world. According to Ndofirepi (2020), the fourth theory is Effectuation Theory of Innovation that suggests successful entrepreneurs to make start with the available resources within the selected networks with creating greater opportunities instead of the following a desired goal. The approach helps in providing the flexibility and adaptability to the entrepreneurs. For example, David McKown is known as the renowned chef and humanitarian in the UK who has demonstrated the trait using the work named Dishoom. He offered relevant resources with quicker response for the crises such as natural disasters. The abilities seemed helpful for the network to offer meals while needed most and showcasing the adaptability in the overall UK entrepreneurial practices. </w:t>
      </w:r>
    </w:p>
    <w:p w:rsidR="00000000" w:rsidDel="00000000" w:rsidP="00000000" w:rsidRDefault="00000000" w:rsidRPr="00000000" w14:paraId="00000021">
      <w:pPr>
        <w:rPr/>
      </w:pPr>
      <w:r w:rsidDel="00000000" w:rsidR="00000000" w:rsidRPr="00000000">
        <w:rPr>
          <w:rtl w:val="0"/>
        </w:rPr>
        <w:t xml:space="preserve">The entrepreneurs gains motivation with the factor like desiring for independence that allows entrepreneurs to become motivated with the desire of their own values while making independent and valued decisions (Alrawadieh et al., 2021). The motivation offers effective management to escape traditional constraints of the employment. For example, Heston Blumenthal is a chef and owner of The Fat Duck has pursued greater value to the entrepreneurship by expressing the culinary creativity without using certain limitations. Williams (2021) stated that the independence allowed making innovative measures to provide unique dining experiences and gained positive and international value. Another motivational factor is passion for hospitality that defines a strong passion for the measures taken in the hospitality industry driving by the entrepreneurs (Duan et al., 2023). It allows intrinsic motivation to fuel with the commitment and make creation of the exceptional customer experiences. It allows making contributing to the overall success of the start-up business (Tajjedini et al., 2020). For example, Kirstie Allsopp is a co-founder of the property and also to the home improvement business that ventured into hospitality with bed and breakfast. The passion seems creating effective and welcoming environments to make dedication and enhancement in the guest experiences.</w:t>
      </w:r>
    </w:p>
    <w:p w:rsidR="00000000" w:rsidDel="00000000" w:rsidP="00000000" w:rsidRDefault="00000000" w:rsidRPr="00000000" w14:paraId="00000022">
      <w:pPr>
        <w:rPr/>
      </w:pPr>
      <w:r w:rsidDel="00000000" w:rsidR="00000000" w:rsidRPr="00000000">
        <w:rPr>
          <w:rtl w:val="0"/>
        </w:rPr>
        <w:t xml:space="preserve">The third motivational factor is financial gain that defines potential to manage all the financial rewards as the significant motivator for the entrepreneurs (Burns, 2022). The hospitality sector provides different opportunities to entrepreneurs for making profits and making higher demands in the locations. For example Richard Branson was the founder of Virgin Group who was entrepreneur and made expansion into the hospitality industry with the services of the Virgin Hotels. Cunha et al. (2020) illustrated that the entrepreneurial ventures by him have provided a clear focus based on the profitability and leveraging effectiveness in the brand recognition for the market share in the UK’s competitive hotel sector. The last factor is a social impact that is applied on the entrepreneurs to become motivated and make desires effects to the positive social impact (Stirzaker et al., 2021). The factor allows contribution to the community development and make promotion to the sustainable practices in the services to the hospitality sector. For example, José Andrés is one of the chefs famous for the humanitarian work who has established World Central Kitchen in the UK for providing meals in the disaster-stricken regions (Dashper, 2020). The motivation offered profit and made facilities to address food insecurity with the promotion to the social change using the culinary initiatives (Salmony and Kanbach, 2022). There have been understanding on the dynamics that has offered the crucial aspect for the future entrepreneurs while implementing the services on new and innovative paths using vibrant examples in the hospitality industry. Ultimately, the understanding on the values defines efficient and effective formulae for the success of the entrepreneurs on their stat-up businesses. The traits are not only shaping the individual journeys but also seemed reflecting the broader motivations such as financial gain and valuable social impact (</w:t>
      </w:r>
      <w:r w:rsidDel="00000000" w:rsidR="00000000" w:rsidRPr="00000000">
        <w:rPr>
          <w:color w:val="222222"/>
          <w:highlight w:val="white"/>
          <w:rtl w:val="0"/>
        </w:rPr>
        <w:t xml:space="preserve">Tajeddini et al., 2021)</w:t>
      </w:r>
      <w:r w:rsidDel="00000000" w:rsidR="00000000" w:rsidRPr="00000000">
        <w:rPr>
          <w:rtl w:val="0"/>
        </w:rPr>
        <w:t xml:space="preserve">.</w:t>
      </w:r>
    </w:p>
    <w:p w:rsidR="00000000" w:rsidDel="00000000" w:rsidP="00000000" w:rsidRDefault="00000000" w:rsidRPr="00000000" w14:paraId="00000023">
      <w:pPr>
        <w:rPr/>
      </w:pPr>
      <w:r w:rsidDel="00000000" w:rsidR="00000000" w:rsidRPr="00000000">
        <w:rPr>
          <w:rtl w:val="0"/>
        </w:rPr>
        <w:t xml:space="preserve">Therefore, the comparison of the traits and motivations of entrepreneurs in the hospitality sector is based on different patterns (Stoyanova-Bozhkova et al., 2022). Passion and the Social Impact are compared for the entrepreneurs like Heston Blumenthal and José Andrés to learn about the passion for providing the craft and a desiring to make a definite social impact. Blumenthal’s passion is associated with the innovative cuisine that are matched by the commitment of Andrés towards humanitarian efforts providing services at the World Central Kitchen. The exhibit and stronger passion of both towards their work showed Andrés as social responsible in the prominent manner within the entrepreneurial activities. It seems showcasing the value of motivations to overlap the diverse range of individual priorities. Nelson (2013) declared that desiring for Independence and the Financial Gain are compared for the entrepreneurs such as Richard Branson and Kirstie Allsopp illustrate the tension between the desire for independence and the pursuit of financial gain. Bransos offers different ventures for prioritising the innovation and independence using traditional business norms and values while Allsopp defined the entrepreneurial journey in the hospitality sector that reflects a greater system of personal passion and related financial aspirations. It seems in defining the same trait that desire for the independence and allows manifested system of the different actions to depend on the entrepreneur's context and relevant goals. Resilience vs. Risk-Taking is compared to define the entrepreneurs’ activities of René Redzepi and Gordon Ramsay to exemplify effective resilience making in the careers. The entrepreneurs have faced larger number of challenges within the competitive culinary landscape in the UK. However, the approaches of risk-taking are different in the entrepreneur aspects. Redzepi offered innovative methods that are involved in the calculated risks and pushed the culinary boundaries, whereas; the Ramsay’s resilience seems testing the high-stakes environments that are demonstrating on the resilience and making common trait that are also complemented using different attitudes toward risks and measures.</w:t>
      </w:r>
    </w:p>
    <w:p w:rsidR="00000000" w:rsidDel="00000000" w:rsidP="00000000" w:rsidRDefault="00000000" w:rsidRPr="00000000" w14:paraId="00000024">
      <w:pPr>
        <w:rPr/>
      </w:pPr>
      <w:r w:rsidDel="00000000" w:rsidR="00000000" w:rsidRPr="00000000">
        <w:rPr>
          <w:rtl w:val="0"/>
        </w:rPr>
        <w:t xml:space="preserve">Additionally, for the cross-demographic perspectives, the demographic factors are significantly influence on the traits and motivations that are expressed within the entrepreneurs working in the hospitality industry. The entrepreneurs belong to the diverse cultural backgrounds that also prioritise different motivations associated with the societal norms and values (Hassan et al., 2021). For instance, the consideration of the collectivist cultures identify the social impact and management of the community engagement such as José Andrés whereas, the individualistic cultures is based on the provision of the personal achievement and independence such as Richard Branson. Gender dynamics allows all the female entrepreneurs in the UK hospitality sector while facing unique challenges and shaping relevant motivations and traits. For example, women including Kirstie Allsopp has been motivated with the desire for the creation of the inclusive values that reflect on the services and navigating societal measures based on the leadership skills and roles. Kah et al. (2022) reported that there is a contrast with the services of the male counterparts who also experience different pressures from the societies. The comparison of age and experience seems in the younger entrepreneurs that exhibit in the higher levels of risk-taking and providing less effectiveness to the stake financially and personally. It seems in start-up business of chefs while launching innovative actions in the dining concepts (Sun et al., 2020). In contrast, there are some seasoned entrepreneurs such as Gordon Ramsay who has demonstrated effective and greater resilience in the years of experience to overcome risks and failures. The socioeconomic status of the entrepreneurs is different due to the differences in the socioeconomic backgrounds and providing different access towards the resources. It seems influencing on the motivations and actions (Barringer and Ireland, 2018). It identifies the wealthier backgrounds that pursue on the services of entrepreneurship and defining the passion or innovation such as services of Heston Blumenthal as compared to the lower socioeconomic statuses that are driven by the necessity on the financial gain and directly impacting on the traits such as resilience and risk-taking abilities.</w:t>
      </w:r>
    </w:p>
    <w:p w:rsidR="00000000" w:rsidDel="00000000" w:rsidP="00000000" w:rsidRDefault="00000000" w:rsidRPr="00000000" w14:paraId="00000025">
      <w:pPr>
        <w:pStyle w:val="Heading1"/>
        <w:numPr>
          <w:ilvl w:val="0"/>
          <w:numId w:val="1"/>
        </w:numPr>
        <w:ind w:left="720" w:hanging="360"/>
        <w:rPr/>
      </w:pPr>
      <w:bookmarkStart w:colFirst="0" w:colLast="0" w:name="_heading=h.3znysh7" w:id="3"/>
      <w:bookmarkEnd w:id="3"/>
      <w:r w:rsidDel="00000000" w:rsidR="00000000" w:rsidRPr="00000000">
        <w:rPr>
          <w:rtl w:val="0"/>
        </w:rPr>
        <w:t xml:space="preserve">Conclusion </w:t>
      </w:r>
    </w:p>
    <w:p w:rsidR="00000000" w:rsidDel="00000000" w:rsidP="00000000" w:rsidRDefault="00000000" w:rsidRPr="00000000" w14:paraId="00000026">
      <w:pPr>
        <w:rPr/>
      </w:pPr>
      <w:r w:rsidDel="00000000" w:rsidR="00000000" w:rsidRPr="00000000">
        <w:rPr>
          <w:rtl w:val="0"/>
        </w:rPr>
        <w:t xml:space="preserve">It has been concluded that the essay has presented the explanation based on the entrepreneurial traits and motivations presented in the UK hospitality industry. The essay has revealed all knowledge and understanding associated with a rich tapestry of the characteristics and making positive success in the industry. It has analysed the influential entrepreneurs that have established the theoretical frameworks with the traits including passion, resilience, and risk-taking abilities. The essay has presented the comparative analysis that has provided the importance of demographic factors for influencing on the traits that are expressed and prioritised in the entrepreneurs. It has elaborated the services in the hospitality sector that continues towards the adaptation towards the changing consumer demands and manage challenges worldwide. The essay worked well to provide knowledge and understanding on the harnessing of the unique traits and motivations that are leading towards the meaningful contributions in the wider hospitality landscape of the UK.</w:t>
      </w:r>
    </w:p>
    <w:p w:rsidR="00000000" w:rsidDel="00000000" w:rsidP="00000000" w:rsidRDefault="00000000" w:rsidRPr="00000000" w14:paraId="00000027">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bookmarkStart w:colFirst="0" w:colLast="0" w:name="_heading=h.2et92p0" w:id="4"/>
      <w:bookmarkEnd w:id="4"/>
      <w:r w:rsidDel="00000000" w:rsidR="00000000" w:rsidRPr="00000000">
        <w:rPr>
          <w:rtl w:val="0"/>
        </w:rPr>
        <w:t xml:space="preserve">References</w:t>
      </w:r>
    </w:p>
    <w:p w:rsidR="00000000" w:rsidDel="00000000" w:rsidP="00000000" w:rsidRDefault="00000000" w:rsidRPr="00000000" w14:paraId="00000029">
      <w:pPr>
        <w:ind w:left="720" w:hanging="720"/>
        <w:rPr>
          <w:color w:val="222222"/>
          <w:highlight w:val="white"/>
        </w:rPr>
      </w:pPr>
      <w:r w:rsidDel="00000000" w:rsidR="00000000" w:rsidRPr="00000000">
        <w:rPr>
          <w:rtl w:val="0"/>
        </w:rPr>
        <w:t xml:space="preserve">Alrawadieh</w:t>
      </w:r>
      <w:r w:rsidDel="00000000" w:rsidR="00000000" w:rsidRPr="00000000">
        <w:rPr>
          <w:color w:val="222222"/>
          <w:highlight w:val="white"/>
          <w:rtl w:val="0"/>
        </w:rPr>
        <w:t xml:space="preserve">, Z., Altinay, L., Cetin, G. and Şimşek, D., 2021. The interface between hospitality and tourism entrepreneurship, integration and well-being: A study of refugee entrepreneurs.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97</w:t>
      </w:r>
      <w:r w:rsidDel="00000000" w:rsidR="00000000" w:rsidRPr="00000000">
        <w:rPr>
          <w:color w:val="222222"/>
          <w:highlight w:val="white"/>
          <w:rtl w:val="0"/>
        </w:rPr>
        <w:t xml:space="preserve">, p.103013.</w:t>
      </w:r>
    </w:p>
    <w:p w:rsidR="00000000" w:rsidDel="00000000" w:rsidP="00000000" w:rsidRDefault="00000000" w:rsidRPr="00000000" w14:paraId="0000002A">
      <w:pPr>
        <w:ind w:left="720" w:hanging="720"/>
        <w:rPr/>
      </w:pPr>
      <w:r w:rsidDel="00000000" w:rsidR="00000000" w:rsidRPr="00000000">
        <w:rPr>
          <w:rtl w:val="0"/>
        </w:rPr>
        <w:t xml:space="preserve">Barringer, B. R. and Ireland, R.D., 2018. </w:t>
      </w:r>
      <w:r w:rsidDel="00000000" w:rsidR="00000000" w:rsidRPr="00000000">
        <w:rPr>
          <w:i w:val="1"/>
          <w:rtl w:val="0"/>
        </w:rPr>
        <w:t xml:space="preserve">Entrepreneurship: Successfully Launching New Ventures, 4</w:t>
      </w:r>
      <w:r w:rsidDel="00000000" w:rsidR="00000000" w:rsidRPr="00000000">
        <w:rPr>
          <w:i w:val="1"/>
          <w:vertAlign w:val="superscript"/>
          <w:rtl w:val="0"/>
        </w:rPr>
        <w:t xml:space="preserve">th</w:t>
      </w:r>
      <w:r w:rsidDel="00000000" w:rsidR="00000000" w:rsidRPr="00000000">
        <w:rPr>
          <w:i w:val="1"/>
          <w:rtl w:val="0"/>
        </w:rPr>
        <w:t xml:space="preserve"> Ed.</w:t>
      </w:r>
      <w:r w:rsidDel="00000000" w:rsidR="00000000" w:rsidRPr="00000000">
        <w:rPr>
          <w:rtl w:val="0"/>
        </w:rPr>
        <w:t xml:space="preserve">, Prentice Hall: New Jersey</w:t>
      </w:r>
    </w:p>
    <w:p w:rsidR="00000000" w:rsidDel="00000000" w:rsidP="00000000" w:rsidRDefault="00000000" w:rsidRPr="00000000" w14:paraId="0000002B">
      <w:pPr>
        <w:ind w:left="720" w:hanging="720"/>
        <w:rPr/>
      </w:pPr>
      <w:r w:rsidDel="00000000" w:rsidR="00000000" w:rsidRPr="00000000">
        <w:rPr>
          <w:rtl w:val="0"/>
        </w:rPr>
        <w:t xml:space="preserve">Burns, P., 2022. </w:t>
      </w:r>
      <w:r w:rsidDel="00000000" w:rsidR="00000000" w:rsidRPr="00000000">
        <w:rPr>
          <w:i w:val="1"/>
          <w:rtl w:val="0"/>
        </w:rPr>
        <w:t xml:space="preserve">Entrepreneurship and Small Business, 5th Ed., </w:t>
      </w:r>
      <w:r w:rsidDel="00000000" w:rsidR="00000000" w:rsidRPr="00000000">
        <w:rPr>
          <w:rtl w:val="0"/>
        </w:rPr>
        <w:t xml:space="preserve">Palgrave Macmillan: Basingstoke</w:t>
      </w:r>
    </w:p>
    <w:p w:rsidR="00000000" w:rsidDel="00000000" w:rsidP="00000000" w:rsidRDefault="00000000" w:rsidRPr="00000000" w14:paraId="0000002C">
      <w:pPr>
        <w:ind w:left="720" w:hanging="720"/>
        <w:rPr>
          <w:color w:val="222222"/>
          <w:highlight w:val="white"/>
        </w:rPr>
      </w:pPr>
      <w:r w:rsidDel="00000000" w:rsidR="00000000" w:rsidRPr="00000000">
        <w:rPr>
          <w:color w:val="222222"/>
          <w:highlight w:val="white"/>
          <w:rtl w:val="0"/>
        </w:rPr>
        <w:t xml:space="preserve">Cunha, C., Kastenholz, E. and Carneiro, M.J., 2020. Entrepreneurs in rural tourism: Do lifestyle motivations contribute to management practices that enhance sustainable entrepreneurial ecosystems?. </w:t>
      </w:r>
      <w:r w:rsidDel="00000000" w:rsidR="00000000" w:rsidRPr="00000000">
        <w:rPr>
          <w:i w:val="1"/>
          <w:color w:val="222222"/>
          <w:highlight w:val="white"/>
          <w:rtl w:val="0"/>
        </w:rPr>
        <w:t xml:space="preserve">Journal of hospitality and tourism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44</w:t>
      </w:r>
      <w:r w:rsidDel="00000000" w:rsidR="00000000" w:rsidRPr="00000000">
        <w:rPr>
          <w:color w:val="222222"/>
          <w:highlight w:val="white"/>
          <w:rtl w:val="0"/>
        </w:rPr>
        <w:t xml:space="preserve">, pp.215-226.</w:t>
      </w:r>
    </w:p>
    <w:p w:rsidR="00000000" w:rsidDel="00000000" w:rsidP="00000000" w:rsidRDefault="00000000" w:rsidRPr="00000000" w14:paraId="0000002D">
      <w:pPr>
        <w:ind w:left="720" w:hanging="720"/>
        <w:rPr>
          <w:color w:val="222222"/>
          <w:highlight w:val="white"/>
        </w:rPr>
      </w:pPr>
      <w:r w:rsidDel="00000000" w:rsidR="00000000" w:rsidRPr="00000000">
        <w:rPr>
          <w:rtl w:val="0"/>
        </w:rPr>
        <w:t xml:space="preserve">Dashper</w:t>
      </w:r>
      <w:r w:rsidDel="00000000" w:rsidR="00000000" w:rsidRPr="00000000">
        <w:rPr>
          <w:color w:val="222222"/>
          <w:highlight w:val="white"/>
          <w:rtl w:val="0"/>
        </w:rPr>
        <w:t xml:space="preserve">, K., 2020. Mentoring for gender equality: Supporting female leaders in the hospitality industry.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88</w:t>
      </w:r>
      <w:r w:rsidDel="00000000" w:rsidR="00000000" w:rsidRPr="00000000">
        <w:rPr>
          <w:color w:val="222222"/>
          <w:highlight w:val="white"/>
          <w:rtl w:val="0"/>
        </w:rPr>
        <w:t xml:space="preserve">, p.102397.</w:t>
      </w:r>
    </w:p>
    <w:p w:rsidR="00000000" w:rsidDel="00000000" w:rsidP="00000000" w:rsidRDefault="00000000" w:rsidRPr="00000000" w14:paraId="0000002E">
      <w:pPr>
        <w:ind w:left="720" w:hanging="720"/>
        <w:rPr>
          <w:color w:val="222222"/>
          <w:highlight w:val="white"/>
        </w:rPr>
      </w:pPr>
      <w:r w:rsidDel="00000000" w:rsidR="00000000" w:rsidRPr="00000000">
        <w:rPr>
          <w:color w:val="222222"/>
          <w:highlight w:val="white"/>
          <w:rtl w:val="0"/>
        </w:rPr>
        <w:t xml:space="preserve">Duan, C., Kotey, B. and Sandhu, K., 2023. A systematic literature review of determinants of immigrant entrepreneurship motivations. </w:t>
      </w:r>
      <w:r w:rsidDel="00000000" w:rsidR="00000000" w:rsidRPr="00000000">
        <w:rPr>
          <w:i w:val="1"/>
          <w:color w:val="222222"/>
          <w:highlight w:val="white"/>
          <w:rtl w:val="0"/>
        </w:rPr>
        <w:t xml:space="preserve">Journal of Small Business &amp; Entrepreneurship</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35</w:t>
      </w:r>
      <w:r w:rsidDel="00000000" w:rsidR="00000000" w:rsidRPr="00000000">
        <w:rPr>
          <w:color w:val="222222"/>
          <w:highlight w:val="white"/>
          <w:rtl w:val="0"/>
        </w:rPr>
        <w:t xml:space="preserve">(4), pp.599-631.</w:t>
      </w:r>
    </w:p>
    <w:p w:rsidR="00000000" w:rsidDel="00000000" w:rsidP="00000000" w:rsidRDefault="00000000" w:rsidRPr="00000000" w14:paraId="0000002F">
      <w:pPr>
        <w:ind w:left="720" w:hanging="720"/>
        <w:rPr>
          <w:color w:val="222222"/>
          <w:highlight w:val="white"/>
        </w:rPr>
      </w:pPr>
      <w:r w:rsidDel="00000000" w:rsidR="00000000" w:rsidRPr="00000000">
        <w:rPr>
          <w:color w:val="222222"/>
          <w:highlight w:val="white"/>
          <w:rtl w:val="0"/>
        </w:rPr>
        <w:t xml:space="preserve">Hassan, A., Anwar, I., Saleem, I., Islam, K.B. and Hussain, S.A., 2021. Individual entrepreneurial orientation, entrepreneurship education and entrepreneurial intention: The mediating role of entrepreneurial motivations. </w:t>
      </w:r>
      <w:r w:rsidDel="00000000" w:rsidR="00000000" w:rsidRPr="00000000">
        <w:rPr>
          <w:i w:val="1"/>
          <w:color w:val="222222"/>
          <w:highlight w:val="white"/>
          <w:rtl w:val="0"/>
        </w:rPr>
        <w:t xml:space="preserve">Industry and Higher Education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35</w:t>
      </w:r>
      <w:r w:rsidDel="00000000" w:rsidR="00000000" w:rsidRPr="00000000">
        <w:rPr>
          <w:color w:val="222222"/>
          <w:highlight w:val="white"/>
          <w:rtl w:val="0"/>
        </w:rPr>
        <w:t xml:space="preserve">(4), pp.403-418.</w:t>
      </w:r>
    </w:p>
    <w:p w:rsidR="00000000" w:rsidDel="00000000" w:rsidP="00000000" w:rsidRDefault="00000000" w:rsidRPr="00000000" w14:paraId="00000030">
      <w:pPr>
        <w:ind w:left="720" w:hanging="720"/>
        <w:rPr>
          <w:color w:val="222222"/>
          <w:highlight w:val="white"/>
        </w:rPr>
      </w:pPr>
      <w:r w:rsidDel="00000000" w:rsidR="00000000" w:rsidRPr="00000000">
        <w:rPr>
          <w:color w:val="222222"/>
          <w:highlight w:val="white"/>
          <w:rtl w:val="0"/>
        </w:rPr>
        <w:t xml:space="preserve">Kah, S., O’Brien, S., Kok, S. and Gallagher, E., 2022. Entrepreneurial motivations, opportunities, and challenges: an international perspective. </w:t>
      </w:r>
      <w:r w:rsidDel="00000000" w:rsidR="00000000" w:rsidRPr="00000000">
        <w:rPr>
          <w:i w:val="1"/>
          <w:color w:val="222222"/>
          <w:highlight w:val="white"/>
          <w:rtl w:val="0"/>
        </w:rPr>
        <w:t xml:space="preserve">Journal of African Business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23</w:t>
      </w:r>
      <w:r w:rsidDel="00000000" w:rsidR="00000000" w:rsidRPr="00000000">
        <w:rPr>
          <w:color w:val="222222"/>
          <w:highlight w:val="white"/>
          <w:rtl w:val="0"/>
        </w:rPr>
        <w:t xml:space="preserve">(2), pp.380-399.</w:t>
      </w:r>
    </w:p>
    <w:p w:rsidR="00000000" w:rsidDel="00000000" w:rsidP="00000000" w:rsidRDefault="00000000" w:rsidRPr="00000000" w14:paraId="00000031">
      <w:pPr>
        <w:ind w:left="720" w:hanging="720"/>
        <w:rPr>
          <w:color w:val="222222"/>
          <w:highlight w:val="white"/>
        </w:rPr>
      </w:pPr>
      <w:r w:rsidDel="00000000" w:rsidR="00000000" w:rsidRPr="00000000">
        <w:rPr>
          <w:rtl w:val="0"/>
        </w:rPr>
        <w:t xml:space="preserve">Machani</w:t>
      </w:r>
      <w:r w:rsidDel="00000000" w:rsidR="00000000" w:rsidRPr="00000000">
        <w:rPr>
          <w:color w:val="222222"/>
          <w:highlight w:val="white"/>
          <w:rtl w:val="0"/>
        </w:rPr>
        <w:t xml:space="preserve">, M.P., Nagapriya, C. and Kumar, Y.L., 2021. Motives driving the entrepreneurial thought: An empirical study on micro entrepreneurs. </w:t>
      </w:r>
      <w:r w:rsidDel="00000000" w:rsidR="00000000" w:rsidRPr="00000000">
        <w:rPr>
          <w:i w:val="1"/>
          <w:color w:val="222222"/>
          <w:highlight w:val="white"/>
          <w:rtl w:val="0"/>
        </w:rPr>
        <w:t xml:space="preserve">Design Engineering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w:t>
      </w:r>
      <w:r w:rsidDel="00000000" w:rsidR="00000000" w:rsidRPr="00000000">
        <w:rPr>
          <w:color w:val="222222"/>
          <w:highlight w:val="white"/>
          <w:rtl w:val="0"/>
        </w:rPr>
        <w:t xml:space="preserve">, pp.15271-15281.</w:t>
      </w:r>
    </w:p>
    <w:p w:rsidR="00000000" w:rsidDel="00000000" w:rsidP="00000000" w:rsidRDefault="00000000" w:rsidRPr="00000000" w14:paraId="00000032">
      <w:pPr>
        <w:ind w:left="720" w:hanging="720"/>
        <w:rPr/>
      </w:pPr>
      <w:r w:rsidDel="00000000" w:rsidR="00000000" w:rsidRPr="00000000">
        <w:rPr>
          <w:rtl w:val="0"/>
        </w:rPr>
        <w:t xml:space="preserve">Ndofirepi</w:t>
      </w:r>
      <w:r w:rsidDel="00000000" w:rsidR="00000000" w:rsidRPr="00000000">
        <w:rPr>
          <w:color w:val="222222"/>
          <w:highlight w:val="white"/>
          <w:rtl w:val="0"/>
        </w:rPr>
        <w:t xml:space="preserve">, T.M., 2020. Relationship between entrepreneurship education and entrepreneurial goal intentions: psychological traits as mediators. </w:t>
      </w:r>
      <w:r w:rsidDel="00000000" w:rsidR="00000000" w:rsidRPr="00000000">
        <w:rPr>
          <w:i w:val="1"/>
          <w:color w:val="222222"/>
          <w:highlight w:val="white"/>
          <w:rtl w:val="0"/>
        </w:rPr>
        <w:t xml:space="preserve">Journal of innovation and entrepreneurship</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w:t>
      </w:r>
      <w:r w:rsidDel="00000000" w:rsidR="00000000" w:rsidRPr="00000000">
        <w:rPr>
          <w:color w:val="222222"/>
          <w:highlight w:val="white"/>
          <w:rtl w:val="0"/>
        </w:rPr>
        <w:t xml:space="preserve">(1), p.2.</w:t>
      </w:r>
      <w:r w:rsidDel="00000000" w:rsidR="00000000" w:rsidRPr="00000000">
        <w:rPr>
          <w:rtl w:val="0"/>
        </w:rPr>
      </w:r>
    </w:p>
    <w:p w:rsidR="00000000" w:rsidDel="00000000" w:rsidP="00000000" w:rsidRDefault="00000000" w:rsidRPr="00000000" w14:paraId="00000033">
      <w:pPr>
        <w:ind w:left="720" w:hanging="720"/>
        <w:rPr/>
      </w:pPr>
      <w:r w:rsidDel="00000000" w:rsidR="00000000" w:rsidRPr="00000000">
        <w:rPr>
          <w:rtl w:val="0"/>
        </w:rPr>
        <w:t xml:space="preserve">Nelson, O., 2013. </w:t>
      </w:r>
      <w:r w:rsidDel="00000000" w:rsidR="00000000" w:rsidRPr="00000000">
        <w:rPr>
          <w:i w:val="1"/>
          <w:rtl w:val="0"/>
        </w:rPr>
        <w:t xml:space="preserve">Enterprise development in SMEs and entrepreneurial firms dynamic processes.</w:t>
      </w:r>
      <w:r w:rsidDel="00000000" w:rsidR="00000000" w:rsidRPr="00000000">
        <w:rPr>
          <w:rtl w:val="0"/>
        </w:rPr>
        <w:t xml:space="preserve"> IGI Global.</w:t>
      </w:r>
    </w:p>
    <w:p w:rsidR="00000000" w:rsidDel="00000000" w:rsidP="00000000" w:rsidRDefault="00000000" w:rsidRPr="00000000" w14:paraId="00000034">
      <w:pPr>
        <w:ind w:left="720" w:hanging="720"/>
        <w:rPr/>
      </w:pPr>
      <w:r w:rsidDel="00000000" w:rsidR="00000000" w:rsidRPr="00000000">
        <w:rPr>
          <w:rtl w:val="0"/>
        </w:rPr>
        <w:t xml:space="preserve">Postigo, Á., Cuesta, M., García-Cueto, E., Prieto-Díez, F. and Muñiz, J., 2021. General versus specific personality traits for predicting entrepreneurship. </w:t>
      </w:r>
      <w:r w:rsidDel="00000000" w:rsidR="00000000" w:rsidRPr="00000000">
        <w:rPr>
          <w:i w:val="1"/>
          <w:rtl w:val="0"/>
        </w:rPr>
        <w:t xml:space="preserve">Personality and Individual Differences, 182</w:t>
      </w:r>
      <w:r w:rsidDel="00000000" w:rsidR="00000000" w:rsidRPr="00000000">
        <w:rPr>
          <w:rtl w:val="0"/>
        </w:rPr>
        <w:t xml:space="preserve">, p.111094.</w:t>
      </w:r>
    </w:p>
    <w:p w:rsidR="00000000" w:rsidDel="00000000" w:rsidP="00000000" w:rsidRDefault="00000000" w:rsidRPr="00000000" w14:paraId="00000035">
      <w:pPr>
        <w:ind w:left="720" w:hanging="720"/>
        <w:rPr/>
      </w:pPr>
      <w:r w:rsidDel="00000000" w:rsidR="00000000" w:rsidRPr="00000000">
        <w:rPr>
          <w:rtl w:val="0"/>
        </w:rPr>
        <w:t xml:space="preserve">Rickman, C. and Roddick, D., 2013. </w:t>
      </w:r>
      <w:r w:rsidDel="00000000" w:rsidR="00000000" w:rsidRPr="00000000">
        <w:rPr>
          <w:i w:val="1"/>
          <w:rtl w:val="0"/>
        </w:rPr>
        <w:t xml:space="preserve">The Small Business Start-Up Workbook: A step-by-step guide to starting the business you’ve dreamed of.</w:t>
      </w:r>
      <w:r w:rsidDel="00000000" w:rsidR="00000000" w:rsidRPr="00000000">
        <w:rPr>
          <w:rtl w:val="0"/>
        </w:rPr>
        <w:t xml:space="preserve"> London, How To Books</w:t>
      </w:r>
    </w:p>
    <w:p w:rsidR="00000000" w:rsidDel="00000000" w:rsidP="00000000" w:rsidRDefault="00000000" w:rsidRPr="00000000" w14:paraId="00000036">
      <w:pPr>
        <w:ind w:left="720" w:hanging="720"/>
        <w:rPr>
          <w:highlight w:val="white"/>
        </w:rPr>
      </w:pPr>
      <w:r w:rsidDel="00000000" w:rsidR="00000000" w:rsidRPr="00000000">
        <w:rPr>
          <w:rtl w:val="0"/>
        </w:rPr>
        <w:t xml:space="preserve">Salmony, F.U. and Kanbach,</w:t>
      </w:r>
      <w:r w:rsidDel="00000000" w:rsidR="00000000" w:rsidRPr="00000000">
        <w:rPr>
          <w:highlight w:val="white"/>
          <w:rtl w:val="0"/>
        </w:rPr>
        <w:t xml:space="preserve"> D.K., 2022. Personality trait differences across types of entrepreneurs: a systematic literature review. </w:t>
      </w:r>
      <w:r w:rsidDel="00000000" w:rsidR="00000000" w:rsidRPr="00000000">
        <w:rPr>
          <w:i w:val="1"/>
          <w:highlight w:val="white"/>
          <w:rtl w:val="0"/>
        </w:rPr>
        <w:t xml:space="preserve">Review of managerial science</w:t>
      </w:r>
      <w:r w:rsidDel="00000000" w:rsidR="00000000" w:rsidRPr="00000000">
        <w:rPr>
          <w:highlight w:val="white"/>
          <w:rtl w:val="0"/>
        </w:rPr>
        <w:t xml:space="preserve">, </w:t>
      </w:r>
      <w:r w:rsidDel="00000000" w:rsidR="00000000" w:rsidRPr="00000000">
        <w:rPr>
          <w:i w:val="1"/>
          <w:highlight w:val="white"/>
          <w:rtl w:val="0"/>
        </w:rPr>
        <w:t xml:space="preserve">16</w:t>
      </w:r>
      <w:r w:rsidDel="00000000" w:rsidR="00000000" w:rsidRPr="00000000">
        <w:rPr>
          <w:highlight w:val="white"/>
          <w:rtl w:val="0"/>
        </w:rPr>
        <w:t xml:space="preserve">(3), pp.713-749.</w:t>
      </w:r>
    </w:p>
    <w:p w:rsidR="00000000" w:rsidDel="00000000" w:rsidP="00000000" w:rsidRDefault="00000000" w:rsidRPr="00000000" w14:paraId="00000037">
      <w:pPr>
        <w:ind w:left="720" w:hanging="720"/>
        <w:rPr>
          <w:highlight w:val="white"/>
        </w:rPr>
      </w:pPr>
      <w:r w:rsidDel="00000000" w:rsidR="00000000" w:rsidRPr="00000000">
        <w:rPr>
          <w:rtl w:val="0"/>
        </w:rPr>
        <w:t xml:space="preserve">Stirzaker</w:t>
      </w:r>
      <w:r w:rsidDel="00000000" w:rsidR="00000000" w:rsidRPr="00000000">
        <w:rPr>
          <w:color w:val="222222"/>
          <w:highlight w:val="white"/>
          <w:rtl w:val="0"/>
        </w:rPr>
        <w:t xml:space="preserve">, R., Galloway, L., Muhonen, J. and Christopoulos, D., 2021. The drivers of social entrepreneurship: agency, context, compassion and opportunism. </w:t>
      </w:r>
      <w:r w:rsidDel="00000000" w:rsidR="00000000" w:rsidRPr="00000000">
        <w:rPr>
          <w:i w:val="1"/>
          <w:color w:val="222222"/>
          <w:highlight w:val="white"/>
          <w:rtl w:val="0"/>
        </w:rPr>
        <w:t xml:space="preserve">International Journal of Entrepreneurial Behavior &amp;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27</w:t>
      </w:r>
      <w:r w:rsidDel="00000000" w:rsidR="00000000" w:rsidRPr="00000000">
        <w:rPr>
          <w:color w:val="222222"/>
          <w:highlight w:val="white"/>
          <w:rtl w:val="0"/>
        </w:rPr>
        <w:t xml:space="preserve">(6), pp.1381-1402.</w:t>
      </w:r>
      <w:r w:rsidDel="00000000" w:rsidR="00000000" w:rsidRPr="00000000">
        <w:rPr>
          <w:rtl w:val="0"/>
        </w:rPr>
      </w:r>
    </w:p>
    <w:p w:rsidR="00000000" w:rsidDel="00000000" w:rsidP="00000000" w:rsidRDefault="00000000" w:rsidRPr="00000000" w14:paraId="00000038">
      <w:pPr>
        <w:ind w:left="720" w:hanging="720"/>
        <w:rPr>
          <w:color w:val="222222"/>
          <w:highlight w:val="white"/>
        </w:rPr>
      </w:pPr>
      <w:r w:rsidDel="00000000" w:rsidR="00000000" w:rsidRPr="00000000">
        <w:rPr>
          <w:rtl w:val="0"/>
        </w:rPr>
        <w:t xml:space="preserve">Stoyanova-Bozhkova</w:t>
      </w:r>
      <w:r w:rsidDel="00000000" w:rsidR="00000000" w:rsidRPr="00000000">
        <w:rPr>
          <w:color w:val="222222"/>
          <w:highlight w:val="white"/>
          <w:rtl w:val="0"/>
        </w:rPr>
        <w:t xml:space="preserve">, S., Paskova, T. and Buhalis, D., 2022. Emotional intelligence: a competitive advantage for tourism and hospitality managers. </w:t>
      </w:r>
      <w:r w:rsidDel="00000000" w:rsidR="00000000" w:rsidRPr="00000000">
        <w:rPr>
          <w:i w:val="1"/>
          <w:color w:val="222222"/>
          <w:highlight w:val="white"/>
          <w:rtl w:val="0"/>
        </w:rPr>
        <w:t xml:space="preserve">Tourism Recreation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47</w:t>
      </w:r>
      <w:r w:rsidDel="00000000" w:rsidR="00000000" w:rsidRPr="00000000">
        <w:rPr>
          <w:color w:val="222222"/>
          <w:highlight w:val="white"/>
          <w:rtl w:val="0"/>
        </w:rPr>
        <w:t xml:space="preserve">(4), pp.359-371.</w:t>
      </w:r>
    </w:p>
    <w:p w:rsidR="00000000" w:rsidDel="00000000" w:rsidP="00000000" w:rsidRDefault="00000000" w:rsidRPr="00000000" w14:paraId="00000039">
      <w:pPr>
        <w:ind w:left="720" w:hanging="720"/>
        <w:rPr>
          <w:highlight w:val="white"/>
        </w:rPr>
      </w:pPr>
      <w:r w:rsidDel="00000000" w:rsidR="00000000" w:rsidRPr="00000000">
        <w:rPr>
          <w:color w:val="222222"/>
          <w:highlight w:val="white"/>
          <w:rtl w:val="0"/>
        </w:rPr>
        <w:t xml:space="preserve">Sun, X., Xu, H., Köseoglu, M.A. and Okumus, F., 2020. How do lifestyle hospitality and tourism entrepreneurs manage their work-life balance?.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85</w:t>
      </w:r>
      <w:r w:rsidDel="00000000" w:rsidR="00000000" w:rsidRPr="00000000">
        <w:rPr>
          <w:color w:val="222222"/>
          <w:highlight w:val="white"/>
          <w:rtl w:val="0"/>
        </w:rPr>
        <w:t xml:space="preserve">, p.102359.</w:t>
      </w:r>
      <w:r w:rsidDel="00000000" w:rsidR="00000000" w:rsidRPr="00000000">
        <w:rPr>
          <w:rtl w:val="0"/>
        </w:rPr>
      </w:r>
    </w:p>
    <w:p w:rsidR="00000000" w:rsidDel="00000000" w:rsidP="00000000" w:rsidRDefault="00000000" w:rsidRPr="00000000" w14:paraId="0000003A">
      <w:pPr>
        <w:ind w:left="720" w:hanging="720"/>
        <w:rPr>
          <w:highlight w:val="white"/>
        </w:rPr>
      </w:pPr>
      <w:r w:rsidDel="00000000" w:rsidR="00000000" w:rsidRPr="00000000">
        <w:rPr>
          <w:color w:val="222222"/>
          <w:highlight w:val="white"/>
          <w:rtl w:val="0"/>
        </w:rPr>
        <w:t xml:space="preserve">Tajeddini, K., Martin, E. and Ali, A., 2020. Enhancing hospitality business performance: The role of entrepreneurial orientation and networking ties in a dynamic environment.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90</w:t>
      </w:r>
      <w:r w:rsidDel="00000000" w:rsidR="00000000" w:rsidRPr="00000000">
        <w:rPr>
          <w:color w:val="222222"/>
          <w:highlight w:val="white"/>
          <w:rtl w:val="0"/>
        </w:rPr>
        <w:t xml:space="preserve">, p.102605.</w:t>
      </w:r>
      <w:r w:rsidDel="00000000" w:rsidR="00000000" w:rsidRPr="00000000">
        <w:rPr>
          <w:rtl w:val="0"/>
        </w:rPr>
      </w:r>
    </w:p>
    <w:p w:rsidR="00000000" w:rsidDel="00000000" w:rsidP="00000000" w:rsidRDefault="00000000" w:rsidRPr="00000000" w14:paraId="0000003B">
      <w:pPr>
        <w:ind w:left="720" w:hanging="720"/>
        <w:rPr>
          <w:color w:val="222222"/>
          <w:highlight w:val="white"/>
        </w:rPr>
      </w:pPr>
      <w:r w:rsidDel="00000000" w:rsidR="00000000" w:rsidRPr="00000000">
        <w:rPr>
          <w:rtl w:val="0"/>
        </w:rPr>
        <w:t xml:space="preserve">Wach, K. and Głodowska,</w:t>
      </w:r>
      <w:r w:rsidDel="00000000" w:rsidR="00000000" w:rsidRPr="00000000">
        <w:rPr>
          <w:color w:val="222222"/>
          <w:highlight w:val="white"/>
          <w:rtl w:val="0"/>
        </w:rPr>
        <w:t xml:space="preserve"> A., 2021. How do demographics and basic traits of an entrepreneur impact the internationalization of firms?. </w:t>
      </w:r>
      <w:r w:rsidDel="00000000" w:rsidR="00000000" w:rsidRPr="00000000">
        <w:rPr>
          <w:i w:val="1"/>
          <w:color w:val="222222"/>
          <w:highlight w:val="white"/>
          <w:rtl w:val="0"/>
        </w:rPr>
        <w:t xml:space="preserve">Oeconomia Copernicana</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12</w:t>
      </w:r>
      <w:r w:rsidDel="00000000" w:rsidR="00000000" w:rsidRPr="00000000">
        <w:rPr>
          <w:color w:val="222222"/>
          <w:highlight w:val="white"/>
          <w:rtl w:val="0"/>
        </w:rPr>
        <w:t xml:space="preserve">(2), pp.399-424.</w:t>
      </w:r>
    </w:p>
    <w:p w:rsidR="00000000" w:rsidDel="00000000" w:rsidP="00000000" w:rsidRDefault="00000000" w:rsidRPr="00000000" w14:paraId="0000003C">
      <w:pPr>
        <w:ind w:left="720" w:hanging="720"/>
        <w:rPr/>
      </w:pPr>
      <w:r w:rsidDel="00000000" w:rsidR="00000000" w:rsidRPr="00000000">
        <w:rPr>
          <w:rtl w:val="0"/>
        </w:rPr>
        <w:t xml:space="preserve">Williams, S., 2021. </w:t>
      </w:r>
      <w:r w:rsidDel="00000000" w:rsidR="00000000" w:rsidRPr="00000000">
        <w:rPr>
          <w:i w:val="1"/>
          <w:rtl w:val="0"/>
        </w:rPr>
        <w:t xml:space="preserve">FT Guide to Business Start Up: The most comprehensive guide for entrepreneurs, 32nd Ed.,</w:t>
      </w:r>
      <w:r w:rsidDel="00000000" w:rsidR="00000000" w:rsidRPr="00000000">
        <w:rPr>
          <w:rtl w:val="0"/>
        </w:rPr>
        <w:t xml:space="preserve"> Financial Times Press: Harlow.</w:t>
        <w:tab/>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36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1.%2"/>
      <w:lvlJc w:val="left"/>
      <w:pPr>
        <w:ind w:left="750" w:hanging="39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b w:val="1"/>
      <w:sz w:val="32"/>
      <w:szCs w:val="32"/>
    </w:rPr>
  </w:style>
  <w:style w:type="paragraph" w:styleId="Heading2">
    <w:name w:val="heading 2"/>
    <w:basedOn w:val="Normal"/>
    <w:next w:val="Normal"/>
    <w:pPr>
      <w:keepNext w:val="1"/>
      <w:keepLines w:val="1"/>
      <w:spacing w:before="40" w:lineRule="auto"/>
    </w:pPr>
    <w:rPr>
      <w:b w:val="1"/>
      <w:sz w:val="26"/>
      <w:szCs w:val="26"/>
    </w:rPr>
  </w:style>
  <w:style w:type="paragraph" w:styleId="Heading3">
    <w:name w:val="heading 3"/>
    <w:basedOn w:val="Normal"/>
    <w:next w:val="Normal"/>
    <w:pPr>
      <w:keepNext w:val="1"/>
      <w:keepLines w:val="1"/>
      <w:spacing w:after="80" w:before="160" w:lineRule="auto"/>
    </w:pPr>
    <w:rPr>
      <w:b w:val="1"/>
      <w:i w:val="1"/>
      <w:sz w:val="22"/>
      <w:szCs w:val="22"/>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23574"/>
    <w:pPr>
      <w:spacing w:after="0" w:line="360" w:lineRule="auto"/>
      <w:jc w:val="both"/>
    </w:pPr>
    <w:rPr>
      <w:rFonts w:ascii="Times New Roman" w:hAnsi="Times New Roman" w:eastAsiaTheme="minorEastAsia"/>
      <w:kern w:val="2"/>
      <w:sz w:val="24"/>
      <w:lang w:eastAsia="en-GB" w:val="en-GB"/>
    </w:rPr>
  </w:style>
  <w:style w:type="paragraph" w:styleId="Heading1">
    <w:name w:val="heading 1"/>
    <w:basedOn w:val="Normal"/>
    <w:next w:val="Normal"/>
    <w:link w:val="Heading1Char"/>
    <w:uiPriority w:val="9"/>
    <w:qFormat w:val="1"/>
    <w:rsid w:val="003470BC"/>
    <w:pPr>
      <w:keepNext w:val="1"/>
      <w:keepLines w:val="1"/>
      <w:spacing w:before="240"/>
      <w:outlineLvl w:val="0"/>
    </w:pPr>
    <w:rPr>
      <w:rFonts w:cstheme="majorBidi" w:eastAsiaTheme="majorEastAsia"/>
      <w:b w:val="1"/>
      <w:kern w:val="0"/>
      <w:sz w:val="32"/>
      <w:szCs w:val="32"/>
      <w:lang w:eastAsia="en-US"/>
    </w:rPr>
  </w:style>
  <w:style w:type="paragraph" w:styleId="Heading2">
    <w:name w:val="heading 2"/>
    <w:basedOn w:val="Normal"/>
    <w:next w:val="Normal"/>
    <w:link w:val="Heading2Char"/>
    <w:uiPriority w:val="9"/>
    <w:unhideWhenUsed w:val="1"/>
    <w:qFormat w:val="1"/>
    <w:rsid w:val="00601F42"/>
    <w:pPr>
      <w:keepNext w:val="1"/>
      <w:keepLines w:val="1"/>
      <w:spacing w:before="40"/>
      <w:outlineLvl w:val="1"/>
    </w:pPr>
    <w:rPr>
      <w:rFonts w:cstheme="majorBidi" w:eastAsiaTheme="majorEastAsia"/>
      <w:b w:val="1"/>
      <w:kern w:val="0"/>
      <w:sz w:val="26"/>
      <w:szCs w:val="26"/>
      <w:lang w:eastAsia="en-US"/>
    </w:rPr>
  </w:style>
  <w:style w:type="paragraph" w:styleId="Heading3">
    <w:name w:val="heading 3"/>
    <w:basedOn w:val="Normal"/>
    <w:next w:val="Normal"/>
    <w:link w:val="Heading3Char"/>
    <w:uiPriority w:val="9"/>
    <w:unhideWhenUsed w:val="1"/>
    <w:qFormat w:val="1"/>
    <w:rsid w:val="00E2164B"/>
    <w:pPr>
      <w:keepNext w:val="1"/>
      <w:keepLines w:val="1"/>
      <w:spacing w:after="80" w:before="160"/>
      <w:outlineLvl w:val="2"/>
    </w:pPr>
    <w:rPr>
      <w:rFonts w:cstheme="majorBidi" w:eastAsiaTheme="majorEastAsia"/>
      <w:b w:val="1"/>
      <w:i w:val="1"/>
      <w:kern w:val="0"/>
      <w:sz w:val="22"/>
      <w:szCs w:val="28"/>
      <w:lang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3470BC"/>
    <w:rPr>
      <w:rFonts w:ascii="Times New Roman" w:hAnsi="Times New Roman" w:cstheme="majorBidi" w:eastAsiaTheme="majorEastAsia"/>
      <w:b w:val="1"/>
      <w:sz w:val="32"/>
      <w:szCs w:val="32"/>
    </w:rPr>
  </w:style>
  <w:style w:type="character" w:styleId="Heading2Char" w:customStyle="1">
    <w:name w:val="Heading 2 Char"/>
    <w:basedOn w:val="DefaultParagraphFont"/>
    <w:link w:val="Heading2"/>
    <w:uiPriority w:val="9"/>
    <w:rsid w:val="00601F42"/>
    <w:rPr>
      <w:rFonts w:ascii="Times New Roman" w:hAnsi="Times New Roman" w:cstheme="majorBidi" w:eastAsiaTheme="majorEastAsia"/>
      <w:b w:val="1"/>
      <w:sz w:val="26"/>
      <w:szCs w:val="26"/>
    </w:rPr>
  </w:style>
  <w:style w:type="character" w:styleId="Heading3Char" w:customStyle="1">
    <w:name w:val="Heading 3 Char"/>
    <w:basedOn w:val="DefaultParagraphFont"/>
    <w:link w:val="Heading3"/>
    <w:uiPriority w:val="9"/>
    <w:rsid w:val="00E2164B"/>
    <w:rPr>
      <w:rFonts w:ascii="Times New Roman" w:hAnsi="Times New Roman" w:cstheme="majorBidi" w:eastAsiaTheme="majorEastAsia"/>
      <w:b w:val="1"/>
      <w:i w:val="1"/>
      <w:szCs w:val="28"/>
    </w:rPr>
  </w:style>
  <w:style w:type="character" w:styleId="Emphasis">
    <w:name w:val="Emphasis"/>
    <w:basedOn w:val="DefaultParagraphFont"/>
    <w:qFormat w:val="1"/>
    <w:rsid w:val="009E1E53"/>
    <w:rPr>
      <w:rFonts w:ascii="Times New Roman" w:hAnsi="Times New Roman"/>
      <w:b w:val="0"/>
      <w:i w:val="0"/>
      <w:iCs w:val="1"/>
      <w:sz w:val="24"/>
    </w:rPr>
  </w:style>
  <w:style w:type="paragraph" w:styleId="NoSpacing">
    <w:name w:val="No Spacing"/>
    <w:uiPriority w:val="1"/>
    <w:qFormat w:val="1"/>
    <w:rsid w:val="008E2837"/>
    <w:pPr>
      <w:widowControl w:val="0"/>
      <w:autoSpaceDE w:val="0"/>
      <w:autoSpaceDN w:val="0"/>
      <w:spacing w:after="0" w:line="360" w:lineRule="auto"/>
      <w:jc w:val="both"/>
    </w:pPr>
    <w:rPr>
      <w:rFonts w:ascii="Times New Roman" w:cs="Noto Sans" w:hAnsi="Times New Roman"/>
      <w:sz w:val="24"/>
    </w:rPr>
  </w:style>
  <w:style w:type="paragraph" w:styleId="BodyText">
    <w:name w:val="Body Text"/>
    <w:basedOn w:val="Normal"/>
    <w:link w:val="BodyTextChar"/>
    <w:uiPriority w:val="1"/>
    <w:qFormat w:val="1"/>
    <w:rsid w:val="00CD5F4B"/>
    <w:pPr>
      <w:ind w:left="115"/>
    </w:pPr>
    <w:rPr>
      <w:rFonts w:ascii="Arial MT" w:cs="Arial MT" w:eastAsia="Arial MT" w:hAnsi="Arial MT"/>
    </w:rPr>
  </w:style>
  <w:style w:type="character" w:styleId="BodyTextChar" w:customStyle="1">
    <w:name w:val="Body Text Char"/>
    <w:basedOn w:val="DefaultParagraphFont"/>
    <w:link w:val="BodyText"/>
    <w:uiPriority w:val="1"/>
    <w:rsid w:val="00CD5F4B"/>
    <w:rPr>
      <w:rFonts w:ascii="Arial MT" w:cs="Arial MT" w:eastAsia="Arial MT" w:hAnsi="Arial MT"/>
      <w:lang w:val="en-GB"/>
    </w:rPr>
  </w:style>
  <w:style w:type="paragraph" w:styleId="Header">
    <w:name w:val="header"/>
    <w:basedOn w:val="Normal"/>
    <w:link w:val="HeaderChar"/>
    <w:uiPriority w:val="99"/>
    <w:unhideWhenUsed w:val="1"/>
    <w:rsid w:val="00F23574"/>
    <w:pPr>
      <w:tabs>
        <w:tab w:val="center" w:pos="4680"/>
        <w:tab w:val="right" w:pos="9360"/>
      </w:tabs>
    </w:pPr>
  </w:style>
  <w:style w:type="character" w:styleId="HeaderChar" w:customStyle="1">
    <w:name w:val="Header Char"/>
    <w:basedOn w:val="DefaultParagraphFont"/>
    <w:link w:val="Header"/>
    <w:uiPriority w:val="99"/>
    <w:rsid w:val="00F23574"/>
    <w:rPr>
      <w:rFonts w:ascii="Times New Roman" w:hAnsi="Times New Roman" w:eastAsiaTheme="minorEastAsia"/>
      <w:kern w:val="2"/>
      <w:sz w:val="24"/>
      <w:lang w:eastAsia="en-GB"/>
    </w:rPr>
  </w:style>
  <w:style w:type="paragraph" w:styleId="Footer">
    <w:name w:val="footer"/>
    <w:basedOn w:val="Normal"/>
    <w:link w:val="FooterChar"/>
    <w:uiPriority w:val="99"/>
    <w:unhideWhenUsed w:val="1"/>
    <w:rsid w:val="00F23574"/>
    <w:pPr>
      <w:tabs>
        <w:tab w:val="center" w:pos="4680"/>
        <w:tab w:val="right" w:pos="9360"/>
      </w:tabs>
    </w:pPr>
  </w:style>
  <w:style w:type="character" w:styleId="FooterChar" w:customStyle="1">
    <w:name w:val="Footer Char"/>
    <w:basedOn w:val="DefaultParagraphFont"/>
    <w:link w:val="Footer"/>
    <w:uiPriority w:val="99"/>
    <w:rsid w:val="00F23574"/>
    <w:rPr>
      <w:rFonts w:ascii="Times New Roman" w:hAnsi="Times New Roman" w:eastAsiaTheme="minorEastAsia"/>
      <w:kern w:val="2"/>
      <w:sz w:val="24"/>
      <w:lang w:eastAsia="en-GB"/>
    </w:rPr>
  </w:style>
  <w:style w:type="character" w:styleId="Hyperlink">
    <w:name w:val="Hyperlink"/>
    <w:basedOn w:val="DefaultParagraphFont"/>
    <w:uiPriority w:val="99"/>
    <w:unhideWhenUsed w:val="1"/>
    <w:rsid w:val="00F23574"/>
    <w:rPr>
      <w:color w:val="0563c1" w:themeColor="hyperlink"/>
      <w:u w:val="single"/>
    </w:rPr>
  </w:style>
  <w:style w:type="paragraph" w:styleId="TOCHeading">
    <w:name w:val="TOC Heading"/>
    <w:basedOn w:val="Heading1"/>
    <w:next w:val="Normal"/>
    <w:uiPriority w:val="39"/>
    <w:unhideWhenUsed w:val="1"/>
    <w:qFormat w:val="1"/>
    <w:rsid w:val="00F23574"/>
    <w:pPr>
      <w:spacing w:line="259" w:lineRule="auto"/>
      <w:jc w:val="left"/>
      <w:outlineLvl w:val="9"/>
    </w:pPr>
    <w:rPr>
      <w:rFonts w:asciiTheme="majorHAnsi" w:hAnsiTheme="majorHAnsi"/>
      <w:b w:val="0"/>
      <w:color w:val="2e74b5" w:themeColor="accent1" w:themeShade="0000BF"/>
    </w:rPr>
  </w:style>
  <w:style w:type="paragraph" w:styleId="TOC1">
    <w:name w:val="toc 1"/>
    <w:basedOn w:val="Normal"/>
    <w:next w:val="Normal"/>
    <w:autoRedefine w:val="1"/>
    <w:uiPriority w:val="39"/>
    <w:unhideWhenUsed w:val="1"/>
    <w:rsid w:val="00F23574"/>
    <w:pPr>
      <w:spacing w:after="100"/>
    </w:pPr>
  </w:style>
  <w:style w:type="paragraph" w:styleId="TOC2">
    <w:name w:val="toc 2"/>
    <w:basedOn w:val="Normal"/>
    <w:next w:val="Normal"/>
    <w:autoRedefine w:val="1"/>
    <w:uiPriority w:val="39"/>
    <w:unhideWhenUsed w:val="1"/>
    <w:rsid w:val="00F23574"/>
    <w:pPr>
      <w:spacing w:after="100"/>
      <w:ind w:left="240"/>
    </w:pPr>
  </w:style>
  <w:style w:type="paragraph" w:styleId="ListParagraph">
    <w:name w:val="List Paragraph"/>
    <w:basedOn w:val="Normal"/>
    <w:uiPriority w:val="34"/>
    <w:qFormat w:val="1"/>
    <w:rsid w:val="004B0693"/>
    <w:pPr>
      <w:ind w:left="720"/>
      <w:contextualSpacing w:val="1"/>
    </w:pPr>
  </w:style>
  <w:style w:type="character" w:styleId="CommentReference">
    <w:name w:val="annotation reference"/>
    <w:basedOn w:val="DefaultParagraphFont"/>
    <w:uiPriority w:val="99"/>
    <w:semiHidden w:val="1"/>
    <w:unhideWhenUsed w:val="1"/>
    <w:rsid w:val="00360F85"/>
    <w:rPr>
      <w:sz w:val="16"/>
      <w:szCs w:val="16"/>
    </w:rPr>
  </w:style>
  <w:style w:type="paragraph" w:styleId="CommentText">
    <w:name w:val="annotation text"/>
    <w:basedOn w:val="Normal"/>
    <w:link w:val="CommentTextChar"/>
    <w:uiPriority w:val="99"/>
    <w:semiHidden w:val="1"/>
    <w:unhideWhenUsed w:val="1"/>
    <w:rsid w:val="00360F85"/>
    <w:pPr>
      <w:spacing w:line="240" w:lineRule="auto"/>
    </w:pPr>
    <w:rPr>
      <w:sz w:val="20"/>
      <w:szCs w:val="20"/>
    </w:rPr>
  </w:style>
  <w:style w:type="character" w:styleId="CommentTextChar" w:customStyle="1">
    <w:name w:val="Comment Text Char"/>
    <w:basedOn w:val="DefaultParagraphFont"/>
    <w:link w:val="CommentText"/>
    <w:uiPriority w:val="99"/>
    <w:semiHidden w:val="1"/>
    <w:rsid w:val="00360F85"/>
    <w:rPr>
      <w:rFonts w:ascii="Times New Roman" w:hAnsi="Times New Roman" w:eastAsiaTheme="minorEastAsia"/>
      <w:kern w:val="2"/>
      <w:sz w:val="20"/>
      <w:szCs w:val="20"/>
      <w:lang w:eastAsia="en-GB" w:val="en-GB"/>
    </w:rPr>
  </w:style>
  <w:style w:type="paragraph" w:styleId="CommentSubject">
    <w:name w:val="annotation subject"/>
    <w:basedOn w:val="CommentText"/>
    <w:next w:val="CommentText"/>
    <w:link w:val="CommentSubjectChar"/>
    <w:uiPriority w:val="99"/>
    <w:semiHidden w:val="1"/>
    <w:unhideWhenUsed w:val="1"/>
    <w:rsid w:val="00360F85"/>
    <w:rPr>
      <w:b w:val="1"/>
      <w:bCs w:val="1"/>
    </w:rPr>
  </w:style>
  <w:style w:type="character" w:styleId="CommentSubjectChar" w:customStyle="1">
    <w:name w:val="Comment Subject Char"/>
    <w:basedOn w:val="CommentTextChar"/>
    <w:link w:val="CommentSubject"/>
    <w:uiPriority w:val="99"/>
    <w:semiHidden w:val="1"/>
    <w:rsid w:val="00360F85"/>
    <w:rPr>
      <w:rFonts w:ascii="Times New Roman" w:hAnsi="Times New Roman" w:eastAsiaTheme="minorEastAsia"/>
      <w:b w:val="1"/>
      <w:bCs w:val="1"/>
      <w:kern w:val="2"/>
      <w:sz w:val="20"/>
      <w:szCs w:val="20"/>
      <w:lang w:eastAsia="en-GB" w:val="en-GB"/>
    </w:rPr>
  </w:style>
  <w:style w:type="paragraph" w:styleId="BalloonText">
    <w:name w:val="Balloon Text"/>
    <w:basedOn w:val="Normal"/>
    <w:link w:val="BalloonTextChar"/>
    <w:uiPriority w:val="99"/>
    <w:semiHidden w:val="1"/>
    <w:unhideWhenUsed w:val="1"/>
    <w:rsid w:val="00360F85"/>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60F85"/>
    <w:rPr>
      <w:rFonts w:ascii="Segoe UI" w:cs="Segoe UI" w:hAnsi="Segoe UI" w:eastAsiaTheme="minorEastAsia"/>
      <w:kern w:val="2"/>
      <w:sz w:val="18"/>
      <w:szCs w:val="18"/>
      <w:lang w:eastAsia="en-GB"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nZubFTtoRVWWy69FRWASUD+zyw==">CgMxLjAyCGguZ2pkZ3hzMgloLjMwajB6bGwyCWguMWZvYjl0ZTIJaC4zem55c2g3MgloLjJldDkycDA4AHIhMV94NGV5d2ZLb2w3MTFyR1k1N1V1UzM3OGotOUtuLVdR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2024-10-01T08:03:00Z</dcterms:created>
  <dc:creator>Windows User</dc:creator>
</cp:coreProperties>
</file>