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settings.xml" ContentType="application/vnd.openxmlformats-officedocument.wordprocessingml.setting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p>
      <w:pPr>
        <w:pBdr>
          <w:top w:val="none" w:sz="0" w:space="0" w:color="auto"/>
          <w:left w:val="none" w:sz="0" w:space="0" w:color="auto"/>
          <w:bottom w:val="none" w:sz="0" w:space="0" w:color="auto"/>
          <w:right w:val="none" w:sz="0" w:space="0" w:color="auto"/>
          <w:between w:val="none" w:sz="0" w:space="0" w:color="auto"/>
        </w:pBdr>
        <w:jc w:val="left"/>
        <w:rPr>
          <w:b/>
          <w:bCs/>
          <w:color w:val="000000"/>
          <w:sz w:val="44"/>
          <w:szCs w:val="44"/>
        </w:rPr>
      </w:pPr>
      <w:r>
        <w:rPr>
          <w:color w:val="000000"/>
        </w:rPr>
        <w:drawing>
          <wp:inline distT="0" distB="0" distL="0" distR="0">
            <wp:extent cx="1935479" cy="853440"/>
            <wp:effectExtent l="0" t="0" r="0" b="0"/>
            <wp:docPr id="1" name="图片 1"/>
            <wp:cNvGraphicFramePr>
              <a:graphicFrameLocks noChangeAspect="0"/>
            </wp:cNvGraphicFramePr>
            <a:graphic>
              <a:graphicData uri="http://schemas.openxmlformats.org/drawingml/2006/picture">
                <pic:pic>
                  <pic:nvPicPr>
                    <pic:cNvPr id="3" name="图片 3"/>
                    <pic:cNvPicPr/>
                  </pic:nvPicPr>
                  <pic:blipFill>
                    <a:blip r:embed="rId3"/>
                    <a:srcRect b="-22516" r="66219"/>
                    <a:stretch>
                      <a:fillRect/>
                    </a:stretch>
                  </pic:blipFill>
                  <pic:spPr>
                    <a:xfrm rot="0">
                      <a:off x="0" y="0"/>
                      <a:ext cx="1935479" cy="853440"/>
                    </a:xfrm>
                    <a:prstGeom prst="rect"/>
                    <a:noFill/>
                    <a:ln w="12700" cmpd="sng" cap="flat">
                      <a:noFill/>
                      <a:prstDash val="solid"/>
                      <a:round/>
                    </a:ln>
                  </pic:spPr>
                </pic:pic>
              </a:graphicData>
            </a:graphic>
          </wp:inline>
        </w:drawing>
      </w:r>
    </w:p>
    <w:p>
      <w:pPr>
        <w:pBdr>
          <w:top w:val="none" w:sz="0" w:space="0" w:color="auto"/>
          <w:left w:val="none" w:sz="0" w:space="0" w:color="auto"/>
          <w:bottom w:val="none" w:sz="0" w:space="0" w:color="auto"/>
          <w:right w:val="none" w:sz="0" w:space="0" w:color="auto"/>
          <w:between w:val="none" w:sz="0" w:space="0" w:color="auto"/>
        </w:pBdr>
        <w:jc w:val="center"/>
        <w:rPr>
          <w:b/>
          <w:bCs/>
          <w:color w:val="000000"/>
          <w:sz w:val="44"/>
          <w:szCs w:val="44"/>
        </w:rPr>
      </w:pPr>
    </w:p>
    <w:p>
      <w:pPr>
        <w:pBdr>
          <w:top w:val="none" w:sz="0" w:space="0" w:color="auto"/>
          <w:left w:val="none" w:sz="0" w:space="0" w:color="auto"/>
          <w:bottom w:val="none" w:sz="0" w:space="0" w:color="auto"/>
          <w:right w:val="none" w:sz="0" w:space="0" w:color="auto"/>
          <w:between w:val="none" w:sz="0" w:space="0" w:color="auto"/>
        </w:pBdr>
        <w:jc w:val="center"/>
        <w:rPr>
          <w:b/>
          <w:bCs/>
          <w:i/>
          <w:iCs/>
          <w:color w:val="000000"/>
          <w:sz w:val="44"/>
          <w:szCs w:val="44"/>
        </w:rPr>
      </w:pPr>
      <w:bookmarkStart w:id="0" w:name="_GoBack"/>
      <w:bookmarkEnd w:id="0"/>
      <w:r>
        <w:rPr>
          <w:b/>
          <w:bCs/>
          <w:i/>
          <w:iCs/>
          <w:color w:val="000000"/>
          <w:sz w:val="44"/>
          <w:szCs w:val="44"/>
        </w:rPr>
        <w:t>Student name: Dharmesh Lilabhai Khistariya      </w:t>
      </w:r>
    </w:p>
    <w:p>
      <w:pPr>
        <w:pBdr>
          <w:top w:val="none" w:sz="0" w:space="0" w:color="auto"/>
          <w:left w:val="none" w:sz="0" w:space="0" w:color="auto"/>
          <w:bottom w:val="none" w:sz="0" w:space="0" w:color="auto"/>
          <w:right w:val="none" w:sz="0" w:space="0" w:color="auto"/>
          <w:between w:val="none" w:sz="0" w:space="0" w:color="auto"/>
        </w:pBdr>
        <w:jc w:val="center"/>
        <w:rPr>
          <w:b/>
          <w:bCs/>
          <w:i/>
          <w:iCs/>
          <w:color w:val="000000"/>
          <w:sz w:val="44"/>
          <w:szCs w:val="44"/>
        </w:rPr>
      </w:pPr>
      <w:r>
        <w:rPr>
          <w:b/>
          <w:bCs/>
          <w:i/>
          <w:iCs/>
          <w:color w:val="000000"/>
          <w:sz w:val="44"/>
          <w:szCs w:val="44"/>
        </w:rPr>
        <w:t>Student ID number:2615465</w:t>
      </w:r>
    </w:p>
    <w:p>
      <w:pPr>
        <w:pBdr>
          <w:top w:val="none" w:sz="0" w:space="0" w:color="auto"/>
          <w:left w:val="none" w:sz="0" w:space="0" w:color="auto"/>
          <w:bottom w:val="none" w:sz="0" w:space="0" w:color="auto"/>
          <w:right w:val="none" w:sz="0" w:space="0" w:color="auto"/>
          <w:between w:val="none" w:sz="0" w:space="0" w:color="auto"/>
        </w:pBdr>
        <w:jc w:val="center"/>
        <w:rPr>
          <w:b/>
          <w:bCs/>
          <w:i/>
          <w:iCs/>
          <w:color w:val="000000"/>
          <w:sz w:val="44"/>
          <w:szCs w:val="44"/>
        </w:rPr>
      </w:pPr>
      <w:r>
        <w:rPr>
          <w:b/>
          <w:bCs/>
          <w:i/>
          <w:iCs/>
          <w:color w:val="000000"/>
          <w:sz w:val="44"/>
          <w:szCs w:val="44"/>
        </w:rPr>
        <w:t>Programme: Master of Business Administration</w:t>
      </w:r>
    </w:p>
    <w:p>
      <w:pPr>
        <w:pBdr>
          <w:top w:val="none" w:sz="0" w:space="0" w:color="auto"/>
          <w:left w:val="none" w:sz="0" w:space="0" w:color="auto"/>
          <w:bottom w:val="none" w:sz="0" w:space="0" w:color="auto"/>
          <w:right w:val="none" w:sz="0" w:space="0" w:color="auto"/>
          <w:between w:val="none" w:sz="0" w:space="0" w:color="auto"/>
        </w:pBdr>
        <w:jc w:val="center"/>
        <w:rPr>
          <w:b/>
          <w:bCs/>
          <w:i/>
          <w:iCs/>
          <w:color w:val="000000"/>
          <w:sz w:val="44"/>
          <w:szCs w:val="44"/>
        </w:rPr>
      </w:pPr>
      <w:r>
        <w:rPr>
          <w:b/>
          <w:bCs/>
          <w:i/>
          <w:iCs/>
          <w:color w:val="000000"/>
          <w:sz w:val="44"/>
          <w:szCs w:val="44"/>
        </w:rPr>
        <w:t>Module: Human Capital Management</w:t>
      </w:r>
    </w:p>
    <w:p>
      <w:pPr>
        <w:pBdr>
          <w:top w:val="none" w:sz="0" w:space="0" w:color="auto"/>
          <w:left w:val="none" w:sz="0" w:space="0" w:color="auto"/>
          <w:bottom w:val="none" w:sz="0" w:space="0" w:color="auto"/>
          <w:right w:val="none" w:sz="0" w:space="0" w:color="auto"/>
          <w:between w:val="none" w:sz="0" w:space="0" w:color="auto"/>
        </w:pBdr>
        <w:jc w:val="center"/>
        <w:rPr>
          <w:b/>
          <w:bCs/>
          <w:color w:val="000000"/>
          <w:sz w:val="28"/>
          <w:szCs w:val="28"/>
          <w:u w:val="single"/>
        </w:rPr>
      </w:pPr>
      <w:r>
        <w:rPr>
          <w:b/>
          <w:bCs/>
          <w:i/>
          <w:iCs/>
          <w:color w:val="000000"/>
          <w:sz w:val="44"/>
          <w:szCs w:val="44"/>
        </w:rPr>
        <w:t>Module code: LCMB7023</w:t>
      </w:r>
      <w:r>
        <w:br w:type="page"/>
      </w:r>
    </w:p>
    <w:p>
      <w:pPr>
        <w:keepNext/>
        <w:keepLines/>
        <w:pBdr>
          <w:top w:val="none" w:sz="0" w:space="0" w:color="auto"/>
          <w:left w:val="none" w:sz="0" w:space="0" w:color="auto"/>
          <w:bottom w:val="none" w:sz="0" w:space="0" w:color="auto"/>
          <w:right w:val="none" w:sz="0" w:space="0" w:color="auto"/>
          <w:between w:val="none" w:sz="0" w:space="0" w:color="auto"/>
        </w:pBdr>
        <w:spacing w:after="0" w:line="276" w:lineRule="auto"/>
        <w:jc w:val="center"/>
        <w:rPr>
          <w:b/>
          <w:bCs/>
          <w:color w:val="000000"/>
        </w:rPr>
      </w:pPr>
      <w:r>
        <w:rPr>
          <w:b/>
          <w:bCs/>
          <w:color w:val="000000"/>
        </w:rPr>
        <w:t>Table of Contents</w:t>
      </w:r>
    </w:p>
    <w:p>
      <w:pPr>
        <w:pStyle w:val="17"/>
        <w:tabs>
          <w:tab w:val="right" w:leader="dot" w:pos="9016"/>
        </w:tabs>
      </w:pPr>
      <w:r>
        <w:fldChar w:fldCharType="begin"/>
      </w:r>
      <w:r>
        <w:instrText xml:space="preserve"> TOC \h \u \z \t "Heading 1,1,Heading 2,2,Heading 3,3," </w:instrText>
      </w:r>
      <w:r>
        <w:fldChar w:fldCharType="separate"/>
      </w:r>
      <w:r>
        <w:fldChar w:fldCharType="begin"/>
      </w:r>
      <w:r>
        <w:instrText>Hyperlink \l "_Toc242715879"</w:instrText>
      </w:r>
      <w:r>
        <w:fldChar w:fldCharType="separate"/>
      </w:r>
      <w:r>
        <w:t>Task A: Designing Innovative Working Practices</w:t>
        <w:tab/>
      </w:r>
      <w:r>
        <w:fldChar w:fldCharType="begin"/>
      </w:r>
      <w:r>
        <w:instrText xml:space="preserve"> PAGEREF _Toc242715879 \h </w:instrText>
      </w:r>
      <w:r>
        <w:fldChar w:fldCharType="separate"/>
      </w:r>
      <w:r>
        <w:t>3</w:t>
      </w:r>
      <w:r>
        <w:fldChar w:fldCharType="end"/>
      </w:r>
      <w:r>
        <w:fldChar w:fldCharType="end"/>
      </w:r>
    </w:p>
    <w:p>
      <w:pPr>
        <w:pStyle w:val="18"/>
        <w:tabs>
          <w:tab w:val="right" w:leader="dot" w:pos="9016"/>
        </w:tabs>
      </w:pPr>
      <w:r>
        <w:fldChar w:fldCharType="begin"/>
      </w:r>
      <w:r>
        <w:instrText>Hyperlink \l "_Toc242715880"</w:instrText>
      </w:r>
      <w:r>
        <w:fldChar w:fldCharType="separate"/>
      </w:r>
      <w:r>
        <w:t>A.1 Traditional Work Design versus Contemporary Innovative Practices</w:t>
        <w:tab/>
      </w:r>
      <w:r>
        <w:fldChar w:fldCharType="begin"/>
      </w:r>
      <w:r>
        <w:instrText xml:space="preserve"> PAGEREF _Toc242715880 \h </w:instrText>
      </w:r>
      <w:r>
        <w:fldChar w:fldCharType="separate"/>
      </w:r>
      <w:r>
        <w:t>3</w:t>
      </w:r>
      <w:r>
        <w:fldChar w:fldCharType="end"/>
      </w:r>
      <w:r>
        <w:fldChar w:fldCharType="end"/>
      </w:r>
    </w:p>
    <w:p>
      <w:pPr>
        <w:pStyle w:val="19"/>
        <w:tabs>
          <w:tab w:val="right" w:leader="dot" w:pos="9016"/>
        </w:tabs>
      </w:pPr>
      <w:r>
        <w:fldChar w:fldCharType="begin"/>
      </w:r>
      <w:r>
        <w:instrText>Hyperlink \l "_Toc242715881"</w:instrText>
      </w:r>
      <w:r>
        <w:fldChar w:fldCharType="separate"/>
      </w:r>
      <w:r>
        <w:t>A.1.1 High-Performance Work Systems (HPWS)</w:t>
        <w:tab/>
      </w:r>
      <w:r>
        <w:fldChar w:fldCharType="begin"/>
      </w:r>
      <w:r>
        <w:instrText xml:space="preserve"> PAGEREF _Toc242715881 \h </w:instrText>
      </w:r>
      <w:r>
        <w:fldChar w:fldCharType="separate"/>
      </w:r>
      <w:r>
        <w:t>3</w:t>
      </w:r>
      <w:r>
        <w:fldChar w:fldCharType="end"/>
      </w:r>
      <w:r>
        <w:fldChar w:fldCharType="end"/>
      </w:r>
    </w:p>
    <w:p>
      <w:pPr>
        <w:pStyle w:val="19"/>
        <w:tabs>
          <w:tab w:val="right" w:leader="dot" w:pos="9016"/>
        </w:tabs>
      </w:pPr>
      <w:r>
        <w:fldChar w:fldCharType="begin"/>
      </w:r>
      <w:r>
        <w:instrText>Hyperlink \l "_Toc242715882"</w:instrText>
      </w:r>
      <w:r>
        <w:fldChar w:fldCharType="separate"/>
      </w:r>
      <w:r>
        <w:t>A.1.2 High-Involvement Work Systems (HIWS)</w:t>
        <w:tab/>
      </w:r>
      <w:r>
        <w:fldChar w:fldCharType="begin"/>
      </w:r>
      <w:r>
        <w:instrText xml:space="preserve"> PAGEREF _Toc242715882 \h </w:instrText>
      </w:r>
      <w:r>
        <w:fldChar w:fldCharType="separate"/>
      </w:r>
      <w:r>
        <w:t>3</w:t>
      </w:r>
      <w:r>
        <w:fldChar w:fldCharType="end"/>
      </w:r>
      <w:r>
        <w:fldChar w:fldCharType="end"/>
      </w:r>
    </w:p>
    <w:p>
      <w:pPr>
        <w:pStyle w:val="19"/>
        <w:tabs>
          <w:tab w:val="right" w:leader="dot" w:pos="9016"/>
        </w:tabs>
      </w:pPr>
      <w:r>
        <w:fldChar w:fldCharType="begin"/>
      </w:r>
      <w:r>
        <w:instrText>Hyperlink \l "_Toc242715883"</w:instrText>
      </w:r>
      <w:r>
        <w:fldChar w:fldCharType="separate"/>
      </w:r>
      <w:r>
        <w:t>A.1.3Agile Working</w:t>
        <w:tab/>
      </w:r>
      <w:r>
        <w:fldChar w:fldCharType="begin"/>
      </w:r>
      <w:r>
        <w:instrText xml:space="preserve"> PAGEREF _Toc242715883 \h </w:instrText>
      </w:r>
      <w:r>
        <w:fldChar w:fldCharType="separate"/>
      </w:r>
      <w:r>
        <w:t>4</w:t>
      </w:r>
      <w:r>
        <w:fldChar w:fldCharType="end"/>
      </w:r>
      <w:r>
        <w:fldChar w:fldCharType="end"/>
      </w:r>
    </w:p>
    <w:p>
      <w:pPr>
        <w:pStyle w:val="19"/>
        <w:tabs>
          <w:tab w:val="right" w:leader="dot" w:pos="9016"/>
        </w:tabs>
      </w:pPr>
      <w:r>
        <w:fldChar w:fldCharType="begin"/>
      </w:r>
      <w:r>
        <w:instrText>Hyperlink \l "_Toc242715884"</w:instrText>
      </w:r>
      <w:r>
        <w:fldChar w:fldCharType="separate"/>
      </w:r>
      <w:r>
        <w:t>A.1.4 Hybrid Working Models</w:t>
        <w:tab/>
      </w:r>
      <w:r>
        <w:fldChar w:fldCharType="begin"/>
      </w:r>
      <w:r>
        <w:instrText xml:space="preserve"> PAGEREF _Toc242715884 \h </w:instrText>
      </w:r>
      <w:r>
        <w:fldChar w:fldCharType="separate"/>
      </w:r>
      <w:r>
        <w:t>5</w:t>
      </w:r>
      <w:r>
        <w:fldChar w:fldCharType="end"/>
      </w:r>
      <w:r>
        <w:fldChar w:fldCharType="end"/>
      </w:r>
    </w:p>
    <w:p>
      <w:pPr>
        <w:pStyle w:val="18"/>
        <w:tabs>
          <w:tab w:val="right" w:leader="dot" w:pos="9016"/>
        </w:tabs>
      </w:pPr>
      <w:r>
        <w:fldChar w:fldCharType="begin"/>
      </w:r>
      <w:r>
        <w:instrText>Hyperlink \l "_Toc242715885"</w:instrText>
      </w:r>
      <w:r>
        <w:fldChar w:fldCharType="separate"/>
      </w:r>
      <w:r>
        <w:t>A.2 Recommended Integrated Working Model for NHSX</w:t>
        <w:tab/>
      </w:r>
      <w:r>
        <w:fldChar w:fldCharType="begin"/>
      </w:r>
      <w:r>
        <w:instrText xml:space="preserve"> PAGEREF _Toc242715885 \h </w:instrText>
      </w:r>
      <w:r>
        <w:fldChar w:fldCharType="separate"/>
      </w:r>
      <w:r>
        <w:t>5</w:t>
      </w:r>
      <w:r>
        <w:fldChar w:fldCharType="end"/>
      </w:r>
      <w:r>
        <w:fldChar w:fldCharType="end"/>
      </w:r>
    </w:p>
    <w:p>
      <w:pPr>
        <w:pStyle w:val="18"/>
        <w:tabs>
          <w:tab w:val="right" w:leader="dot" w:pos="9016"/>
        </w:tabs>
      </w:pPr>
      <w:r>
        <w:fldChar w:fldCharType="begin"/>
      </w:r>
      <w:r>
        <w:instrText>Hyperlink \l "_Toc242715886"</w:instrText>
      </w:r>
      <w:r>
        <w:fldChar w:fldCharType="separate"/>
      </w:r>
      <w:r>
        <w:t>A.3 Expected Organisational Performance Benefits</w:t>
        <w:tab/>
      </w:r>
      <w:r>
        <w:fldChar w:fldCharType="begin"/>
      </w:r>
      <w:r>
        <w:instrText xml:space="preserve"> PAGEREF _Toc242715886 \h </w:instrText>
      </w:r>
      <w:r>
        <w:fldChar w:fldCharType="separate"/>
      </w:r>
      <w:r>
        <w:t>8</w:t>
      </w:r>
      <w:r>
        <w:fldChar w:fldCharType="end"/>
      </w:r>
      <w:r>
        <w:fldChar w:fldCharType="end"/>
      </w:r>
    </w:p>
    <w:p>
      <w:pPr>
        <w:pStyle w:val="17"/>
        <w:tabs>
          <w:tab w:val="right" w:leader="dot" w:pos="9016"/>
        </w:tabs>
      </w:pPr>
      <w:r>
        <w:fldChar w:fldCharType="begin"/>
      </w:r>
      <w:r>
        <w:instrText>Hyperlink \l "_Toc242715887"</w:instrText>
      </w:r>
      <w:r>
        <w:fldChar w:fldCharType="separate"/>
      </w:r>
      <w:r>
        <w:t>Task B: Breeding an Environment Where Talent May Grow</w:t>
        <w:tab/>
      </w:r>
      <w:r>
        <w:fldChar w:fldCharType="begin"/>
      </w:r>
      <w:r>
        <w:instrText xml:space="preserve"> PAGEREF _Toc242715887 \h </w:instrText>
      </w:r>
      <w:r>
        <w:fldChar w:fldCharType="separate"/>
      </w:r>
      <w:r>
        <w:t>9</w:t>
      </w:r>
      <w:r>
        <w:fldChar w:fldCharType="end"/>
      </w:r>
      <w:r>
        <w:fldChar w:fldCharType="end"/>
      </w:r>
    </w:p>
    <w:p>
      <w:pPr>
        <w:pStyle w:val="18"/>
        <w:tabs>
          <w:tab w:val="right" w:leader="dot" w:pos="9016"/>
        </w:tabs>
      </w:pPr>
      <w:r>
        <w:fldChar w:fldCharType="begin"/>
      </w:r>
      <w:r>
        <w:instrText>Hyperlink \l "_Toc242715888"</w:instrText>
      </w:r>
      <w:r>
        <w:fldChar w:fldCharType="separate"/>
      </w:r>
      <w:r>
        <w:t>B.1 Designing an Environment Where Talent Flourishes</w:t>
        <w:tab/>
      </w:r>
      <w:r>
        <w:fldChar w:fldCharType="begin"/>
      </w:r>
      <w:r>
        <w:instrText xml:space="preserve"> PAGEREF _Toc242715888 \h </w:instrText>
      </w:r>
      <w:r>
        <w:fldChar w:fldCharType="separate"/>
      </w:r>
      <w:r>
        <w:t>9</w:t>
      </w:r>
      <w:r>
        <w:fldChar w:fldCharType="end"/>
      </w:r>
      <w:r>
        <w:fldChar w:fldCharType="end"/>
      </w:r>
    </w:p>
    <w:p>
      <w:pPr>
        <w:pStyle w:val="19"/>
        <w:tabs>
          <w:tab w:val="right" w:leader="dot" w:pos="9016"/>
        </w:tabs>
      </w:pPr>
      <w:r>
        <w:fldChar w:fldCharType="begin"/>
      </w:r>
      <w:r>
        <w:instrText>Hyperlink \l "_Toc242715889"</w:instrText>
      </w:r>
      <w:r>
        <w:fldChar w:fldCharType="separate"/>
      </w:r>
      <w:r>
        <w:t>B.1.1 Learning Organisation</w:t>
        <w:tab/>
      </w:r>
      <w:r>
        <w:fldChar w:fldCharType="begin"/>
      </w:r>
      <w:r>
        <w:instrText xml:space="preserve"> PAGEREF _Toc242715889 \h </w:instrText>
      </w:r>
      <w:r>
        <w:fldChar w:fldCharType="separate"/>
      </w:r>
      <w:r>
        <w:t>9</w:t>
      </w:r>
      <w:r>
        <w:fldChar w:fldCharType="end"/>
      </w:r>
      <w:r>
        <w:fldChar w:fldCharType="end"/>
      </w:r>
    </w:p>
    <w:p>
      <w:pPr>
        <w:pStyle w:val="19"/>
        <w:tabs>
          <w:tab w:val="right" w:leader="dot" w:pos="9016"/>
        </w:tabs>
      </w:pPr>
      <w:r>
        <w:fldChar w:fldCharType="begin"/>
      </w:r>
      <w:r>
        <w:instrText>Hyperlink \l "_Toc242715890"</w:instrText>
      </w:r>
      <w:r>
        <w:fldChar w:fldCharType="separate"/>
      </w:r>
      <w:r>
        <w:t>B.1.2 Growth Mind-set</w:t>
        <w:tab/>
      </w:r>
      <w:r>
        <w:fldChar w:fldCharType="begin"/>
      </w:r>
      <w:r>
        <w:instrText xml:space="preserve"> PAGEREF _Toc242715890 \h </w:instrText>
      </w:r>
      <w:r>
        <w:fldChar w:fldCharType="separate"/>
      </w:r>
      <w:r>
        <w:t>9</w:t>
      </w:r>
      <w:r>
        <w:fldChar w:fldCharType="end"/>
      </w:r>
      <w:r>
        <w:fldChar w:fldCharType="end"/>
      </w:r>
    </w:p>
    <w:p>
      <w:pPr>
        <w:pStyle w:val="19"/>
        <w:tabs>
          <w:tab w:val="right" w:leader="dot" w:pos="9016"/>
        </w:tabs>
      </w:pPr>
      <w:r>
        <w:fldChar w:fldCharType="begin"/>
      </w:r>
      <w:r>
        <w:instrText>Hyperlink \l "_Toc242715891"</w:instrText>
      </w:r>
      <w:r>
        <w:fldChar w:fldCharType="separate"/>
      </w:r>
      <w:r>
        <w:t>B.1.3 Psychological Safety</w:t>
        <w:tab/>
      </w:r>
      <w:r>
        <w:fldChar w:fldCharType="begin"/>
      </w:r>
      <w:r>
        <w:instrText xml:space="preserve"> PAGEREF _Toc242715891 \h </w:instrText>
      </w:r>
      <w:r>
        <w:fldChar w:fldCharType="separate"/>
      </w:r>
      <w:r>
        <w:t>9</w:t>
      </w:r>
      <w:r>
        <w:fldChar w:fldCharType="end"/>
      </w:r>
      <w:r>
        <w:fldChar w:fldCharType="end"/>
      </w:r>
    </w:p>
    <w:p>
      <w:pPr>
        <w:pStyle w:val="19"/>
        <w:tabs>
          <w:tab w:val="right" w:leader="dot" w:pos="9016"/>
        </w:tabs>
      </w:pPr>
      <w:r>
        <w:fldChar w:fldCharType="begin"/>
      </w:r>
      <w:r>
        <w:instrText>Hyperlink \l "_Toc242715892"</w:instrText>
      </w:r>
      <w:r>
        <w:fldChar w:fldCharType="separate"/>
      </w:r>
      <w:r>
        <w:t>B.1.4 Talent Management Frameworks</w:t>
        <w:tab/>
      </w:r>
      <w:r>
        <w:fldChar w:fldCharType="begin"/>
      </w:r>
      <w:r>
        <w:instrText xml:space="preserve"> PAGEREF _Toc242715892 \h </w:instrText>
      </w:r>
      <w:r>
        <w:fldChar w:fldCharType="separate"/>
      </w:r>
      <w:r>
        <w:t>10</w:t>
      </w:r>
      <w:r>
        <w:fldChar w:fldCharType="end"/>
      </w:r>
      <w:r>
        <w:fldChar w:fldCharType="end"/>
      </w:r>
    </w:p>
    <w:p>
      <w:pPr>
        <w:pStyle w:val="19"/>
        <w:tabs>
          <w:tab w:val="right" w:leader="dot" w:pos="9016"/>
        </w:tabs>
      </w:pPr>
      <w:r>
        <w:fldChar w:fldCharType="begin"/>
      </w:r>
      <w:r>
        <w:instrText>Hyperlink \l "_Toc242715893"</w:instrText>
      </w:r>
      <w:r>
        <w:fldChar w:fldCharType="separate"/>
      </w:r>
      <w:r>
        <w:t>B.1.5 Job Crafting</w:t>
        <w:tab/>
      </w:r>
      <w:r>
        <w:fldChar w:fldCharType="begin"/>
      </w:r>
      <w:r>
        <w:instrText xml:space="preserve"> PAGEREF _Toc242715893 \h </w:instrText>
      </w:r>
      <w:r>
        <w:fldChar w:fldCharType="separate"/>
      </w:r>
      <w:r>
        <w:t>10</w:t>
      </w:r>
      <w:r>
        <w:fldChar w:fldCharType="end"/>
      </w:r>
      <w:r>
        <w:fldChar w:fldCharType="end"/>
      </w:r>
    </w:p>
    <w:p>
      <w:pPr>
        <w:pStyle w:val="19"/>
        <w:tabs>
          <w:tab w:val="right" w:leader="dot" w:pos="9016"/>
        </w:tabs>
      </w:pPr>
      <w:r>
        <w:fldChar w:fldCharType="begin"/>
      </w:r>
      <w:r>
        <w:instrText>Hyperlink \l "_Toc242715894"</w:instrText>
      </w:r>
      <w:r>
        <w:fldChar w:fldCharType="separate"/>
      </w:r>
      <w:r>
        <w:t>B.1.6 Self-Determination Theory</w:t>
        <w:tab/>
      </w:r>
      <w:r>
        <w:fldChar w:fldCharType="begin"/>
      </w:r>
      <w:r>
        <w:instrText xml:space="preserve"> PAGEREF _Toc242715894 \h </w:instrText>
      </w:r>
      <w:r>
        <w:fldChar w:fldCharType="separate"/>
      </w:r>
      <w:r>
        <w:t>11</w:t>
      </w:r>
      <w:r>
        <w:fldChar w:fldCharType="end"/>
      </w:r>
      <w:r>
        <w:fldChar w:fldCharType="end"/>
      </w:r>
    </w:p>
    <w:p>
      <w:pPr>
        <w:pStyle w:val="19"/>
        <w:tabs>
          <w:tab w:val="right" w:leader="dot" w:pos="9016"/>
        </w:tabs>
      </w:pPr>
      <w:r>
        <w:fldChar w:fldCharType="begin"/>
      </w:r>
      <w:r>
        <w:instrText>Hyperlink \l "_Toc242715895"</w:instrText>
      </w:r>
      <w:r>
        <w:fldChar w:fldCharType="separate"/>
      </w:r>
      <w:r>
        <w:t>B.1.7 Employee Experience (EX)</w:t>
        <w:tab/>
      </w:r>
      <w:r>
        <w:fldChar w:fldCharType="begin"/>
      </w:r>
      <w:r>
        <w:instrText xml:space="preserve"> PAGEREF _Toc242715895 \h </w:instrText>
      </w:r>
      <w:r>
        <w:fldChar w:fldCharType="separate"/>
      </w:r>
      <w:r>
        <w:t>11</w:t>
      </w:r>
      <w:r>
        <w:fldChar w:fldCharType="end"/>
      </w:r>
      <w:r>
        <w:fldChar w:fldCharType="end"/>
      </w:r>
    </w:p>
    <w:p>
      <w:pPr>
        <w:pStyle w:val="18"/>
        <w:tabs>
          <w:tab w:val="right" w:leader="dot" w:pos="9016"/>
        </w:tabs>
      </w:pPr>
      <w:r>
        <w:fldChar w:fldCharType="begin"/>
      </w:r>
      <w:r>
        <w:instrText>Hyperlink \l "_Toc242715896"</w:instrText>
      </w:r>
      <w:r>
        <w:fldChar w:fldCharType="separate"/>
      </w:r>
      <w:r>
        <w:t>B.2 Comprehensive Talent Growth Strategy for NHSX</w:t>
        <w:tab/>
      </w:r>
      <w:r>
        <w:fldChar w:fldCharType="begin"/>
      </w:r>
      <w:r>
        <w:instrText xml:space="preserve"> PAGEREF _Toc242715896 \h </w:instrText>
      </w:r>
      <w:r>
        <w:fldChar w:fldCharType="separate"/>
      </w:r>
      <w:r>
        <w:t>12</w:t>
      </w:r>
      <w:r>
        <w:fldChar w:fldCharType="end"/>
      </w:r>
      <w:r>
        <w:fldChar w:fldCharType="end"/>
      </w:r>
    </w:p>
    <w:p>
      <w:pPr>
        <w:pStyle w:val="17"/>
        <w:tabs>
          <w:tab w:val="right" w:leader="dot" w:pos="9016"/>
        </w:tabs>
      </w:pPr>
      <w:r>
        <w:fldChar w:fldCharType="begin"/>
      </w:r>
      <w:r>
        <w:instrText>Hyperlink \l "_Toc242715897"</w:instrText>
      </w:r>
      <w:r>
        <w:fldChar w:fldCharType="separate"/>
      </w:r>
      <w:r>
        <w:t>TASK C: Reflective Report</w:t>
        <w:tab/>
      </w:r>
      <w:r>
        <w:fldChar w:fldCharType="begin"/>
      </w:r>
      <w:r>
        <w:instrText xml:space="preserve"> PAGEREF _Toc242715897 \h </w:instrText>
      </w:r>
      <w:r>
        <w:fldChar w:fldCharType="separate"/>
      </w:r>
      <w:r>
        <w:t>14</w:t>
      </w:r>
      <w:r>
        <w:fldChar w:fldCharType="end"/>
      </w:r>
      <w:r>
        <w:fldChar w:fldCharType="end"/>
      </w:r>
    </w:p>
    <w:p>
      <w:pPr>
        <w:pStyle w:val="17"/>
        <w:tabs>
          <w:tab w:val="right" w:leader="dot" w:pos="9016"/>
        </w:tabs>
      </w:pPr>
      <w:r>
        <w:fldChar w:fldCharType="begin"/>
      </w:r>
      <w:r>
        <w:instrText>Hyperlink \l "_Toc242715898"</w:instrText>
      </w:r>
      <w:r>
        <w:fldChar w:fldCharType="separate"/>
      </w:r>
      <w:r>
        <w:t>Introduction</w:t>
        <w:tab/>
      </w:r>
      <w:r>
        <w:fldChar w:fldCharType="begin"/>
      </w:r>
      <w:r>
        <w:instrText xml:space="preserve"> PAGEREF _Toc242715898 \h </w:instrText>
      </w:r>
      <w:r>
        <w:fldChar w:fldCharType="separate"/>
      </w:r>
      <w:r>
        <w:t>14</w:t>
      </w:r>
      <w:r>
        <w:fldChar w:fldCharType="end"/>
      </w:r>
      <w:r>
        <w:fldChar w:fldCharType="end"/>
      </w:r>
    </w:p>
    <w:p>
      <w:pPr>
        <w:pStyle w:val="18"/>
        <w:tabs>
          <w:tab w:val="right" w:leader="dot" w:pos="9016"/>
        </w:tabs>
      </w:pPr>
      <w:r>
        <w:fldChar w:fldCharType="begin"/>
      </w:r>
      <w:r>
        <w:instrText>Hyperlink \l "_Toc242715899"</w:instrText>
      </w:r>
      <w:r>
        <w:fldChar w:fldCharType="separate"/>
      </w:r>
      <w:r>
        <w:t>C.1 AI as a Strategic Tool:</w:t>
        <w:tab/>
      </w:r>
      <w:r>
        <w:fldChar w:fldCharType="begin"/>
      </w:r>
      <w:r>
        <w:instrText xml:space="preserve"> PAGEREF _Toc242715899 \h </w:instrText>
      </w:r>
      <w:r>
        <w:fldChar w:fldCharType="separate"/>
      </w:r>
      <w:r>
        <w:t>14</w:t>
      </w:r>
      <w:r>
        <w:fldChar w:fldCharType="end"/>
      </w:r>
      <w:r>
        <w:fldChar w:fldCharType="end"/>
      </w:r>
    </w:p>
    <w:p>
      <w:pPr>
        <w:pStyle w:val="18"/>
        <w:tabs>
          <w:tab w:val="right" w:leader="dot" w:pos="9016"/>
        </w:tabs>
      </w:pPr>
      <w:r>
        <w:fldChar w:fldCharType="begin"/>
      </w:r>
      <w:r>
        <w:instrText>Hyperlink \l "_Toc242715900"</w:instrText>
      </w:r>
      <w:r>
        <w:fldChar w:fldCharType="separate"/>
      </w:r>
      <w:r>
        <w:t>C.2 Reflective Analysis:</w:t>
        <w:tab/>
      </w:r>
      <w:r>
        <w:fldChar w:fldCharType="begin"/>
      </w:r>
      <w:r>
        <w:instrText xml:space="preserve"> PAGEREF _Toc242715900 \h </w:instrText>
      </w:r>
      <w:r>
        <w:fldChar w:fldCharType="separate"/>
      </w:r>
      <w:r>
        <w:t>14</w:t>
      </w:r>
      <w:r>
        <w:fldChar w:fldCharType="end"/>
      </w:r>
      <w:r>
        <w:fldChar w:fldCharType="end"/>
      </w:r>
    </w:p>
    <w:p>
      <w:pPr>
        <w:pStyle w:val="18"/>
        <w:tabs>
          <w:tab w:val="right" w:leader="dot" w:pos="9016"/>
        </w:tabs>
      </w:pPr>
      <w:r>
        <w:fldChar w:fldCharType="begin"/>
      </w:r>
      <w:r>
        <w:instrText>Hyperlink \l "_Toc242715901"</w:instrText>
      </w:r>
      <w:r>
        <w:fldChar w:fldCharType="separate"/>
      </w:r>
      <w:r>
        <w:t>C.3 Personal Action Plan:</w:t>
        <w:tab/>
      </w:r>
      <w:r>
        <w:fldChar w:fldCharType="begin"/>
      </w:r>
      <w:r>
        <w:instrText xml:space="preserve"> PAGEREF _Toc242715901 \h </w:instrText>
      </w:r>
      <w:r>
        <w:fldChar w:fldCharType="separate"/>
      </w:r>
      <w:r>
        <w:t>15</w:t>
      </w:r>
      <w:r>
        <w:fldChar w:fldCharType="end"/>
      </w:r>
      <w:r>
        <w:fldChar w:fldCharType="end"/>
      </w:r>
    </w:p>
    <w:p>
      <w:pPr>
        <w:pStyle w:val="17"/>
        <w:tabs>
          <w:tab w:val="right" w:leader="dot" w:pos="9016"/>
        </w:tabs>
      </w:pPr>
      <w:r>
        <w:fldChar w:fldCharType="begin"/>
      </w:r>
      <w:r>
        <w:instrText>Hyperlink \l "_Toc242715902"</w:instrText>
      </w:r>
      <w:r>
        <w:fldChar w:fldCharType="separate"/>
      </w:r>
      <w:r>
        <w:t>Conclusion</w:t>
        <w:tab/>
      </w:r>
      <w:r>
        <w:fldChar w:fldCharType="begin"/>
      </w:r>
      <w:r>
        <w:instrText xml:space="preserve"> PAGEREF _Toc242715902 \h </w:instrText>
      </w:r>
      <w:r>
        <w:fldChar w:fldCharType="separate"/>
      </w:r>
      <w:r>
        <w:t>15</w:t>
      </w:r>
      <w:r>
        <w:fldChar w:fldCharType="end"/>
      </w:r>
      <w:r>
        <w:fldChar w:fldCharType="end"/>
      </w:r>
    </w:p>
    <w:p>
      <w:pPr>
        <w:pStyle w:val="17"/>
        <w:tabs>
          <w:tab w:val="right" w:leader="dot" w:pos="9016"/>
        </w:tabs>
      </w:pPr>
      <w:r>
        <w:fldChar w:fldCharType="begin"/>
      </w:r>
      <w:r>
        <w:instrText>Hyperlink \l "_Toc242715903"</w:instrText>
      </w:r>
      <w:r>
        <w:fldChar w:fldCharType="separate"/>
      </w:r>
      <w:r>
        <w:t>Reference list</w:t>
        <w:tab/>
      </w:r>
      <w:r>
        <w:fldChar w:fldCharType="begin"/>
      </w:r>
      <w:r>
        <w:instrText xml:space="preserve"> PAGEREF _Toc242715903 \h </w:instrText>
      </w:r>
      <w:r>
        <w:fldChar w:fldCharType="separate"/>
      </w:r>
      <w:r>
        <w:t>16</w:t>
      </w:r>
      <w:r>
        <w:fldChar w:fldCharType="end"/>
      </w:r>
      <w:r>
        <w:fldChar w:fldCharType="end"/>
      </w:r>
    </w:p>
    <w:p>
      <w:pPr>
        <w:pBdr>
          <w:top w:val="none" w:sz="0" w:space="0" w:color="auto"/>
          <w:left w:val="none" w:sz="0" w:space="0" w:color="auto"/>
          <w:bottom w:val="none" w:sz="0" w:space="0" w:color="auto"/>
          <w:right w:val="none" w:sz="0" w:space="0" w:color="auto"/>
          <w:between w:val="none" w:sz="0" w:space="0" w:color="auto"/>
        </w:pBdr>
        <w:rPr>
          <w:color w:val="000000"/>
        </w:rPr>
      </w:pPr>
      <w:r>
        <w:fldChar w:fldCharType="end"/>
      </w:r>
    </w:p>
    <w:p>
      <w:pPr>
        <w:pStyle w:val="1"/>
      </w:pPr>
      <w:bookmarkStart w:id="1" w:name="_Toc242715879"/>
      <w:r>
        <w:t>Task A: Designing Innovative Working Practices</w:t>
      </w:r>
      <w:bookmarkEnd w:id="1"/>
    </w:p>
    <w:p>
      <w:pPr>
        <w:pStyle w:val="2"/>
      </w:pPr>
      <w:bookmarkStart w:id="2" w:name="_Toc242715880"/>
      <w:r>
        <w:t>A.1 Traditional Work Design versus Contemporary Innovative Practices</w:t>
      </w:r>
      <w:bookmarkEnd w:id="2"/>
    </w:p>
    <w:p>
      <w:pPr>
        <w:pBdr>
          <w:top w:val="none" w:sz="0" w:space="0" w:color="auto"/>
          <w:left w:val="none" w:sz="0" w:space="0" w:color="auto"/>
          <w:bottom w:val="none" w:sz="0" w:space="0" w:color="auto"/>
          <w:right w:val="none" w:sz="0" w:space="0" w:color="auto"/>
          <w:between w:val="none" w:sz="0" w:space="0" w:color="auto"/>
        </w:pBdr>
        <w:rPr>
          <w:color w:val="000000"/>
        </w:rPr>
      </w:pPr>
      <w:r>
        <w:rPr>
          <w:color w:val="000000"/>
        </w:rPr>
        <w:t>Traditional work design is all about hierarchy, managerial control, standardisation, and formal authority (Trudy, 2021).  This can ensure accountability but excessive hierarchy can result in limited experiments, bottlenecks, and silos.  This directly highlights current problem of NexSpace health systems (NHSX) that is traditional hierarchical working significantly slowed down decision making and innovation. In order to ensure rapid innovation the organisation needs to have employees with specialist knowledge to contribute directly to decisions.</w:t>
      </w:r>
    </w:p>
    <w:p>
      <w:pPr>
        <w:pBdr>
          <w:top w:val="none" w:sz="0" w:space="0" w:color="auto"/>
          <w:left w:val="none" w:sz="0" w:space="0" w:color="auto"/>
          <w:bottom w:val="none" w:sz="0" w:space="0" w:color="auto"/>
          <w:right w:val="none" w:sz="0" w:space="0" w:color="auto"/>
          <w:between w:val="none" w:sz="0" w:space="0" w:color="auto"/>
        </w:pBdr>
        <w:rPr>
          <w:color w:val="000000"/>
        </w:rPr>
      </w:pPr>
      <w:r>
        <w:rPr>
          <w:color w:val="000000"/>
        </w:rPr>
        <w:t>Contemporary work design on the other hand focuses on decentralisation, employee engagement, team-based work, adaptability, and increased innovation and creativity (AIHR, 2026).  Therefore it is crucial for NHSX to shift from traditional work design model to contemporary practices by distributing responsibility and encouraging collaboration for rapid innovation. The following theories can offer a structure to redesign work to mitigate workforce challenges.</w:t>
      </w:r>
    </w:p>
    <w:p>
      <w:pPr>
        <w:pStyle w:val="3"/>
      </w:pPr>
      <w:bookmarkStart w:id="3" w:name="_Toc242715881"/>
      <w:r>
        <w:t>A.1.1 High-Performance Work Systems (HPWS)</w:t>
      </w:r>
      <w:bookmarkEnd w:id="3"/>
    </w:p>
    <w:p>
      <w:pPr>
        <w:pBdr>
          <w:top w:val="none" w:sz="0" w:space="0" w:color="auto"/>
          <w:left w:val="none" w:sz="0" w:space="0" w:color="auto"/>
          <w:bottom w:val="none" w:sz="0" w:space="0" w:color="auto"/>
          <w:right w:val="none" w:sz="0" w:space="0" w:color="auto"/>
          <w:between w:val="none" w:sz="0" w:space="0" w:color="auto"/>
        </w:pBdr>
        <w:rPr>
          <w:color w:val="000000"/>
        </w:rPr>
      </w:pPr>
      <w:r>
        <w:rPr>
          <w:color w:val="000000"/>
        </w:rPr>
        <w:t>HR practices can be integrated by high performance work systems in order to improve employee ability, opportunity to contribute, and motivation (Alqudah et al., 2026). HPWS can significantly enhance innovation performance with the help of organisational learning. Moreover, relationships between HPWS, organisational performance, and employee innovation are significant. It is important for NHSX to align recruitment, performance management, work design, and development with innovation. However, excessive demands for performance can increase workload pressure on the employees, deteriorating performance (Andriani and Disman, 2023). Therefore, NHSX balance high expectations with manageable workloads for efficiency and enhanced performance.</w:t>
      </w:r>
    </w:p>
    <w:p>
      <w:pPr>
        <w:pStyle w:val="3"/>
      </w:pPr>
      <w:bookmarkStart w:id="4" w:name="_Toc242715882"/>
      <w:r>
        <w:t>A.1.2 High-Involvement Work Systems (HIWS)</w:t>
      </w:r>
      <w:bookmarkEnd w:id="4"/>
    </w:p>
    <w:p>
      <w:pPr>
        <w:pBdr>
          <w:top w:val="none" w:sz="0" w:space="0" w:color="auto"/>
          <w:left w:val="none" w:sz="0" w:space="0" w:color="auto"/>
          <w:bottom w:val="none" w:sz="0" w:space="0" w:color="auto"/>
          <w:right w:val="none" w:sz="0" w:space="0" w:color="auto"/>
          <w:between w:val="none" w:sz="0" w:space="0" w:color="auto"/>
        </w:pBdr>
        <w:rPr>
          <w:color w:val="000000"/>
        </w:rPr>
      </w:pPr>
      <w:r>
        <w:rPr>
          <w:color w:val="000000"/>
        </w:rPr>
        <w:t>High involvement work system focuses on teamwork, information sharing, involvement in decision making, and participation (Nguyen et al., 2024). This can significantly minimise the issues regarding limited creativity within NHSX by providing greater impact over work. There are significant differences between high involvement approaches from high performance work systems which indicate that increasing involvement could not be considered as high performance. Therefore, NHSX needs to develop cross functional teams to ensure that technical, clinical, and data and product specialists can engage in decision making process.</w:t>
      </w:r>
    </w:p>
    <w:p>
      <w:pPr>
        <w:pStyle w:val="3"/>
      </w:pPr>
      <w:bookmarkStart w:id="5" w:name="_Toc242715883"/>
      <w:r>
        <w:t>A.1.3Agile Working</w:t>
      </w:r>
      <w:bookmarkEnd w:id="5"/>
    </w:p>
    <w:p>
      <w:pPr>
        <w:pBdr>
          <w:top w:val="none" w:sz="0" w:space="0" w:color="auto"/>
          <w:left w:val="none" w:sz="0" w:space="0" w:color="auto"/>
          <w:bottom w:val="none" w:sz="0" w:space="0" w:color="auto"/>
          <w:right w:val="none" w:sz="0" w:space="0" w:color="auto"/>
          <w:between w:val="none" w:sz="0" w:space="0" w:color="auto"/>
        </w:pBdr>
        <w:rPr>
          <w:color w:val="000000"/>
        </w:rPr>
      </w:pPr>
      <w:r>
        <w:rPr>
          <w:color w:val="000000"/>
        </w:rPr>
        <w:t xml:space="preserve">Responsiveness can be increased by agile working through experimentation, cross functional teams, short development cycles, and rapid feedback (Talentguard, 2026). This directly aligns with AI enabled platforms of NHSX because through this platform specialists can evaluate solutions quickly like agile approach. However, it is crucial to ensure decision rights, workload controls, and define priorities in order to prevent fragmented activity as well as fatigue. According to report by World Economic Forum (2025), core skills of 39% of workers are expected to change by 2030. </w:t>
      </w:r>
    </w:p>
    <w:p>
      <w:pPr>
        <w:pBdr>
          <w:top w:val="none" w:sz="0" w:space="0" w:color="auto"/>
          <w:left w:val="none" w:sz="0" w:space="0" w:color="auto"/>
          <w:bottom w:val="none" w:sz="0" w:space="0" w:color="auto"/>
          <w:right w:val="none" w:sz="0" w:space="0" w:color="auto"/>
          <w:between w:val="none" w:sz="0" w:space="0" w:color="auto"/>
        </w:pBdr>
        <w:jc w:val="center"/>
        <w:rPr>
          <w:color w:val="000000"/>
        </w:rPr>
      </w:pPr>
      <w:r>
        <w:rPr>
          <w:color w:val="000000"/>
        </w:rPr>
        <w:drawing>
          <wp:inline distT="0" distB="0" distL="0" distR="0">
            <wp:extent cx="5866307" cy="4346087"/>
            <wp:effectExtent l="0" t="0" r="0" b="0"/>
            <wp:docPr id="4" name="图片 4"/>
            <wp:cNvGraphicFramePr>
              <a:graphicFrameLocks noChangeAspect="0"/>
            </wp:cNvGraphicFramePr>
            <a:graphic>
              <a:graphicData uri="http://schemas.openxmlformats.org/drawingml/2006/picture">
                <pic:pic>
                  <pic:nvPicPr>
                    <pic:cNvPr id="6" name="图片 6"/>
                    <pic:cNvPicPr/>
                  </pic:nvPicPr>
                  <pic:blipFill>
                    <a:blip r:embed="rId4"/>
                    <a:stretch>
                      <a:fillRect/>
                    </a:stretch>
                  </pic:blipFill>
                  <pic:spPr>
                    <a:xfrm rot="0">
                      <a:off x="0" y="0"/>
                      <a:ext cx="5866307" cy="4346087"/>
                    </a:xfrm>
                    <a:prstGeom prst="rect"/>
                    <a:noFill/>
                    <a:ln w="38100" cmpd="sng" cap="flat">
                      <a:solidFill>
                        <a:srgbClr val="000000"/>
                      </a:solidFill>
                      <a:prstDash val="solid"/>
                      <a:round/>
                    </a:ln>
                  </pic:spPr>
                </pic:pic>
              </a:graphicData>
            </a:graphic>
          </wp:inline>
        </w:drawing>
      </w:r>
    </w:p>
    <w:p>
      <w:pPr>
        <w:pBdr>
          <w:top w:val="none" w:sz="0" w:space="0" w:color="auto"/>
          <w:left w:val="none" w:sz="0" w:space="0" w:color="auto"/>
          <w:bottom w:val="none" w:sz="0" w:space="0" w:color="auto"/>
          <w:right w:val="none" w:sz="0" w:space="0" w:color="auto"/>
          <w:between w:val="none" w:sz="0" w:space="0" w:color="auto"/>
        </w:pBdr>
        <w:jc w:val="center"/>
        <w:rPr>
          <w:b/>
          <w:bCs/>
          <w:color w:val="000000"/>
        </w:rPr>
      </w:pPr>
      <w:r>
        <w:rPr>
          <w:b/>
          <w:bCs/>
          <w:color w:val="000000"/>
        </w:rPr>
        <w:t>Figure 1: Disruptions to Skills</w:t>
      </w:r>
    </w:p>
    <w:p>
      <w:pPr>
        <w:pBdr>
          <w:top w:val="none" w:sz="0" w:space="0" w:color="auto"/>
          <w:left w:val="none" w:sz="0" w:space="0" w:color="auto"/>
          <w:bottom w:val="none" w:sz="0" w:space="0" w:color="auto"/>
          <w:right w:val="none" w:sz="0" w:space="0" w:color="auto"/>
          <w:between w:val="none" w:sz="0" w:space="0" w:color="auto"/>
        </w:pBdr>
        <w:jc w:val="center"/>
        <w:rPr>
          <w:color w:val="000000"/>
        </w:rPr>
      </w:pPr>
      <w:r>
        <w:rPr>
          <w:color w:val="000000"/>
        </w:rPr>
        <w:t>(Source: World Economic Forum, 2025)</w:t>
      </w:r>
    </w:p>
    <w:p>
      <w:pPr>
        <w:pBdr>
          <w:top w:val="none" w:sz="0" w:space="0" w:color="auto"/>
          <w:left w:val="none" w:sz="0" w:space="0" w:color="auto"/>
          <w:bottom w:val="none" w:sz="0" w:space="0" w:color="auto"/>
          <w:right w:val="none" w:sz="0" w:space="0" w:color="auto"/>
          <w:between w:val="none" w:sz="0" w:space="0" w:color="auto"/>
        </w:pBdr>
        <w:rPr>
          <w:color w:val="000000"/>
        </w:rPr>
      </w:pPr>
      <w:r>
        <w:rPr>
          <w:color w:val="000000"/>
        </w:rPr>
        <w:t>With the help of agile teams NHSX can develop capabilities through various types of projects.</w:t>
      </w:r>
    </w:p>
    <w:p>
      <w:pPr>
        <w:pStyle w:val="3"/>
      </w:pPr>
      <w:bookmarkStart w:id="6" w:name="_Toc242715884"/>
      <w:r>
        <w:t>A.1.4 Hybrid Working Models</w:t>
      </w:r>
      <w:bookmarkEnd w:id="6"/>
    </w:p>
    <w:p>
      <w:pPr>
        <w:pBdr>
          <w:top w:val="none" w:sz="0" w:space="0" w:color="auto"/>
          <w:left w:val="none" w:sz="0" w:space="0" w:color="auto"/>
          <w:bottom w:val="none" w:sz="0" w:space="0" w:color="auto"/>
          <w:right w:val="none" w:sz="0" w:space="0" w:color="auto"/>
          <w:between w:val="none" w:sz="0" w:space="0" w:color="auto"/>
        </w:pBdr>
        <w:rPr>
          <w:color w:val="000000"/>
        </w:rPr>
      </w:pPr>
      <w:r>
        <w:rPr>
          <w:color w:val="000000"/>
        </w:rPr>
        <w:t xml:space="preserve">With the help of hybrid working models NHSX can enhance collaboration and also improve flexibility. According to a study, 1,600 Trip.com employees reported that working from home two days per week did not reduce their performance or promotion rates (Shaik, 2025). According to another data, 52% of US employees work in remote capable jobs involved in hybrid work (Gallup, 2026). </w:t>
      </w:r>
    </w:p>
    <w:p>
      <w:pPr>
        <w:pBdr>
          <w:top w:val="none" w:sz="0" w:space="0" w:color="auto"/>
          <w:left w:val="none" w:sz="0" w:space="0" w:color="auto"/>
          <w:bottom w:val="none" w:sz="0" w:space="0" w:color="auto"/>
          <w:right w:val="none" w:sz="0" w:space="0" w:color="auto"/>
          <w:between w:val="none" w:sz="0" w:space="0" w:color="auto"/>
        </w:pBdr>
        <w:jc w:val="center"/>
        <w:rPr>
          <w:color w:val="000000"/>
        </w:rPr>
      </w:pPr>
      <w:r>
        <w:rPr>
          <w:color w:val="000000"/>
        </w:rPr>
        <w:drawing>
          <wp:inline distT="0" distB="0" distL="0" distR="0">
            <wp:extent cx="3057407" cy="4235717"/>
            <wp:effectExtent l="0" t="0" r="0" b="0"/>
            <wp:docPr id="7" name="图片 7"/>
            <wp:cNvGraphicFramePr>
              <a:graphicFrameLocks noChangeAspect="0"/>
            </wp:cNvGraphicFramePr>
            <a:graphic>
              <a:graphicData uri="http://schemas.openxmlformats.org/drawingml/2006/picture">
                <pic:pic>
                  <pic:nvPicPr>
                    <pic:cNvPr id="9" name="图片 9"/>
                    <pic:cNvPicPr/>
                  </pic:nvPicPr>
                  <pic:blipFill>
                    <a:blip r:embed="rId5"/>
                    <a:stretch>
                      <a:fillRect/>
                    </a:stretch>
                  </pic:blipFill>
                  <pic:spPr>
                    <a:xfrm rot="0">
                      <a:off x="0" y="0"/>
                      <a:ext cx="3057407" cy="4235717"/>
                    </a:xfrm>
                    <a:prstGeom prst="rect"/>
                    <a:noFill/>
                    <a:ln w="38100" cmpd="sng" cap="flat">
                      <a:solidFill>
                        <a:srgbClr val="000000"/>
                      </a:solidFill>
                      <a:prstDash val="solid"/>
                      <a:round/>
                    </a:ln>
                  </pic:spPr>
                </pic:pic>
              </a:graphicData>
            </a:graphic>
          </wp:inline>
        </w:drawing>
      </w:r>
    </w:p>
    <w:p>
      <w:pPr>
        <w:pBdr>
          <w:top w:val="none" w:sz="0" w:space="0" w:color="auto"/>
          <w:left w:val="none" w:sz="0" w:space="0" w:color="auto"/>
          <w:bottom w:val="none" w:sz="0" w:space="0" w:color="auto"/>
          <w:right w:val="none" w:sz="0" w:space="0" w:color="auto"/>
          <w:between w:val="none" w:sz="0" w:space="0" w:color="auto"/>
        </w:pBdr>
        <w:jc w:val="center"/>
        <w:rPr>
          <w:b/>
          <w:bCs/>
          <w:color w:val="000000"/>
        </w:rPr>
      </w:pPr>
      <w:r>
        <w:rPr>
          <w:b/>
          <w:bCs/>
          <w:color w:val="000000"/>
        </w:rPr>
        <w:t>Figure 2: About Hybrid Workforce</w:t>
      </w:r>
    </w:p>
    <w:p>
      <w:pPr>
        <w:pBdr>
          <w:top w:val="none" w:sz="0" w:space="0" w:color="auto"/>
          <w:left w:val="none" w:sz="0" w:space="0" w:color="auto"/>
          <w:bottom w:val="none" w:sz="0" w:space="0" w:color="auto"/>
          <w:right w:val="none" w:sz="0" w:space="0" w:color="auto"/>
          <w:between w:val="none" w:sz="0" w:space="0" w:color="auto"/>
        </w:pBdr>
        <w:jc w:val="center"/>
        <w:rPr>
          <w:color w:val="000000"/>
        </w:rPr>
      </w:pPr>
      <w:r>
        <w:rPr>
          <w:color w:val="000000"/>
        </w:rPr>
        <w:t>(Source: Gallup, 2026)</w:t>
      </w:r>
    </w:p>
    <w:p>
      <w:pPr>
        <w:pBdr>
          <w:top w:val="none" w:sz="0" w:space="0" w:color="auto"/>
          <w:left w:val="none" w:sz="0" w:space="0" w:color="auto"/>
          <w:bottom w:val="none" w:sz="0" w:space="0" w:color="auto"/>
          <w:right w:val="none" w:sz="0" w:space="0" w:color="auto"/>
          <w:between w:val="none" w:sz="0" w:space="0" w:color="auto"/>
        </w:pBdr>
        <w:rPr>
          <w:color w:val="000000"/>
        </w:rPr>
      </w:pPr>
      <w:r>
        <w:rPr>
          <w:color w:val="000000"/>
        </w:rPr>
        <w:t>Hence, NHSX can develop hybrid work around several activities and with the help of remote work the organization can support concentration. In case of in person days, the organization can focus on innovation as well as complex problem solving throughout UK, UAE, and India.</w:t>
      </w:r>
    </w:p>
    <w:p>
      <w:pPr>
        <w:pStyle w:val="2"/>
      </w:pPr>
      <w:bookmarkStart w:id="7" w:name="_Toc242715885"/>
      <w:r>
        <w:t>A.2 Recommended Integrated Working Model for NHSX</w:t>
      </w:r>
      <w:bookmarkEnd w:id="7"/>
    </w:p>
    <w:p>
      <w:pPr>
        <w:pBdr>
          <w:top w:val="none" w:sz="0" w:space="0" w:color="auto"/>
          <w:left w:val="none" w:sz="0" w:space="0" w:color="auto"/>
          <w:bottom w:val="none" w:sz="0" w:space="0" w:color="auto"/>
          <w:right w:val="none" w:sz="0" w:space="0" w:color="auto"/>
          <w:between w:val="none" w:sz="0" w:space="0" w:color="auto"/>
        </w:pBdr>
        <w:rPr>
          <w:color w:val="000000"/>
        </w:rPr>
      </w:pPr>
      <w:r>
        <w:rPr>
          <w:b/>
          <w:bCs/>
          <w:color w:val="000000"/>
        </w:rPr>
        <w:t xml:space="preserve">Cross-functional collaboration: </w:t>
      </w:r>
      <w:r>
        <w:rPr>
          <w:color w:val="000000"/>
        </w:rPr>
        <w:t>NHSX can focus on developing multidisciplinary product teams which may integrate product, data, software engineering, customer facing, cyber security, and clinical expertise. It is important for teams to have their own defined outcomes to minimise optional silos and hierarchical approvals (Herbert, 2024). It is crucial for the organisation because according to report 63% of employers identify that for organisational transformation skill gap is a major barrier (Weforum, 2025).</w:t>
      </w:r>
    </w:p>
    <w:p>
      <w:pPr>
        <w:pBdr>
          <w:top w:val="none" w:sz="0" w:space="0" w:color="auto"/>
          <w:left w:val="none" w:sz="0" w:space="0" w:color="auto"/>
          <w:bottom w:val="none" w:sz="0" w:space="0" w:color="auto"/>
          <w:right w:val="none" w:sz="0" w:space="0" w:color="auto"/>
          <w:between w:val="none" w:sz="0" w:space="0" w:color="auto"/>
        </w:pBdr>
        <w:jc w:val="center"/>
        <w:rPr>
          <w:color w:val="000000"/>
        </w:rPr>
      </w:pPr>
      <w:r>
        <w:rPr>
          <w:color w:val="000000"/>
        </w:rPr>
        <w:drawing>
          <wp:inline distT="0" distB="0" distL="0" distR="0">
            <wp:extent cx="5548744" cy="2610163"/>
            <wp:effectExtent l="0" t="0" r="0" b="0"/>
            <wp:docPr id="10" name="图片 10"/>
            <wp:cNvGraphicFramePr>
              <a:graphicFrameLocks noChangeAspect="0"/>
            </wp:cNvGraphicFramePr>
            <a:graphic>
              <a:graphicData uri="http://schemas.openxmlformats.org/drawingml/2006/picture">
                <pic:pic>
                  <pic:nvPicPr>
                    <pic:cNvPr id="12" name="图片 12"/>
                    <pic:cNvPicPr/>
                  </pic:nvPicPr>
                  <pic:blipFill>
                    <a:blip r:embed="rId6"/>
                    <a:stretch>
                      <a:fillRect/>
                    </a:stretch>
                  </pic:blipFill>
                  <pic:spPr>
                    <a:xfrm rot="0">
                      <a:off x="0" y="0"/>
                      <a:ext cx="5548744" cy="2610163"/>
                    </a:xfrm>
                    <a:prstGeom prst="rect"/>
                    <a:noFill/>
                    <a:ln w="38100" cmpd="sng" cap="flat">
                      <a:solidFill>
                        <a:srgbClr val="000000"/>
                      </a:solidFill>
                      <a:prstDash val="solid"/>
                      <a:round/>
                    </a:ln>
                  </pic:spPr>
                </pic:pic>
              </a:graphicData>
            </a:graphic>
          </wp:inline>
        </w:drawing>
      </w:r>
    </w:p>
    <w:p>
      <w:pPr>
        <w:pBdr>
          <w:top w:val="none" w:sz="0" w:space="0" w:color="auto"/>
          <w:left w:val="none" w:sz="0" w:space="0" w:color="auto"/>
          <w:bottom w:val="none" w:sz="0" w:space="0" w:color="auto"/>
          <w:right w:val="none" w:sz="0" w:space="0" w:color="auto"/>
          <w:between w:val="none" w:sz="0" w:space="0" w:color="auto"/>
        </w:pBdr>
        <w:jc w:val="center"/>
        <w:rPr>
          <w:b/>
          <w:bCs/>
          <w:color w:val="000000"/>
        </w:rPr>
      </w:pPr>
      <w:r>
        <w:rPr>
          <w:b/>
          <w:bCs/>
          <w:color w:val="000000"/>
        </w:rPr>
        <w:t>Figure 3: Skill Gaps as a major barrier</w:t>
      </w:r>
    </w:p>
    <w:p>
      <w:pPr>
        <w:pBdr>
          <w:top w:val="none" w:sz="0" w:space="0" w:color="auto"/>
          <w:left w:val="none" w:sz="0" w:space="0" w:color="auto"/>
          <w:bottom w:val="none" w:sz="0" w:space="0" w:color="auto"/>
          <w:right w:val="none" w:sz="0" w:space="0" w:color="auto"/>
          <w:between w:val="none" w:sz="0" w:space="0" w:color="auto"/>
        </w:pBdr>
        <w:jc w:val="center"/>
        <w:rPr>
          <w:color w:val="000000"/>
        </w:rPr>
      </w:pPr>
      <w:r>
        <w:rPr>
          <w:color w:val="000000"/>
        </w:rPr>
        <w:t>(Source: Weforum, 2025)</w:t>
      </w:r>
    </w:p>
    <w:p>
      <w:pPr>
        <w:pBdr>
          <w:top w:val="none" w:sz="0" w:space="0" w:color="auto"/>
          <w:left w:val="none" w:sz="0" w:space="0" w:color="auto"/>
          <w:bottom w:val="none" w:sz="0" w:space="0" w:color="auto"/>
          <w:right w:val="none" w:sz="0" w:space="0" w:color="auto"/>
          <w:between w:val="none" w:sz="0" w:space="0" w:color="auto"/>
        </w:pBdr>
        <w:rPr>
          <w:color w:val="000000"/>
        </w:rPr>
      </w:pPr>
      <w:r>
        <w:rPr>
          <w:b/>
          <w:bCs/>
          <w:color w:val="000000"/>
        </w:rPr>
        <w:t>Hybrid and flexible working:</w:t>
      </w:r>
      <w:r>
        <w:rPr>
          <w:color w:val="000000"/>
        </w:rPr>
        <w:t xml:space="preserve"> A purpose-led hybrid model can be introduced by NHSX. The organisation can undertake work require high concentration remotely and in-office days can support mentoring, innovation workshops, and collaboration. Through asynchronous communication information sharing across several zones like UK, UAE, and India can be supported (Salesforce, 2024). This will enable employees successfully collaborate without depending only on meetings.</w:t>
      </w:r>
    </w:p>
    <w:p>
      <w:pPr>
        <w:pBdr>
          <w:top w:val="none" w:sz="0" w:space="0" w:color="auto"/>
          <w:left w:val="none" w:sz="0" w:space="0" w:color="auto"/>
          <w:bottom w:val="none" w:sz="0" w:space="0" w:color="auto"/>
          <w:right w:val="none" w:sz="0" w:space="0" w:color="auto"/>
          <w:between w:val="none" w:sz="0" w:space="0" w:color="auto"/>
        </w:pBdr>
        <w:rPr>
          <w:color w:val="000000"/>
        </w:rPr>
      </w:pPr>
      <w:r>
        <w:rPr>
          <w:b/>
          <w:bCs/>
          <w:color w:val="000000"/>
        </w:rPr>
        <w:t>Employee autonomy:</w:t>
      </w:r>
      <w:r>
        <w:rPr>
          <w:color w:val="000000"/>
        </w:rPr>
        <w:t xml:space="preserve"> According to Daemen et al. (2025), it is important for NHSX to ensure that teams should have autonomy related to experimentation, operational decisions, and task delegation. Managers on the other hand need to set priorities, coach teams, and mitigate obstacles. To measure performance the organisation should focus on quality, customer or clinical value, innovation and deliverables. With this approach the organisation can significantly enhance responsiveness and maintain accountability for healthcare outcomes.</w:t>
      </w:r>
    </w:p>
    <w:p>
      <w:pPr>
        <w:pBdr>
          <w:top w:val="none" w:sz="0" w:space="0" w:color="auto"/>
          <w:left w:val="none" w:sz="0" w:space="0" w:color="auto"/>
          <w:bottom w:val="none" w:sz="0" w:space="0" w:color="auto"/>
          <w:right w:val="none" w:sz="0" w:space="0" w:color="auto"/>
          <w:between w:val="none" w:sz="0" w:space="0" w:color="auto"/>
        </w:pBdr>
        <w:rPr>
          <w:color w:val="000000"/>
        </w:rPr>
      </w:pPr>
      <w:r>
        <w:rPr>
          <w:b/>
          <w:bCs/>
          <w:color w:val="000000"/>
        </w:rPr>
        <w:t>Agile project teams:</w:t>
      </w:r>
      <w:r>
        <w:rPr>
          <w:color w:val="000000"/>
        </w:rPr>
        <w:t xml:space="preserve"> The NHSX should implement innovation sprints lasting about four to six weeks. A multidisciplinary team can develop more comprehensive and personalised strategies (Cano and Zettelmann, 2024). The team can also try out various digital health functionalities, clinical processes or monitoring solutions depending on whether a decision to implement, alter or close the digital solution has to be made. This enhances the process of continuous experimentation while minimizing excess spending.</w:t>
      </w:r>
    </w:p>
    <w:p>
      <w:pPr>
        <w:pBdr>
          <w:top w:val="none" w:sz="0" w:space="0" w:color="auto"/>
          <w:left w:val="none" w:sz="0" w:space="0" w:color="auto"/>
          <w:bottom w:val="none" w:sz="0" w:space="0" w:color="auto"/>
          <w:right w:val="none" w:sz="0" w:space="0" w:color="auto"/>
          <w:between w:val="none" w:sz="0" w:space="0" w:color="auto"/>
        </w:pBdr>
        <w:rPr>
          <w:color w:val="000000"/>
        </w:rPr>
      </w:pPr>
      <w:r>
        <w:rPr>
          <w:b/>
          <w:bCs/>
          <w:color w:val="000000"/>
        </w:rPr>
        <w:t>Digital collaboration technologies:</w:t>
      </w:r>
      <w:r>
        <w:rPr>
          <w:color w:val="000000"/>
        </w:rPr>
        <w:t xml:space="preserve"> NHSX can integrate several digital tools for communication, knowledge sharing, co-creation, and project management. According to report by Microsoft (2026), which is based on 20,000 AI users In 10 countries reported that 66% spend more time on high value work with the help of AI and 58% mentioned that they were producing work with the help of AI that they could not have produced a year earlier.  Hence, NHSX needs to implement AI strategically to minimise administrative work and maintain human accountability for strategic decisions.</w:t>
      </w:r>
    </w:p>
    <w:p>
      <w:pPr>
        <w:pStyle w:val="2"/>
      </w:pPr>
      <w:bookmarkStart w:id="8" w:name="_Toc242715886"/>
      <w:r>
        <w:t>A.3 Expected Organisational Performance Benefits</w:t>
      </w:r>
      <w:bookmarkEnd w:id="8"/>
    </w:p>
    <w:tbl>
      <w:tblPr>
        <w:jc w:val="left"/>
        <w:tblInd w:w="-216" w:type="dxa"/>
        <w:tblW w:w="924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108" w:type="dxa"/>
          <w:bottom w:w="0" w:type="dxa"/>
          <w:right w:w="108" w:type="dxa"/>
        </w:tblCellMar>
      </w:tblPr>
      <w:tblGrid>
        <w:gridCol w:w="3071"/>
        <w:gridCol w:w="6171"/>
      </w:tblGrid>
      <w:tr>
        <w:trPr>
          <w:cantSplit/>
          <w:tblHeader/>
        </w:trPr>
        <w:tc>
          <w:tcPr>
            <w:tcW w:w="3071" w:type="dxa"/>
          </w:tcPr>
          <w:p>
            <w:pPr>
              <w:pBdr>
                <w:top w:val="none" w:sz="0" w:space="0" w:color="auto"/>
                <w:left w:val="none" w:sz="0" w:space="0" w:color="auto"/>
                <w:bottom w:val="none" w:sz="0" w:space="0" w:color="auto"/>
                <w:right w:val="none" w:sz="0" w:space="0" w:color="auto"/>
                <w:between w:val="none" w:sz="0" w:space="0" w:color="auto"/>
              </w:pBdr>
              <w:spacing w:after="200" w:line="360" w:lineRule="auto"/>
              <w:jc w:val="center"/>
              <w:rPr>
                <w:b/>
                <w:bCs/>
                <w:i/>
                <w:iCs/>
                <w:color w:val="000000"/>
              </w:rPr>
            </w:pPr>
            <w:r>
              <w:rPr>
                <w:b/>
                <w:bCs/>
                <w:i/>
                <w:iCs/>
                <w:color w:val="000000"/>
              </w:rPr>
              <w:t>Outcome</w:t>
            </w:r>
          </w:p>
        </w:tc>
        <w:tc>
          <w:tcPr>
            <w:tcW w:w="6171" w:type="dxa"/>
          </w:tcPr>
          <w:p>
            <w:pPr>
              <w:pBdr>
                <w:top w:val="none" w:sz="0" w:space="0" w:color="auto"/>
                <w:left w:val="none" w:sz="0" w:space="0" w:color="auto"/>
                <w:bottom w:val="none" w:sz="0" w:space="0" w:color="auto"/>
                <w:right w:val="none" w:sz="0" w:space="0" w:color="auto"/>
                <w:between w:val="none" w:sz="0" w:space="0" w:color="auto"/>
              </w:pBdr>
              <w:spacing w:after="200" w:line="360" w:lineRule="auto"/>
              <w:jc w:val="center"/>
              <w:rPr>
                <w:b/>
                <w:bCs/>
                <w:i/>
                <w:iCs/>
                <w:color w:val="000000"/>
              </w:rPr>
            </w:pPr>
            <w:r>
              <w:rPr>
                <w:b/>
                <w:bCs/>
                <w:i/>
                <w:iCs/>
                <w:color w:val="000000"/>
              </w:rPr>
              <w:t>How this will improve organisational performance of NHSX</w:t>
            </w:r>
          </w:p>
        </w:tc>
      </w:tr>
      <w:tr>
        <w:trPr>
          <w:cantSplit/>
          <w:tblHeader/>
        </w:trPr>
        <w:tc>
          <w:tcPr>
            <w:tcW w:w="3071" w:type="dxa"/>
          </w:tcPr>
          <w:p>
            <w:pPr>
              <w:pBdr>
                <w:top w:val="none" w:sz="0" w:space="0" w:color="auto"/>
                <w:left w:val="none" w:sz="0" w:space="0" w:color="auto"/>
                <w:bottom w:val="none" w:sz="0" w:space="0" w:color="auto"/>
                <w:right w:val="none" w:sz="0" w:space="0" w:color="auto"/>
                <w:between w:val="none" w:sz="0" w:space="0" w:color="auto"/>
              </w:pBdr>
              <w:spacing w:after="200" w:line="360" w:lineRule="auto"/>
              <w:rPr>
                <w:color w:val="000000"/>
              </w:rPr>
            </w:pPr>
            <w:r>
              <w:rPr>
                <w:color w:val="000000"/>
              </w:rPr>
              <w:t>Faster decision-making and agility</w:t>
            </w:r>
          </w:p>
        </w:tc>
        <w:tc>
          <w:tcPr>
            <w:tcW w:w="6171" w:type="dxa"/>
          </w:tcPr>
          <w:p>
            <w:pPr>
              <w:numPr>
                <w:ilvl w:val="0"/>
                <w:numId w:val="1"/>
              </w:numPr>
              <w:pBdr>
                <w:top w:val="none" w:sz="0" w:space="0" w:color="auto"/>
                <w:left w:val="none" w:sz="0" w:space="0" w:color="auto"/>
                <w:bottom w:val="none" w:sz="0" w:space="0" w:color="auto"/>
                <w:right w:val="none" w:sz="0" w:space="0" w:color="auto"/>
                <w:between w:val="none" w:sz="0" w:space="0" w:color="auto"/>
              </w:pBdr>
              <w:spacing w:after="200" w:line="360" w:lineRule="auto"/>
              <w:ind w:left="206" w:hanging="224"/>
              <w:rPr>
                <w:color w:val="000000"/>
              </w:rPr>
            </w:pPr>
            <w:r>
              <w:rPr>
                <w:color w:val="000000"/>
              </w:rPr>
              <w:t>Cross-functional teams reduce unnecessary approvals, enabling faster decisions (Kashi, 2024).</w:t>
            </w:r>
          </w:p>
          <w:p>
            <w:pPr>
              <w:numPr>
                <w:ilvl w:val="0"/>
                <w:numId w:val="1"/>
              </w:numPr>
              <w:pBdr>
                <w:top w:val="none" w:sz="0" w:space="0" w:color="auto"/>
                <w:left w:val="none" w:sz="0" w:space="0" w:color="auto"/>
                <w:bottom w:val="none" w:sz="0" w:space="0" w:color="auto"/>
                <w:right w:val="none" w:sz="0" w:space="0" w:color="auto"/>
                <w:between w:val="none" w:sz="0" w:space="0" w:color="auto"/>
              </w:pBdr>
              <w:spacing w:after="200" w:line="360" w:lineRule="auto"/>
              <w:ind w:left="206" w:hanging="224"/>
              <w:rPr>
                <w:color w:val="000000"/>
              </w:rPr>
            </w:pPr>
            <w:r>
              <w:rPr>
                <w:color w:val="000000"/>
              </w:rPr>
              <w:t>This also accelerates development cycles.</w:t>
            </w:r>
          </w:p>
        </w:tc>
      </w:tr>
      <w:tr>
        <w:trPr>
          <w:cantSplit/>
          <w:tblHeader/>
        </w:trPr>
        <w:tc>
          <w:tcPr>
            <w:tcW w:w="3071" w:type="dxa"/>
          </w:tcPr>
          <w:p>
            <w:pPr>
              <w:pBdr>
                <w:top w:val="none" w:sz="0" w:space="0" w:color="auto"/>
                <w:left w:val="none" w:sz="0" w:space="0" w:color="auto"/>
                <w:bottom w:val="none" w:sz="0" w:space="0" w:color="auto"/>
                <w:right w:val="none" w:sz="0" w:space="0" w:color="auto"/>
                <w:between w:val="none" w:sz="0" w:space="0" w:color="auto"/>
              </w:pBdr>
              <w:spacing w:after="200" w:line="360" w:lineRule="auto"/>
              <w:rPr>
                <w:color w:val="000000"/>
              </w:rPr>
            </w:pPr>
            <w:r>
              <w:rPr>
                <w:color w:val="000000"/>
              </w:rPr>
              <w:t>Greater innovation and experimentation</w:t>
            </w:r>
          </w:p>
        </w:tc>
        <w:tc>
          <w:tcPr>
            <w:tcW w:w="6171" w:type="dxa"/>
          </w:tcPr>
          <w:p>
            <w:pPr>
              <w:numPr>
                <w:ilvl w:val="0"/>
                <w:numId w:val="2"/>
              </w:numPr>
              <w:pBdr>
                <w:top w:val="none" w:sz="0" w:space="0" w:color="auto"/>
                <w:left w:val="none" w:sz="0" w:space="0" w:color="auto"/>
                <w:bottom w:val="none" w:sz="0" w:space="0" w:color="auto"/>
                <w:right w:val="none" w:sz="0" w:space="0" w:color="auto"/>
                <w:between w:val="none" w:sz="0" w:space="0" w:color="auto"/>
              </w:pBdr>
              <w:spacing w:after="200" w:line="360" w:lineRule="auto"/>
              <w:ind w:left="206" w:hanging="224"/>
              <w:rPr>
                <w:color w:val="000000"/>
              </w:rPr>
            </w:pPr>
            <w:r>
              <w:rPr>
                <w:color w:val="000000"/>
              </w:rPr>
              <w:t>HPWS and HIWS encourage employee contribution.</w:t>
            </w:r>
          </w:p>
          <w:p>
            <w:pPr>
              <w:numPr>
                <w:ilvl w:val="0"/>
                <w:numId w:val="2"/>
              </w:numPr>
              <w:pBdr>
                <w:top w:val="none" w:sz="0" w:space="0" w:color="auto"/>
                <w:left w:val="none" w:sz="0" w:space="0" w:color="auto"/>
                <w:bottom w:val="none" w:sz="0" w:space="0" w:color="auto"/>
                <w:right w:val="none" w:sz="0" w:space="0" w:color="auto"/>
                <w:between w:val="none" w:sz="0" w:space="0" w:color="auto"/>
              </w:pBdr>
              <w:spacing w:after="200" w:line="360" w:lineRule="auto"/>
              <w:ind w:left="206" w:hanging="224"/>
              <w:rPr>
                <w:color w:val="000000"/>
              </w:rPr>
            </w:pPr>
            <w:r>
              <w:rPr>
                <w:color w:val="000000"/>
              </w:rPr>
              <w:t>Agile working converts ideas into tested and practical solutions (Rietze and Zacher, 2022).</w:t>
            </w:r>
          </w:p>
        </w:tc>
      </w:tr>
      <w:tr>
        <w:trPr>
          <w:cantSplit/>
          <w:tblHeader/>
        </w:trPr>
        <w:tc>
          <w:tcPr>
            <w:tcW w:w="3071" w:type="dxa"/>
          </w:tcPr>
          <w:p>
            <w:pPr>
              <w:pBdr>
                <w:top w:val="none" w:sz="0" w:space="0" w:color="auto"/>
                <w:left w:val="none" w:sz="0" w:space="0" w:color="auto"/>
                <w:bottom w:val="none" w:sz="0" w:space="0" w:color="auto"/>
                <w:right w:val="none" w:sz="0" w:space="0" w:color="auto"/>
                <w:between w:val="none" w:sz="0" w:space="0" w:color="auto"/>
              </w:pBdr>
              <w:spacing w:after="200" w:line="360" w:lineRule="auto"/>
              <w:rPr>
                <w:color w:val="000000"/>
              </w:rPr>
            </w:pPr>
            <w:r>
              <w:rPr>
                <w:color w:val="000000"/>
              </w:rPr>
              <w:t>Improved collaboration and knowledge sharing</w:t>
            </w:r>
          </w:p>
        </w:tc>
        <w:tc>
          <w:tcPr>
            <w:tcW w:w="6171" w:type="dxa"/>
          </w:tcPr>
          <w:p>
            <w:pPr>
              <w:numPr>
                <w:ilvl w:val="0"/>
                <w:numId w:val="3"/>
              </w:numPr>
              <w:pBdr>
                <w:top w:val="none" w:sz="0" w:space="0" w:color="auto"/>
                <w:left w:val="none" w:sz="0" w:space="0" w:color="auto"/>
                <w:bottom w:val="none" w:sz="0" w:space="0" w:color="auto"/>
                <w:right w:val="none" w:sz="0" w:space="0" w:color="auto"/>
                <w:between w:val="none" w:sz="0" w:space="0" w:color="auto"/>
              </w:pBdr>
              <w:spacing w:after="200" w:line="360" w:lineRule="auto"/>
              <w:ind w:left="206" w:hanging="224"/>
              <w:rPr>
                <w:color w:val="000000"/>
              </w:rPr>
            </w:pPr>
            <w:r>
              <w:rPr>
                <w:color w:val="000000"/>
              </w:rPr>
              <w:t>Hybrid teams and digital collaboration platforms connect expertise across NHSX’s international locations.</w:t>
            </w:r>
          </w:p>
          <w:p>
            <w:pPr>
              <w:numPr>
                <w:ilvl w:val="0"/>
                <w:numId w:val="3"/>
              </w:numPr>
              <w:pBdr>
                <w:top w:val="none" w:sz="0" w:space="0" w:color="auto"/>
                <w:left w:val="none" w:sz="0" w:space="0" w:color="auto"/>
                <w:bottom w:val="none" w:sz="0" w:space="0" w:color="auto"/>
                <w:right w:val="none" w:sz="0" w:space="0" w:color="auto"/>
                <w:between w:val="none" w:sz="0" w:space="0" w:color="auto"/>
              </w:pBdr>
              <w:spacing w:after="200" w:line="360" w:lineRule="auto"/>
              <w:ind w:left="206" w:hanging="224"/>
              <w:rPr>
                <w:color w:val="000000"/>
              </w:rPr>
            </w:pPr>
            <w:r>
              <w:rPr>
                <w:color w:val="000000"/>
              </w:rPr>
              <w:t>This will strengthen communication and knowledge exchange.</w:t>
            </w:r>
          </w:p>
        </w:tc>
      </w:tr>
      <w:tr>
        <w:trPr>
          <w:cantSplit/>
          <w:tblHeader/>
        </w:trPr>
        <w:tc>
          <w:tcPr>
            <w:tcW w:w="3071" w:type="dxa"/>
          </w:tcPr>
          <w:p>
            <w:pPr>
              <w:pBdr>
                <w:top w:val="none" w:sz="0" w:space="0" w:color="auto"/>
                <w:left w:val="none" w:sz="0" w:space="0" w:color="auto"/>
                <w:bottom w:val="none" w:sz="0" w:space="0" w:color="auto"/>
                <w:right w:val="none" w:sz="0" w:space="0" w:color="auto"/>
                <w:between w:val="none" w:sz="0" w:space="0" w:color="auto"/>
              </w:pBdr>
              <w:spacing w:after="200" w:line="360" w:lineRule="auto"/>
              <w:rPr>
                <w:color w:val="000000"/>
              </w:rPr>
            </w:pPr>
            <w:r>
              <w:rPr>
                <w:color w:val="000000"/>
              </w:rPr>
              <w:t>Retention and capability development</w:t>
            </w:r>
          </w:p>
        </w:tc>
        <w:tc>
          <w:tcPr>
            <w:tcW w:w="6171" w:type="dxa"/>
          </w:tcPr>
          <w:p>
            <w:pPr>
              <w:numPr>
                <w:ilvl w:val="0"/>
                <w:numId w:val="4"/>
              </w:numPr>
              <w:pBdr>
                <w:top w:val="none" w:sz="0" w:space="0" w:color="auto"/>
                <w:left w:val="none" w:sz="0" w:space="0" w:color="auto"/>
                <w:bottom w:val="none" w:sz="0" w:space="0" w:color="auto"/>
                <w:right w:val="none" w:sz="0" w:space="0" w:color="auto"/>
                <w:between w:val="none" w:sz="0" w:space="0" w:color="auto"/>
              </w:pBdr>
              <w:spacing w:after="200" w:line="360" w:lineRule="auto"/>
              <w:ind w:left="206" w:hanging="224"/>
              <w:rPr>
                <w:color w:val="000000"/>
              </w:rPr>
            </w:pPr>
            <w:r>
              <w:rPr>
                <w:color w:val="000000"/>
              </w:rPr>
              <w:t xml:space="preserve">Employee autonomy and varied projects create development opportunities. </w:t>
            </w:r>
          </w:p>
          <w:p>
            <w:pPr>
              <w:numPr>
                <w:ilvl w:val="0"/>
                <w:numId w:val="4"/>
              </w:numPr>
              <w:pBdr>
                <w:top w:val="none" w:sz="0" w:space="0" w:color="auto"/>
                <w:left w:val="none" w:sz="0" w:space="0" w:color="auto"/>
                <w:bottom w:val="none" w:sz="0" w:space="0" w:color="auto"/>
                <w:right w:val="none" w:sz="0" w:space="0" w:color="auto"/>
                <w:between w:val="none" w:sz="0" w:space="0" w:color="auto"/>
              </w:pBdr>
              <w:spacing w:after="200" w:line="360" w:lineRule="auto"/>
              <w:ind w:left="206" w:hanging="224"/>
              <w:rPr>
                <w:color w:val="000000"/>
              </w:rPr>
            </w:pPr>
            <w:r>
              <w:rPr>
                <w:color w:val="000000"/>
              </w:rPr>
              <w:t>Rapid change of core skills is increasing the need for continuous development (Cornerstoneondemand, 2026).</w:t>
            </w:r>
          </w:p>
        </w:tc>
      </w:tr>
      <w:tr>
        <w:trPr>
          <w:cantSplit/>
          <w:tblHeader/>
        </w:trPr>
        <w:tc>
          <w:tcPr>
            <w:tcW w:w="3071" w:type="dxa"/>
          </w:tcPr>
          <w:p>
            <w:pPr>
              <w:pBdr>
                <w:top w:val="none" w:sz="0" w:space="0" w:color="auto"/>
                <w:left w:val="none" w:sz="0" w:space="0" w:color="auto"/>
                <w:bottom w:val="none" w:sz="0" w:space="0" w:color="auto"/>
                <w:right w:val="none" w:sz="0" w:space="0" w:color="auto"/>
                <w:between w:val="none" w:sz="0" w:space="0" w:color="auto"/>
              </w:pBdr>
              <w:spacing w:after="200" w:line="360" w:lineRule="auto"/>
              <w:rPr>
                <w:color w:val="000000"/>
              </w:rPr>
            </w:pPr>
            <w:r>
              <w:rPr>
                <w:color w:val="000000"/>
              </w:rPr>
              <w:t>Adaptability and sustainable performance</w:t>
            </w:r>
          </w:p>
        </w:tc>
        <w:tc>
          <w:tcPr>
            <w:tcW w:w="6171" w:type="dxa"/>
          </w:tcPr>
          <w:p>
            <w:pPr>
              <w:numPr>
                <w:ilvl w:val="0"/>
                <w:numId w:val="5"/>
              </w:numPr>
              <w:pBdr>
                <w:top w:val="none" w:sz="0" w:space="0" w:color="auto"/>
                <w:left w:val="none" w:sz="0" w:space="0" w:color="auto"/>
                <w:bottom w:val="none" w:sz="0" w:space="0" w:color="auto"/>
                <w:right w:val="none" w:sz="0" w:space="0" w:color="auto"/>
                <w:between w:val="none" w:sz="0" w:space="0" w:color="auto"/>
              </w:pBdr>
              <w:spacing w:after="200" w:line="360" w:lineRule="auto"/>
              <w:ind w:left="206" w:hanging="224"/>
              <w:rPr>
                <w:color w:val="000000"/>
              </w:rPr>
            </w:pPr>
            <w:r>
              <w:rPr>
                <w:color w:val="000000"/>
              </w:rPr>
              <w:t xml:space="preserve">The model balances autonomy with accountability. </w:t>
            </w:r>
          </w:p>
          <w:p>
            <w:pPr>
              <w:numPr>
                <w:ilvl w:val="0"/>
                <w:numId w:val="5"/>
              </w:numPr>
              <w:pBdr>
                <w:top w:val="none" w:sz="0" w:space="0" w:color="auto"/>
                <w:left w:val="none" w:sz="0" w:space="0" w:color="auto"/>
                <w:bottom w:val="none" w:sz="0" w:space="0" w:color="auto"/>
                <w:right w:val="none" w:sz="0" w:space="0" w:color="auto"/>
                <w:between w:val="none" w:sz="0" w:space="0" w:color="auto"/>
              </w:pBdr>
              <w:spacing w:after="200" w:line="360" w:lineRule="auto"/>
              <w:ind w:left="206" w:hanging="224"/>
              <w:rPr>
                <w:color w:val="000000"/>
              </w:rPr>
            </w:pPr>
            <w:r>
              <w:rPr>
                <w:color w:val="000000"/>
              </w:rPr>
              <w:t>NHSX can strengthen adaptability while protecting patient safety and data security.</w:t>
            </w:r>
          </w:p>
        </w:tc>
      </w:tr>
    </w:tbl>
    <w:p>
      <w:pPr>
        <w:pBdr>
          <w:top w:val="none" w:sz="0" w:space="0" w:color="auto"/>
          <w:left w:val="none" w:sz="0" w:space="0" w:color="auto"/>
          <w:bottom w:val="none" w:sz="0" w:space="0" w:color="auto"/>
          <w:right w:val="none" w:sz="0" w:space="0" w:color="auto"/>
          <w:between w:val="none" w:sz="0" w:space="0" w:color="auto"/>
        </w:pBdr>
        <w:jc w:val="center"/>
        <w:rPr>
          <w:b/>
          <w:bCs/>
          <w:color w:val="000000"/>
        </w:rPr>
      </w:pPr>
      <w:r>
        <w:rPr>
          <w:b/>
          <w:bCs/>
          <w:color w:val="000000"/>
        </w:rPr>
        <w:t>Table 1: Organisational Benefits</w:t>
      </w:r>
    </w:p>
    <w:p>
      <w:pPr>
        <w:pBdr>
          <w:top w:val="none" w:sz="0" w:space="0" w:color="auto"/>
          <w:left w:val="none" w:sz="0" w:space="0" w:color="auto"/>
          <w:bottom w:val="none" w:sz="0" w:space="0" w:color="auto"/>
          <w:right w:val="none" w:sz="0" w:space="0" w:color="auto"/>
          <w:between w:val="none" w:sz="0" w:space="0" w:color="auto"/>
        </w:pBdr>
        <w:jc w:val="center"/>
        <w:rPr>
          <w:color w:val="000000"/>
        </w:rPr>
      </w:pPr>
      <w:r>
        <w:rPr>
          <w:color w:val="000000"/>
        </w:rPr>
        <w:t>(Source: Self-made)</w:t>
      </w:r>
    </w:p>
    <w:p>
      <w:pPr>
        <w:pBdr>
          <w:top w:val="none" w:sz="0" w:space="0" w:color="auto"/>
          <w:left w:val="none" w:sz="0" w:space="0" w:color="auto"/>
          <w:bottom w:val="none" w:sz="0" w:space="0" w:color="auto"/>
          <w:right w:val="none" w:sz="0" w:space="0" w:color="auto"/>
          <w:between w:val="none" w:sz="0" w:space="0" w:color="auto"/>
        </w:pBdr>
        <w:spacing w:line="276" w:lineRule="auto"/>
        <w:jc w:val="left"/>
        <w:rPr>
          <w:color w:val="000000"/>
        </w:rPr>
      </w:pPr>
      <w:r>
        <w:br w:type="page"/>
      </w:r>
    </w:p>
    <w:p>
      <w:pPr>
        <w:pStyle w:val="1"/>
      </w:pPr>
      <w:bookmarkStart w:id="9" w:name="_Toc242715887"/>
      <w:r>
        <w:t>Task B: Breeding an Environment Where Talent May Grow</w:t>
      </w:r>
      <w:bookmarkEnd w:id="9"/>
    </w:p>
    <w:p>
      <w:pPr>
        <w:pStyle w:val="2"/>
      </w:pPr>
      <w:bookmarkStart w:id="10" w:name="_Toc242715888"/>
      <w:r>
        <w:t>B.1 Designing an Environment Where Talent Flourishes</w:t>
      </w:r>
      <w:bookmarkEnd w:id="10"/>
    </w:p>
    <w:p>
      <w:pPr>
        <w:pStyle w:val="3"/>
      </w:pPr>
      <w:bookmarkStart w:id="11" w:name="_Toc242715889"/>
      <w:r>
        <w:t>B.1.1 Learning Organisation</w:t>
      </w:r>
      <w:bookmarkEnd w:id="11"/>
    </w:p>
    <w:p>
      <w:pPr>
        <w:pBdr>
          <w:top w:val="none" w:sz="0" w:space="0" w:color="auto"/>
          <w:left w:val="none" w:sz="0" w:space="0" w:color="auto"/>
          <w:bottom w:val="none" w:sz="0" w:space="0" w:color="auto"/>
          <w:right w:val="none" w:sz="0" w:space="0" w:color="auto"/>
          <w:between w:val="none" w:sz="0" w:space="0" w:color="auto"/>
        </w:pBdr>
        <w:rPr>
          <w:color w:val="000000"/>
        </w:rPr>
      </w:pPr>
      <w:r>
        <w:rPr>
          <w:color w:val="000000"/>
        </w:rPr>
        <w:t>Learning Organisation theory (Uvhagen et al., 2024), highlights that organisations develop talent through continuous innovation, knowledge-sharing, and knowledge application. Cross-functional projects, innovation successes, practising communities, mentoring, and post-project feedbacks-reviews can improve learning area of every day’s work for NHSX. It becomes important as healthcare technology employees should combine clinical, technical, and commercial knowledge. A learning organisation needs organisational system which provides employees with time and resources learning resources. As mentioned in the report by BLR (2023), 49% of learning and channel development professionals highlighted concern for employees lacking necessary skills to execute business strategy. Learning should be connected with strategic capability requirements for NHSX.</w:t>
      </w:r>
    </w:p>
    <w:p>
      <w:pPr>
        <w:pStyle w:val="3"/>
      </w:pPr>
      <w:bookmarkStart w:id="12" w:name="_Toc242715890"/>
      <w:r>
        <w:t>B.1.2 Growth Mind-set</w:t>
      </w:r>
      <w:bookmarkEnd w:id="12"/>
    </w:p>
    <w:p>
      <w:pPr>
        <w:pBdr>
          <w:top w:val="none" w:sz="0" w:space="0" w:color="auto"/>
          <w:left w:val="none" w:sz="0" w:space="0" w:color="auto"/>
          <w:bottom w:val="none" w:sz="0" w:space="0" w:color="auto"/>
          <w:right w:val="none" w:sz="0" w:space="0" w:color="auto"/>
          <w:between w:val="none" w:sz="0" w:space="0" w:color="auto"/>
        </w:pBdr>
        <w:rPr>
          <w:color w:val="000000"/>
        </w:rPr>
      </w:pPr>
      <w:r>
        <w:rPr>
          <w:color w:val="000000"/>
        </w:rPr>
        <w:t>Growth Mindset Theory of Dweck highlights that abilities can cultivate through effort (Cloke, 2026). It encourages employees to experiment with emerging technologies under NHSX. The managers should treat employee mistakes as opportunities for improvement recognising learning behaviours, experimentation, and improvement beside rewards and recognition. For NHSX innovation in AI-enabled healthcare can have uncertainty for experimentation. The organisation should combine growth-oriented leadership with realistic workloads focusing on learning resources and opportunities for career progression. The managers should not increase workloads, technology or prevent career structures for employee development.</w:t>
      </w:r>
    </w:p>
    <w:p>
      <w:pPr>
        <w:pStyle w:val="3"/>
      </w:pPr>
      <w:bookmarkStart w:id="13" w:name="_Toc242715891"/>
      <w:r>
        <w:t>B.1.3 Psychological Safety</w:t>
      </w:r>
      <w:bookmarkEnd w:id="13"/>
    </w:p>
    <w:p>
      <w:pPr>
        <w:pBdr>
          <w:top w:val="none" w:sz="0" w:space="0" w:color="auto"/>
          <w:left w:val="none" w:sz="0" w:space="0" w:color="auto"/>
          <w:bottom w:val="none" w:sz="0" w:space="0" w:color="auto"/>
          <w:right w:val="none" w:sz="0" w:space="0" w:color="auto"/>
          <w:between w:val="none" w:sz="0" w:space="0" w:color="auto"/>
        </w:pBdr>
        <w:rPr>
          <w:color w:val="000000"/>
        </w:rPr>
      </w:pPr>
      <w:r>
        <w:rPr>
          <w:color w:val="000000"/>
        </w:rPr>
        <w:t>Edmondson’s Psychological Safety theory (Baskin, 2023) becomes important when employees challenge assumptions, shared ideas, and admit mistakes. The employee should communicate concerns about clinical processes, technology, and patient-risks fearlessly about negative impact as per innovation objectives of NHSX. The study identifies psychological safety depends on employees become confident to express freely (Yousif et al., 2024). Psychological safety should not remove accountability. In healthcare technology, employees should follow proper clinical, regulatory, and data-security needs. NHSX should create a positive environment where employees can question decisions reporting problems.</w:t>
      </w:r>
    </w:p>
    <w:p>
      <w:pPr>
        <w:pStyle w:val="3"/>
      </w:pPr>
      <w:bookmarkStart w:id="14" w:name="_Toc242715892"/>
      <w:r>
        <w:t>B.1.4 Talent Management Frameworks</w:t>
      </w:r>
      <w:bookmarkEnd w:id="14"/>
    </w:p>
    <w:p>
      <w:pPr>
        <w:pBdr>
          <w:top w:val="none" w:sz="0" w:space="0" w:color="auto"/>
          <w:left w:val="none" w:sz="0" w:space="0" w:color="auto"/>
          <w:bottom w:val="none" w:sz="0" w:space="0" w:color="auto"/>
          <w:right w:val="none" w:sz="0" w:space="0" w:color="auto"/>
          <w:between w:val="none" w:sz="0" w:space="0" w:color="auto"/>
        </w:pBdr>
        <w:rPr>
          <w:color w:val="000000"/>
        </w:rPr>
      </w:pPr>
      <w:r>
        <w:rPr>
          <w:color w:val="000000"/>
        </w:rPr>
        <w:t xml:space="preserve">Talent Management framework should connect workforce planning, identifying skills, succession, internal mobility, and skill development. It becomes important as high performers of NHSX are exiting for low career progression. Report shows that 36% of global companies are appropriate “career-development champions” showing strong confidence to attract and retain talent (D2L, 2026). </w:t>
      </w:r>
    </w:p>
    <w:p>
      <w:pPr>
        <w:pBdr>
          <w:top w:val="none" w:sz="0" w:space="0" w:color="auto"/>
          <w:left w:val="none" w:sz="0" w:space="0" w:color="auto"/>
          <w:bottom w:val="none" w:sz="0" w:space="0" w:color="auto"/>
          <w:right w:val="none" w:sz="0" w:space="0" w:color="auto"/>
          <w:between w:val="none" w:sz="0" w:space="0" w:color="auto"/>
        </w:pBdr>
        <w:jc w:val="center"/>
        <w:rPr>
          <w:color w:val="000000"/>
        </w:rPr>
      </w:pPr>
      <w:r>
        <w:rPr>
          <w:color w:val="000000"/>
        </w:rPr>
        <w:drawing>
          <wp:inline distT="0" distB="0" distL="0" distR="0">
            <wp:extent cx="5660351" cy="2429838"/>
            <wp:effectExtent l="0" t="0" r="0" b="0"/>
            <wp:docPr id="13" name="图片 13"/>
            <wp:cNvGraphicFramePr>
              <a:graphicFrameLocks noChangeAspect="0"/>
            </wp:cNvGraphicFramePr>
            <a:graphic>
              <a:graphicData uri="http://schemas.openxmlformats.org/drawingml/2006/picture">
                <pic:pic>
                  <pic:nvPicPr>
                    <pic:cNvPr id="15" name="图片 15"/>
                    <pic:cNvPicPr/>
                  </pic:nvPicPr>
                  <pic:blipFill>
                    <a:blip r:embed="rId7"/>
                    <a:stretch>
                      <a:fillRect/>
                    </a:stretch>
                  </pic:blipFill>
                  <pic:spPr>
                    <a:xfrm rot="0">
                      <a:off x="0" y="0"/>
                      <a:ext cx="5660351" cy="2429838"/>
                    </a:xfrm>
                    <a:prstGeom prst="rect"/>
                    <a:noFill/>
                    <a:ln w="38100" cmpd="sng" cap="flat">
                      <a:solidFill>
                        <a:srgbClr val="000000"/>
                      </a:solidFill>
                      <a:prstDash val="solid"/>
                      <a:round/>
                    </a:ln>
                  </pic:spPr>
                </pic:pic>
              </a:graphicData>
            </a:graphic>
          </wp:inline>
        </w:drawing>
      </w:r>
    </w:p>
    <w:p>
      <w:pPr>
        <w:pBdr>
          <w:top w:val="none" w:sz="0" w:space="0" w:color="auto"/>
          <w:left w:val="none" w:sz="0" w:space="0" w:color="auto"/>
          <w:bottom w:val="none" w:sz="0" w:space="0" w:color="auto"/>
          <w:right w:val="none" w:sz="0" w:space="0" w:color="auto"/>
          <w:between w:val="none" w:sz="0" w:space="0" w:color="auto"/>
        </w:pBdr>
        <w:jc w:val="center"/>
        <w:rPr>
          <w:color w:val="000000"/>
        </w:rPr>
      </w:pPr>
      <w:r>
        <w:rPr>
          <w:b/>
          <w:bCs/>
          <w:color w:val="000000"/>
        </w:rPr>
        <w:t>Figure 4: Career Development Champions</w:t>
        <w:br/>
      </w:r>
      <w:r>
        <w:rPr>
          <w:color w:val="000000"/>
        </w:rPr>
        <w:t>(Source: D2L, 2026)</w:t>
      </w:r>
    </w:p>
    <w:p>
      <w:pPr>
        <w:pBdr>
          <w:top w:val="none" w:sz="0" w:space="0" w:color="auto"/>
          <w:left w:val="none" w:sz="0" w:space="0" w:color="auto"/>
          <w:bottom w:val="none" w:sz="0" w:space="0" w:color="auto"/>
          <w:right w:val="none" w:sz="0" w:space="0" w:color="auto"/>
          <w:between w:val="none" w:sz="0" w:space="0" w:color="auto"/>
        </w:pBdr>
        <w:rPr>
          <w:color w:val="000000"/>
        </w:rPr>
      </w:pPr>
      <w:r>
        <w:rPr>
          <w:color w:val="000000"/>
        </w:rPr>
        <w:t>They are more adaptive to generative-AI. NHSX should establish transparent career pathways for technical, clinical, managerial and specialist employees. Specialist expertise should be retained through internal vacancies, talent pools, mentoring and succession planning to move them into management reducing the performance exodus.</w:t>
      </w:r>
    </w:p>
    <w:p>
      <w:pPr>
        <w:pStyle w:val="3"/>
      </w:pPr>
      <w:bookmarkStart w:id="15" w:name="_Toc242715893"/>
      <w:r>
        <w:t>B.1.5 Job Crafting</w:t>
      </w:r>
      <w:bookmarkEnd w:id="15"/>
    </w:p>
    <w:p>
      <w:pPr>
        <w:pBdr>
          <w:top w:val="none" w:sz="0" w:space="0" w:color="auto"/>
          <w:left w:val="none" w:sz="0" w:space="0" w:color="auto"/>
          <w:bottom w:val="none" w:sz="0" w:space="0" w:color="auto"/>
          <w:right w:val="none" w:sz="0" w:space="0" w:color="auto"/>
          <w:between w:val="none" w:sz="0" w:space="0" w:color="auto"/>
        </w:pBdr>
        <w:rPr>
          <w:color w:val="000000"/>
        </w:rPr>
      </w:pPr>
      <w:r>
        <w:rPr>
          <w:color w:val="000000"/>
        </w:rPr>
        <w:t>According to Job Crafting theory, employees are able to take the initiative to change some elements of their jobs so that they will match their skills (Song and Jo, 2023). NHSX can implement this theory by providing employees with some assignments that challenge their abilities, some cross-functional projects, or even give them a chance to participate in innovation sprints. However, this practice has to remain within the legal framework of healthcare to ensure that independence will not make any harm any to any other stakeholders.</w:t>
      </w:r>
    </w:p>
    <w:p>
      <w:pPr>
        <w:pStyle w:val="3"/>
      </w:pPr>
      <w:bookmarkStart w:id="16" w:name="_Toc242715894"/>
      <w:r>
        <w:t>B.1.6 Self-Determination Theory</w:t>
      </w:r>
      <w:bookmarkEnd w:id="16"/>
    </w:p>
    <w:p>
      <w:pPr>
        <w:pBdr>
          <w:top w:val="none" w:sz="0" w:space="0" w:color="auto"/>
          <w:left w:val="none" w:sz="0" w:space="0" w:color="auto"/>
          <w:bottom w:val="none" w:sz="0" w:space="0" w:color="auto"/>
          <w:right w:val="none" w:sz="0" w:space="0" w:color="auto"/>
          <w:between w:val="none" w:sz="0" w:space="0" w:color="auto"/>
        </w:pBdr>
        <w:rPr>
          <w:color w:val="000000"/>
        </w:rPr>
      </w:pPr>
      <w:r>
        <w:rPr>
          <w:color w:val="000000"/>
        </w:rPr>
        <w:t>The Self-Determination Theory emphasises that autonomy, competence, and relatedness are crucial conditions for motivation (Lopez-Garrido, 2023). The NHSX can promote autonomy by allowing the teams to control how the goals are accomplished, enhance employee competence through continuous training and development, and relatedness through mentorship and teamwork. According to report by US Career Institute (2026), 84% of employees believe that learning provides their work with purpose.</w:t>
      </w:r>
    </w:p>
    <w:p>
      <w:pPr>
        <w:pBdr>
          <w:top w:val="none" w:sz="0" w:space="0" w:color="auto"/>
          <w:left w:val="none" w:sz="0" w:space="0" w:color="auto"/>
          <w:bottom w:val="none" w:sz="0" w:space="0" w:color="auto"/>
          <w:right w:val="none" w:sz="0" w:space="0" w:color="auto"/>
          <w:between w:val="none" w:sz="0" w:space="0" w:color="auto"/>
        </w:pBdr>
        <w:jc w:val="center"/>
        <w:rPr>
          <w:color w:val="000000"/>
        </w:rPr>
      </w:pPr>
      <w:r>
        <w:rPr>
          <w:color w:val="000000"/>
        </w:rPr>
        <w:drawing>
          <wp:inline distT="0" distB="0" distL="0" distR="0">
            <wp:extent cx="5731510" cy="3040271"/>
            <wp:effectExtent l="0" t="0" r="0" b="0"/>
            <wp:docPr id="16" name="图片 16"/>
            <wp:cNvGraphicFramePr>
              <a:graphicFrameLocks noChangeAspect="0"/>
            </wp:cNvGraphicFramePr>
            <a:graphic>
              <a:graphicData uri="http://schemas.openxmlformats.org/drawingml/2006/picture">
                <pic:pic>
                  <pic:nvPicPr>
                    <pic:cNvPr id="18" name="图片 18"/>
                    <pic:cNvPicPr/>
                  </pic:nvPicPr>
                  <pic:blipFill>
                    <a:blip r:embed="rId8"/>
                    <a:stretch>
                      <a:fillRect/>
                    </a:stretch>
                  </pic:blipFill>
                  <pic:spPr>
                    <a:xfrm rot="0">
                      <a:off x="0" y="0"/>
                      <a:ext cx="5731510" cy="3040271"/>
                    </a:xfrm>
                    <a:prstGeom prst="rect"/>
                    <a:noFill/>
                    <a:ln w="38100" cmpd="sng" cap="flat">
                      <a:solidFill>
                        <a:srgbClr val="000000"/>
                      </a:solidFill>
                      <a:prstDash val="solid"/>
                      <a:round/>
                    </a:ln>
                  </pic:spPr>
                </pic:pic>
              </a:graphicData>
            </a:graphic>
          </wp:inline>
        </w:drawing>
      </w:r>
    </w:p>
    <w:p>
      <w:pPr>
        <w:pBdr>
          <w:top w:val="none" w:sz="0" w:space="0" w:color="auto"/>
          <w:left w:val="none" w:sz="0" w:space="0" w:color="auto"/>
          <w:bottom w:val="none" w:sz="0" w:space="0" w:color="auto"/>
          <w:right w:val="none" w:sz="0" w:space="0" w:color="auto"/>
          <w:between w:val="none" w:sz="0" w:space="0" w:color="auto"/>
        </w:pBdr>
        <w:jc w:val="center"/>
        <w:rPr>
          <w:b/>
          <w:bCs/>
          <w:color w:val="000000"/>
        </w:rPr>
      </w:pPr>
      <w:r>
        <w:rPr>
          <w:b/>
          <w:bCs/>
          <w:color w:val="000000"/>
        </w:rPr>
        <w:t>Figure 5: Importance of learning at Work</w:t>
      </w:r>
    </w:p>
    <w:p>
      <w:pPr>
        <w:pBdr>
          <w:top w:val="none" w:sz="0" w:space="0" w:color="auto"/>
          <w:left w:val="none" w:sz="0" w:space="0" w:color="auto"/>
          <w:bottom w:val="none" w:sz="0" w:space="0" w:color="auto"/>
          <w:right w:val="none" w:sz="0" w:space="0" w:color="auto"/>
          <w:between w:val="none" w:sz="0" w:space="0" w:color="auto"/>
        </w:pBdr>
        <w:jc w:val="center"/>
        <w:rPr>
          <w:color w:val="000000"/>
        </w:rPr>
      </w:pPr>
      <w:r>
        <w:rPr>
          <w:color w:val="000000"/>
        </w:rPr>
        <w:t>(Source: US Career Institute, 2026)</w:t>
      </w:r>
    </w:p>
    <w:p>
      <w:pPr>
        <w:pStyle w:val="3"/>
      </w:pPr>
      <w:bookmarkStart w:id="17" w:name="_Toc242715895"/>
      <w:r>
        <w:t>B.1.7 Employee Experience (EX)</w:t>
      </w:r>
      <w:bookmarkEnd w:id="17"/>
    </w:p>
    <w:p>
      <w:pPr>
        <w:pBdr>
          <w:top w:val="none" w:sz="0" w:space="0" w:color="auto"/>
          <w:left w:val="none" w:sz="0" w:space="0" w:color="auto"/>
          <w:bottom w:val="none" w:sz="0" w:space="0" w:color="auto"/>
          <w:right w:val="none" w:sz="0" w:space="0" w:color="auto"/>
          <w:between w:val="none" w:sz="0" w:space="0" w:color="auto"/>
        </w:pBdr>
        <w:rPr>
          <w:color w:val="000000"/>
        </w:rPr>
      </w:pPr>
      <w:r>
        <w:rPr>
          <w:color w:val="000000"/>
        </w:rPr>
        <w:t>To enhance employee experience NHSX needs to focus on employee journey which starts from recruitment and on-boarding and continues to development, career progression, performance, and wellbeing. Employee experience is important for hybrid international organisations because within this type of organisations face issues regarding job satisfaction (Haruna et al., 2026). Hence, it is important for NHSX monitor employee experience with the help of clear conversation, retention data, regular service, and dwelling indicators, identifying barriers to growth.</w:t>
      </w:r>
    </w:p>
    <w:p>
      <w:pPr>
        <w:pStyle w:val="2"/>
      </w:pPr>
      <w:bookmarkStart w:id="18" w:name="_Toc242715896"/>
      <w:r>
        <w:t>B.2 Comprehensive Talent Growth Strategy for NHSX</w:t>
      </w:r>
      <w:bookmarkEnd w:id="18"/>
    </w:p>
    <w:p>
      <w:pPr>
        <w:pBdr>
          <w:top w:val="none" w:sz="0" w:space="0" w:color="auto"/>
          <w:left w:val="none" w:sz="0" w:space="0" w:color="auto"/>
          <w:bottom w:val="none" w:sz="0" w:space="0" w:color="auto"/>
          <w:right w:val="none" w:sz="0" w:space="0" w:color="auto"/>
          <w:between w:val="none" w:sz="0" w:space="0" w:color="auto"/>
        </w:pBdr>
        <w:rPr>
          <w:color w:val="000000"/>
        </w:rPr>
      </w:pPr>
      <w:r>
        <w:rPr>
          <w:color w:val="000000"/>
        </w:rPr>
        <w:t>NHSX can develop an integrated talent growth ecosystem with the help of following initiatives:</w:t>
      </w:r>
    </w:p>
    <w:p>
      <w:pPr>
        <w:pBdr>
          <w:top w:val="none" w:sz="0" w:space="0" w:color="auto"/>
          <w:left w:val="none" w:sz="0" w:space="0" w:color="auto"/>
          <w:bottom w:val="none" w:sz="0" w:space="0" w:color="auto"/>
          <w:right w:val="none" w:sz="0" w:space="0" w:color="auto"/>
          <w:between w:val="none" w:sz="0" w:space="0" w:color="auto"/>
        </w:pBdr>
        <w:rPr>
          <w:color w:val="000000"/>
        </w:rPr>
      </w:pPr>
      <w:r>
        <w:rPr>
          <w:b/>
          <w:bCs/>
          <w:color w:val="000000"/>
        </w:rPr>
        <w:t>1. Skills-based career architecture:</w:t>
      </w:r>
      <w:r>
        <w:rPr>
          <w:color w:val="000000"/>
        </w:rPr>
        <w:t xml:space="preserve"> NHSX can develop transparent carrier pathways for several job roles like engineering, cyber security, clinical, and leadership roles. It is important for the organisation to ensure that employees receive individual development plans regarding future organisational capabilities (Trainingindustry, 2022). The organisation should also advertise internal vacancies and project opportunities to increase mobility.</w:t>
      </w:r>
    </w:p>
    <w:p>
      <w:pPr>
        <w:pBdr>
          <w:top w:val="none" w:sz="0" w:space="0" w:color="auto"/>
          <w:left w:val="none" w:sz="0" w:space="0" w:color="auto"/>
          <w:bottom w:val="none" w:sz="0" w:space="0" w:color="auto"/>
          <w:right w:val="none" w:sz="0" w:space="0" w:color="auto"/>
          <w:between w:val="none" w:sz="0" w:space="0" w:color="auto"/>
        </w:pBdr>
        <w:rPr>
          <w:color w:val="000000"/>
        </w:rPr>
      </w:pPr>
      <w:r>
        <w:rPr>
          <w:b/>
          <w:bCs/>
          <w:color w:val="000000"/>
        </w:rPr>
        <w:t>2. Continuous learning and reskilling:</w:t>
      </w:r>
      <w:r>
        <w:rPr>
          <w:color w:val="000000"/>
        </w:rPr>
        <w:t xml:space="preserve"> It is important for NHSX to introduce digital learning platforms, cross functional development programs, and technical academies. The organisation should prioritise AI capability because the rapid change of technology job requirements is also changing. As reported by Digital Applied Team (2026), 80% of workforce needs AI training or up-skilling by 2027, forcing NHSX to combine formal training with learning through digital projects.</w:t>
      </w:r>
    </w:p>
    <w:p>
      <w:pPr>
        <w:pBdr>
          <w:top w:val="none" w:sz="0" w:space="0" w:color="auto"/>
          <w:left w:val="none" w:sz="0" w:space="0" w:color="auto"/>
          <w:bottom w:val="none" w:sz="0" w:space="0" w:color="auto"/>
          <w:right w:val="none" w:sz="0" w:space="0" w:color="auto"/>
          <w:between w:val="none" w:sz="0" w:space="0" w:color="auto"/>
        </w:pBdr>
        <w:jc w:val="center"/>
        <w:rPr>
          <w:color w:val="000000"/>
        </w:rPr>
      </w:pPr>
      <w:r>
        <w:rPr>
          <w:color w:val="000000"/>
        </w:rPr>
        <w:drawing>
          <wp:inline distT="0" distB="0" distL="0" distR="0">
            <wp:extent cx="5372371" cy="3210796"/>
            <wp:effectExtent l="0" t="0" r="0" b="0"/>
            <wp:docPr id="19" name="图片 19"/>
            <wp:cNvGraphicFramePr>
              <a:graphicFrameLocks noChangeAspect="0"/>
            </wp:cNvGraphicFramePr>
            <a:graphic>
              <a:graphicData uri="http://schemas.openxmlformats.org/drawingml/2006/picture">
                <pic:pic>
                  <pic:nvPicPr>
                    <pic:cNvPr id="21" name="图片 21"/>
                    <pic:cNvPicPr/>
                  </pic:nvPicPr>
                  <pic:blipFill>
                    <a:blip r:embed="rId9"/>
                    <a:stretch>
                      <a:fillRect/>
                    </a:stretch>
                  </pic:blipFill>
                  <pic:spPr>
                    <a:xfrm rot="0">
                      <a:off x="0" y="0"/>
                      <a:ext cx="5372371" cy="3210796"/>
                    </a:xfrm>
                    <a:prstGeom prst="rect"/>
                    <a:noFill/>
                    <a:ln w="38100" cmpd="sng" cap="flat">
                      <a:solidFill>
                        <a:srgbClr val="000000"/>
                      </a:solidFill>
                      <a:prstDash val="solid"/>
                      <a:round/>
                    </a:ln>
                  </pic:spPr>
                </pic:pic>
              </a:graphicData>
            </a:graphic>
          </wp:inline>
        </w:drawing>
      </w:r>
    </w:p>
    <w:p>
      <w:pPr>
        <w:pBdr>
          <w:top w:val="none" w:sz="0" w:space="0" w:color="auto"/>
          <w:left w:val="none" w:sz="0" w:space="0" w:color="auto"/>
          <w:bottom w:val="none" w:sz="0" w:space="0" w:color="auto"/>
          <w:right w:val="none" w:sz="0" w:space="0" w:color="auto"/>
          <w:between w:val="none" w:sz="0" w:space="0" w:color="auto"/>
        </w:pBdr>
        <w:jc w:val="center"/>
        <w:rPr>
          <w:b/>
          <w:bCs/>
          <w:color w:val="000000"/>
        </w:rPr>
      </w:pPr>
      <w:r>
        <w:rPr>
          <w:b/>
          <w:bCs/>
          <w:color w:val="000000"/>
        </w:rPr>
        <w:t>Figure 6: Requirement for AI Training</w:t>
      </w:r>
    </w:p>
    <w:p>
      <w:pPr>
        <w:pBdr>
          <w:top w:val="none" w:sz="0" w:space="0" w:color="auto"/>
          <w:left w:val="none" w:sz="0" w:space="0" w:color="auto"/>
          <w:bottom w:val="none" w:sz="0" w:space="0" w:color="auto"/>
          <w:right w:val="none" w:sz="0" w:space="0" w:color="auto"/>
          <w:between w:val="none" w:sz="0" w:space="0" w:color="auto"/>
        </w:pBdr>
        <w:jc w:val="center"/>
        <w:rPr>
          <w:color w:val="000000"/>
        </w:rPr>
      </w:pPr>
      <w:r>
        <w:rPr>
          <w:color w:val="000000"/>
        </w:rPr>
        <w:t>(Source: Digital Applied Team, 2026)</w:t>
      </w:r>
    </w:p>
    <w:p>
      <w:pPr>
        <w:pBdr>
          <w:top w:val="none" w:sz="0" w:space="0" w:color="auto"/>
          <w:left w:val="none" w:sz="0" w:space="0" w:color="auto"/>
          <w:bottom w:val="none" w:sz="0" w:space="0" w:color="auto"/>
          <w:right w:val="none" w:sz="0" w:space="0" w:color="auto"/>
          <w:between w:val="none" w:sz="0" w:space="0" w:color="auto"/>
        </w:pBdr>
        <w:rPr>
          <w:color w:val="000000"/>
        </w:rPr>
      </w:pPr>
      <w:r>
        <w:rPr>
          <w:b/>
          <w:bCs/>
          <w:color w:val="000000"/>
        </w:rPr>
        <w:t>3. Mentoring and career coaching:</w:t>
      </w:r>
      <w:r>
        <w:rPr>
          <w:color w:val="000000"/>
        </w:rPr>
        <w:t xml:space="preserve"> NHSX should ensure that every employee has access to regular carrier conversation and managers are trained as career coaches. This is crucial for NHSX as according to report only 15% of employees mention that their managers support them to develop a career plan in previous 6 months (Saharia and Rabha, 2026).</w:t>
      </w:r>
    </w:p>
    <w:p>
      <w:pPr>
        <w:pBdr>
          <w:top w:val="none" w:sz="0" w:space="0" w:color="auto"/>
          <w:left w:val="none" w:sz="0" w:space="0" w:color="auto"/>
          <w:bottom w:val="none" w:sz="0" w:space="0" w:color="auto"/>
          <w:right w:val="none" w:sz="0" w:space="0" w:color="auto"/>
          <w:between w:val="none" w:sz="0" w:space="0" w:color="auto"/>
        </w:pBdr>
        <w:rPr>
          <w:color w:val="000000"/>
        </w:rPr>
      </w:pPr>
      <w:r>
        <w:rPr>
          <w:b/>
          <w:bCs/>
          <w:color w:val="000000"/>
        </w:rPr>
        <w:t>4. Talent mobility and stretch opportunities:</w:t>
      </w:r>
      <w:r>
        <w:rPr>
          <w:color w:val="000000"/>
        </w:rPr>
        <w:t xml:space="preserve"> By establishing an internal talent marketplaces NHSX can help employees to join short term projects, cross functional assignments, and innovation sprints, enhancing retention and mobility (Lynch, 2025). This will help in job crafting as well as develop organisational capabilities. The organisation needs to ensure that high potential employees receive mentoring, strategic projects, and leadership exposure but they should not be forced into immediate managerial roles.</w:t>
      </w:r>
    </w:p>
    <w:p>
      <w:pPr>
        <w:pBdr>
          <w:top w:val="none" w:sz="0" w:space="0" w:color="auto"/>
          <w:left w:val="none" w:sz="0" w:space="0" w:color="auto"/>
          <w:bottom w:val="none" w:sz="0" w:space="0" w:color="auto"/>
          <w:right w:val="none" w:sz="0" w:space="0" w:color="auto"/>
          <w:between w:val="none" w:sz="0" w:space="0" w:color="auto"/>
        </w:pBdr>
        <w:rPr>
          <w:color w:val="000000"/>
        </w:rPr>
      </w:pPr>
      <w:bookmarkStart w:id="19" w:name="_j25nt73hzeyx"/>
      <w:bookmarkEnd w:id="19"/>
      <w:r>
        <w:rPr>
          <w:b/>
          <w:bCs/>
          <w:color w:val="000000"/>
        </w:rPr>
        <w:t>5. Inclusive and psychologically safe employee experience:</w:t>
      </w:r>
      <w:r>
        <w:rPr>
          <w:color w:val="000000"/>
        </w:rPr>
        <w:t xml:space="preserve"> It is important for NHSX to develop confidential feedback channels, regular listening mechanisms, and innovation forums. It is responsibility of managers to encourage experimentation and offering feedback on challenging tasks (Kim and Yoon, 2025). They should also ensure that remote employees got equal chances of development as well as promotional opportunities. NHSX should ensure that employee experience should be monitored with the help of several indicators like learning participation, engagement, internal mobility, turnover rate, and wellbeing.</w:t>
      </w:r>
      <w:r>
        <w:br w:type="page"/>
      </w:r>
    </w:p>
    <w:p>
      <w:pPr>
        <w:pStyle w:val="1"/>
        <w:spacing w:before="0"/>
      </w:pPr>
      <w:bookmarkStart w:id="20" w:name="_ahiuxagho9us"/>
      <w:bookmarkStart w:id="21" w:name="_Toc242715897"/>
      <w:bookmarkEnd w:id="20"/>
      <w:r>
        <w:t>TASK C: Reflective Report</w:t>
      </w:r>
      <w:bookmarkEnd w:id="21"/>
    </w:p>
    <w:p>
      <w:pPr>
        <w:pStyle w:val="1"/>
        <w:spacing w:before="0"/>
      </w:pPr>
      <w:bookmarkStart w:id="22" w:name="_ue1nla2u87pb"/>
      <w:bookmarkEnd w:id="22"/>
      <w:r>
        <w:t xml:space="preserve"> </w:t>
      </w:r>
      <w:bookmarkStart w:id="23" w:name="_Toc242715898"/>
      <w:r>
        <w:t>Introduction</w:t>
      </w:r>
      <w:bookmarkEnd w:id="23"/>
    </w:p>
    <w:p>
      <w:pPr>
        <w:pBdr>
          <w:top w:val="none" w:sz="0" w:space="0" w:color="auto"/>
          <w:left w:val="none" w:sz="0" w:space="0" w:color="auto"/>
          <w:bottom w:val="none" w:sz="0" w:space="0" w:color="auto"/>
          <w:right w:val="none" w:sz="0" w:space="0" w:color="auto"/>
          <w:between w:val="none" w:sz="0" w:space="0" w:color="auto"/>
        </w:pBdr>
        <w:spacing w:after="0"/>
        <w:rPr>
          <w:color w:val="000000"/>
        </w:rPr>
      </w:pPr>
      <w:r>
        <w:rPr>
          <w:color w:val="000000"/>
        </w:rPr>
        <w:t>As an aspiring Human Resource Management practitioner, building up such skills as digital, analytical, and interpersonal skills is extremely important. The reflection will examine the impact of Artificial Intelligence on the development of one’s professional skills through the use of Driscoll’s What? So What? Now What? framework.</w:t>
      </w:r>
    </w:p>
    <w:p>
      <w:pPr>
        <w:pStyle w:val="2"/>
        <w:spacing w:before="0"/>
      </w:pPr>
      <w:bookmarkStart w:id="24" w:name="_455t0tr0no6p"/>
      <w:bookmarkStart w:id="25" w:name="_Toc242715899"/>
      <w:bookmarkEnd w:id="24"/>
      <w:r>
        <w:t>C.1 AI as a Strategic Tool:</w:t>
      </w:r>
      <w:bookmarkEnd w:id="25"/>
      <w:r>
        <w:t xml:space="preserve"> </w:t>
      </w:r>
    </w:p>
    <w:p>
      <w:pPr>
        <w:pBdr>
          <w:top w:val="none" w:sz="0" w:space="0" w:color="auto"/>
          <w:left w:val="none" w:sz="0" w:space="0" w:color="auto"/>
          <w:bottom w:val="none" w:sz="0" w:space="0" w:color="auto"/>
          <w:right w:val="none" w:sz="0" w:space="0" w:color="auto"/>
          <w:between w:val="none" w:sz="0" w:space="0" w:color="auto"/>
        </w:pBdr>
        <w:spacing w:after="0"/>
        <w:rPr>
          <w:color w:val="000000"/>
        </w:rPr>
      </w:pPr>
      <w:r>
        <w:rPr>
          <w:color w:val="000000"/>
        </w:rPr>
        <w:t>AI can assist HRM through analysis of data regarding the workforce, identifying skills deficits, recruiting as well as developing employees (Shaji and Jeggumantri, 2026). Nevertheless, it must only complement human judgement and not replace it. The HRM specialists need to assess the AI suggestions for any signs of bias, accuracy, and fairness. In ethical HRM, the values of transparency, privacy, accountability and empathy are important (Marko and Kasa, 2025).</w:t>
      </w:r>
    </w:p>
    <w:p>
      <w:pPr>
        <w:pStyle w:val="2"/>
        <w:spacing w:before="0"/>
      </w:pPr>
      <w:bookmarkStart w:id="26" w:name="_jll49pwxl3o"/>
      <w:bookmarkStart w:id="27" w:name="_Toc242715900"/>
      <w:bookmarkEnd w:id="26"/>
      <w:r>
        <w:t>C.2 Reflective Analysis:</w:t>
      </w:r>
      <w:bookmarkEnd w:id="27"/>
    </w:p>
    <w:p>
      <w:pPr>
        <w:spacing w:after="0"/>
        <w:rPr>
          <w:b/>
          <w:bCs/>
        </w:rPr>
      </w:pPr>
      <w:r>
        <w:rPr>
          <w:b/>
          <w:bCs/>
        </w:rPr>
        <w:t>What?</w:t>
      </w:r>
    </w:p>
    <w:p>
      <w:pPr>
        <w:pBdr>
          <w:top w:val="none" w:sz="0" w:space="0" w:color="auto"/>
          <w:left w:val="none" w:sz="0" w:space="0" w:color="auto"/>
          <w:bottom w:val="none" w:sz="0" w:space="0" w:color="auto"/>
          <w:right w:val="none" w:sz="0" w:space="0" w:color="auto"/>
          <w:between w:val="none" w:sz="0" w:space="0" w:color="auto"/>
        </w:pBdr>
        <w:spacing w:after="0"/>
        <w:rPr>
          <w:color w:val="000000"/>
        </w:rPr>
      </w:pPr>
      <w:r>
        <w:rPr>
          <w:color w:val="000000"/>
        </w:rPr>
        <w:t>Firstly, I employed AI to find out potential solutions for the problem related to employee engagement. In this way, AI enabled me to think about the problem from various angles and develop my problem-solving skills. Nonetheless, the lack of the ability to understand emotions and situations of a company made me realise the significance of human empathy.</w:t>
      </w:r>
    </w:p>
    <w:p>
      <w:pPr>
        <w:pBdr>
          <w:top w:val="none" w:sz="0" w:space="0" w:color="auto"/>
          <w:left w:val="none" w:sz="0" w:space="0" w:color="auto"/>
          <w:bottom w:val="none" w:sz="0" w:space="0" w:color="auto"/>
          <w:right w:val="none" w:sz="0" w:space="0" w:color="auto"/>
          <w:between w:val="none" w:sz="0" w:space="0" w:color="auto"/>
        </w:pBdr>
        <w:spacing w:after="0"/>
        <w:rPr>
          <w:color w:val="000000"/>
        </w:rPr>
      </w:pPr>
      <w:r>
        <w:rPr>
          <w:color w:val="000000"/>
        </w:rPr>
        <w:t xml:space="preserve">In addition, AI was used in generating ideas related to workforce planning, talent management, and innovative ways of working. </w:t>
      </w:r>
    </w:p>
    <w:p>
      <w:pPr>
        <w:pBdr>
          <w:top w:val="none" w:sz="0" w:space="0" w:color="auto"/>
          <w:left w:val="none" w:sz="0" w:space="0" w:color="auto"/>
          <w:bottom w:val="none" w:sz="0" w:space="0" w:color="auto"/>
          <w:right w:val="none" w:sz="0" w:space="0" w:color="auto"/>
          <w:between w:val="none" w:sz="0" w:space="0" w:color="auto"/>
        </w:pBdr>
        <w:spacing w:after="0"/>
        <w:rPr>
          <w:color w:val="000000"/>
        </w:rPr>
      </w:pPr>
      <w:r>
        <w:rPr>
          <w:color w:val="000000"/>
        </w:rPr>
        <w:t>Thirdly, I applied artificial intelligence to come up with ideas that could be used to increase employee engagement in the organisation. It broadened my horizons in coming up with ways of motivating and engaging employees. But some of the recommendations were very generic and taught me that good HR decision-making depends on organisational experience and employee input.</w:t>
      </w:r>
    </w:p>
    <w:p>
      <w:pPr>
        <w:pBdr>
          <w:top w:val="none" w:sz="0" w:space="0" w:color="auto"/>
          <w:left w:val="none" w:sz="0" w:space="0" w:color="auto"/>
          <w:bottom w:val="none" w:sz="0" w:space="0" w:color="auto"/>
          <w:right w:val="none" w:sz="0" w:space="0" w:color="auto"/>
          <w:between w:val="none" w:sz="0" w:space="0" w:color="auto"/>
        </w:pBdr>
        <w:spacing w:after="0"/>
        <w:rPr>
          <w:color w:val="000000"/>
        </w:rPr>
      </w:pPr>
      <w:r>
        <w:rPr>
          <w:b/>
          <w:bCs/>
          <w:color w:val="000000"/>
        </w:rPr>
        <w:t>So What?</w:t>
      </w:r>
      <w:r>
        <w:rPr>
          <w:color w:val="000000"/>
        </w:rPr>
        <w:t xml:space="preserve"> From these experiences, I learned that AI is useful when it comes to being efficient and providing learning opportunities, but AI must augment and not replace human skills. Ethics, empathy, evaluation, and responsibility are important qualities of an HR expert (Schmitz, 2026).</w:t>
      </w:r>
    </w:p>
    <w:p>
      <w:pPr>
        <w:pBdr>
          <w:top w:val="none" w:sz="0" w:space="0" w:color="auto"/>
          <w:left w:val="none" w:sz="0" w:space="0" w:color="auto"/>
          <w:bottom w:val="none" w:sz="0" w:space="0" w:color="auto"/>
          <w:right w:val="none" w:sz="0" w:space="0" w:color="auto"/>
          <w:between w:val="none" w:sz="0" w:space="0" w:color="auto"/>
        </w:pBdr>
        <w:spacing w:after="0"/>
        <w:rPr>
          <w:color w:val="000000"/>
        </w:rPr>
      </w:pPr>
      <w:r>
        <w:rPr>
          <w:b/>
          <w:bCs/>
          <w:color w:val="000000"/>
        </w:rPr>
        <w:t>Now What?</w:t>
      </w:r>
      <w:r>
        <w:rPr>
          <w:color w:val="000000"/>
        </w:rPr>
        <w:t xml:space="preserve"> To develop my problem-solving, communication and analytical skills, I will use AI technology to confirm that its findings are correct. In addition, emotional intelligence and critical thinking will be developed to ensure that technology does not substitute professional HR decision making.</w:t>
      </w:r>
    </w:p>
    <w:p>
      <w:pPr>
        <w:pStyle w:val="2"/>
        <w:spacing w:before="0"/>
      </w:pPr>
      <w:bookmarkStart w:id="28" w:name="_m1m8ojhxqgu0"/>
      <w:bookmarkStart w:id="29" w:name="_Toc242715901"/>
      <w:bookmarkEnd w:id="28"/>
      <w:r>
        <w:t>C.3 Personal Action Plan:</w:t>
      </w:r>
      <w:bookmarkEnd w:id="29"/>
      <w:r>
        <w:t xml:space="preserve"> </w:t>
      </w:r>
    </w:p>
    <w:p>
      <w:pPr>
        <w:pBdr>
          <w:top w:val="none" w:sz="0" w:space="0" w:color="auto"/>
          <w:left w:val="none" w:sz="0" w:space="0" w:color="auto"/>
          <w:bottom w:val="none" w:sz="0" w:space="0" w:color="auto"/>
          <w:right w:val="none" w:sz="0" w:space="0" w:color="auto"/>
          <w:between w:val="none" w:sz="0" w:space="0" w:color="auto"/>
        </w:pBdr>
        <w:spacing w:after="0"/>
        <w:rPr>
          <w:color w:val="000000"/>
        </w:rPr>
      </w:pPr>
      <w:r>
        <w:rPr>
          <w:color w:val="000000"/>
        </w:rPr>
        <w:t xml:space="preserve">My personal competency development plan of mine aims at enhancing my capabilities in digital literacy, analytical skills, communication, and interpersonal competencies for HRM roles in the future. First, I am going to enhance my capabilities in terms of AI literacy via taking relevant online courses and applying AI tools responsibly. Second, I am going to develop my analytical skills by means of acquiring knowledge about advanced Excel and SPSS software. Third, I am going to enhance my communication competencies via making presentations and conducting discussions. Fourth, I am going to increase my emotional intelligence through feedback, active listening and proper conflict management. </w:t>
      </w:r>
    </w:p>
    <w:p>
      <w:pPr>
        <w:pStyle w:val="1"/>
        <w:spacing w:before="0"/>
      </w:pPr>
      <w:bookmarkStart w:id="30" w:name="_xgbq4xpp1kx4"/>
      <w:bookmarkStart w:id="31" w:name="_Toc242715902"/>
      <w:bookmarkEnd w:id="30"/>
      <w:r>
        <w:t>Conclusion</w:t>
      </w:r>
      <w:bookmarkEnd w:id="31"/>
    </w:p>
    <w:p>
      <w:pPr>
        <w:pBdr>
          <w:top w:val="none" w:sz="0" w:space="0" w:color="auto"/>
          <w:left w:val="none" w:sz="0" w:space="0" w:color="auto"/>
          <w:bottom w:val="none" w:sz="0" w:space="0" w:color="auto"/>
          <w:right w:val="none" w:sz="0" w:space="0" w:color="auto"/>
          <w:between w:val="none" w:sz="0" w:space="0" w:color="auto"/>
        </w:pBdr>
        <w:spacing w:after="0"/>
        <w:rPr>
          <w:color w:val="000000"/>
        </w:rPr>
      </w:pPr>
      <w:r>
        <w:rPr>
          <w:color w:val="000000"/>
        </w:rPr>
        <w:t>In summary, there is potential for AI to enhance HRM efficiency, but human discretion is always needed. This reflective process brings into focus the need for critical thought, empathy, ethics, and digital literacy. Ongoing learning and self-improvement are key to my future employment and HRM capability.</w:t>
      </w:r>
    </w:p>
    <w:p>
      <w:pPr>
        <w:pBdr>
          <w:top w:val="none" w:sz="0" w:space="0" w:color="auto"/>
          <w:left w:val="none" w:sz="0" w:space="0" w:color="auto"/>
          <w:bottom w:val="none" w:sz="0" w:space="0" w:color="auto"/>
          <w:right w:val="none" w:sz="0" w:space="0" w:color="auto"/>
          <w:between w:val="none" w:sz="0" w:space="0" w:color="auto"/>
        </w:pBdr>
        <w:spacing w:after="0"/>
        <w:rPr>
          <w:color w:val="000000"/>
        </w:rPr>
      </w:pPr>
    </w:p>
    <w:p>
      <w:pPr>
        <w:pBdr>
          <w:top w:val="none" w:sz="0" w:space="0" w:color="auto"/>
          <w:left w:val="none" w:sz="0" w:space="0" w:color="auto"/>
          <w:bottom w:val="none" w:sz="0" w:space="0" w:color="auto"/>
          <w:right w:val="none" w:sz="0" w:space="0" w:color="auto"/>
          <w:between w:val="none" w:sz="0" w:space="0" w:color="auto"/>
        </w:pBdr>
        <w:rPr>
          <w:color w:val="000000"/>
        </w:rPr>
      </w:pPr>
      <w:r>
        <w:br w:type="page"/>
      </w:r>
    </w:p>
    <w:p>
      <w:pPr>
        <w:pStyle w:val="1"/>
      </w:pPr>
      <w:bookmarkStart w:id="32" w:name="_Toc242715903"/>
      <w:r>
        <w:t>Reference list</w:t>
      </w:r>
      <w:bookmarkEnd w:id="32"/>
    </w:p>
    <w:p>
      <w:pPr>
        <w:pBdr>
          <w:top w:val="none" w:sz="0" w:space="0" w:color="auto"/>
          <w:left w:val="none" w:sz="0" w:space="0" w:color="auto"/>
          <w:bottom w:val="none" w:sz="0" w:space="0" w:color="auto"/>
          <w:right w:val="none" w:sz="0" w:space="0" w:color="auto"/>
          <w:between w:val="none" w:sz="0" w:space="0" w:color="auto"/>
        </w:pBdr>
        <w:spacing w:after="0"/>
        <w:rPr>
          <w:color w:val="000000"/>
        </w:rPr>
      </w:pPr>
      <w:r>
        <w:rPr>
          <w:color w:val="000000"/>
        </w:rPr>
        <w:t xml:space="preserve">AIHR (2026). </w:t>
      </w:r>
      <w:r>
        <w:rPr>
          <w:i/>
          <w:iCs/>
          <w:color w:val="000000"/>
        </w:rPr>
        <w:t>Contemporary organizational design</w:t>
      </w:r>
      <w:r>
        <w:rPr>
          <w:color w:val="000000"/>
        </w:rPr>
        <w:t>. [online] AIHR. Available at: https://www.aihr.com/hr-glossary/contemporary-organizational-design/.</w:t>
      </w:r>
    </w:p>
    <w:p>
      <w:pPr>
        <w:pBdr>
          <w:top w:val="none" w:sz="0" w:space="0" w:color="auto"/>
          <w:left w:val="none" w:sz="0" w:space="0" w:color="auto"/>
          <w:bottom w:val="none" w:sz="0" w:space="0" w:color="auto"/>
          <w:right w:val="none" w:sz="0" w:space="0" w:color="auto"/>
          <w:between w:val="none" w:sz="0" w:space="0" w:color="auto"/>
        </w:pBdr>
        <w:spacing w:after="0"/>
        <w:rPr>
          <w:color w:val="000000"/>
        </w:rPr>
      </w:pPr>
      <w:r>
        <w:rPr>
          <w:color w:val="000000"/>
        </w:rPr>
        <w:t xml:space="preserve">Alqudah, I.H.A., Penela, A.C. and Sanmartín, E.R. (2022). High-performance human resource management practices and readiness for change: An integrative model including affective commitment, employees’ performance, and the moderating role of hierarchy culture. </w:t>
      </w:r>
      <w:r>
        <w:rPr>
          <w:i/>
          <w:iCs/>
          <w:color w:val="000000"/>
        </w:rPr>
        <w:t>European Research on Management and Business Economics</w:t>
      </w:r>
      <w:r>
        <w:rPr>
          <w:color w:val="000000"/>
        </w:rPr>
        <w:t>, [online] 28(1). doi:https://doi.org/10.1016/j.iedeen.2021.100177.</w:t>
      </w:r>
    </w:p>
    <w:p>
      <w:pPr>
        <w:pBdr>
          <w:top w:val="none" w:sz="0" w:space="0" w:color="auto"/>
          <w:left w:val="none" w:sz="0" w:space="0" w:color="auto"/>
          <w:bottom w:val="none" w:sz="0" w:space="0" w:color="auto"/>
          <w:right w:val="none" w:sz="0" w:space="0" w:color="auto"/>
          <w:between w:val="none" w:sz="0" w:space="0" w:color="auto"/>
        </w:pBdr>
        <w:spacing w:after="0"/>
        <w:rPr>
          <w:color w:val="000000"/>
        </w:rPr>
      </w:pPr>
      <w:r>
        <w:rPr>
          <w:color w:val="000000"/>
        </w:rPr>
        <w:t xml:space="preserve">Andriani, R. and Disman, D. (2023). Effects of work overload and job stress on employee performance: Categorical moderation from polychronicity and work environment. </w:t>
      </w:r>
      <w:r>
        <w:rPr>
          <w:i/>
          <w:iCs/>
          <w:color w:val="000000"/>
        </w:rPr>
        <w:t>JPPI (Jurnal Penelitian Pendidikan Indonesia)</w:t>
      </w:r>
      <w:r>
        <w:rPr>
          <w:color w:val="000000"/>
        </w:rPr>
        <w:t>, 9(4), p.378. doi:10.29210/020232185.</w:t>
      </w:r>
    </w:p>
    <w:p>
      <w:pPr>
        <w:pBdr>
          <w:top w:val="none" w:sz="0" w:space="0" w:color="auto"/>
          <w:left w:val="none" w:sz="0" w:space="0" w:color="auto"/>
          <w:bottom w:val="none" w:sz="0" w:space="0" w:color="auto"/>
          <w:right w:val="none" w:sz="0" w:space="0" w:color="auto"/>
          <w:between w:val="none" w:sz="0" w:space="0" w:color="auto"/>
        </w:pBdr>
        <w:spacing w:after="0"/>
        <w:rPr>
          <w:color w:val="000000"/>
        </w:rPr>
      </w:pPr>
      <w:r>
        <w:rPr>
          <w:color w:val="000000"/>
        </w:rPr>
        <w:t xml:space="preserve">Baskin, K. (2023). </w:t>
      </w:r>
      <w:r>
        <w:rPr>
          <w:i/>
          <w:iCs/>
          <w:color w:val="000000"/>
        </w:rPr>
        <w:t>Four steps to building the psychological safety that high-performing teams need</w:t>
      </w:r>
      <w:r>
        <w:rPr>
          <w:color w:val="000000"/>
        </w:rPr>
        <w:t>. [online] Harvard Business School. Available at: https://www.library.hbs.edu/working-knowledge/four-steps-to-build-the-psychological-safety-that-high-performing-teams-need-today.</w:t>
      </w:r>
    </w:p>
    <w:p>
      <w:pPr>
        <w:pBdr>
          <w:top w:val="none" w:sz="0" w:space="0" w:color="auto"/>
          <w:left w:val="none" w:sz="0" w:space="0" w:color="auto"/>
          <w:bottom w:val="none" w:sz="0" w:space="0" w:color="auto"/>
          <w:right w:val="none" w:sz="0" w:space="0" w:color="auto"/>
          <w:between w:val="none" w:sz="0" w:space="0" w:color="auto"/>
        </w:pBdr>
        <w:spacing w:after="0"/>
        <w:rPr>
          <w:color w:val="000000"/>
        </w:rPr>
      </w:pPr>
      <w:r>
        <w:rPr>
          <w:color w:val="000000"/>
        </w:rPr>
        <w:t xml:space="preserve">BLR (2026). </w:t>
      </w:r>
      <w:r>
        <w:rPr>
          <w:i/>
          <w:iCs/>
          <w:color w:val="000000"/>
        </w:rPr>
        <w:t>Professional development trends 2026: What are employees focused on?</w:t>
      </w:r>
      <w:r>
        <w:rPr>
          <w:color w:val="000000"/>
        </w:rPr>
        <w:t xml:space="preserve"> [online] BLR. Available at: https://blr.com/resources/professional-development-trends/.</w:t>
      </w:r>
    </w:p>
    <w:p>
      <w:pPr>
        <w:pBdr>
          <w:top w:val="none" w:sz="0" w:space="0" w:color="auto"/>
          <w:left w:val="none" w:sz="0" w:space="0" w:color="auto"/>
          <w:bottom w:val="none" w:sz="0" w:space="0" w:color="auto"/>
          <w:right w:val="none" w:sz="0" w:space="0" w:color="auto"/>
          <w:between w:val="none" w:sz="0" w:space="0" w:color="auto"/>
        </w:pBdr>
        <w:spacing w:after="0"/>
        <w:rPr>
          <w:color w:val="000000"/>
        </w:rPr>
      </w:pPr>
      <w:r>
        <w:rPr>
          <w:color w:val="000000"/>
        </w:rPr>
        <w:t xml:space="preserve">Cano, J.A. and Zettelmann, A. (2024). </w:t>
      </w:r>
      <w:r>
        <w:rPr>
          <w:i/>
          <w:iCs/>
          <w:color w:val="000000"/>
        </w:rPr>
        <w:t>The importance of multidisciplinary teams in Digital Healthcare</w:t>
      </w:r>
      <w:r>
        <w:rPr>
          <w:color w:val="000000"/>
        </w:rPr>
        <w:t>. [online] @ehealthmgmt. Available at: https://healthmanagement.org/c/healthmanagement/issuearticle/the-importance-of-multidisciplinary-teams-in-digital-healthcare.</w:t>
      </w:r>
    </w:p>
    <w:p>
      <w:pPr>
        <w:pBdr>
          <w:top w:val="none" w:sz="0" w:space="0" w:color="auto"/>
          <w:left w:val="none" w:sz="0" w:space="0" w:color="auto"/>
          <w:bottom w:val="none" w:sz="0" w:space="0" w:color="auto"/>
          <w:right w:val="none" w:sz="0" w:space="0" w:color="auto"/>
          <w:between w:val="none" w:sz="0" w:space="0" w:color="auto"/>
        </w:pBdr>
        <w:spacing w:after="0"/>
        <w:rPr>
          <w:color w:val="000000"/>
        </w:rPr>
      </w:pPr>
      <w:r>
        <w:rPr>
          <w:color w:val="000000"/>
        </w:rPr>
        <w:t xml:space="preserve">Cloke, H. (2026). </w:t>
      </w:r>
      <w:r>
        <w:rPr>
          <w:i/>
          <w:iCs/>
          <w:color w:val="000000"/>
        </w:rPr>
        <w:t>What is a growth mindset? Dweck’s theory, research &amp; how to develop one</w:t>
      </w:r>
      <w:r>
        <w:rPr>
          <w:color w:val="000000"/>
        </w:rPr>
        <w:t>. [online] Growth Engineering. Available at: https://www.growthengineering.co.uk/growth-mindset/.</w:t>
      </w:r>
    </w:p>
    <w:p>
      <w:pPr>
        <w:pBdr>
          <w:top w:val="none" w:sz="0" w:space="0" w:color="auto"/>
          <w:left w:val="none" w:sz="0" w:space="0" w:color="auto"/>
          <w:bottom w:val="none" w:sz="0" w:space="0" w:color="auto"/>
          <w:right w:val="none" w:sz="0" w:space="0" w:color="auto"/>
          <w:between w:val="none" w:sz="0" w:space="0" w:color="auto"/>
        </w:pBdr>
        <w:spacing w:after="0"/>
        <w:rPr>
          <w:color w:val="000000"/>
        </w:rPr>
      </w:pPr>
      <w:r>
        <w:rPr>
          <w:color w:val="000000"/>
        </w:rPr>
        <w:t xml:space="preserve">Cornerstoneondemand (2026). </w:t>
      </w:r>
      <w:r>
        <w:rPr>
          <w:i/>
          <w:iCs/>
          <w:color w:val="000000"/>
        </w:rPr>
        <w:t>8 Reasons why continuous learning is crucial for career growth</w:t>
      </w:r>
      <w:r>
        <w:rPr>
          <w:color w:val="000000"/>
        </w:rPr>
        <w:t>. [online] www.cornerstoneondemand.com. Available at: https://www.cornerstoneondemand.com/resources/article/8-reasons-why-continuous-learning-is-crucial-for-career-growth/.</w:t>
      </w:r>
    </w:p>
    <w:p>
      <w:pPr>
        <w:pBdr>
          <w:top w:val="none" w:sz="0" w:space="0" w:color="auto"/>
          <w:left w:val="none" w:sz="0" w:space="0" w:color="auto"/>
          <w:bottom w:val="none" w:sz="0" w:space="0" w:color="auto"/>
          <w:right w:val="none" w:sz="0" w:space="0" w:color="auto"/>
          <w:between w:val="none" w:sz="0" w:space="0" w:color="auto"/>
        </w:pBdr>
        <w:spacing w:after="0"/>
        <w:rPr>
          <w:color w:val="000000"/>
        </w:rPr>
      </w:pPr>
      <w:r>
        <w:rPr>
          <w:color w:val="000000"/>
        </w:rPr>
        <w:t xml:space="preserve">D2L (2026). </w:t>
      </w:r>
      <w:r>
        <w:rPr>
          <w:i/>
          <w:iCs/>
          <w:color w:val="000000"/>
        </w:rPr>
        <w:t>Employee training statistics and trends to know in 2026</w:t>
      </w:r>
      <w:r>
        <w:rPr>
          <w:color w:val="000000"/>
        </w:rPr>
        <w:t>. [online] D2L. Available at: https://www.d2l.com/blog/employee-training-statistics/.</w:t>
      </w:r>
    </w:p>
    <w:p>
      <w:pPr>
        <w:pBdr>
          <w:top w:val="none" w:sz="0" w:space="0" w:color="auto"/>
          <w:left w:val="none" w:sz="0" w:space="0" w:color="auto"/>
          <w:bottom w:val="none" w:sz="0" w:space="0" w:color="auto"/>
          <w:right w:val="none" w:sz="0" w:space="0" w:color="auto"/>
          <w:between w:val="none" w:sz="0" w:space="0" w:color="auto"/>
        </w:pBdr>
        <w:spacing w:after="0"/>
        <w:rPr>
          <w:color w:val="000000"/>
        </w:rPr>
      </w:pPr>
      <w:r>
        <w:rPr>
          <w:color w:val="000000"/>
        </w:rPr>
        <w:t xml:space="preserve">Daemen, B., Tsilionis, K. and Turetken, O. (2025). Balancing organizational alignment, team autonomy, and control in large-scale agile organizations. </w:t>
      </w:r>
      <w:r>
        <w:rPr>
          <w:i/>
          <w:iCs/>
          <w:color w:val="000000"/>
        </w:rPr>
        <w:t>Information and Software Technology</w:t>
      </w:r>
      <w:r>
        <w:rPr>
          <w:color w:val="000000"/>
        </w:rPr>
        <w:t>, [online] p.107998. doi:10.1016/j.infsof.2025.107998.</w:t>
      </w:r>
    </w:p>
    <w:p>
      <w:pPr>
        <w:pBdr>
          <w:top w:val="none" w:sz="0" w:space="0" w:color="auto"/>
          <w:left w:val="none" w:sz="0" w:space="0" w:color="auto"/>
          <w:bottom w:val="none" w:sz="0" w:space="0" w:color="auto"/>
          <w:right w:val="none" w:sz="0" w:space="0" w:color="auto"/>
          <w:between w:val="none" w:sz="0" w:space="0" w:color="auto"/>
        </w:pBdr>
        <w:spacing w:after="0"/>
        <w:rPr>
          <w:color w:val="000000"/>
        </w:rPr>
      </w:pPr>
      <w:r>
        <w:rPr>
          <w:color w:val="000000"/>
        </w:rPr>
        <w:t xml:space="preserve">Digital Applied Team (2026). </w:t>
      </w:r>
      <w:r>
        <w:rPr>
          <w:i/>
          <w:iCs/>
          <w:color w:val="000000"/>
        </w:rPr>
        <w:t>AI upskilling 2026: Stay relevant as 80% must retrain</w:t>
      </w:r>
      <w:r>
        <w:rPr>
          <w:color w:val="000000"/>
        </w:rPr>
        <w:t>. [online] Digital Applied. Available at: https://www.digitalapplied.com/blog/ai-upskilling-workforce-guide-stay-relevant-2026.</w:t>
      </w:r>
    </w:p>
    <w:p>
      <w:pPr>
        <w:pBdr>
          <w:top w:val="none" w:sz="0" w:space="0" w:color="auto"/>
          <w:left w:val="none" w:sz="0" w:space="0" w:color="auto"/>
          <w:bottom w:val="none" w:sz="0" w:space="0" w:color="auto"/>
          <w:right w:val="none" w:sz="0" w:space="0" w:color="auto"/>
          <w:between w:val="none" w:sz="0" w:space="0" w:color="auto"/>
        </w:pBdr>
        <w:spacing w:after="0"/>
        <w:rPr>
          <w:color w:val="000000"/>
        </w:rPr>
      </w:pPr>
      <w:r>
        <w:rPr>
          <w:color w:val="000000"/>
        </w:rPr>
        <w:t xml:space="preserve">Gallup (2026). </w:t>
      </w:r>
      <w:r>
        <w:rPr>
          <w:i/>
          <w:iCs/>
          <w:color w:val="000000"/>
        </w:rPr>
        <w:t>Hybrid work and productivity: What the data actually show</w:t>
      </w:r>
      <w:r>
        <w:rPr>
          <w:color w:val="000000"/>
        </w:rPr>
        <w:t>. [online] Gallup.com. Available at: https://www.gallup.com/workplace/713093/hybrid-work-productivity.aspx.</w:t>
      </w:r>
    </w:p>
    <w:p>
      <w:pPr>
        <w:pBdr>
          <w:top w:val="none" w:sz="0" w:space="0" w:color="auto"/>
          <w:left w:val="none" w:sz="0" w:space="0" w:color="auto"/>
          <w:bottom w:val="none" w:sz="0" w:space="0" w:color="auto"/>
          <w:right w:val="none" w:sz="0" w:space="0" w:color="auto"/>
          <w:between w:val="none" w:sz="0" w:space="0" w:color="auto"/>
        </w:pBdr>
        <w:spacing w:after="0"/>
        <w:rPr>
          <w:color w:val="000000"/>
        </w:rPr>
      </w:pPr>
      <w:r>
        <w:rPr>
          <w:color w:val="000000"/>
        </w:rPr>
        <w:t xml:space="preserve">Haruna, D.O., Obohwemu, K.O., Chukwu, J.A., Ndioho, I.F., Kachitsa, C.L., Akinmade, O.V., Esezobor, E.E., Ituah, F., Fard, J.K., Soni, J., Deborah, O.O. and Aririsukwu, O.C. (2026). Employee-perceived organisational flexibility and its influence on job satisfaction in hybrid work settings. </w:t>
      </w:r>
      <w:r>
        <w:rPr>
          <w:i/>
          <w:iCs/>
          <w:color w:val="000000"/>
        </w:rPr>
        <w:t>Global Journal of Humanities and Social Sciences</w:t>
      </w:r>
      <w:r>
        <w:rPr>
          <w:color w:val="000000"/>
        </w:rPr>
        <w:t>, [online] 5(2), pp.6–24. doi:10.55640/gjhss/volume05issue02-02.</w:t>
      </w:r>
    </w:p>
    <w:p>
      <w:pPr>
        <w:pBdr>
          <w:top w:val="none" w:sz="0" w:space="0" w:color="auto"/>
          <w:left w:val="none" w:sz="0" w:space="0" w:color="auto"/>
          <w:bottom w:val="none" w:sz="0" w:space="0" w:color="auto"/>
          <w:right w:val="none" w:sz="0" w:space="0" w:color="auto"/>
          <w:between w:val="none" w:sz="0" w:space="0" w:color="auto"/>
        </w:pBdr>
        <w:spacing w:after="0"/>
        <w:rPr>
          <w:color w:val="000000"/>
        </w:rPr>
      </w:pPr>
      <w:r>
        <w:rPr>
          <w:color w:val="000000"/>
        </w:rPr>
        <w:t xml:space="preserve">Herbert, N. (2024). </w:t>
      </w:r>
      <w:r>
        <w:rPr>
          <w:i/>
          <w:iCs/>
          <w:color w:val="000000"/>
        </w:rPr>
        <w:t>Top strategies for effective organizational silo busting | chronus</w:t>
      </w:r>
      <w:r>
        <w:rPr>
          <w:color w:val="000000"/>
        </w:rPr>
        <w:t>. [online] Chronus. Available at: https://chronus.com/blog/organizational-silo-busting.</w:t>
      </w:r>
    </w:p>
    <w:p>
      <w:pPr>
        <w:pBdr>
          <w:top w:val="none" w:sz="0" w:space="0" w:color="auto"/>
          <w:left w:val="none" w:sz="0" w:space="0" w:color="auto"/>
          <w:bottom w:val="none" w:sz="0" w:space="0" w:color="auto"/>
          <w:right w:val="none" w:sz="0" w:space="0" w:color="auto"/>
          <w:between w:val="none" w:sz="0" w:space="0" w:color="auto"/>
        </w:pBdr>
        <w:spacing w:after="0"/>
        <w:rPr>
          <w:color w:val="000000"/>
        </w:rPr>
      </w:pPr>
      <w:r>
        <w:rPr>
          <w:color w:val="000000"/>
        </w:rPr>
        <w:t xml:space="preserve">Kashi, G.A. (2024). </w:t>
      </w:r>
      <w:r>
        <w:rPr>
          <w:i/>
          <w:iCs/>
          <w:color w:val="000000"/>
        </w:rPr>
        <w:t>What are cross-functional teams? Benefits &amp; best practices</w:t>
      </w:r>
      <w:r>
        <w:rPr>
          <w:color w:val="000000"/>
        </w:rPr>
        <w:t>. [online] Bolddesk.com. Available at: https://www.bolddesk.com/blogs/cross-functional-teams.</w:t>
      </w:r>
    </w:p>
    <w:p>
      <w:pPr>
        <w:pBdr>
          <w:top w:val="none" w:sz="0" w:space="0" w:color="auto"/>
          <w:left w:val="none" w:sz="0" w:space="0" w:color="auto"/>
          <w:bottom w:val="none" w:sz="0" w:space="0" w:color="auto"/>
          <w:right w:val="none" w:sz="0" w:space="0" w:color="auto"/>
          <w:between w:val="none" w:sz="0" w:space="0" w:color="auto"/>
        </w:pBdr>
        <w:spacing w:after="0"/>
        <w:rPr>
          <w:color w:val="000000"/>
        </w:rPr>
      </w:pPr>
      <w:r>
        <w:rPr>
          <w:color w:val="000000"/>
        </w:rPr>
        <w:t xml:space="preserve">Kim, J.Y. and Yoon, D.-Y. (2025). How transformational leadership of managers affects employee innovative behavior in IT corporations. </w:t>
      </w:r>
      <w:r>
        <w:rPr>
          <w:i/>
          <w:iCs/>
          <w:color w:val="000000"/>
        </w:rPr>
        <w:t>Frontiers in Psychology</w:t>
      </w:r>
      <w:r>
        <w:rPr>
          <w:color w:val="000000"/>
        </w:rPr>
        <w:t>, [online] 16. doi:10.3389/fpsyg.2025.1565307.</w:t>
      </w:r>
    </w:p>
    <w:p>
      <w:pPr>
        <w:pBdr>
          <w:top w:val="none" w:sz="0" w:space="0" w:color="auto"/>
          <w:left w:val="none" w:sz="0" w:space="0" w:color="auto"/>
          <w:bottom w:val="none" w:sz="0" w:space="0" w:color="auto"/>
          <w:right w:val="none" w:sz="0" w:space="0" w:color="auto"/>
          <w:between w:val="none" w:sz="0" w:space="0" w:color="auto"/>
        </w:pBdr>
        <w:spacing w:after="0"/>
        <w:rPr>
          <w:color w:val="000000"/>
        </w:rPr>
      </w:pPr>
      <w:r>
        <w:rPr>
          <w:color w:val="000000"/>
        </w:rPr>
        <w:t xml:space="preserve">Lopez-Garrido, G. (2023). Self-determination theory: How it explains motivation. </w:t>
      </w:r>
      <w:r>
        <w:rPr>
          <w:i/>
          <w:iCs/>
          <w:color w:val="000000"/>
        </w:rPr>
        <w:t>Simply Psychology</w:t>
      </w:r>
      <w:r>
        <w:rPr>
          <w:color w:val="000000"/>
        </w:rPr>
        <w:t>, [online] 1(1). Available at: https://www.simplypsychology.org/self-determination-theory.html.</w:t>
      </w:r>
    </w:p>
    <w:p>
      <w:pPr>
        <w:pBdr>
          <w:top w:val="none" w:sz="0" w:space="0" w:color="auto"/>
          <w:left w:val="none" w:sz="0" w:space="0" w:color="auto"/>
          <w:bottom w:val="none" w:sz="0" w:space="0" w:color="auto"/>
          <w:right w:val="none" w:sz="0" w:space="0" w:color="auto"/>
          <w:between w:val="none" w:sz="0" w:space="0" w:color="auto"/>
        </w:pBdr>
        <w:spacing w:after="0"/>
        <w:rPr>
          <w:color w:val="000000"/>
        </w:rPr>
      </w:pPr>
      <w:r>
        <w:rPr>
          <w:color w:val="000000"/>
        </w:rPr>
        <w:t xml:space="preserve">Lynch, K. (2025). </w:t>
      </w:r>
      <w:r>
        <w:rPr>
          <w:i/>
          <w:iCs/>
          <w:color w:val="000000"/>
        </w:rPr>
        <w:t>Boost retention &amp; mobility: Why internal talent marketplaces are a game-changer</w:t>
      </w:r>
      <w:r>
        <w:rPr>
          <w:color w:val="000000"/>
        </w:rPr>
        <w:t>. [online] Phenom.com. Available at: https://www.phenom.com/blog/what-is-talent-marketplace.</w:t>
      </w:r>
    </w:p>
    <w:p>
      <w:pPr>
        <w:pBdr>
          <w:top w:val="none" w:sz="0" w:space="0" w:color="auto"/>
          <w:left w:val="none" w:sz="0" w:space="0" w:color="auto"/>
          <w:bottom w:val="none" w:sz="0" w:space="0" w:color="auto"/>
          <w:right w:val="none" w:sz="0" w:space="0" w:color="auto"/>
          <w:between w:val="none" w:sz="0" w:space="0" w:color="auto"/>
        </w:pBdr>
        <w:spacing w:after="0"/>
        <w:rPr>
          <w:color w:val="000000"/>
        </w:rPr>
      </w:pPr>
      <w:r>
        <w:rPr>
          <w:color w:val="000000"/>
        </w:rPr>
        <w:t xml:space="preserve">Marko, E. and Kasa, P. (2025) ‘Ethical Challenges in Human Resource Management and Performance in Private Organizations’, </w:t>
      </w:r>
      <w:r>
        <w:rPr>
          <w:i/>
          <w:iCs/>
          <w:color w:val="000000"/>
        </w:rPr>
        <w:t>Polis</w:t>
      </w:r>
      <w:r>
        <w:rPr>
          <w:color w:val="000000"/>
        </w:rPr>
        <w:t>, 23(2), pp. 125–138. Available at:</w:t>
      </w:r>
      <w:r>
        <w:rPr>
          <w:color w:val="000000"/>
        </w:rPr>
        <w:fldChar w:fldCharType="begin"/>
      </w:r>
      <w:r>
        <w:instrText>HYPERLINK "https://www.ceeol.com/search/article-detail?id=1362881"</w:instrText>
      </w:r>
      <w:r>
        <w:rPr>
          <w:color w:val="000000"/>
        </w:rPr>
        <w:fldChar w:fldCharType="separate"/>
      </w:r>
      <w:r>
        <w:rPr>
          <w:color w:val="000000"/>
        </w:rPr>
        <w:t xml:space="preserve"> </w:t>
      </w:r>
      <w:r>
        <w:rPr>
          <w:color w:val="000000"/>
        </w:rPr>
        <w:fldChar w:fldCharType="end"/>
      </w:r>
      <w:r>
        <w:rPr>
          <w:color w:val="1155CC"/>
          <w:u w:val="single"/>
        </w:rPr>
        <w:fldChar w:fldCharType="begin"/>
      </w:r>
      <w:r>
        <w:instrText>HYPERLINK "https://www.ceeol.com/search/article-detail?id=1362881"</w:instrText>
      </w:r>
      <w:r>
        <w:rPr>
          <w:color w:val="1155CC"/>
          <w:u w:val="single"/>
        </w:rPr>
        <w:fldChar w:fldCharType="separate"/>
      </w:r>
      <w:r>
        <w:rPr>
          <w:color w:val="1155CC"/>
          <w:u w:val="single"/>
        </w:rPr>
        <w:t>https://www.ceeol.com/search/article-detail?id=1362881</w:t>
      </w:r>
      <w:r>
        <w:rPr>
          <w:color w:val="1155CC"/>
          <w:u w:val="single"/>
        </w:rPr>
        <w:fldChar w:fldCharType="end"/>
      </w:r>
      <w:r>
        <w:rPr>
          <w:color w:val="000000"/>
        </w:rPr>
        <w:t xml:space="preserve"> </w:t>
      </w:r>
    </w:p>
    <w:p>
      <w:pPr>
        <w:pBdr>
          <w:top w:val="none" w:sz="0" w:space="0" w:color="auto"/>
          <w:left w:val="none" w:sz="0" w:space="0" w:color="auto"/>
          <w:bottom w:val="none" w:sz="0" w:space="0" w:color="auto"/>
          <w:right w:val="none" w:sz="0" w:space="0" w:color="auto"/>
          <w:between w:val="none" w:sz="0" w:space="0" w:color="auto"/>
        </w:pBdr>
        <w:spacing w:after="0"/>
        <w:rPr>
          <w:color w:val="000000"/>
        </w:rPr>
      </w:pPr>
      <w:r>
        <w:rPr>
          <w:color w:val="000000"/>
        </w:rPr>
        <w:t xml:space="preserve">Microsoft (2026). </w:t>
      </w:r>
      <w:r>
        <w:rPr>
          <w:i/>
          <w:iCs/>
          <w:color w:val="000000"/>
        </w:rPr>
        <w:t>2026 Work trend index report: Agents, human agency, and opportunity</w:t>
      </w:r>
      <w:r>
        <w:rPr>
          <w:color w:val="000000"/>
        </w:rPr>
        <w:t>. [online] https://www.microsoft.com/en-us/worklab/work-trend-index/agents-human-agency-and-the-opportunity-for-every-organization. Available at: https://www.microsoft.com/en-us/worklab/work-trend-index/agents-human-agency-and-the-opportunity-for-every-organization.</w:t>
      </w:r>
    </w:p>
    <w:p>
      <w:pPr>
        <w:pBdr>
          <w:top w:val="none" w:sz="0" w:space="0" w:color="auto"/>
          <w:left w:val="none" w:sz="0" w:space="0" w:color="auto"/>
          <w:bottom w:val="none" w:sz="0" w:space="0" w:color="auto"/>
          <w:right w:val="none" w:sz="0" w:space="0" w:color="auto"/>
          <w:between w:val="none" w:sz="0" w:space="0" w:color="auto"/>
        </w:pBdr>
        <w:spacing w:after="0"/>
        <w:rPr>
          <w:color w:val="000000"/>
        </w:rPr>
      </w:pPr>
      <w:r>
        <w:rPr>
          <w:color w:val="000000"/>
        </w:rPr>
        <w:t xml:space="preserve">Nguyen, M., Malik, A., Sharma, P., Kingshott, R. and Gugnani, R. (2024). High involvement work system and organizational and employee resilience: Impact of digitalisation in crisis situations. </w:t>
      </w:r>
      <w:r>
        <w:rPr>
          <w:i/>
          <w:iCs/>
          <w:color w:val="000000"/>
        </w:rPr>
        <w:t>Technological forecasting &amp; social change/Technological forecasting and social change</w:t>
      </w:r>
      <w:r>
        <w:rPr>
          <w:color w:val="000000"/>
        </w:rPr>
        <w:t>, 205, pp.123510–123510. doi:10.1016/j.techfore.2024.123510.</w:t>
      </w:r>
    </w:p>
    <w:p>
      <w:pPr>
        <w:pBdr>
          <w:top w:val="none" w:sz="0" w:space="0" w:color="auto"/>
          <w:left w:val="none" w:sz="0" w:space="0" w:color="auto"/>
          <w:bottom w:val="none" w:sz="0" w:space="0" w:color="auto"/>
          <w:right w:val="none" w:sz="0" w:space="0" w:color="auto"/>
          <w:between w:val="none" w:sz="0" w:space="0" w:color="auto"/>
        </w:pBdr>
        <w:spacing w:after="0"/>
        <w:rPr>
          <w:color w:val="000000"/>
        </w:rPr>
      </w:pPr>
      <w:r>
        <w:rPr>
          <w:color w:val="000000"/>
        </w:rPr>
        <w:t xml:space="preserve">Rietze, S. and Zacher, H. (2022). Relationships between agile work practices and occupational well-being: The role of job demands and resources. </w:t>
      </w:r>
      <w:r>
        <w:rPr>
          <w:i/>
          <w:iCs/>
          <w:color w:val="000000"/>
        </w:rPr>
        <w:t>International Journal of Environmental Research and Public Health</w:t>
      </w:r>
      <w:r>
        <w:rPr>
          <w:color w:val="000000"/>
        </w:rPr>
        <w:t>, [online] 19(3), p.1258. doi:10.3390/ijerph19031258.</w:t>
      </w:r>
    </w:p>
    <w:p>
      <w:pPr>
        <w:pBdr>
          <w:top w:val="none" w:sz="0" w:space="0" w:color="auto"/>
          <w:left w:val="none" w:sz="0" w:space="0" w:color="auto"/>
          <w:bottom w:val="none" w:sz="0" w:space="0" w:color="auto"/>
          <w:right w:val="none" w:sz="0" w:space="0" w:color="auto"/>
          <w:between w:val="none" w:sz="0" w:space="0" w:color="auto"/>
        </w:pBdr>
        <w:spacing w:after="0"/>
        <w:rPr>
          <w:color w:val="000000"/>
        </w:rPr>
      </w:pPr>
      <w:r>
        <w:rPr>
          <w:color w:val="000000"/>
        </w:rPr>
        <w:t xml:space="preserve">Saharia , N.M. and Rabha, M. (2026). </w:t>
      </w:r>
      <w:r>
        <w:rPr>
          <w:i/>
          <w:iCs/>
          <w:color w:val="000000"/>
        </w:rPr>
        <w:t>Employee Development Plan Template With 8 Examples</w:t>
      </w:r>
      <w:r>
        <w:rPr>
          <w:color w:val="000000"/>
        </w:rPr>
        <w:t>. [online] Vantage Circle. Available at: https://www.vantagecircle.com/en/blog/employee-development-plan/.</w:t>
      </w:r>
    </w:p>
    <w:p>
      <w:pPr>
        <w:pBdr>
          <w:top w:val="none" w:sz="0" w:space="0" w:color="auto"/>
          <w:left w:val="none" w:sz="0" w:space="0" w:color="auto"/>
          <w:bottom w:val="none" w:sz="0" w:space="0" w:color="auto"/>
          <w:right w:val="none" w:sz="0" w:space="0" w:color="auto"/>
          <w:between w:val="none" w:sz="0" w:space="0" w:color="auto"/>
        </w:pBdr>
        <w:spacing w:after="0"/>
        <w:rPr>
          <w:color w:val="000000"/>
        </w:rPr>
      </w:pPr>
      <w:r>
        <w:rPr>
          <w:color w:val="000000"/>
        </w:rPr>
        <w:t xml:space="preserve">Salesforce (2024). </w:t>
      </w:r>
      <w:r>
        <w:rPr>
          <w:i/>
          <w:iCs/>
          <w:color w:val="000000"/>
        </w:rPr>
        <w:t>What does asynchronous mean?</w:t>
      </w:r>
      <w:r>
        <w:rPr>
          <w:color w:val="000000"/>
        </w:rPr>
        <w:t xml:space="preserve"> [online] Salesforce. Available at: https://www.salesforce.com/in/blog/asynchronous-meaning/.</w:t>
      </w:r>
    </w:p>
    <w:p>
      <w:pPr>
        <w:pBdr>
          <w:top w:val="none" w:sz="0" w:space="0" w:color="auto"/>
          <w:left w:val="none" w:sz="0" w:space="0" w:color="auto"/>
          <w:bottom w:val="none" w:sz="0" w:space="0" w:color="auto"/>
          <w:right w:val="none" w:sz="0" w:space="0" w:color="auto"/>
          <w:between w:val="none" w:sz="0" w:space="0" w:color="auto"/>
        </w:pBdr>
        <w:spacing w:after="0"/>
        <w:rPr>
          <w:color w:val="000000"/>
        </w:rPr>
      </w:pPr>
      <w:r>
        <w:rPr>
          <w:color w:val="000000"/>
        </w:rPr>
        <w:t xml:space="preserve">Schmitz, M. (2026) ‘Teaching Critical Thinking, Empathy, and Professional Judgement’, in </w:t>
      </w:r>
      <w:r>
        <w:rPr>
          <w:i/>
          <w:iCs/>
          <w:color w:val="000000"/>
        </w:rPr>
        <w:t>Advancing Military Practice through Military Humanities</w:t>
      </w:r>
      <w:r>
        <w:rPr>
          <w:color w:val="000000"/>
        </w:rPr>
        <w:t>, p. 130. Available at:</w:t>
      </w:r>
      <w:r>
        <w:rPr>
          <w:color w:val="000000"/>
        </w:rPr>
        <w:fldChar w:fldCharType="begin"/>
      </w:r>
      <w:r>
        <w:instrText>HYPERLINK "https://books.google.com/books?hl=en&amp;lr=&amp;id=g0POEQAAQBAJ&amp;oi=fnd&amp;pg=PT186&amp;dq=Ethical+judgement,+empathy,+critical+evaluation+and+accountability+remain+essential+for+an+HR+professional.&amp;ots=ddT-w5qGjI&amp;sig=lJJXZ7xzO_d9F2Jt8VtSZpPKPYE"</w:instrText>
      </w:r>
      <w:r>
        <w:rPr>
          <w:color w:val="000000"/>
        </w:rPr>
        <w:fldChar w:fldCharType="separate"/>
      </w:r>
      <w:r>
        <w:rPr>
          <w:color w:val="000000"/>
        </w:rPr>
        <w:t xml:space="preserve"> </w:t>
      </w:r>
      <w:r>
        <w:rPr>
          <w:color w:val="000000"/>
        </w:rPr>
        <w:fldChar w:fldCharType="end"/>
      </w:r>
      <w:r>
        <w:rPr>
          <w:color w:val="1155CC"/>
          <w:u w:val="single"/>
        </w:rPr>
        <w:fldChar w:fldCharType="begin"/>
      </w:r>
      <w:r>
        <w:instrText>HYPERLINK "https://books.google.com/books?hl=en&amp;lr=&amp;id=g0POEQAAQBAJ&amp;oi=fnd&amp;pg=PT186&amp;dq=Ethical+judgement,+empathy,+critical+evaluation+and+accountability+remain+essential+for+an+HR+professional.&amp;ots=ddT-w5qGjI&amp;sig=lJJXZ7xzO_d9F2Jt8VtSZpPKPYE"</w:instrText>
      </w:r>
      <w:r>
        <w:rPr>
          <w:color w:val="1155CC"/>
          <w:u w:val="single"/>
        </w:rPr>
        <w:fldChar w:fldCharType="separate"/>
      </w:r>
      <w:r>
        <w:rPr>
          <w:color w:val="1155CC"/>
          <w:u w:val="single"/>
        </w:rPr>
        <w:t>https://books.google.com/books?hl=en&amp;lr=&amp;id=g0POEQAAQBAJ&amp;oi=fnd&amp;pg=PT186&amp;dq=Ethical+judgement,+empathy,+critical+evaluation+and+accountability+remain+essential+for+an+HR+professional.&amp;ots=ddT-w5qGjI&amp;sig=lJJXZ7xzO_d9F2Jt8VtSZpPKPYE</w:t>
      </w:r>
      <w:r>
        <w:rPr>
          <w:color w:val="1155CC"/>
          <w:u w:val="single"/>
        </w:rPr>
        <w:fldChar w:fldCharType="end"/>
      </w:r>
      <w:r>
        <w:rPr>
          <w:color w:val="000000"/>
        </w:rPr>
        <w:t xml:space="preserve"> </w:t>
      </w:r>
    </w:p>
    <w:p>
      <w:pPr>
        <w:pBdr>
          <w:top w:val="none" w:sz="0" w:space="0" w:color="auto"/>
          <w:left w:val="none" w:sz="0" w:space="0" w:color="auto"/>
          <w:bottom w:val="none" w:sz="0" w:space="0" w:color="auto"/>
          <w:right w:val="none" w:sz="0" w:space="0" w:color="auto"/>
          <w:between w:val="none" w:sz="0" w:space="0" w:color="auto"/>
        </w:pBdr>
        <w:spacing w:after="0"/>
        <w:rPr>
          <w:color w:val="000000"/>
        </w:rPr>
      </w:pPr>
      <w:r>
        <w:rPr>
          <w:color w:val="000000"/>
        </w:rPr>
        <w:t xml:space="preserve">Shaik, T. (2025). </w:t>
      </w:r>
      <w:r>
        <w:rPr>
          <w:i/>
          <w:iCs/>
          <w:color w:val="000000"/>
        </w:rPr>
        <w:t>Remote work statistics 2026: Key remote work trends and data</w:t>
      </w:r>
      <w:r>
        <w:rPr>
          <w:color w:val="000000"/>
        </w:rPr>
        <w:t>. [online] Time Champ. Available at: https://www.timechamp.io/blogs/remote-work-statistics.</w:t>
      </w:r>
    </w:p>
    <w:p>
      <w:pPr>
        <w:pBdr>
          <w:top w:val="none" w:sz="0" w:space="0" w:color="auto"/>
          <w:left w:val="none" w:sz="0" w:space="0" w:color="auto"/>
          <w:bottom w:val="none" w:sz="0" w:space="0" w:color="auto"/>
          <w:right w:val="none" w:sz="0" w:space="0" w:color="auto"/>
          <w:between w:val="none" w:sz="0" w:space="0" w:color="auto"/>
        </w:pBdr>
        <w:spacing w:after="0"/>
        <w:rPr>
          <w:color w:val="000000"/>
        </w:rPr>
      </w:pPr>
      <w:r>
        <w:rPr>
          <w:color w:val="000000"/>
        </w:rPr>
        <w:t xml:space="preserve">Shaji, S. and Jeggumantri, P. (2026) ‘The Future of Work in the Age of Artificial Intelligence: Assessing the Role of AI in Recruitment, Workforce Reskilling, Labour Regulations, and Human Capital Management’, </w:t>
      </w:r>
      <w:r>
        <w:rPr>
          <w:i/>
          <w:iCs/>
          <w:color w:val="000000"/>
        </w:rPr>
        <w:t>Journal of Intelligent Decision Making and Information Science</w:t>
      </w:r>
      <w:r>
        <w:rPr>
          <w:color w:val="000000"/>
        </w:rPr>
        <w:t>, 3(3s), pp. 1420–1431. Available at:</w:t>
      </w:r>
      <w:r>
        <w:rPr>
          <w:color w:val="000000"/>
        </w:rPr>
        <w:fldChar w:fldCharType="begin"/>
      </w:r>
      <w:r>
        <w:instrText>HYPERLINK "https://www.jidmis.org/index.php/jidmis/article/view/949"</w:instrText>
      </w:r>
      <w:r>
        <w:rPr>
          <w:color w:val="000000"/>
        </w:rPr>
        <w:fldChar w:fldCharType="separate"/>
      </w:r>
      <w:r>
        <w:rPr>
          <w:color w:val="000000"/>
        </w:rPr>
        <w:t xml:space="preserve"> </w:t>
      </w:r>
      <w:r>
        <w:rPr>
          <w:color w:val="000000"/>
        </w:rPr>
        <w:fldChar w:fldCharType="end"/>
      </w:r>
      <w:r>
        <w:rPr>
          <w:color w:val="1155CC"/>
          <w:u w:val="single"/>
        </w:rPr>
        <w:fldChar w:fldCharType="begin"/>
      </w:r>
      <w:r>
        <w:instrText>HYPERLINK "https://www.jidmis.org/index.php/jidmis/article/view/949"</w:instrText>
      </w:r>
      <w:r>
        <w:rPr>
          <w:color w:val="1155CC"/>
          <w:u w:val="single"/>
        </w:rPr>
        <w:fldChar w:fldCharType="separate"/>
      </w:r>
      <w:r>
        <w:rPr>
          <w:color w:val="1155CC"/>
          <w:u w:val="single"/>
        </w:rPr>
        <w:t>https://www.jidmis.org/index.php/jidmis/article/view/949</w:t>
      </w:r>
      <w:r>
        <w:rPr>
          <w:color w:val="1155CC"/>
          <w:u w:val="single"/>
        </w:rPr>
        <w:fldChar w:fldCharType="end"/>
      </w:r>
      <w:r>
        <w:rPr>
          <w:color w:val="000000"/>
        </w:rPr>
        <w:t xml:space="preserve"> </w:t>
      </w:r>
    </w:p>
    <w:p>
      <w:pPr>
        <w:pBdr>
          <w:top w:val="none" w:sz="0" w:space="0" w:color="auto"/>
          <w:left w:val="none" w:sz="0" w:space="0" w:color="auto"/>
          <w:bottom w:val="none" w:sz="0" w:space="0" w:color="auto"/>
          <w:right w:val="none" w:sz="0" w:space="0" w:color="auto"/>
          <w:between w:val="none" w:sz="0" w:space="0" w:color="auto"/>
        </w:pBdr>
        <w:spacing w:after="0"/>
        <w:rPr>
          <w:color w:val="000000"/>
        </w:rPr>
      </w:pPr>
      <w:r>
        <w:rPr>
          <w:color w:val="000000"/>
        </w:rPr>
        <w:t xml:space="preserve">Song, L. and Jo, S.J. (2023). How job crafting behaviors influence the innovative behavior of knowledge workers in the gig economy: Based on the organismic integration theory. </w:t>
      </w:r>
      <w:r>
        <w:rPr>
          <w:i/>
          <w:iCs/>
          <w:color w:val="000000"/>
        </w:rPr>
        <w:t>Frontiers in Psychology</w:t>
      </w:r>
      <w:r>
        <w:rPr>
          <w:color w:val="000000"/>
        </w:rPr>
        <w:t>, 14. doi:10.3389/fpsyg.2023.1228881.</w:t>
      </w:r>
    </w:p>
    <w:p>
      <w:pPr>
        <w:pBdr>
          <w:top w:val="none" w:sz="0" w:space="0" w:color="auto"/>
          <w:left w:val="none" w:sz="0" w:space="0" w:color="auto"/>
          <w:bottom w:val="none" w:sz="0" w:space="0" w:color="auto"/>
          <w:right w:val="none" w:sz="0" w:space="0" w:color="auto"/>
          <w:between w:val="none" w:sz="0" w:space="0" w:color="auto"/>
        </w:pBdr>
        <w:spacing w:after="0"/>
        <w:rPr>
          <w:color w:val="000000"/>
        </w:rPr>
      </w:pPr>
      <w:r>
        <w:rPr>
          <w:color w:val="000000"/>
        </w:rPr>
        <w:t xml:space="preserve">Talentguard (2026). </w:t>
      </w:r>
      <w:r>
        <w:rPr>
          <w:i/>
          <w:iCs/>
          <w:color w:val="000000"/>
        </w:rPr>
        <w:t>Why workplace agility is essential in today’s workforce | TalentGuard</w:t>
      </w:r>
      <w:r>
        <w:rPr>
          <w:color w:val="000000"/>
        </w:rPr>
        <w:t>. [online] TalentGuard. Available at: https://www.talentguard.com/blog/why-workplace-agility-is-essential-in-todays-workforce.</w:t>
      </w:r>
    </w:p>
    <w:p>
      <w:pPr>
        <w:pBdr>
          <w:top w:val="none" w:sz="0" w:space="0" w:color="auto"/>
          <w:left w:val="none" w:sz="0" w:space="0" w:color="auto"/>
          <w:bottom w:val="none" w:sz="0" w:space="0" w:color="auto"/>
          <w:right w:val="none" w:sz="0" w:space="0" w:color="auto"/>
          <w:between w:val="none" w:sz="0" w:space="0" w:color="auto"/>
        </w:pBdr>
        <w:spacing w:after="0"/>
        <w:rPr>
          <w:color w:val="000000"/>
        </w:rPr>
      </w:pPr>
      <w:r>
        <w:rPr>
          <w:color w:val="000000"/>
        </w:rPr>
        <w:t xml:space="preserve">Trainingindustry (2022). </w:t>
      </w:r>
      <w:r>
        <w:rPr>
          <w:i/>
          <w:iCs/>
          <w:color w:val="000000"/>
        </w:rPr>
        <w:t>Syncing organizational and employee development needs with individual development plans</w:t>
      </w:r>
      <w:r>
        <w:rPr>
          <w:color w:val="000000"/>
        </w:rPr>
        <w:t>. [online] Training Industry. Available at: https://trainingindustry.com/articles/strategy-alignment-and-planning/syncing-organizational-and-employee-development-needs-with-individual-development-plans/.</w:t>
      </w:r>
    </w:p>
    <w:p>
      <w:pPr>
        <w:pBdr>
          <w:top w:val="none" w:sz="0" w:space="0" w:color="auto"/>
          <w:left w:val="none" w:sz="0" w:space="0" w:color="auto"/>
          <w:bottom w:val="none" w:sz="0" w:space="0" w:color="auto"/>
          <w:right w:val="none" w:sz="0" w:space="0" w:color="auto"/>
          <w:between w:val="none" w:sz="0" w:space="0" w:color="auto"/>
        </w:pBdr>
        <w:spacing w:after="0"/>
        <w:rPr>
          <w:color w:val="000000"/>
        </w:rPr>
      </w:pPr>
      <w:r>
        <w:rPr>
          <w:color w:val="000000"/>
        </w:rPr>
        <w:t xml:space="preserve">Trudy M. (2021). Hierarchical organizational structure. In: </w:t>
      </w:r>
      <w:r>
        <w:rPr>
          <w:i/>
          <w:iCs/>
          <w:color w:val="000000"/>
        </w:rPr>
        <w:t>Research Starters</w:t>
      </w:r>
      <w:r>
        <w:rPr>
          <w:color w:val="000000"/>
        </w:rPr>
        <w:t>. [online] EBSCO. Available at: https://www.ebsco.com/research-starters/business-and-management/hierarchical-organizational-structure/.</w:t>
      </w:r>
    </w:p>
    <w:p>
      <w:pPr>
        <w:pBdr>
          <w:top w:val="none" w:sz="0" w:space="0" w:color="auto"/>
          <w:left w:val="none" w:sz="0" w:space="0" w:color="auto"/>
          <w:bottom w:val="none" w:sz="0" w:space="0" w:color="auto"/>
          <w:right w:val="none" w:sz="0" w:space="0" w:color="auto"/>
          <w:between w:val="none" w:sz="0" w:space="0" w:color="auto"/>
        </w:pBdr>
        <w:spacing w:after="0"/>
        <w:rPr>
          <w:color w:val="000000"/>
        </w:rPr>
      </w:pPr>
      <w:r>
        <w:rPr>
          <w:color w:val="000000"/>
        </w:rPr>
        <w:t xml:space="preserve">US Career Institute (2026). </w:t>
      </w:r>
      <w:r>
        <w:rPr>
          <w:i/>
          <w:iCs/>
          <w:color w:val="000000"/>
        </w:rPr>
        <w:t>How online learning can boost employee engagement and satisfaction - USCI</w:t>
      </w:r>
      <w:r>
        <w:rPr>
          <w:color w:val="000000"/>
        </w:rPr>
        <w:t>. [online] U.S. Career Institute. Available at: https://www.uscareerinstitute.edu/partners/blogs/boost-employee-engagement-satisfaction.</w:t>
      </w:r>
    </w:p>
    <w:p>
      <w:pPr>
        <w:pBdr>
          <w:top w:val="none" w:sz="0" w:space="0" w:color="auto"/>
          <w:left w:val="none" w:sz="0" w:space="0" w:color="auto"/>
          <w:bottom w:val="none" w:sz="0" w:space="0" w:color="auto"/>
          <w:right w:val="none" w:sz="0" w:space="0" w:color="auto"/>
          <w:between w:val="none" w:sz="0" w:space="0" w:color="auto"/>
        </w:pBdr>
        <w:spacing w:after="0"/>
        <w:rPr>
          <w:color w:val="000000"/>
        </w:rPr>
      </w:pPr>
      <w:r>
        <w:rPr>
          <w:color w:val="000000"/>
        </w:rPr>
        <w:t xml:space="preserve">Uvhagen, H., Gärdegård, A. and Klinga, C. (2024). Through the lens of learning organization theory: Strategies used when introducing new work methods as described by practitioners and leaders in social services. </w:t>
      </w:r>
      <w:r>
        <w:rPr>
          <w:i/>
          <w:iCs/>
          <w:color w:val="000000"/>
        </w:rPr>
        <w:t>Nordic social work research (Online)</w:t>
      </w:r>
      <w:r>
        <w:rPr>
          <w:color w:val="000000"/>
        </w:rPr>
        <w:t>, pp.1–17. doi:10.1080/2156857x.2024.2329945.</w:t>
      </w:r>
    </w:p>
    <w:p>
      <w:pPr>
        <w:pBdr>
          <w:top w:val="none" w:sz="0" w:space="0" w:color="auto"/>
          <w:left w:val="none" w:sz="0" w:space="0" w:color="auto"/>
          <w:bottom w:val="none" w:sz="0" w:space="0" w:color="auto"/>
          <w:right w:val="none" w:sz="0" w:space="0" w:color="auto"/>
          <w:between w:val="none" w:sz="0" w:space="0" w:color="auto"/>
        </w:pBdr>
        <w:spacing w:after="0"/>
        <w:rPr>
          <w:color w:val="000000"/>
        </w:rPr>
      </w:pPr>
      <w:r>
        <w:rPr>
          <w:color w:val="000000"/>
        </w:rPr>
        <w:t xml:space="preserve">Weforum (2025). </w:t>
      </w:r>
      <w:r>
        <w:rPr>
          <w:i/>
          <w:iCs/>
          <w:color w:val="000000"/>
        </w:rPr>
        <w:t>Future of jobs report 2025: 78 Million new job opportunities By 2030 but urgent upskilling needed to prepare workforces</w:t>
      </w:r>
      <w:r>
        <w:rPr>
          <w:color w:val="000000"/>
        </w:rPr>
        <w:t>. [online] World Economic Forum. Available at: https://www.weforum.org/media/future-of-jobs-report-2025-78-million-new-job-opportunities-by-2030-but-urgent-upskilling-needed-to-prepare-workforces/.</w:t>
      </w:r>
    </w:p>
    <w:p>
      <w:pPr>
        <w:pBdr>
          <w:top w:val="none" w:sz="0" w:space="0" w:color="auto"/>
          <w:left w:val="none" w:sz="0" w:space="0" w:color="auto"/>
          <w:bottom w:val="none" w:sz="0" w:space="0" w:color="auto"/>
          <w:right w:val="none" w:sz="0" w:space="0" w:color="auto"/>
          <w:between w:val="none" w:sz="0" w:space="0" w:color="auto"/>
        </w:pBdr>
        <w:spacing w:after="0"/>
        <w:rPr>
          <w:color w:val="000000"/>
        </w:rPr>
      </w:pPr>
      <w:r>
        <w:rPr>
          <w:color w:val="000000"/>
        </w:rPr>
        <w:t xml:space="preserve">World Economic Forum (2025). </w:t>
      </w:r>
      <w:r>
        <w:rPr>
          <w:i/>
          <w:iCs/>
          <w:color w:val="000000"/>
        </w:rPr>
        <w:t>The future of jobs report 2025</w:t>
      </w:r>
      <w:r>
        <w:rPr>
          <w:color w:val="000000"/>
        </w:rPr>
        <w:t>. [online] World Economic Forum. Available at: https://www.weforum.org/publications/the-future-of-jobs-report-2025/in-full/3-skills-outlook/.</w:t>
      </w:r>
    </w:p>
    <w:p>
      <w:pPr>
        <w:pBdr>
          <w:top w:val="none" w:sz="0" w:space="0" w:color="auto"/>
          <w:left w:val="none" w:sz="0" w:space="0" w:color="auto"/>
          <w:bottom w:val="none" w:sz="0" w:space="0" w:color="auto"/>
          <w:right w:val="none" w:sz="0" w:space="0" w:color="auto"/>
          <w:between w:val="none" w:sz="0" w:space="0" w:color="auto"/>
        </w:pBdr>
        <w:spacing w:after="0"/>
        <w:rPr>
          <w:color w:val="000000"/>
        </w:rPr>
      </w:pPr>
      <w:r>
        <w:rPr>
          <w:color w:val="000000"/>
        </w:rPr>
        <w:t xml:space="preserve">Yousif, N., Dartnell, A., May, G. and Knarr, E. (2024). </w:t>
      </w:r>
      <w:r>
        <w:rPr>
          <w:i/>
          <w:iCs/>
          <w:color w:val="000000"/>
        </w:rPr>
        <w:t>Psychological safety levels the playing field for employees</w:t>
      </w:r>
      <w:r>
        <w:rPr>
          <w:color w:val="000000"/>
        </w:rPr>
        <w:t>. [online] BCG Global. Available at: https://www.bcg.com/publications/2024/psychological-safety-levels-playing-field-for-employees.</w:t>
      </w:r>
    </w:p>
    <w:sectPr>
      <w:footerReference w:type="default" r:id="rId2"/>
      <w:pgSz w:w="11906" w:h="16838"/>
      <w:pgMar w:top="1440" w:right="1440" w:bottom="1440" w:left="1440" w:header="708" w:footer="708" w:gutter="0"/>
      <w:pgNumType w:start="1"/>
      <w:docGrid w:linePitch="326" w:charSpace="0"/>
    </w:sectPr>
  </w:body>
</w:document>
</file>

<file path=word/fontTable.xml><?xml version="1.0" encoding="utf-8"?>
<w:fonts xmlns:w="http://schemas.openxmlformats.org/wordprocessingml/2006/main" xmlns:r="http://schemas.openxmlformats.org/officeDocument/2006/relationships">
  <w:font w:name="Times New Roman">
    <w:panose1 w:val="02020603050405020304"/>
    <w:charset w:val="00"/>
    <w:family w:val="roman"/>
    <w:pitch w:val="variable"/>
    <w:sig w:usb0="E0002EFF" w:usb1="C000785B" w:usb2="00000009" w:usb3="00000000" w:csb0="000001FF" w:csb1="00000000"/>
  </w:font>
  <w:font w:name="宋体">
    <w:panose1 w:val="00000000000000000000"/>
    <w:charset w:val="00"/>
    <w:family w:val="auto"/>
    <w:pitch w:val="variable"/>
    <w:sig w:usb0="00000000" w:usb1="00000000" w:usb2="00000000" w:usb3="00000000" w:csb0="00000000" w:csb1="00000000"/>
  </w:font>
  <w:font w:name="Georgia">
    <w:panose1 w:val="02040502050405020303"/>
    <w:charset w:val="00"/>
    <w:family w:val="roman"/>
    <w:pitch w:val="variable"/>
    <w:sig w:usb0="00000287" w:usb1="00000000" w:usb2="00000000" w:usb3="00000000" w:csb0="0000009F" w:csb1="00000000"/>
  </w:font>
  <w:font w:name="Noto Sans Symbols">
    <w:altName w:val="Calibri"/>
    <w:panose1 w:val="00000000000000000000"/>
    <w:charset w:val="00"/>
    <w:family w:val="auto"/>
    <w:pitch w:val="variable"/>
  </w:font>
  <w:font w:name="Courier New">
    <w:panose1 w:val="02070309020205020404"/>
    <w:charset w:val="00"/>
    <w:family w:val="modern"/>
    <w:pitch w:val="variable"/>
    <w:sig w:usb0="E0002EFF" w:usb1="C0007843" w:usb2="00000009" w:usb3="00000000" w:csb0="000001FF" w:csb1="00000000"/>
  </w:font>
</w:fonts>
</file>

<file path=word/footer1.xml><?xml version="1.0" encoding="utf-8"?>
<w:ft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p>
    <w:pPr>
      <w:pBdr>
        <w:top w:val="none" w:sz="0" w:space="0" w:color="auto"/>
        <w:left w:val="none" w:sz="0" w:space="0" w:color="auto"/>
        <w:bottom w:val="none" w:sz="0" w:space="0" w:color="auto"/>
        <w:right w:val="none" w:sz="0" w:space="0" w:color="auto"/>
        <w:between w:val="none" w:sz="0" w:space="0" w:color="auto"/>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Pr>
        <w:color w:val="000000"/>
      </w:rPr>
      <w:t>1</w:t>
    </w:r>
    <w:r>
      <w:rPr>
        <w:color w:val="000000"/>
      </w:rPr>
      <w:fldChar w:fldCharType="end"/>
    </w:r>
  </w:p>
  <w:p>
    <w:pPr>
      <w:pBdr>
        <w:top w:val="none" w:sz="0" w:space="0" w:color="auto"/>
        <w:left w:val="none" w:sz="0" w:space="0" w:color="auto"/>
        <w:bottom w:val="none" w:sz="0" w:space="0" w:color="auto"/>
        <w:right w:val="none" w:sz="0" w:space="0" w:color="auto"/>
        <w:between w:val="none" w:sz="0" w:space="0" w:color="auto"/>
      </w:pBdr>
      <w:tabs>
        <w:tab w:val="center" w:pos="4513"/>
        <w:tab w:val="right" w:pos="9026"/>
      </w:tabs>
      <w:spacing w:after="0" w:line="240" w:lineRule="auto"/>
      <w:rPr>
        <w:color w:val="000000"/>
      </w:rPr>
    </w:pPr>
  </w:p>
</w:ftr>
</file>

<file path=word/numbering.xml><?xml version="1.0" encoding="utf-8"?>
<w:numbering xmlns:w="http://schemas.openxmlformats.org/wordprocessingml/2006/main" xmlns:o="urn:schemas-microsoft-com:office:office" xmlns:r="http://schemas.openxmlformats.org/officeDocument/2006/relationships" xmlns:m="http://schemas.openxmlformats.org/officeDocument/2006/math" xmlns:v="urn:schemas-microsoft-com:vml">
  <w:abstractNum w:abstractNumId="0">
    <w:nsid w:val="3CD57F3E"/>
    <w:multiLevelType w:val="multilevel"/>
    <w:tmpl w:val="A8D815F0"/>
    <w:lvl w:ilvl="0">
      <w:start w:val="1"/>
      <w:numFmt w:val="bullet"/>
      <w:lvlRestart w:val="0"/>
      <w:lvlText w:val="●"/>
      <w:lvlJc w:val="left"/>
      <w:pPr>
        <w:tabs>
          <w:tab w:val="num" w:pos="0"/>
        </w:tabs>
        <w:ind w:left="720" w:hanging="360"/>
      </w:pPr>
      <w:rPr>
        <w:rFonts w:ascii="Noto Sans Symbols" w:hAnsi="Noto Sans Symbols" w:eastAsia="Noto Sans Symbols" w:cs="Noto Sans Symbols"/>
      </w:rPr>
    </w:lvl>
    <w:lvl w:ilvl="1">
      <w:start w:val="1"/>
      <w:numFmt w:val="bullet"/>
      <w:lvlText w:val="o"/>
      <w:lvlJc w:val="left"/>
      <w:pPr>
        <w:tabs>
          <w:tab w:val="num" w:pos="0"/>
        </w:tabs>
        <w:ind w:left="1440" w:hanging="360"/>
      </w:pPr>
      <w:rPr>
        <w:rFonts w:ascii="Courier New" w:hAnsi="Courier New" w:eastAsia="Courier New" w:cs="Courier New"/>
      </w:rPr>
    </w:lvl>
    <w:lvl w:ilvl="2">
      <w:start w:val="1"/>
      <w:numFmt w:val="bullet"/>
      <w:lvlText w:val="▪"/>
      <w:lvlJc w:val="left"/>
      <w:pPr>
        <w:tabs>
          <w:tab w:val="num" w:pos="0"/>
        </w:tabs>
        <w:ind w:left="2160" w:hanging="360"/>
      </w:pPr>
      <w:rPr>
        <w:rFonts w:ascii="Noto Sans Symbols" w:hAnsi="Noto Sans Symbols" w:eastAsia="Noto Sans Symbols" w:cs="Noto Sans Symbols"/>
      </w:rPr>
    </w:lvl>
    <w:lvl w:ilvl="3">
      <w:start w:val="1"/>
      <w:numFmt w:val="bullet"/>
      <w:lvlText w:val="●"/>
      <w:lvlJc w:val="left"/>
      <w:pPr>
        <w:tabs>
          <w:tab w:val="num" w:pos="0"/>
        </w:tabs>
        <w:ind w:left="2880" w:hanging="360"/>
      </w:pPr>
      <w:rPr>
        <w:rFonts w:ascii="Noto Sans Symbols" w:hAnsi="Noto Sans Symbols" w:eastAsia="Noto Sans Symbols" w:cs="Noto Sans Symbols"/>
      </w:rPr>
    </w:lvl>
    <w:lvl w:ilvl="4">
      <w:start w:val="1"/>
      <w:numFmt w:val="bullet"/>
      <w:lvlText w:val="o"/>
      <w:lvlJc w:val="left"/>
      <w:pPr>
        <w:tabs>
          <w:tab w:val="num" w:pos="0"/>
        </w:tabs>
        <w:ind w:left="3600" w:hanging="360"/>
      </w:pPr>
      <w:rPr>
        <w:rFonts w:ascii="Courier New" w:hAnsi="Courier New" w:eastAsia="Courier New" w:cs="Courier New"/>
      </w:rPr>
    </w:lvl>
    <w:lvl w:ilvl="5">
      <w:start w:val="1"/>
      <w:numFmt w:val="bullet"/>
      <w:lvlText w:val="▪"/>
      <w:lvlJc w:val="left"/>
      <w:pPr>
        <w:tabs>
          <w:tab w:val="num" w:pos="0"/>
        </w:tabs>
        <w:ind w:left="4320" w:hanging="360"/>
      </w:pPr>
      <w:rPr>
        <w:rFonts w:ascii="Noto Sans Symbols" w:hAnsi="Noto Sans Symbols" w:eastAsia="Noto Sans Symbols" w:cs="Noto Sans Symbols"/>
      </w:rPr>
    </w:lvl>
    <w:lvl w:ilvl="6">
      <w:start w:val="1"/>
      <w:numFmt w:val="bullet"/>
      <w:lvlText w:val="●"/>
      <w:lvlJc w:val="left"/>
      <w:pPr>
        <w:tabs>
          <w:tab w:val="num" w:pos="0"/>
        </w:tabs>
        <w:ind w:left="5040" w:hanging="360"/>
      </w:pPr>
      <w:rPr>
        <w:rFonts w:ascii="Noto Sans Symbols" w:hAnsi="Noto Sans Symbols" w:eastAsia="Noto Sans Symbols" w:cs="Noto Sans Symbols"/>
      </w:rPr>
    </w:lvl>
    <w:lvl w:ilvl="7">
      <w:start w:val="1"/>
      <w:numFmt w:val="bullet"/>
      <w:lvlText w:val="o"/>
      <w:lvlJc w:val="left"/>
      <w:pPr>
        <w:tabs>
          <w:tab w:val="num" w:pos="0"/>
        </w:tabs>
        <w:ind w:left="5760" w:hanging="360"/>
      </w:pPr>
      <w:rPr>
        <w:rFonts w:ascii="Courier New" w:hAnsi="Courier New" w:eastAsia="Courier New" w:cs="Courier New"/>
      </w:rPr>
    </w:lvl>
    <w:lvl w:ilvl="8">
      <w:start w:val="1"/>
      <w:numFmt w:val="bullet"/>
      <w:lvlText w:val="▪"/>
      <w:lvlJc w:val="left"/>
      <w:pPr>
        <w:tabs>
          <w:tab w:val="num" w:pos="0"/>
        </w:tabs>
        <w:ind w:left="6480" w:hanging="360"/>
      </w:pPr>
      <w:rPr>
        <w:rFonts w:ascii="Noto Sans Symbols" w:hAnsi="Noto Sans Symbols" w:eastAsia="Noto Sans Symbols" w:cs="Noto Sans Symbols"/>
      </w:rPr>
    </w:lvl>
  </w:abstractNum>
  <w:abstractNum w:abstractNumId="1">
    <w:nsid w:val="40B9469A"/>
    <w:multiLevelType w:val="multilevel"/>
    <w:tmpl w:val="A79A699C"/>
    <w:lvl w:ilvl="0">
      <w:start w:val="1"/>
      <w:numFmt w:val="bullet"/>
      <w:lvlRestart w:val="0"/>
      <w:lvlText w:val="●"/>
      <w:lvlJc w:val="left"/>
      <w:pPr>
        <w:tabs>
          <w:tab w:val="num" w:pos="0"/>
        </w:tabs>
        <w:ind w:left="720" w:hanging="360"/>
      </w:pPr>
      <w:rPr>
        <w:rFonts w:ascii="Noto Sans Symbols" w:hAnsi="Noto Sans Symbols" w:eastAsia="Noto Sans Symbols" w:cs="Noto Sans Symbols"/>
      </w:rPr>
    </w:lvl>
    <w:lvl w:ilvl="1">
      <w:start w:val="1"/>
      <w:numFmt w:val="bullet"/>
      <w:lvlText w:val="o"/>
      <w:lvlJc w:val="left"/>
      <w:pPr>
        <w:tabs>
          <w:tab w:val="num" w:pos="0"/>
        </w:tabs>
        <w:ind w:left="1440" w:hanging="360"/>
      </w:pPr>
      <w:rPr>
        <w:rFonts w:ascii="Courier New" w:hAnsi="Courier New" w:eastAsia="Courier New" w:cs="Courier New"/>
      </w:rPr>
    </w:lvl>
    <w:lvl w:ilvl="2">
      <w:start w:val="1"/>
      <w:numFmt w:val="bullet"/>
      <w:lvlText w:val="▪"/>
      <w:lvlJc w:val="left"/>
      <w:pPr>
        <w:tabs>
          <w:tab w:val="num" w:pos="0"/>
        </w:tabs>
        <w:ind w:left="2160" w:hanging="360"/>
      </w:pPr>
      <w:rPr>
        <w:rFonts w:ascii="Noto Sans Symbols" w:hAnsi="Noto Sans Symbols" w:eastAsia="Noto Sans Symbols" w:cs="Noto Sans Symbols"/>
      </w:rPr>
    </w:lvl>
    <w:lvl w:ilvl="3">
      <w:start w:val="1"/>
      <w:numFmt w:val="bullet"/>
      <w:lvlText w:val="●"/>
      <w:lvlJc w:val="left"/>
      <w:pPr>
        <w:tabs>
          <w:tab w:val="num" w:pos="0"/>
        </w:tabs>
        <w:ind w:left="2880" w:hanging="360"/>
      </w:pPr>
      <w:rPr>
        <w:rFonts w:ascii="Noto Sans Symbols" w:hAnsi="Noto Sans Symbols" w:eastAsia="Noto Sans Symbols" w:cs="Noto Sans Symbols"/>
      </w:rPr>
    </w:lvl>
    <w:lvl w:ilvl="4">
      <w:start w:val="1"/>
      <w:numFmt w:val="bullet"/>
      <w:lvlText w:val="o"/>
      <w:lvlJc w:val="left"/>
      <w:pPr>
        <w:tabs>
          <w:tab w:val="num" w:pos="0"/>
        </w:tabs>
        <w:ind w:left="3600" w:hanging="360"/>
      </w:pPr>
      <w:rPr>
        <w:rFonts w:ascii="Courier New" w:hAnsi="Courier New" w:eastAsia="Courier New" w:cs="Courier New"/>
      </w:rPr>
    </w:lvl>
    <w:lvl w:ilvl="5">
      <w:start w:val="1"/>
      <w:numFmt w:val="bullet"/>
      <w:lvlText w:val="▪"/>
      <w:lvlJc w:val="left"/>
      <w:pPr>
        <w:tabs>
          <w:tab w:val="num" w:pos="0"/>
        </w:tabs>
        <w:ind w:left="4320" w:hanging="360"/>
      </w:pPr>
      <w:rPr>
        <w:rFonts w:ascii="Noto Sans Symbols" w:hAnsi="Noto Sans Symbols" w:eastAsia="Noto Sans Symbols" w:cs="Noto Sans Symbols"/>
      </w:rPr>
    </w:lvl>
    <w:lvl w:ilvl="6">
      <w:start w:val="1"/>
      <w:numFmt w:val="bullet"/>
      <w:lvlText w:val="●"/>
      <w:lvlJc w:val="left"/>
      <w:pPr>
        <w:tabs>
          <w:tab w:val="num" w:pos="0"/>
        </w:tabs>
        <w:ind w:left="5040" w:hanging="360"/>
      </w:pPr>
      <w:rPr>
        <w:rFonts w:ascii="Noto Sans Symbols" w:hAnsi="Noto Sans Symbols" w:eastAsia="Noto Sans Symbols" w:cs="Noto Sans Symbols"/>
      </w:rPr>
    </w:lvl>
    <w:lvl w:ilvl="7">
      <w:start w:val="1"/>
      <w:numFmt w:val="bullet"/>
      <w:lvlText w:val="o"/>
      <w:lvlJc w:val="left"/>
      <w:pPr>
        <w:tabs>
          <w:tab w:val="num" w:pos="0"/>
        </w:tabs>
        <w:ind w:left="5760" w:hanging="360"/>
      </w:pPr>
      <w:rPr>
        <w:rFonts w:ascii="Courier New" w:hAnsi="Courier New" w:eastAsia="Courier New" w:cs="Courier New"/>
      </w:rPr>
    </w:lvl>
    <w:lvl w:ilvl="8">
      <w:start w:val="1"/>
      <w:numFmt w:val="bullet"/>
      <w:lvlText w:val="▪"/>
      <w:lvlJc w:val="left"/>
      <w:pPr>
        <w:tabs>
          <w:tab w:val="num" w:pos="0"/>
        </w:tabs>
        <w:ind w:left="6480" w:hanging="360"/>
      </w:pPr>
      <w:rPr>
        <w:rFonts w:ascii="Noto Sans Symbols" w:hAnsi="Noto Sans Symbols" w:eastAsia="Noto Sans Symbols" w:cs="Noto Sans Symbols"/>
      </w:rPr>
    </w:lvl>
  </w:abstractNum>
  <w:abstractNum w:abstractNumId="2">
    <w:nsid w:val="6D0D6182"/>
    <w:multiLevelType w:val="multilevel"/>
    <w:tmpl w:val="216EEB28"/>
    <w:lvl w:ilvl="0">
      <w:start w:val="1"/>
      <w:numFmt w:val="bullet"/>
      <w:lvlRestart w:val="0"/>
      <w:lvlText w:val="●"/>
      <w:lvlJc w:val="left"/>
      <w:pPr>
        <w:tabs>
          <w:tab w:val="num" w:pos="0"/>
        </w:tabs>
        <w:ind w:left="720" w:hanging="360"/>
      </w:pPr>
      <w:rPr>
        <w:rFonts w:ascii="Noto Sans Symbols" w:hAnsi="Noto Sans Symbols" w:eastAsia="Noto Sans Symbols" w:cs="Noto Sans Symbols"/>
      </w:rPr>
    </w:lvl>
    <w:lvl w:ilvl="1">
      <w:start w:val="1"/>
      <w:numFmt w:val="bullet"/>
      <w:lvlText w:val="o"/>
      <w:lvlJc w:val="left"/>
      <w:pPr>
        <w:tabs>
          <w:tab w:val="num" w:pos="0"/>
        </w:tabs>
        <w:ind w:left="1440" w:hanging="360"/>
      </w:pPr>
      <w:rPr>
        <w:rFonts w:ascii="Courier New" w:hAnsi="Courier New" w:eastAsia="Courier New" w:cs="Courier New"/>
      </w:rPr>
    </w:lvl>
    <w:lvl w:ilvl="2">
      <w:start w:val="1"/>
      <w:numFmt w:val="bullet"/>
      <w:lvlText w:val="▪"/>
      <w:lvlJc w:val="left"/>
      <w:pPr>
        <w:tabs>
          <w:tab w:val="num" w:pos="0"/>
        </w:tabs>
        <w:ind w:left="2160" w:hanging="360"/>
      </w:pPr>
      <w:rPr>
        <w:rFonts w:ascii="Noto Sans Symbols" w:hAnsi="Noto Sans Symbols" w:eastAsia="Noto Sans Symbols" w:cs="Noto Sans Symbols"/>
      </w:rPr>
    </w:lvl>
    <w:lvl w:ilvl="3">
      <w:start w:val="1"/>
      <w:numFmt w:val="bullet"/>
      <w:lvlText w:val="●"/>
      <w:lvlJc w:val="left"/>
      <w:pPr>
        <w:tabs>
          <w:tab w:val="num" w:pos="0"/>
        </w:tabs>
        <w:ind w:left="2880" w:hanging="360"/>
      </w:pPr>
      <w:rPr>
        <w:rFonts w:ascii="Noto Sans Symbols" w:hAnsi="Noto Sans Symbols" w:eastAsia="Noto Sans Symbols" w:cs="Noto Sans Symbols"/>
      </w:rPr>
    </w:lvl>
    <w:lvl w:ilvl="4">
      <w:start w:val="1"/>
      <w:numFmt w:val="bullet"/>
      <w:lvlText w:val="o"/>
      <w:lvlJc w:val="left"/>
      <w:pPr>
        <w:tabs>
          <w:tab w:val="num" w:pos="0"/>
        </w:tabs>
        <w:ind w:left="3600" w:hanging="360"/>
      </w:pPr>
      <w:rPr>
        <w:rFonts w:ascii="Courier New" w:hAnsi="Courier New" w:eastAsia="Courier New" w:cs="Courier New"/>
      </w:rPr>
    </w:lvl>
    <w:lvl w:ilvl="5">
      <w:start w:val="1"/>
      <w:numFmt w:val="bullet"/>
      <w:lvlText w:val="▪"/>
      <w:lvlJc w:val="left"/>
      <w:pPr>
        <w:tabs>
          <w:tab w:val="num" w:pos="0"/>
        </w:tabs>
        <w:ind w:left="4320" w:hanging="360"/>
      </w:pPr>
      <w:rPr>
        <w:rFonts w:ascii="Noto Sans Symbols" w:hAnsi="Noto Sans Symbols" w:eastAsia="Noto Sans Symbols" w:cs="Noto Sans Symbols"/>
      </w:rPr>
    </w:lvl>
    <w:lvl w:ilvl="6">
      <w:start w:val="1"/>
      <w:numFmt w:val="bullet"/>
      <w:lvlText w:val="●"/>
      <w:lvlJc w:val="left"/>
      <w:pPr>
        <w:tabs>
          <w:tab w:val="num" w:pos="0"/>
        </w:tabs>
        <w:ind w:left="5040" w:hanging="360"/>
      </w:pPr>
      <w:rPr>
        <w:rFonts w:ascii="Noto Sans Symbols" w:hAnsi="Noto Sans Symbols" w:eastAsia="Noto Sans Symbols" w:cs="Noto Sans Symbols"/>
      </w:rPr>
    </w:lvl>
    <w:lvl w:ilvl="7">
      <w:start w:val="1"/>
      <w:numFmt w:val="bullet"/>
      <w:lvlText w:val="o"/>
      <w:lvlJc w:val="left"/>
      <w:pPr>
        <w:tabs>
          <w:tab w:val="num" w:pos="0"/>
        </w:tabs>
        <w:ind w:left="5760" w:hanging="360"/>
      </w:pPr>
      <w:rPr>
        <w:rFonts w:ascii="Courier New" w:hAnsi="Courier New" w:eastAsia="Courier New" w:cs="Courier New"/>
      </w:rPr>
    </w:lvl>
    <w:lvl w:ilvl="8">
      <w:start w:val="1"/>
      <w:numFmt w:val="bullet"/>
      <w:lvlText w:val="▪"/>
      <w:lvlJc w:val="left"/>
      <w:pPr>
        <w:tabs>
          <w:tab w:val="num" w:pos="0"/>
        </w:tabs>
        <w:ind w:left="6480" w:hanging="360"/>
      </w:pPr>
      <w:rPr>
        <w:rFonts w:ascii="Noto Sans Symbols" w:hAnsi="Noto Sans Symbols" w:eastAsia="Noto Sans Symbols" w:cs="Noto Sans Symbols"/>
      </w:rPr>
    </w:lvl>
  </w:abstractNum>
  <w:abstractNum w:abstractNumId="3">
    <w:nsid w:val="2422710C"/>
    <w:multiLevelType w:val="multilevel"/>
    <w:tmpl w:val="5032DD4A"/>
    <w:lvl w:ilvl="0">
      <w:start w:val="1"/>
      <w:numFmt w:val="bullet"/>
      <w:lvlRestart w:val="0"/>
      <w:lvlText w:val="●"/>
      <w:lvlJc w:val="left"/>
      <w:pPr>
        <w:tabs>
          <w:tab w:val="num" w:pos="0"/>
        </w:tabs>
        <w:ind w:left="720" w:hanging="360"/>
      </w:pPr>
      <w:rPr>
        <w:rFonts w:ascii="Noto Sans Symbols" w:hAnsi="Noto Sans Symbols" w:eastAsia="Noto Sans Symbols" w:cs="Noto Sans Symbols"/>
      </w:rPr>
    </w:lvl>
    <w:lvl w:ilvl="1">
      <w:start w:val="1"/>
      <w:numFmt w:val="bullet"/>
      <w:lvlText w:val="o"/>
      <w:lvlJc w:val="left"/>
      <w:pPr>
        <w:tabs>
          <w:tab w:val="num" w:pos="0"/>
        </w:tabs>
        <w:ind w:left="1440" w:hanging="360"/>
      </w:pPr>
      <w:rPr>
        <w:rFonts w:ascii="Courier New" w:hAnsi="Courier New" w:eastAsia="Courier New" w:cs="Courier New"/>
      </w:rPr>
    </w:lvl>
    <w:lvl w:ilvl="2">
      <w:start w:val="1"/>
      <w:numFmt w:val="bullet"/>
      <w:lvlText w:val="▪"/>
      <w:lvlJc w:val="left"/>
      <w:pPr>
        <w:tabs>
          <w:tab w:val="num" w:pos="0"/>
        </w:tabs>
        <w:ind w:left="2160" w:hanging="360"/>
      </w:pPr>
      <w:rPr>
        <w:rFonts w:ascii="Noto Sans Symbols" w:hAnsi="Noto Sans Symbols" w:eastAsia="Noto Sans Symbols" w:cs="Noto Sans Symbols"/>
      </w:rPr>
    </w:lvl>
    <w:lvl w:ilvl="3">
      <w:start w:val="1"/>
      <w:numFmt w:val="bullet"/>
      <w:lvlText w:val="●"/>
      <w:lvlJc w:val="left"/>
      <w:pPr>
        <w:tabs>
          <w:tab w:val="num" w:pos="0"/>
        </w:tabs>
        <w:ind w:left="2880" w:hanging="360"/>
      </w:pPr>
      <w:rPr>
        <w:rFonts w:ascii="Noto Sans Symbols" w:hAnsi="Noto Sans Symbols" w:eastAsia="Noto Sans Symbols" w:cs="Noto Sans Symbols"/>
      </w:rPr>
    </w:lvl>
    <w:lvl w:ilvl="4">
      <w:start w:val="1"/>
      <w:numFmt w:val="bullet"/>
      <w:lvlText w:val="o"/>
      <w:lvlJc w:val="left"/>
      <w:pPr>
        <w:tabs>
          <w:tab w:val="num" w:pos="0"/>
        </w:tabs>
        <w:ind w:left="3600" w:hanging="360"/>
      </w:pPr>
      <w:rPr>
        <w:rFonts w:ascii="Courier New" w:hAnsi="Courier New" w:eastAsia="Courier New" w:cs="Courier New"/>
      </w:rPr>
    </w:lvl>
    <w:lvl w:ilvl="5">
      <w:start w:val="1"/>
      <w:numFmt w:val="bullet"/>
      <w:lvlText w:val="▪"/>
      <w:lvlJc w:val="left"/>
      <w:pPr>
        <w:tabs>
          <w:tab w:val="num" w:pos="0"/>
        </w:tabs>
        <w:ind w:left="4320" w:hanging="360"/>
      </w:pPr>
      <w:rPr>
        <w:rFonts w:ascii="Noto Sans Symbols" w:hAnsi="Noto Sans Symbols" w:eastAsia="Noto Sans Symbols" w:cs="Noto Sans Symbols"/>
      </w:rPr>
    </w:lvl>
    <w:lvl w:ilvl="6">
      <w:start w:val="1"/>
      <w:numFmt w:val="bullet"/>
      <w:lvlText w:val="●"/>
      <w:lvlJc w:val="left"/>
      <w:pPr>
        <w:tabs>
          <w:tab w:val="num" w:pos="0"/>
        </w:tabs>
        <w:ind w:left="5040" w:hanging="360"/>
      </w:pPr>
      <w:rPr>
        <w:rFonts w:ascii="Noto Sans Symbols" w:hAnsi="Noto Sans Symbols" w:eastAsia="Noto Sans Symbols" w:cs="Noto Sans Symbols"/>
      </w:rPr>
    </w:lvl>
    <w:lvl w:ilvl="7">
      <w:start w:val="1"/>
      <w:numFmt w:val="bullet"/>
      <w:lvlText w:val="o"/>
      <w:lvlJc w:val="left"/>
      <w:pPr>
        <w:tabs>
          <w:tab w:val="num" w:pos="0"/>
        </w:tabs>
        <w:ind w:left="5760" w:hanging="360"/>
      </w:pPr>
      <w:rPr>
        <w:rFonts w:ascii="Courier New" w:hAnsi="Courier New" w:eastAsia="Courier New" w:cs="Courier New"/>
      </w:rPr>
    </w:lvl>
    <w:lvl w:ilvl="8">
      <w:start w:val="1"/>
      <w:numFmt w:val="bullet"/>
      <w:lvlText w:val="▪"/>
      <w:lvlJc w:val="left"/>
      <w:pPr>
        <w:tabs>
          <w:tab w:val="num" w:pos="0"/>
        </w:tabs>
        <w:ind w:left="6480" w:hanging="360"/>
      </w:pPr>
      <w:rPr>
        <w:rFonts w:ascii="Noto Sans Symbols" w:hAnsi="Noto Sans Symbols" w:eastAsia="Noto Sans Symbols" w:cs="Noto Sans Symbols"/>
      </w:rPr>
    </w:lvl>
  </w:abstractNum>
  <w:abstractNum w:abstractNumId="4">
    <w:nsid w:val="73CD4771"/>
    <w:multiLevelType w:val="multilevel"/>
    <w:tmpl w:val="FC6A07D8"/>
    <w:lvl w:ilvl="0">
      <w:start w:val="1"/>
      <w:numFmt w:val="bullet"/>
      <w:lvlRestart w:val="0"/>
      <w:lvlText w:val="●"/>
      <w:lvlJc w:val="left"/>
      <w:pPr>
        <w:tabs>
          <w:tab w:val="num" w:pos="0"/>
        </w:tabs>
        <w:ind w:left="720" w:hanging="360"/>
      </w:pPr>
      <w:rPr>
        <w:rFonts w:ascii="Noto Sans Symbols" w:hAnsi="Noto Sans Symbols" w:eastAsia="Noto Sans Symbols" w:cs="Noto Sans Symbols"/>
      </w:rPr>
    </w:lvl>
    <w:lvl w:ilvl="1">
      <w:start w:val="1"/>
      <w:numFmt w:val="bullet"/>
      <w:lvlText w:val="o"/>
      <w:lvlJc w:val="left"/>
      <w:pPr>
        <w:tabs>
          <w:tab w:val="num" w:pos="0"/>
        </w:tabs>
        <w:ind w:left="1440" w:hanging="360"/>
      </w:pPr>
      <w:rPr>
        <w:rFonts w:ascii="Courier New" w:hAnsi="Courier New" w:eastAsia="Courier New" w:cs="Courier New"/>
      </w:rPr>
    </w:lvl>
    <w:lvl w:ilvl="2">
      <w:start w:val="1"/>
      <w:numFmt w:val="bullet"/>
      <w:lvlText w:val="▪"/>
      <w:lvlJc w:val="left"/>
      <w:pPr>
        <w:tabs>
          <w:tab w:val="num" w:pos="0"/>
        </w:tabs>
        <w:ind w:left="2160" w:hanging="360"/>
      </w:pPr>
      <w:rPr>
        <w:rFonts w:ascii="Noto Sans Symbols" w:hAnsi="Noto Sans Symbols" w:eastAsia="Noto Sans Symbols" w:cs="Noto Sans Symbols"/>
      </w:rPr>
    </w:lvl>
    <w:lvl w:ilvl="3">
      <w:start w:val="1"/>
      <w:numFmt w:val="bullet"/>
      <w:lvlText w:val="●"/>
      <w:lvlJc w:val="left"/>
      <w:pPr>
        <w:tabs>
          <w:tab w:val="num" w:pos="0"/>
        </w:tabs>
        <w:ind w:left="2880" w:hanging="360"/>
      </w:pPr>
      <w:rPr>
        <w:rFonts w:ascii="Noto Sans Symbols" w:hAnsi="Noto Sans Symbols" w:eastAsia="Noto Sans Symbols" w:cs="Noto Sans Symbols"/>
      </w:rPr>
    </w:lvl>
    <w:lvl w:ilvl="4">
      <w:start w:val="1"/>
      <w:numFmt w:val="bullet"/>
      <w:lvlText w:val="o"/>
      <w:lvlJc w:val="left"/>
      <w:pPr>
        <w:tabs>
          <w:tab w:val="num" w:pos="0"/>
        </w:tabs>
        <w:ind w:left="3600" w:hanging="360"/>
      </w:pPr>
      <w:rPr>
        <w:rFonts w:ascii="Courier New" w:hAnsi="Courier New" w:eastAsia="Courier New" w:cs="Courier New"/>
      </w:rPr>
    </w:lvl>
    <w:lvl w:ilvl="5">
      <w:start w:val="1"/>
      <w:numFmt w:val="bullet"/>
      <w:lvlText w:val="▪"/>
      <w:lvlJc w:val="left"/>
      <w:pPr>
        <w:tabs>
          <w:tab w:val="num" w:pos="0"/>
        </w:tabs>
        <w:ind w:left="4320" w:hanging="360"/>
      </w:pPr>
      <w:rPr>
        <w:rFonts w:ascii="Noto Sans Symbols" w:hAnsi="Noto Sans Symbols" w:eastAsia="Noto Sans Symbols" w:cs="Noto Sans Symbols"/>
      </w:rPr>
    </w:lvl>
    <w:lvl w:ilvl="6">
      <w:start w:val="1"/>
      <w:numFmt w:val="bullet"/>
      <w:lvlText w:val="●"/>
      <w:lvlJc w:val="left"/>
      <w:pPr>
        <w:tabs>
          <w:tab w:val="num" w:pos="0"/>
        </w:tabs>
        <w:ind w:left="5040" w:hanging="360"/>
      </w:pPr>
      <w:rPr>
        <w:rFonts w:ascii="Noto Sans Symbols" w:hAnsi="Noto Sans Symbols" w:eastAsia="Noto Sans Symbols" w:cs="Noto Sans Symbols"/>
      </w:rPr>
    </w:lvl>
    <w:lvl w:ilvl="7">
      <w:start w:val="1"/>
      <w:numFmt w:val="bullet"/>
      <w:lvlText w:val="o"/>
      <w:lvlJc w:val="left"/>
      <w:pPr>
        <w:tabs>
          <w:tab w:val="num" w:pos="0"/>
        </w:tabs>
        <w:ind w:left="5760" w:hanging="360"/>
      </w:pPr>
      <w:rPr>
        <w:rFonts w:ascii="Courier New" w:hAnsi="Courier New" w:eastAsia="Courier New" w:cs="Courier New"/>
      </w:rPr>
    </w:lvl>
    <w:lvl w:ilvl="8">
      <w:start w:val="1"/>
      <w:numFmt w:val="bullet"/>
      <w:lvlText w:val="▪"/>
      <w:lvlJc w:val="left"/>
      <w:pPr>
        <w:tabs>
          <w:tab w:val="num" w:pos="0"/>
        </w:tabs>
        <w:ind w:left="6480" w:hanging="360"/>
      </w:pPr>
      <w:rPr>
        <w:rFonts w:ascii="Noto Sans Symbols" w:hAnsi="Noto Sans Symbols" w:eastAsia="Noto Sans Symbols" w:cs="Noto Sans Symbols"/>
      </w:rPr>
    </w:lvl>
  </w:abstractNum>
  <w:num w:numId="1">
    <w:abstractNumId w:val="0"/>
  </w:num>
  <w:num w:numId="2">
    <w:abstractNumId w:val="1"/>
  </w:num>
  <w:num w:numId="3">
    <w:abstractNumId w:val="2"/>
  </w:num>
  <w:num w:numId="4">
    <w:abstractNumId w:val="3"/>
  </w:num>
  <w:num w:numId="5">
    <w:abstractNumId w:val="4"/>
  </w:num>
</w:numbering>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136"/>
  <w:bordersDoNotSurroundHeader/>
  <w:bordersDoNotSurroundFooter/>
  <w:defaultTabStop w:val="720"/>
  <w:drawingGridHorizontalSpacing w:val="120"/>
  <w:drawingGridVerticalSpacing w:val="163"/>
  <w:displayHorizontalDrawingGridEvery w:val="0"/>
  <w:displayVerticalDrawingGridEvery w:val="1"/>
  <w:compat>
    <w:spaceForUL/>
    <w:growAutofit/>
    <w:compatSetting w:name="compatibilityMode" w:uri="http://schemas.microsoft.com/office/word" w:val="15"/>
  </w:compat>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pPr>
      <w:spacing w:after="200" w:line="360" w:lineRule="auto"/>
      <w:jc w:val="both"/>
    </w:pPr>
    <w:rPr>
      <w:rFonts w:ascii="Times New Roman" w:eastAsia="Times New Roman" w:cs="Times New Roman" w:hAnsi="Times New Roman"/>
      <w:sz w:val="24"/>
      <w:szCs w:val="24"/>
      <w:lang w:val="en-IN" w:eastAsia="en-IN" w:bidi="gu-IN"/>
    </w:rPr>
  </w:style>
  <w:style w:type="paragraph" w:styleId="1">
    <w:name w:val="heading 1"/>
    <w:basedOn w:val="0"/>
    <w:next w:val="0"/>
    <w:pPr>
      <w:keepNext/>
      <w:keepLines/>
      <w:pBdr>
        <w:top w:val="none" w:sz="0" w:space="0" w:color="auto"/>
        <w:left w:val="none" w:sz="0" w:space="0" w:color="auto"/>
        <w:bottom w:val="none" w:sz="0" w:space="0" w:color="auto"/>
        <w:right w:val="none" w:sz="0" w:space="0" w:color="auto"/>
        <w:between w:val="none" w:sz="0" w:space="0" w:color="auto"/>
      </w:pBdr>
      <w:spacing w:before="480" w:after="0"/>
      <w:outlineLvl w:val="0"/>
    </w:pPr>
    <w:rPr>
      <w:b/>
      <w:bCs/>
      <w:color w:val="000000"/>
      <w:sz w:val="28"/>
      <w:szCs w:val="28"/>
      <w:u w:val="single"/>
    </w:rPr>
  </w:style>
  <w:style w:type="paragraph" w:styleId="2">
    <w:name w:val="heading 2"/>
    <w:basedOn w:val="0"/>
    <w:next w:val="0"/>
    <w:pPr>
      <w:keepNext/>
      <w:keepLines/>
      <w:pBdr>
        <w:top w:val="none" w:sz="0" w:space="0" w:color="auto"/>
        <w:left w:val="none" w:sz="0" w:space="0" w:color="auto"/>
        <w:bottom w:val="none" w:sz="0" w:space="0" w:color="auto"/>
        <w:right w:val="none" w:sz="0" w:space="0" w:color="auto"/>
        <w:between w:val="none" w:sz="0" w:space="0" w:color="auto"/>
      </w:pBdr>
      <w:spacing w:before="200" w:after="0"/>
      <w:outlineLvl w:val="1"/>
    </w:pPr>
    <w:rPr>
      <w:b/>
      <w:bCs/>
      <w:i/>
      <w:iCs/>
      <w:color w:val="000000"/>
      <w:sz w:val="28"/>
      <w:szCs w:val="28"/>
    </w:rPr>
  </w:style>
  <w:style w:type="paragraph" w:styleId="3">
    <w:name w:val="heading 3"/>
    <w:basedOn w:val="0"/>
    <w:next w:val="0"/>
    <w:pPr>
      <w:pBdr>
        <w:top w:val="none" w:sz="0" w:space="0" w:color="auto"/>
        <w:left w:val="none" w:sz="0" w:space="0" w:color="auto"/>
        <w:bottom w:val="none" w:sz="0" w:space="0" w:color="auto"/>
        <w:right w:val="none" w:sz="0" w:space="0" w:color="auto"/>
        <w:between w:val="none" w:sz="0" w:space="0" w:color="auto"/>
      </w:pBdr>
      <w:outlineLvl w:val="2"/>
    </w:pPr>
    <w:rPr>
      <w:b/>
      <w:bCs/>
      <w:color w:val="000000"/>
    </w:rPr>
  </w:style>
  <w:style w:type="paragraph" w:styleId="4">
    <w:name w:val="heading 4"/>
    <w:basedOn w:val="0"/>
    <w:next w:val="0"/>
    <w:pPr>
      <w:pBdr>
        <w:top w:val="none" w:sz="0" w:space="0" w:color="auto"/>
        <w:left w:val="none" w:sz="0" w:space="0" w:color="auto"/>
        <w:bottom w:val="none" w:sz="0" w:space="0" w:color="auto"/>
        <w:right w:val="none" w:sz="0" w:space="0" w:color="auto"/>
        <w:between w:val="none" w:sz="0" w:space="0" w:color="auto"/>
      </w:pBdr>
      <w:spacing w:line="240" w:lineRule="auto"/>
      <w:outlineLvl w:val="3"/>
    </w:pPr>
    <w:rPr>
      <w:b/>
      <w:bCs/>
      <w:color w:val="000000"/>
    </w:rPr>
  </w:style>
  <w:style w:type="paragraph" w:styleId="5">
    <w:name w:val="heading 5"/>
    <w:basedOn w:val="0"/>
    <w:next w:val="0"/>
    <w:pPr>
      <w:keepNext/>
      <w:keepLines/>
      <w:pBdr>
        <w:top w:val="none" w:sz="0" w:space="0" w:color="auto"/>
        <w:left w:val="none" w:sz="0" w:space="0" w:color="auto"/>
        <w:bottom w:val="none" w:sz="0" w:space="0" w:color="auto"/>
        <w:right w:val="none" w:sz="0" w:space="0" w:color="auto"/>
        <w:between w:val="none" w:sz="0" w:space="0" w:color="auto"/>
      </w:pBdr>
      <w:spacing w:before="220" w:after="40"/>
      <w:outlineLvl w:val="4"/>
    </w:pPr>
    <w:rPr>
      <w:b/>
      <w:bCs/>
      <w:color w:val="000000"/>
      <w:sz w:val="22"/>
      <w:szCs w:val="22"/>
    </w:rPr>
  </w:style>
  <w:style w:type="paragraph" w:styleId="6">
    <w:name w:val="heading 6"/>
    <w:basedOn w:val="0"/>
    <w:next w:val="0"/>
    <w:pPr>
      <w:keepNext/>
      <w:keepLines/>
      <w:pBdr>
        <w:top w:val="none" w:sz="0" w:space="0" w:color="auto"/>
        <w:left w:val="none" w:sz="0" w:space="0" w:color="auto"/>
        <w:bottom w:val="none" w:sz="0" w:space="0" w:color="auto"/>
        <w:right w:val="none" w:sz="0" w:space="0" w:color="auto"/>
        <w:between w:val="none" w:sz="0" w:space="0" w:color="auto"/>
      </w:pBdr>
      <w:spacing w:before="200" w:after="40"/>
      <w:outlineLvl w:val="5"/>
    </w:pPr>
    <w:rPr>
      <w:b/>
      <w:bCs/>
      <w:color w:val="000000"/>
      <w:sz w:val="20"/>
      <w:szCs w:val="20"/>
    </w:rPr>
  </w:style>
  <w:style w:type="character" w:default="1" w:styleId="10">
    <w:name w:val="Default Paragraph Font"/>
  </w:style>
  <w:style w:type="paragraph" w:styleId="15">
    <w:name w:val="Title"/>
    <w:basedOn w:val="0"/>
    <w:next w:val="0"/>
    <w:pPr>
      <w:keepNext/>
      <w:keepLines/>
      <w:pBdr>
        <w:top w:val="none" w:sz="0" w:space="0" w:color="auto"/>
        <w:left w:val="none" w:sz="0" w:space="0" w:color="auto"/>
        <w:bottom w:val="none" w:sz="0" w:space="0" w:color="auto"/>
        <w:right w:val="none" w:sz="0" w:space="0" w:color="auto"/>
        <w:between w:val="none" w:sz="0" w:space="0" w:color="auto"/>
      </w:pBdr>
      <w:spacing w:before="480" w:after="120"/>
    </w:pPr>
    <w:rPr>
      <w:b/>
      <w:bCs/>
      <w:color w:val="000000"/>
      <w:sz w:val="72"/>
      <w:szCs w:val="72"/>
    </w:rPr>
  </w:style>
  <w:style w:type="paragraph" w:styleId="16">
    <w:name w:val="Subtitle"/>
    <w:basedOn w:val="0"/>
    <w:next w:val="0"/>
    <w:pPr>
      <w:keepNext/>
      <w:keepLines/>
      <w:pBdr>
        <w:top w:val="none" w:sz="0" w:space="0" w:color="auto"/>
        <w:left w:val="none" w:sz="0" w:space="0" w:color="auto"/>
        <w:bottom w:val="none" w:sz="0" w:space="0" w:color="auto"/>
        <w:right w:val="none" w:sz="0" w:space="0" w:color="auto"/>
        <w:between w:val="none" w:sz="0" w:space="0" w:color="auto"/>
      </w:pBdr>
      <w:spacing w:before="360" w:after="80"/>
    </w:pPr>
    <w:rPr>
      <w:rFonts w:ascii="Georgia" w:eastAsia="Georgia" w:cs="Georgia" w:hAnsi="Georgia"/>
      <w:i/>
      <w:iCs/>
      <w:color w:val="666666"/>
      <w:sz w:val="48"/>
      <w:szCs w:val="48"/>
    </w:rPr>
  </w:style>
  <w:style w:type="paragraph" w:styleId="17">
    <w:name w:val="toc 1"/>
    <w:basedOn w:val="0"/>
    <w:autoRedefine/>
    <w:next w:val="0"/>
    <w:pPr>
      <w:spacing w:after="100"/>
    </w:pPr>
  </w:style>
  <w:style w:type="paragraph" w:styleId="18">
    <w:name w:val="toc 2"/>
    <w:basedOn w:val="0"/>
    <w:autoRedefine/>
    <w:next w:val="0"/>
    <w:pPr>
      <w:spacing w:after="100"/>
      <w:ind w:left="240"/>
    </w:pPr>
  </w:style>
  <w:style w:type="paragraph" w:styleId="19">
    <w:name w:val="toc 3"/>
    <w:basedOn w:val="0"/>
    <w:autoRedefine/>
    <w:next w:val="0"/>
    <w:pPr>
      <w:spacing w:after="100"/>
      <w:ind w:left="480"/>
    </w:pPr>
  </w:style>
  <w:style w:type="character" w:styleId="20">
    <w:name w:val="Hyperlink"/>
    <w:basedOn w:val="10"/>
    <w:rPr>
      <w:color w:val="0000FF"/>
      <w:u w:val="single"/>
    </w:r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footer" Target="footer1.xml"/><Relationship Id="rId3" Type="http://schemas.openxmlformats.org/officeDocument/2006/relationships/image" Target="media/2.png"/><Relationship Id="rId4" Type="http://schemas.openxmlformats.org/officeDocument/2006/relationships/image" Target="media/5.png"/><Relationship Id="rId5" Type="http://schemas.openxmlformats.org/officeDocument/2006/relationships/image" Target="media/8.png"/><Relationship Id="rId6" Type="http://schemas.openxmlformats.org/officeDocument/2006/relationships/image" Target="media/11.png"/><Relationship Id="rId7" Type="http://schemas.openxmlformats.org/officeDocument/2006/relationships/image" Target="media/14.png"/><Relationship Id="rId8" Type="http://schemas.openxmlformats.org/officeDocument/2006/relationships/image" Target="media/17.png"/><Relationship Id="rId9" Type="http://schemas.openxmlformats.org/officeDocument/2006/relationships/image" Target="media/20.png"/><Relationship Id="rId10" Type="http://schemas.openxmlformats.org/officeDocument/2006/relationships/styles" Target="styles.xml"/><Relationship Id="rId11" Type="http://schemas.openxmlformats.org/officeDocument/2006/relationships/numbering" Target="numbering.xml"/><Relationship Id="rId12" Type="http://schemas.openxmlformats.org/officeDocument/2006/relationships/fontTable" Target="fontTable.xml"/></Relationships>
</file>

<file path=docProps/app.xml><?xml version="1.0" encoding="utf-8"?>
<Properties xmlns="http://schemas.openxmlformats.org/officeDocument/2006/extended-properties">
  <Template>Normal.eit</Template>
  <TotalTime>2</TotalTime>
  <Application>Yozo_Office</Application>
  <Pages>22</Pages>
  <Words>3640</Words>
  <Characters>25196</Characters>
  <Lines>472</Lines>
  <Paragraphs>161</Paragraphs>
  <CharactersWithSpaces>28666</CharactersWithSpaces>
</Properties>
</file>

<file path=docProps/core.xml><?xml version="1.0" encoding="utf-8"?>
<cp:coreProperties xmlns:cp="http://schemas.openxmlformats.org/package/2006/metadata/core-properties" xmlns:dc="http://purl.org/dc/elements/1.1/" xmlns:dcterms="http://purl.org/dc/terms/" xmlns:xsi="http://www.w3.org/2001/XMLSchema-instance">
  <cp:lastModifiedBy>vivo user</cp:lastModifiedBy>
  <cp:revision>6</cp:revision>
  <dcterms:created xsi:type="dcterms:W3CDTF">2026-10-12T11:14:00Z</dcterms:created>
  <dcterms:modified xsi:type="dcterms:W3CDTF">2026-10-14T03:39:47Z</dcterms:modified>
</cp:coreProperties>
</file>