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00DCAC" w14:textId="1C8EF90F" w:rsidR="00DA75CF" w:rsidRPr="00A46C1A" w:rsidRDefault="00A46C1A" w:rsidP="00FB55CC">
      <w:pPr>
        <w:rPr>
          <w:b/>
          <w:u w:val="single"/>
        </w:rPr>
      </w:pPr>
      <w:r w:rsidRPr="00A46C1A">
        <w:rPr>
          <w:b/>
          <w:u w:val="single"/>
        </w:rPr>
        <w:t>Reference list</w:t>
      </w:r>
      <w:bookmarkStart w:id="0" w:name="_GoBack"/>
      <w:bookmarkEnd w:id="0"/>
    </w:p>
    <w:p w14:paraId="331E9E15" w14:textId="77777777" w:rsidR="00DA75CF" w:rsidRDefault="00DA75CF" w:rsidP="00FB55CC"/>
    <w:p w14:paraId="38A35F2D" w14:textId="1A61BE3E" w:rsidR="00DA75CF" w:rsidRDefault="00DA75CF" w:rsidP="00FB55CC">
      <w:pPr>
        <w:autoSpaceDE w:val="0"/>
        <w:autoSpaceDN w:val="0"/>
        <w:adjustRightInd w:val="0"/>
        <w:jc w:val="both"/>
        <w:rPr>
          <w:rFonts w:ascii="Arial" w:hAnsi="Arial" w:cs="Arial"/>
          <w:lang w:val="en-US"/>
        </w:rPr>
      </w:pPr>
      <w:proofErr w:type="spellStart"/>
      <w:r>
        <w:rPr>
          <w:rFonts w:ascii="Arial" w:hAnsi="Arial" w:cs="Arial"/>
          <w:lang w:val="en-US"/>
        </w:rPr>
        <w:t>Anjong</w:t>
      </w:r>
      <w:proofErr w:type="spellEnd"/>
      <w:r>
        <w:rPr>
          <w:rFonts w:ascii="Arial" w:hAnsi="Arial" w:cs="Arial"/>
          <w:lang w:val="en-US"/>
        </w:rPr>
        <w:t>, M.M. &amp; Banda, A. (2018). ‘</w:t>
      </w:r>
      <w:r>
        <w:rPr>
          <w:rFonts w:ascii="Arial" w:hAnsi="Arial" w:cs="Arial"/>
          <w:i/>
          <w:iCs/>
          <w:lang w:val="en-US"/>
        </w:rPr>
        <w:t>Tell us Stories, Please! Storytelling for Young Learners of English’</w:t>
      </w:r>
      <w:r>
        <w:rPr>
          <w:rFonts w:ascii="Arial" w:hAnsi="Arial" w:cs="Arial"/>
          <w:lang w:val="en-US"/>
        </w:rPr>
        <w:t>, Proceedings of the International Conference on the Roles of Parents in Shaping Children’s Characters. </w:t>
      </w:r>
      <w:proofErr w:type="spellStart"/>
      <w:r>
        <w:rPr>
          <w:rFonts w:ascii="Arial" w:hAnsi="Arial" w:cs="Arial"/>
          <w:lang w:val="en-US"/>
        </w:rPr>
        <w:t>Universitas</w:t>
      </w:r>
      <w:proofErr w:type="spellEnd"/>
      <w:r>
        <w:rPr>
          <w:rFonts w:ascii="Arial" w:hAnsi="Arial" w:cs="Arial"/>
          <w:lang w:val="en-US"/>
        </w:rPr>
        <w:t> </w:t>
      </w:r>
      <w:proofErr w:type="spellStart"/>
      <w:r>
        <w:rPr>
          <w:rFonts w:ascii="Arial" w:hAnsi="Arial" w:cs="Arial"/>
          <w:lang w:val="en-US"/>
        </w:rPr>
        <w:t>Syiah</w:t>
      </w:r>
      <w:proofErr w:type="spellEnd"/>
      <w:r>
        <w:rPr>
          <w:rFonts w:ascii="Arial" w:hAnsi="Arial" w:cs="Arial"/>
          <w:lang w:val="en-US"/>
        </w:rPr>
        <w:t> Kuala, Banda Aceh, Indonesia 3-4th December. Indonesia: International Conference on Early Childhood Education. </w:t>
      </w:r>
    </w:p>
    <w:p w14:paraId="32CC1F80" w14:textId="77777777" w:rsidR="00DA75CF" w:rsidRDefault="00DA75CF" w:rsidP="00FB55CC">
      <w:pPr>
        <w:autoSpaceDE w:val="0"/>
        <w:autoSpaceDN w:val="0"/>
        <w:adjustRightInd w:val="0"/>
        <w:jc w:val="both"/>
        <w:rPr>
          <w:rFonts w:ascii="Arial" w:hAnsi="Arial" w:cs="Arial"/>
          <w:lang w:val="en-US"/>
        </w:rPr>
      </w:pPr>
    </w:p>
    <w:p w14:paraId="6E870920" w14:textId="5BE13635" w:rsidR="00DA75CF" w:rsidRDefault="00DA75CF" w:rsidP="00FB55CC">
      <w:pPr>
        <w:autoSpaceDE w:val="0"/>
        <w:autoSpaceDN w:val="0"/>
        <w:adjustRightInd w:val="0"/>
        <w:jc w:val="both"/>
        <w:rPr>
          <w:rFonts w:ascii="Arial" w:hAnsi="Arial" w:cs="Arial"/>
          <w:u w:color="0563C1"/>
          <w:lang w:val="en-US"/>
        </w:rPr>
      </w:pPr>
      <w:r>
        <w:rPr>
          <w:rFonts w:ascii="Arial" w:hAnsi="Arial" w:cs="Arial"/>
          <w:u w:color="0563C1"/>
          <w:lang w:val="en-US"/>
        </w:rPr>
        <w:t>Baker, C. (2011), </w:t>
      </w:r>
      <w:r>
        <w:rPr>
          <w:rFonts w:ascii="Arial" w:hAnsi="Arial" w:cs="Arial"/>
          <w:i/>
          <w:iCs/>
          <w:u w:color="0563C1"/>
          <w:lang w:val="en-US"/>
        </w:rPr>
        <w:t>Foundations of bilingual education and bilingualism</w:t>
      </w:r>
      <w:r>
        <w:rPr>
          <w:rFonts w:ascii="Arial" w:hAnsi="Arial" w:cs="Arial"/>
          <w:u w:color="0563C1"/>
          <w:lang w:val="en-US"/>
        </w:rPr>
        <w:t> (5</w:t>
      </w:r>
      <w:r>
        <w:rPr>
          <w:rFonts w:ascii="Arial" w:hAnsi="Arial" w:cs="Arial"/>
          <w:sz w:val="19"/>
          <w:szCs w:val="19"/>
          <w:u w:color="0563C1"/>
          <w:vertAlign w:val="superscript"/>
          <w:lang w:val="en-US"/>
        </w:rPr>
        <w:t>th</w:t>
      </w:r>
      <w:r>
        <w:rPr>
          <w:rFonts w:ascii="Arial" w:hAnsi="Arial" w:cs="Arial"/>
          <w:u w:color="0563C1"/>
          <w:lang w:val="en-US"/>
        </w:rPr>
        <w:t> </w:t>
      </w:r>
      <w:proofErr w:type="spellStart"/>
      <w:r>
        <w:rPr>
          <w:rFonts w:ascii="Arial" w:hAnsi="Arial" w:cs="Arial"/>
          <w:u w:color="0563C1"/>
          <w:lang w:val="en-US"/>
        </w:rPr>
        <w:t>ed</w:t>
      </w:r>
      <w:proofErr w:type="spellEnd"/>
      <w:r>
        <w:rPr>
          <w:rFonts w:ascii="Arial" w:hAnsi="Arial" w:cs="Arial"/>
          <w:u w:color="0563C1"/>
          <w:lang w:val="en-US"/>
        </w:rPr>
        <w:t xml:space="preserve">), </w:t>
      </w:r>
      <w:proofErr w:type="spellStart"/>
      <w:r>
        <w:rPr>
          <w:rFonts w:ascii="Arial" w:hAnsi="Arial" w:cs="Arial"/>
          <w:u w:color="0563C1"/>
          <w:lang w:val="en-US"/>
        </w:rPr>
        <w:t>Clevedon</w:t>
      </w:r>
      <w:proofErr w:type="spellEnd"/>
      <w:r>
        <w:rPr>
          <w:rFonts w:ascii="Arial" w:hAnsi="Arial" w:cs="Arial"/>
          <w:u w:color="0563C1"/>
          <w:lang w:val="en-US"/>
        </w:rPr>
        <w:t>: Multilingual matters. </w:t>
      </w:r>
    </w:p>
    <w:p w14:paraId="69E97EBF" w14:textId="77777777" w:rsidR="00DA75CF" w:rsidRDefault="00DA75CF" w:rsidP="00FB55CC">
      <w:pPr>
        <w:autoSpaceDE w:val="0"/>
        <w:autoSpaceDN w:val="0"/>
        <w:adjustRightInd w:val="0"/>
        <w:jc w:val="both"/>
        <w:rPr>
          <w:rFonts w:ascii="Arial" w:hAnsi="Arial" w:cs="Arial"/>
          <w:u w:color="0563C1"/>
          <w:lang w:val="en-US"/>
        </w:rPr>
      </w:pPr>
    </w:p>
    <w:p w14:paraId="4D761147" w14:textId="3DB04A04" w:rsidR="00DA75CF" w:rsidRDefault="00DA75CF" w:rsidP="00FB55CC">
      <w:pPr>
        <w:autoSpaceDE w:val="0"/>
        <w:autoSpaceDN w:val="0"/>
        <w:adjustRightInd w:val="0"/>
        <w:jc w:val="both"/>
        <w:rPr>
          <w:rFonts w:ascii="Arial" w:hAnsi="Arial" w:cs="Arial"/>
          <w:u w:color="0563C1"/>
          <w:lang w:val="en-US"/>
        </w:rPr>
      </w:pPr>
      <w:r>
        <w:rPr>
          <w:rFonts w:ascii="Arial" w:hAnsi="Arial" w:cs="Arial"/>
          <w:u w:color="0563C1"/>
          <w:lang w:val="en-US"/>
        </w:rPr>
        <w:t xml:space="preserve">Bialystok, E. (2001) </w:t>
      </w:r>
      <w:r>
        <w:rPr>
          <w:rFonts w:ascii="Arial" w:hAnsi="Arial" w:cs="Arial"/>
          <w:i/>
          <w:iCs/>
          <w:u w:color="0563C1"/>
          <w:lang w:val="en-US"/>
        </w:rPr>
        <w:t>Bilingualism in development: Language, Literacy and Cognition</w:t>
      </w:r>
      <w:r>
        <w:rPr>
          <w:rFonts w:ascii="Arial" w:hAnsi="Arial" w:cs="Arial"/>
          <w:u w:color="0563C1"/>
          <w:lang w:val="en-US"/>
        </w:rPr>
        <w:t>. Cambridge. UK: Cambridge University Press.</w:t>
      </w:r>
    </w:p>
    <w:p w14:paraId="2F14531F" w14:textId="77777777" w:rsidR="00DA75CF" w:rsidRDefault="00DA75CF" w:rsidP="00FB55CC">
      <w:pPr>
        <w:autoSpaceDE w:val="0"/>
        <w:autoSpaceDN w:val="0"/>
        <w:adjustRightInd w:val="0"/>
        <w:jc w:val="both"/>
        <w:rPr>
          <w:rFonts w:ascii="Arial" w:hAnsi="Arial" w:cs="Arial"/>
          <w:u w:color="0563C1"/>
          <w:lang w:val="en-US"/>
        </w:rPr>
      </w:pPr>
    </w:p>
    <w:p w14:paraId="4581A5FD" w14:textId="39C593AB" w:rsidR="00DA75CF" w:rsidRDefault="00DA75CF" w:rsidP="00FB55CC">
      <w:pPr>
        <w:autoSpaceDE w:val="0"/>
        <w:autoSpaceDN w:val="0"/>
        <w:adjustRightInd w:val="0"/>
        <w:jc w:val="both"/>
        <w:rPr>
          <w:rFonts w:ascii="Arial" w:hAnsi="Arial" w:cs="Arial"/>
          <w:u w:color="0563C1"/>
          <w:lang w:val="en-US"/>
        </w:rPr>
      </w:pPr>
      <w:r>
        <w:rPr>
          <w:rFonts w:ascii="Arial" w:hAnsi="Arial" w:cs="Arial"/>
          <w:lang w:val="en-US"/>
        </w:rPr>
        <w:t>Bilingual </w:t>
      </w:r>
      <w:proofErr w:type="spellStart"/>
      <w:r>
        <w:rPr>
          <w:rFonts w:ascii="Arial" w:hAnsi="Arial" w:cs="Arial"/>
          <w:lang w:val="en-US"/>
        </w:rPr>
        <w:t>Kidspot</w:t>
      </w:r>
      <w:proofErr w:type="spellEnd"/>
      <w:r>
        <w:rPr>
          <w:rFonts w:ascii="Arial" w:hAnsi="Arial" w:cs="Arial"/>
          <w:lang w:val="en-US"/>
        </w:rPr>
        <w:t>. (2016) </w:t>
      </w:r>
      <w:r>
        <w:rPr>
          <w:rFonts w:ascii="Arial" w:hAnsi="Arial" w:cs="Arial"/>
          <w:i/>
          <w:iCs/>
          <w:lang w:val="en-US"/>
        </w:rPr>
        <w:t>Infographic benefits of raising bilingual kids</w:t>
      </w:r>
      <w:r>
        <w:rPr>
          <w:rFonts w:ascii="Arial" w:hAnsi="Arial" w:cs="Arial"/>
          <w:lang w:val="en-US"/>
        </w:rPr>
        <w:t>.</w:t>
      </w:r>
      <w:r>
        <w:rPr>
          <w:rFonts w:ascii="Arial" w:hAnsi="Arial" w:cs="Arial"/>
          <w:i/>
          <w:iCs/>
          <w:lang w:val="en-US"/>
        </w:rPr>
        <w:t> </w:t>
      </w:r>
      <w:r>
        <w:rPr>
          <w:rFonts w:ascii="Arial" w:hAnsi="Arial" w:cs="Arial"/>
          <w:lang w:val="en-US"/>
        </w:rPr>
        <w:t>Available at: [website] </w:t>
      </w:r>
      <w:r>
        <w:rPr>
          <w:rFonts w:ascii="Arial" w:hAnsi="Arial" w:cs="Arial"/>
          <w:color w:val="0563C1"/>
          <w:u w:val="single" w:color="0563C1"/>
          <w:lang w:val="en-US"/>
        </w:rPr>
        <w:t>https://bilingualkidspot.com/2016/05/31/benefits-raising-bilingual-children/infographic-benefits-of-raising-bilingual-kids2/</w:t>
      </w:r>
      <w:r>
        <w:rPr>
          <w:rFonts w:ascii="Arial" w:hAnsi="Arial" w:cs="Arial"/>
          <w:u w:color="0563C1"/>
          <w:lang w:val="en-US"/>
        </w:rPr>
        <w:t xml:space="preserve">  (Accessed   </w:t>
      </w:r>
      <w:r>
        <w:rPr>
          <w:rFonts w:ascii="Arial" w:hAnsi="Arial" w:cs="Arial"/>
          <w:u w:color="0563C1"/>
          <w:lang w:val="en-US"/>
        </w:rPr>
        <w:t>19</w:t>
      </w:r>
      <w:r w:rsidRPr="00FB55CC">
        <w:rPr>
          <w:rFonts w:ascii="Arial" w:hAnsi="Arial" w:cs="Arial"/>
          <w:u w:color="0563C1"/>
          <w:vertAlign w:val="superscript"/>
          <w:lang w:val="en-US"/>
        </w:rPr>
        <w:t>th</w:t>
      </w:r>
      <w:r>
        <w:rPr>
          <w:rFonts w:ascii="Arial" w:hAnsi="Arial" w:cs="Arial"/>
          <w:u w:color="0563C1"/>
          <w:lang w:val="en-US"/>
        </w:rPr>
        <w:t xml:space="preserve"> march </w:t>
      </w:r>
      <w:r>
        <w:rPr>
          <w:rFonts w:ascii="Arial" w:hAnsi="Arial" w:cs="Arial"/>
          <w:u w:color="0563C1"/>
          <w:lang w:val="en-US"/>
        </w:rPr>
        <w:t xml:space="preserve">     2020)</w:t>
      </w:r>
    </w:p>
    <w:p w14:paraId="19C9A28B" w14:textId="4BA99B6B" w:rsidR="00DA75CF" w:rsidRDefault="00DA75CF" w:rsidP="00DA75CF">
      <w:pPr>
        <w:autoSpaceDE w:val="0"/>
        <w:autoSpaceDN w:val="0"/>
        <w:adjustRightInd w:val="0"/>
        <w:spacing w:before="100" w:after="100"/>
        <w:rPr>
          <w:rFonts w:ascii="Arial" w:hAnsi="Arial" w:cs="Arial"/>
          <w:color w:val="000000"/>
          <w:u w:color="0563C1"/>
          <w:lang w:val="en-US"/>
        </w:rPr>
      </w:pPr>
      <w:r>
        <w:rPr>
          <w:rFonts w:ascii="Arial" w:hAnsi="Arial" w:cs="Arial"/>
          <w:color w:val="000000"/>
          <w:u w:color="0563C1"/>
          <w:lang w:val="en-US"/>
        </w:rPr>
        <w:t>Davies, A. (2020) benefits of immersion method</w:t>
      </w:r>
      <w:r>
        <w:rPr>
          <w:rFonts w:ascii="Arial" w:hAnsi="Arial" w:cs="Arial"/>
          <w:i/>
          <w:iCs/>
          <w:color w:val="000000"/>
          <w:u w:color="0563C1"/>
          <w:lang w:val="en-US"/>
        </w:rPr>
        <w:t>,</w:t>
      </w:r>
      <w:r>
        <w:rPr>
          <w:rFonts w:ascii="Arial" w:hAnsi="Arial" w:cs="Arial"/>
          <w:color w:val="000000"/>
          <w:u w:color="0563C1"/>
          <w:lang w:val="en-US"/>
        </w:rPr>
        <w:t> March 5</w:t>
      </w:r>
      <w:r>
        <w:rPr>
          <w:rFonts w:ascii="Arial" w:hAnsi="Arial" w:cs="Arial"/>
          <w:color w:val="000000"/>
          <w:sz w:val="19"/>
          <w:szCs w:val="19"/>
          <w:u w:color="0563C1"/>
          <w:vertAlign w:val="superscript"/>
          <w:lang w:val="en-US"/>
        </w:rPr>
        <w:t>th</w:t>
      </w:r>
      <w:r>
        <w:rPr>
          <w:rFonts w:ascii="Arial" w:hAnsi="Arial" w:cs="Arial"/>
          <w:color w:val="000000"/>
          <w:u w:color="0563C1"/>
          <w:lang w:val="en-US"/>
        </w:rPr>
        <w:t> 2020. UWTSD, Carmarthen. </w:t>
      </w:r>
    </w:p>
    <w:p w14:paraId="44BC2293" w14:textId="77777777" w:rsidR="00DA75CF" w:rsidRDefault="00DA75CF" w:rsidP="00DA75CF">
      <w:pPr>
        <w:autoSpaceDE w:val="0"/>
        <w:autoSpaceDN w:val="0"/>
        <w:adjustRightInd w:val="0"/>
        <w:spacing w:before="100" w:after="100"/>
        <w:rPr>
          <w:rFonts w:ascii="Arial" w:hAnsi="Arial" w:cs="Arial"/>
          <w:color w:val="000000"/>
          <w:u w:color="0563C1"/>
          <w:lang w:val="en-US"/>
        </w:rPr>
      </w:pPr>
    </w:p>
    <w:p w14:paraId="6E0EB431" w14:textId="00873EEB" w:rsidR="00DA75CF" w:rsidRDefault="00DA75CF" w:rsidP="00DA75CF">
      <w:pPr>
        <w:rPr>
          <w:rFonts w:ascii="Arial" w:eastAsia="Times New Roman" w:hAnsi="Arial" w:cs="Arial"/>
          <w:color w:val="000000"/>
          <w:sz w:val="23"/>
          <w:szCs w:val="23"/>
        </w:rPr>
      </w:pPr>
      <w:proofErr w:type="spellStart"/>
      <w:r>
        <w:t>Kuppen</w:t>
      </w:r>
      <w:proofErr w:type="spellEnd"/>
      <w:r>
        <w:t>, S. (2018) Rhymes In early childhood. Available at: [website]</w:t>
      </w:r>
      <w:r>
        <w:t xml:space="preserve"> </w:t>
      </w:r>
      <w:hyperlink r:id="rId4" w:history="1">
        <w:r w:rsidRPr="00E11058">
          <w:rPr>
            <w:rStyle w:val="Hyperlink"/>
            <w:rFonts w:ascii="Arial" w:eastAsia="Times New Roman" w:hAnsi="Arial" w:cs="Arial"/>
            <w:sz w:val="23"/>
            <w:szCs w:val="23"/>
          </w:rPr>
          <w:t>https://www.booktrust.org.uk/news-and-features/features/2018/november/rhymes-in-early-childho</w:t>
        </w:r>
        <w:r w:rsidRPr="00E11058">
          <w:rPr>
            <w:rStyle w:val="Hyperlink"/>
            <w:rFonts w:ascii="Arial" w:eastAsia="Times New Roman" w:hAnsi="Arial" w:cs="Arial"/>
            <w:sz w:val="23"/>
            <w:szCs w:val="23"/>
          </w:rPr>
          <w:t>o</w:t>
        </w:r>
        <w:r w:rsidRPr="00E11058">
          <w:rPr>
            <w:rStyle w:val="Hyperlink"/>
            <w:rFonts w:ascii="Arial" w:eastAsia="Times New Roman" w:hAnsi="Arial" w:cs="Arial"/>
            <w:sz w:val="23"/>
            <w:szCs w:val="23"/>
          </w:rPr>
          <w:t>d/</w:t>
        </w:r>
      </w:hyperlink>
      <w:r>
        <w:rPr>
          <w:rFonts w:ascii="Arial" w:eastAsia="Times New Roman" w:hAnsi="Arial" w:cs="Arial"/>
          <w:color w:val="000000"/>
          <w:sz w:val="23"/>
          <w:szCs w:val="23"/>
        </w:rPr>
        <w:t xml:space="preserve"> (Accessed 29</w:t>
      </w:r>
      <w:r w:rsidRPr="00DA75CF">
        <w:rPr>
          <w:rFonts w:ascii="Arial" w:eastAsia="Times New Roman" w:hAnsi="Arial" w:cs="Arial"/>
          <w:color w:val="000000"/>
          <w:sz w:val="23"/>
          <w:szCs w:val="23"/>
          <w:vertAlign w:val="superscript"/>
        </w:rPr>
        <w:t>th</w:t>
      </w:r>
      <w:r>
        <w:rPr>
          <w:rFonts w:ascii="Arial" w:eastAsia="Times New Roman" w:hAnsi="Arial" w:cs="Arial"/>
          <w:color w:val="000000"/>
          <w:sz w:val="23"/>
          <w:szCs w:val="23"/>
        </w:rPr>
        <w:t xml:space="preserve"> march 2020)</w:t>
      </w:r>
    </w:p>
    <w:p w14:paraId="5F8564DB" w14:textId="77777777" w:rsidR="00DA75CF" w:rsidRDefault="00DA75CF" w:rsidP="00DA75CF">
      <w:pPr>
        <w:rPr>
          <w:rFonts w:ascii="Arial" w:eastAsia="Times New Roman" w:hAnsi="Arial" w:cs="Arial"/>
          <w:color w:val="000000"/>
          <w:sz w:val="23"/>
          <w:szCs w:val="23"/>
        </w:rPr>
      </w:pPr>
    </w:p>
    <w:p w14:paraId="54E6B84D" w14:textId="77777777" w:rsidR="00DA75CF" w:rsidRPr="00DA75CF" w:rsidRDefault="00DA75CF" w:rsidP="00DA75CF"/>
    <w:p w14:paraId="6FDB6D16" w14:textId="5F569BDD" w:rsidR="00DA75CF" w:rsidRDefault="00DA75CF" w:rsidP="00FB55CC">
      <w:pPr>
        <w:rPr>
          <w:rFonts w:ascii="Arial" w:hAnsi="Arial" w:cs="Arial"/>
          <w:color w:val="000000"/>
          <w:u w:color="0563C1"/>
          <w:lang w:val="en-US"/>
        </w:rPr>
      </w:pPr>
      <w:r>
        <w:rPr>
          <w:rFonts w:ascii="Arial" w:hAnsi="Arial" w:cs="Arial"/>
          <w:color w:val="000000"/>
          <w:u w:color="0563C1"/>
          <w:lang w:val="en-US"/>
        </w:rPr>
        <w:t>Lewis, T.  (2014) ‘</w:t>
      </w:r>
      <w:r>
        <w:rPr>
          <w:rFonts w:ascii="Arial" w:hAnsi="Arial" w:cs="Arial"/>
          <w:i/>
          <w:iCs/>
          <w:color w:val="000000"/>
          <w:u w:color="0563C1"/>
          <w:lang w:val="en-US"/>
        </w:rPr>
        <w:t>Bilingual people are like brain bodybuilders’</w:t>
      </w:r>
      <w:r>
        <w:rPr>
          <w:rFonts w:ascii="Arial" w:hAnsi="Arial" w:cs="Arial"/>
          <w:color w:val="000000"/>
          <w:u w:color="0563C1"/>
          <w:lang w:val="en-US"/>
        </w:rPr>
        <w:t>, </w:t>
      </w:r>
      <w:r>
        <w:rPr>
          <w:rFonts w:ascii="Arial" w:hAnsi="Arial" w:cs="Arial"/>
          <w:i/>
          <w:iCs/>
          <w:color w:val="000000"/>
          <w:u w:color="0563C1"/>
          <w:lang w:val="en-US"/>
        </w:rPr>
        <w:t>Live Science, 1</w:t>
      </w:r>
      <w:r>
        <w:rPr>
          <w:rFonts w:ascii="Arial" w:hAnsi="Arial" w:cs="Arial"/>
          <w:color w:val="000000"/>
          <w:u w:color="0563C1"/>
          <w:lang w:val="en-US"/>
        </w:rPr>
        <w:t>2</w:t>
      </w:r>
      <w:r>
        <w:rPr>
          <w:rFonts w:ascii="Arial" w:hAnsi="Arial" w:cs="Arial"/>
          <w:color w:val="000000"/>
          <w:sz w:val="19"/>
          <w:szCs w:val="19"/>
          <w:u w:color="0563C1"/>
          <w:vertAlign w:val="superscript"/>
          <w:lang w:val="en-US"/>
        </w:rPr>
        <w:t>th</w:t>
      </w:r>
      <w:r>
        <w:rPr>
          <w:rFonts w:ascii="Arial" w:hAnsi="Arial" w:cs="Arial"/>
          <w:color w:val="000000"/>
          <w:u w:color="0563C1"/>
          <w:lang w:val="en-US"/>
        </w:rPr>
        <w:t> November. Available at: [website] </w:t>
      </w:r>
      <w:r>
        <w:rPr>
          <w:rFonts w:ascii="Arial" w:hAnsi="Arial" w:cs="Arial"/>
          <w:color w:val="0563C1"/>
          <w:u w:val="single" w:color="0563C1"/>
          <w:lang w:val="en-US"/>
        </w:rPr>
        <w:t>https://www.livescience.com/48721-bilingual-brain-bodybuilders.html</w:t>
      </w:r>
      <w:r>
        <w:rPr>
          <w:rFonts w:ascii="Arial" w:hAnsi="Arial" w:cs="Arial"/>
          <w:color w:val="000000"/>
          <w:u w:color="0563C1"/>
          <w:lang w:val="en-US"/>
        </w:rPr>
        <w:t>  (Accessed 30</w:t>
      </w:r>
      <w:r>
        <w:rPr>
          <w:rFonts w:ascii="Arial" w:hAnsi="Arial" w:cs="Arial"/>
          <w:color w:val="000000"/>
          <w:sz w:val="19"/>
          <w:szCs w:val="19"/>
          <w:u w:color="0563C1"/>
          <w:vertAlign w:val="superscript"/>
          <w:lang w:val="en-US"/>
        </w:rPr>
        <w:t>th</w:t>
      </w:r>
      <w:r>
        <w:rPr>
          <w:rFonts w:ascii="Arial" w:hAnsi="Arial" w:cs="Arial"/>
          <w:color w:val="000000"/>
          <w:u w:color="0563C1"/>
          <w:lang w:val="en-US"/>
        </w:rPr>
        <w:t> march 2020)</w:t>
      </w:r>
      <w:r w:rsidR="00A46C1A">
        <w:rPr>
          <w:rFonts w:ascii="Arial" w:hAnsi="Arial" w:cs="Arial"/>
          <w:color w:val="000000"/>
          <w:u w:color="0563C1"/>
          <w:lang w:val="en-US"/>
        </w:rPr>
        <w:t>.</w:t>
      </w:r>
    </w:p>
    <w:p w14:paraId="4523A214" w14:textId="14D2A39D" w:rsidR="00DA75CF" w:rsidRDefault="00DA75CF" w:rsidP="00FB55CC">
      <w:pPr>
        <w:rPr>
          <w:rFonts w:ascii="Arial" w:hAnsi="Arial" w:cs="Arial"/>
          <w:color w:val="000000"/>
          <w:u w:color="0563C1"/>
          <w:lang w:val="en-US"/>
        </w:rPr>
      </w:pPr>
      <w:r>
        <w:rPr>
          <w:rFonts w:ascii="Arial" w:hAnsi="Arial" w:cs="Arial"/>
          <w:color w:val="000000"/>
          <w:u w:color="0563C1"/>
          <w:lang w:val="en-US"/>
        </w:rPr>
        <w:t> </w:t>
      </w:r>
    </w:p>
    <w:p w14:paraId="5CCF3936" w14:textId="02B97026" w:rsidR="00DA75CF" w:rsidRDefault="00DA75CF" w:rsidP="00DA75CF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3"/>
          <w:szCs w:val="23"/>
        </w:rPr>
      </w:pPr>
      <w:r>
        <w:t xml:space="preserve">Queensland Government (2020) Rhymes, rhythm and repetition. Available at: [website] </w:t>
      </w:r>
      <w:hyperlink r:id="rId5" w:history="1">
        <w:r w:rsidRPr="00E11058">
          <w:rPr>
            <w:rStyle w:val="Hyperlink"/>
            <w:rFonts w:ascii="Arial" w:eastAsia="Times New Roman" w:hAnsi="Arial" w:cs="Arial"/>
            <w:sz w:val="23"/>
            <w:szCs w:val="23"/>
          </w:rPr>
          <w:t>https://www.earlyy</w:t>
        </w:r>
        <w:r w:rsidRPr="00E11058">
          <w:rPr>
            <w:rStyle w:val="Hyperlink"/>
            <w:rFonts w:ascii="Arial" w:eastAsia="Times New Roman" w:hAnsi="Arial" w:cs="Arial"/>
            <w:sz w:val="23"/>
            <w:szCs w:val="23"/>
          </w:rPr>
          <w:t>e</w:t>
        </w:r>
        <w:r w:rsidRPr="00E11058">
          <w:rPr>
            <w:rStyle w:val="Hyperlink"/>
            <w:rFonts w:ascii="Arial" w:eastAsia="Times New Roman" w:hAnsi="Arial" w:cs="Arial"/>
            <w:sz w:val="23"/>
            <w:szCs w:val="23"/>
          </w:rPr>
          <w:t>arscount.earlychildhood.qld.gov.au/age-spaces/rhymes-rhythm-repetition/</w:t>
        </w:r>
      </w:hyperlink>
      <w:r>
        <w:rPr>
          <w:rFonts w:ascii="Arial" w:eastAsia="Times New Roman" w:hAnsi="Arial" w:cs="Arial"/>
          <w:color w:val="000000"/>
          <w:sz w:val="23"/>
          <w:szCs w:val="23"/>
        </w:rPr>
        <w:t xml:space="preserve"> (Accessed 2</w:t>
      </w:r>
      <w:r w:rsidRPr="00DA75CF">
        <w:rPr>
          <w:rFonts w:ascii="Arial" w:eastAsia="Times New Roman" w:hAnsi="Arial" w:cs="Arial"/>
          <w:color w:val="000000"/>
          <w:sz w:val="23"/>
          <w:szCs w:val="23"/>
          <w:vertAlign w:val="superscript"/>
        </w:rPr>
        <w:t>nd</w:t>
      </w:r>
      <w:r>
        <w:rPr>
          <w:rFonts w:ascii="Arial" w:eastAsia="Times New Roman" w:hAnsi="Arial" w:cs="Arial"/>
          <w:color w:val="000000"/>
          <w:sz w:val="23"/>
          <w:szCs w:val="23"/>
        </w:rPr>
        <w:t xml:space="preserve"> April 2020)</w:t>
      </w:r>
      <w:r w:rsidR="00A46C1A">
        <w:rPr>
          <w:rFonts w:ascii="Arial" w:eastAsia="Times New Roman" w:hAnsi="Arial" w:cs="Arial"/>
          <w:color w:val="000000"/>
          <w:sz w:val="23"/>
          <w:szCs w:val="23"/>
        </w:rPr>
        <w:t>.</w:t>
      </w:r>
    </w:p>
    <w:p w14:paraId="2002FDBD" w14:textId="1F100865" w:rsidR="00A46C1A" w:rsidRDefault="00DA75CF" w:rsidP="00DA75CF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3"/>
          <w:szCs w:val="23"/>
        </w:rPr>
      </w:pPr>
      <w:proofErr w:type="spellStart"/>
      <w:r>
        <w:t>Raisingchildren</w:t>
      </w:r>
      <w:proofErr w:type="spellEnd"/>
      <w:r>
        <w:t xml:space="preserve"> (2020) Multilingual and bilingual children. Available at: [website]</w:t>
      </w:r>
      <w:r w:rsidRPr="00DA75CF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hyperlink r:id="rId6" w:history="1">
        <w:r w:rsidRPr="00E11058">
          <w:rPr>
            <w:rStyle w:val="Hyperlink"/>
            <w:rFonts w:ascii="Arial" w:eastAsia="Times New Roman" w:hAnsi="Arial" w:cs="Arial"/>
            <w:sz w:val="23"/>
            <w:szCs w:val="23"/>
          </w:rPr>
          <w:t>https://raisingchildren.net.au/newborns/connecting-commu</w:t>
        </w:r>
        <w:r w:rsidRPr="00E11058">
          <w:rPr>
            <w:rStyle w:val="Hyperlink"/>
            <w:rFonts w:ascii="Arial" w:eastAsia="Times New Roman" w:hAnsi="Arial" w:cs="Arial"/>
            <w:sz w:val="23"/>
            <w:szCs w:val="23"/>
          </w:rPr>
          <w:t>n</w:t>
        </w:r>
        <w:r w:rsidRPr="00E11058">
          <w:rPr>
            <w:rStyle w:val="Hyperlink"/>
            <w:rFonts w:ascii="Arial" w:eastAsia="Times New Roman" w:hAnsi="Arial" w:cs="Arial"/>
            <w:sz w:val="23"/>
            <w:szCs w:val="23"/>
          </w:rPr>
          <w:t>icating/bilingualism-multilingualism/</w:t>
        </w:r>
        <w:r w:rsidRPr="00E11058">
          <w:rPr>
            <w:rStyle w:val="Hyperlink"/>
            <w:rFonts w:ascii="Arial" w:eastAsia="Times New Roman" w:hAnsi="Arial" w:cs="Arial"/>
            <w:sz w:val="23"/>
            <w:szCs w:val="23"/>
          </w:rPr>
          <w:t>b</w:t>
        </w:r>
        <w:r w:rsidRPr="00E11058">
          <w:rPr>
            <w:rStyle w:val="Hyperlink"/>
            <w:rFonts w:ascii="Arial" w:eastAsia="Times New Roman" w:hAnsi="Arial" w:cs="Arial"/>
            <w:sz w:val="23"/>
            <w:szCs w:val="23"/>
          </w:rPr>
          <w:t>ilingualis</w:t>
        </w:r>
        <w:r w:rsidRPr="00E11058">
          <w:rPr>
            <w:rStyle w:val="Hyperlink"/>
            <w:rFonts w:ascii="Arial" w:eastAsia="Times New Roman" w:hAnsi="Arial" w:cs="Arial"/>
            <w:sz w:val="23"/>
            <w:szCs w:val="23"/>
          </w:rPr>
          <w:t>m</w:t>
        </w:r>
      </w:hyperlink>
      <w:r>
        <w:rPr>
          <w:rFonts w:ascii="Arial" w:eastAsia="Times New Roman" w:hAnsi="Arial" w:cs="Arial"/>
          <w:color w:val="000000"/>
          <w:sz w:val="23"/>
          <w:szCs w:val="23"/>
        </w:rPr>
        <w:t xml:space="preserve"> (Accessed 19</w:t>
      </w:r>
      <w:r w:rsidRPr="00DA75CF">
        <w:rPr>
          <w:rFonts w:ascii="Arial" w:eastAsia="Times New Roman" w:hAnsi="Arial" w:cs="Arial"/>
          <w:color w:val="000000"/>
          <w:sz w:val="23"/>
          <w:szCs w:val="23"/>
          <w:vertAlign w:val="superscript"/>
        </w:rPr>
        <w:t>th</w:t>
      </w:r>
      <w:r>
        <w:rPr>
          <w:rFonts w:ascii="Arial" w:eastAsia="Times New Roman" w:hAnsi="Arial" w:cs="Arial"/>
          <w:color w:val="000000"/>
          <w:sz w:val="23"/>
          <w:szCs w:val="23"/>
        </w:rPr>
        <w:t xml:space="preserve"> march 2020)</w:t>
      </w:r>
      <w:r w:rsidR="00A46C1A">
        <w:rPr>
          <w:rFonts w:ascii="Arial" w:eastAsia="Times New Roman" w:hAnsi="Arial" w:cs="Arial"/>
          <w:color w:val="000000"/>
          <w:sz w:val="23"/>
          <w:szCs w:val="23"/>
        </w:rPr>
        <w:t>.</w:t>
      </w:r>
    </w:p>
    <w:p w14:paraId="14B5B35C" w14:textId="17D56F58" w:rsidR="00DA75CF" w:rsidRDefault="00DA75CF" w:rsidP="00FB55CC">
      <w:proofErr w:type="spellStart"/>
      <w:r>
        <w:t>Trautner</w:t>
      </w:r>
      <w:proofErr w:type="spellEnd"/>
      <w:r>
        <w:t xml:space="preserve">, T. (2019) advantages of a bilingual brain. Available at: [website]  </w:t>
      </w:r>
      <w:hyperlink r:id="rId7" w:history="1">
        <w:r w:rsidRPr="00E11058">
          <w:rPr>
            <w:rStyle w:val="Hyperlink"/>
          </w:rPr>
          <w:t>https://www.canr.msu.edu/news/advantages_of_a_bilingual_brain</w:t>
        </w:r>
      </w:hyperlink>
      <w:r>
        <w:t xml:space="preserve"> </w:t>
      </w:r>
      <w:r>
        <w:t>( Accessed 2</w:t>
      </w:r>
      <w:r w:rsidRPr="00FB55CC">
        <w:rPr>
          <w:vertAlign w:val="superscript"/>
        </w:rPr>
        <w:t>nd</w:t>
      </w:r>
      <w:r>
        <w:t xml:space="preserve"> April 2020)</w:t>
      </w:r>
      <w:r w:rsidR="00A46C1A">
        <w:t>.</w:t>
      </w:r>
    </w:p>
    <w:p w14:paraId="58C63C2B" w14:textId="77777777" w:rsidR="00A46C1A" w:rsidRDefault="00A46C1A" w:rsidP="00FB55CC"/>
    <w:p w14:paraId="2EAD8D76" w14:textId="4C65EF72" w:rsidR="00A46C1A" w:rsidRDefault="00DA75CF" w:rsidP="00DA75CF">
      <w:pPr>
        <w:rPr>
          <w:rFonts w:ascii="Arial" w:eastAsia="Times New Roman" w:hAnsi="Arial" w:cs="Arial"/>
          <w:color w:val="000000"/>
          <w:sz w:val="23"/>
          <w:szCs w:val="23"/>
        </w:rPr>
      </w:pPr>
      <w:r>
        <w:t xml:space="preserve">Walker, N. (2018) The Economic benefits of Bilingualism. Available at: [website] </w:t>
      </w:r>
      <w:hyperlink r:id="rId8" w:history="1">
        <w:r w:rsidRPr="00E11058">
          <w:rPr>
            <w:rStyle w:val="Hyperlink"/>
            <w:rFonts w:ascii="Arial" w:eastAsia="Times New Roman" w:hAnsi="Arial" w:cs="Arial"/>
            <w:sz w:val="23"/>
            <w:szCs w:val="23"/>
          </w:rPr>
          <w:t>https://blog.virtualwritingtutor.com/the-economic-advantages-of-bilingualism/</w:t>
        </w:r>
      </w:hyperlink>
      <w:r>
        <w:rPr>
          <w:rFonts w:ascii="Arial" w:eastAsia="Times New Roman" w:hAnsi="Arial" w:cs="Arial"/>
          <w:color w:val="000000"/>
          <w:sz w:val="23"/>
          <w:szCs w:val="23"/>
        </w:rPr>
        <w:t xml:space="preserve"> (Accessed 3</w:t>
      </w:r>
      <w:r w:rsidRPr="00DA75CF">
        <w:rPr>
          <w:rFonts w:ascii="Arial" w:eastAsia="Times New Roman" w:hAnsi="Arial" w:cs="Arial"/>
          <w:color w:val="000000"/>
          <w:sz w:val="23"/>
          <w:szCs w:val="23"/>
          <w:vertAlign w:val="superscript"/>
        </w:rPr>
        <w:t>rd</w:t>
      </w:r>
      <w:r>
        <w:rPr>
          <w:rFonts w:ascii="Arial" w:eastAsia="Times New Roman" w:hAnsi="Arial" w:cs="Arial"/>
          <w:color w:val="000000"/>
          <w:sz w:val="23"/>
          <w:szCs w:val="23"/>
        </w:rPr>
        <w:t xml:space="preserve"> April 2020)</w:t>
      </w:r>
      <w:r w:rsidR="00A46C1A">
        <w:rPr>
          <w:rFonts w:ascii="Arial" w:eastAsia="Times New Roman" w:hAnsi="Arial" w:cs="Arial"/>
          <w:color w:val="000000"/>
          <w:sz w:val="23"/>
          <w:szCs w:val="23"/>
        </w:rPr>
        <w:t>.</w:t>
      </w:r>
    </w:p>
    <w:p w14:paraId="7D9FC300" w14:textId="77777777" w:rsidR="00A46C1A" w:rsidRDefault="00A46C1A" w:rsidP="00DA75CF">
      <w:pPr>
        <w:rPr>
          <w:rFonts w:ascii="Arial" w:eastAsia="Times New Roman" w:hAnsi="Arial" w:cs="Arial"/>
          <w:color w:val="000000"/>
          <w:sz w:val="23"/>
          <w:szCs w:val="23"/>
        </w:rPr>
      </w:pPr>
    </w:p>
    <w:p w14:paraId="570C9FF7" w14:textId="4A945C37" w:rsidR="00DA75CF" w:rsidRPr="00DA75CF" w:rsidRDefault="00DA75CF" w:rsidP="00DA75CF">
      <w:r>
        <w:lastRenderedPageBreak/>
        <w:t>Welsh Gover</w:t>
      </w:r>
      <w:r w:rsidR="00A46C1A">
        <w:t>n</w:t>
      </w:r>
      <w:r>
        <w:t xml:space="preserve">ment (2015) foundation phase framework. Available at: [website] </w:t>
      </w:r>
      <w:hyperlink r:id="rId9" w:history="1">
        <w:r w:rsidRPr="00E11058">
          <w:rPr>
            <w:rStyle w:val="Hyperlink"/>
            <w:rFonts w:ascii="Arial" w:eastAsia="Times New Roman" w:hAnsi="Arial" w:cs="Arial"/>
            <w:sz w:val="23"/>
            <w:szCs w:val="23"/>
          </w:rPr>
          <w:t>https://hwb.gov.wales/storage/d5d8e39c-b534-40cb-a3f5-7e2e126d8077/foundation-phase-framework.pdf</w:t>
        </w:r>
      </w:hyperlink>
      <w:r>
        <w:rPr>
          <w:rFonts w:ascii="Arial" w:eastAsia="Times New Roman" w:hAnsi="Arial" w:cs="Arial"/>
          <w:color w:val="000000"/>
          <w:sz w:val="23"/>
          <w:szCs w:val="23"/>
        </w:rPr>
        <w:t xml:space="preserve"> (Accessed 30th march 2020)</w:t>
      </w:r>
      <w:r w:rsidR="00A46C1A">
        <w:rPr>
          <w:rFonts w:ascii="Arial" w:eastAsia="Times New Roman" w:hAnsi="Arial" w:cs="Arial"/>
          <w:color w:val="000000"/>
          <w:sz w:val="23"/>
          <w:szCs w:val="23"/>
        </w:rPr>
        <w:t>.</w:t>
      </w:r>
    </w:p>
    <w:p w14:paraId="66BD2974" w14:textId="77777777" w:rsidR="00FB55CC" w:rsidRDefault="00FB55CC" w:rsidP="00FB55CC"/>
    <w:sectPr w:rsidR="00FB55CC" w:rsidSect="00981A0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5CC"/>
    <w:rsid w:val="00981A0E"/>
    <w:rsid w:val="00A46C1A"/>
    <w:rsid w:val="00DA75CF"/>
    <w:rsid w:val="00FB55CC"/>
    <w:rsid w:val="00FE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67B4EA7"/>
  <w15:chartTrackingRefBased/>
  <w15:docId w15:val="{20DBC05C-7B28-F146-8E08-567E989BA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B55C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B55CC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75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log.virtualwritingtutor.com/the-economic-advantages-of-bilingualis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canr.msu.edu/news/advantages_of_a_bilingual_brai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aisingchildren.net.au/newborns/connecting-communicating/bilingualism-multilingualism/bilingualis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earlyyearscount.earlychildhood.qld.gov.au/age-spaces/rhymes-rhythm-repetition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booktrust.org.uk/news-and-features/features/2018/november/rhymes-in-early-childhood/" TargetMode="External"/><Relationship Id="rId9" Type="http://schemas.openxmlformats.org/officeDocument/2006/relationships/hyperlink" Target="https://hwb.gov.wales/storage/d5d8e39c-b534-40cb-a3f5-7e2e126d8077/foundation-phase-framework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441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Green</dc:creator>
  <cp:keywords/>
  <dc:description/>
  <cp:lastModifiedBy>Bethany Green</cp:lastModifiedBy>
  <cp:revision>1</cp:revision>
  <dcterms:created xsi:type="dcterms:W3CDTF">2020-04-03T20:15:00Z</dcterms:created>
  <dcterms:modified xsi:type="dcterms:W3CDTF">2020-04-03T20:37:00Z</dcterms:modified>
</cp:coreProperties>
</file>