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both"/>
      </w:pPr>
    </w:p>
    <w:p>
      <w:pPr>
        <w:pStyle w:val="24"/>
        <w:ind w:left="0" w:leftChars="0" w:firstLine="0" w:firstLineChars="0"/>
        <w:jc w:val="both"/>
        <w:rPr>
          <w:szCs w:val="24"/>
        </w:rPr>
      </w:pPr>
    </w:p>
    <w:p>
      <w:pPr>
        <w:pStyle w:val="24"/>
        <w:jc w:val="both"/>
        <w:rPr>
          <w:szCs w:val="24"/>
        </w:rPr>
      </w:pPr>
    </w:p>
    <w:p>
      <w:pPr>
        <w:pStyle w:val="24"/>
        <w:jc w:val="both"/>
        <w:rPr>
          <w:szCs w:val="24"/>
        </w:rPr>
      </w:pPr>
    </w:p>
    <w:p>
      <w:pPr>
        <w:spacing w:line="480" w:lineRule="auto"/>
        <w:ind w:firstLine="720"/>
        <w:jc w:val="center"/>
        <w:rPr>
          <w:rFonts w:hint="eastAsia" w:eastAsia="宋体"/>
          <w:lang w:val="en-US" w:eastAsia="zh-CN"/>
        </w:rPr>
      </w:pPr>
      <w:r>
        <w:t>GLOBAL MARKETING STRATEGY FOR T</w:t>
      </w:r>
      <w:r>
        <w:rPr>
          <w:rFonts w:hint="eastAsia" w:eastAsia="宋体"/>
          <w:lang w:val="en-US" w:eastAsia="zh-CN"/>
        </w:rPr>
        <w:t>OMOS</w:t>
      </w:r>
      <w:r>
        <w:t xml:space="preserve"> </w:t>
      </w:r>
      <w:r>
        <w:rPr>
          <w:rFonts w:hint="eastAsia" w:eastAsia="宋体"/>
          <w:lang w:val="en-US" w:eastAsia="zh-CN"/>
        </w:rPr>
        <w:t>AND</w:t>
      </w:r>
      <w:r>
        <w:t xml:space="preserve"> </w:t>
      </w:r>
      <w:r>
        <w:rPr>
          <w:rFonts w:hint="eastAsia" w:eastAsia="宋体"/>
          <w:lang w:val="en-US" w:eastAsia="zh-CN"/>
        </w:rPr>
        <w:t>WATKINS</w:t>
      </w:r>
    </w:p>
    <w:p>
      <w:pPr>
        <w:pStyle w:val="24"/>
        <w:jc w:val="center"/>
        <w:rPr>
          <w:szCs w:val="24"/>
        </w:rPr>
      </w:pPr>
    </w:p>
    <w:p>
      <w:pPr>
        <w:pStyle w:val="24"/>
        <w:jc w:val="center"/>
        <w:rPr>
          <w:szCs w:val="24"/>
        </w:rPr>
      </w:pPr>
    </w:p>
    <w:p>
      <w:pPr>
        <w:pStyle w:val="24"/>
        <w:jc w:val="center"/>
        <w:rPr>
          <w:szCs w:val="24"/>
        </w:rPr>
      </w:pPr>
    </w:p>
    <w:p>
      <w:pPr>
        <w:pStyle w:val="24"/>
        <w:jc w:val="center"/>
        <w:rPr>
          <w:rFonts w:hint="eastAsia" w:eastAsia="宋体"/>
          <w:szCs w:val="24"/>
          <w:lang w:val="en-US" w:eastAsia="zh-CN"/>
        </w:rPr>
      </w:pPr>
      <w:r>
        <w:rPr>
          <w:rFonts w:hint="eastAsia" w:eastAsia="宋体"/>
          <w:szCs w:val="24"/>
          <w:lang w:val="en-US" w:eastAsia="zh-CN"/>
        </w:rPr>
        <w:t>STUDENT ID</w:t>
      </w:r>
    </w:p>
    <w:p>
      <w:pPr>
        <w:pStyle w:val="24"/>
        <w:jc w:val="center"/>
        <w:rPr>
          <w:rFonts w:hint="default" w:eastAsia="宋体"/>
          <w:szCs w:val="24"/>
          <w:lang w:val="en-US" w:eastAsia="zh-CN"/>
        </w:rPr>
      </w:pPr>
      <w:r>
        <w:rPr>
          <w:rFonts w:hint="eastAsia" w:eastAsia="宋体"/>
          <w:szCs w:val="24"/>
          <w:lang w:val="en-US" w:eastAsia="zh-CN"/>
        </w:rPr>
        <w:t>1804451</w:t>
      </w:r>
    </w:p>
    <w:p>
      <w:pPr>
        <w:pStyle w:val="24"/>
        <w:jc w:val="both"/>
        <w:rPr>
          <w:szCs w:val="24"/>
        </w:rPr>
      </w:pPr>
    </w:p>
    <w:p>
      <w:pPr>
        <w:pStyle w:val="24"/>
        <w:jc w:val="both"/>
        <w:rPr>
          <w:szCs w:val="24"/>
        </w:rPr>
      </w:pPr>
    </w:p>
    <w:p>
      <w:pPr>
        <w:pStyle w:val="31"/>
        <w:spacing w:line="480" w:lineRule="auto"/>
        <w:jc w:val="both"/>
        <w:rPr>
          <w:rFonts w:ascii="Times New Roman" w:hAnsi="Times New Roman" w:cs="Times New Roman"/>
          <w:color w:val="auto"/>
          <w:sz w:val="24"/>
          <w:szCs w:val="24"/>
        </w:rPr>
      </w:pPr>
    </w:p>
    <w:p>
      <w:pPr>
        <w:pStyle w:val="24"/>
        <w:jc w:val="both"/>
        <w:rPr>
          <w:rFonts w:eastAsia="Arial"/>
          <w:szCs w:val="24"/>
        </w:rPr>
      </w:pPr>
    </w:p>
    <w:p>
      <w:pPr>
        <w:pStyle w:val="24"/>
        <w:jc w:val="both"/>
        <w:rPr>
          <w:rFonts w:eastAsia="Arial"/>
          <w:szCs w:val="24"/>
        </w:rPr>
      </w:pPr>
    </w:p>
    <w:p>
      <w:pPr>
        <w:pStyle w:val="24"/>
        <w:jc w:val="both"/>
        <w:rPr>
          <w:rFonts w:eastAsia="Arial"/>
          <w:szCs w:val="24"/>
        </w:rPr>
      </w:pPr>
    </w:p>
    <w:p>
      <w:pPr>
        <w:pStyle w:val="24"/>
        <w:jc w:val="both"/>
        <w:rPr>
          <w:rFonts w:eastAsia="Arial"/>
          <w:szCs w:val="24"/>
        </w:rPr>
      </w:pPr>
    </w:p>
    <w:p>
      <w:pPr>
        <w:pStyle w:val="24"/>
        <w:jc w:val="both"/>
        <w:rPr>
          <w:rFonts w:eastAsia="Arial"/>
          <w:szCs w:val="24"/>
        </w:rPr>
      </w:pPr>
    </w:p>
    <w:p>
      <w:pPr>
        <w:pStyle w:val="24"/>
        <w:jc w:val="both"/>
        <w:rPr>
          <w:rFonts w:eastAsia="Arial"/>
          <w:szCs w:val="24"/>
        </w:rPr>
      </w:pPr>
    </w:p>
    <w:p>
      <w:pPr>
        <w:pStyle w:val="24"/>
        <w:jc w:val="both"/>
        <w:rPr>
          <w:rFonts w:eastAsia="Arial"/>
          <w:szCs w:val="24"/>
        </w:rPr>
      </w:pPr>
    </w:p>
    <w:p>
      <w:pPr>
        <w:pStyle w:val="24"/>
        <w:jc w:val="both"/>
        <w:rPr>
          <w:rFonts w:eastAsia="Arial"/>
          <w:szCs w:val="24"/>
        </w:rPr>
      </w:pPr>
    </w:p>
    <w:p>
      <w:pPr>
        <w:pStyle w:val="24"/>
        <w:jc w:val="both"/>
        <w:rPr>
          <w:rFonts w:eastAsia="Arial"/>
          <w:szCs w:val="24"/>
        </w:rPr>
      </w:pPr>
    </w:p>
    <w:p>
      <w:pPr>
        <w:jc w:val="both"/>
      </w:pPr>
    </w:p>
    <w:p>
      <w:pPr>
        <w:spacing w:line="480" w:lineRule="auto"/>
        <w:jc w:val="both"/>
        <w:rPr>
          <w:b/>
        </w:rPr>
      </w:pPr>
      <w:r>
        <w:rPr>
          <w:b/>
        </w:rPr>
        <w:t xml:space="preserve">1.0 Introduction </w:t>
      </w:r>
    </w:p>
    <w:p>
      <w:pPr>
        <w:spacing w:line="480" w:lineRule="auto"/>
        <w:jc w:val="both"/>
      </w:pPr>
      <w:r>
        <w:t>Tomos Watkins is Brewery Company based in the wales. All the companies’ products are unique and differentiated from others in terms of quality; they are made in Swansea and sold to the Welsh and British market. The company recognizes potential foreign markets and strategy to new market and adoption of the best options available.  This report will, therefore, focus on identification of critical, critical markets which are worth entering and evaluation of the possible options for entry to these markets.</w:t>
      </w:r>
    </w:p>
    <w:p>
      <w:pPr>
        <w:spacing w:line="480" w:lineRule="auto"/>
        <w:jc w:val="both"/>
        <w:rPr>
          <w:b/>
        </w:rPr>
      </w:pPr>
      <w:r>
        <w:rPr>
          <w:b/>
        </w:rPr>
        <w:t>2.0 Identification of Key Markets Worth Entering.</w:t>
      </w:r>
    </w:p>
    <w:p>
      <w:pPr>
        <w:spacing w:line="480" w:lineRule="auto"/>
        <w:jc w:val="both"/>
        <w:rPr>
          <w:color w:val="000000" w:themeColor="text1"/>
          <w14:textFill>
            <w14:solidFill>
              <w14:schemeClr w14:val="tx1"/>
            </w14:solidFill>
          </w14:textFill>
        </w:rPr>
      </w:pPr>
      <w:r>
        <w:t xml:space="preserve">According to the global beer market report produced in the year 2017, the total income generated from this industry was $593,025 million, and it’s expected to hit $700,000 by the year 2025(Blythe 2009). </w:t>
      </w:r>
      <w:r>
        <w:rPr>
          <w:color w:val="000000" w:themeColor="text1"/>
          <w14:textFill>
            <w14:solidFill>
              <w14:schemeClr w14:val="tx1"/>
            </w14:solidFill>
          </w14:textFill>
        </w:rPr>
        <w:t xml:space="preserve">There has been increased consumption of beer due to an increase in the disposable income as well as an increase in consumer preference to it as opposed to alcoholic beverages. The surge in female consumers and increased youth population has fuelled the market growth. It is anticipated that the youth population will reach more than 1.4 billion by 2025 (Blythe 2009). Such population presents an opportunity to Tomos and Watkins to consider entering new markets. </w:t>
      </w:r>
    </w:p>
    <w:p>
      <w:pPr>
        <w:spacing w:line="480" w:lineRule="auto"/>
        <w:jc w:val="both"/>
      </w:pPr>
      <w:r>
        <w:t>However, before entering to new markets, there is need to conduct a market feasibility study to understand a country market structure, the geography, the culture of the people, legal requirements and consumption behaviour</w:t>
      </w:r>
      <w:r>
        <w:rPr>
          <w:lang w:val="en-US"/>
        </w:rPr>
        <w:t xml:space="preserve"> (Belohlavek 2011)</w:t>
      </w:r>
      <w:r>
        <w:t>. All these factors are important since they help in market viability as well as sustainability. We will, therefore, analyse the countries which Tomos Watkins considers entering about the factors mentioned herein.</w:t>
      </w:r>
    </w:p>
    <w:p>
      <w:pPr>
        <w:spacing w:line="480" w:lineRule="auto"/>
        <w:jc w:val="both"/>
      </w:pPr>
    </w:p>
    <w:p>
      <w:pPr>
        <w:spacing w:line="480" w:lineRule="auto"/>
        <w:jc w:val="both"/>
      </w:pPr>
    </w:p>
    <w:p>
      <w:pPr>
        <w:spacing w:line="480" w:lineRule="auto"/>
        <w:jc w:val="both"/>
        <w:rPr>
          <w:b/>
        </w:rPr>
      </w:pPr>
      <w:r>
        <w:rPr>
          <w:b/>
        </w:rPr>
        <w:t>2.1 The German Market</w:t>
      </w:r>
    </w:p>
    <w:p>
      <w:pPr>
        <w:spacing w:line="480" w:lineRule="auto"/>
        <w:jc w:val="both"/>
      </w:pPr>
      <w:r>
        <w:t>Entering into international business is highly risky, and Tomos and Watkins have to get quality information on the markets. The company has to conduct thorough research on the German’s beer market with intentions of filling any existing market gap that may be available</w:t>
      </w:r>
      <w:r>
        <w:rPr>
          <w:lang w:val="en-US"/>
        </w:rPr>
        <w:t xml:space="preserve"> (Belohlavek 2011)</w:t>
      </w:r>
      <w:r>
        <w:t xml:space="preserve">. Tomos and Watkins will be required to pay emphasis on the obvious and cultural differences in its country and that of Germany which will help adjust from the norm in marketing and entering the market. The German market is decentralised with a difference in preferences and tastes varying from one region to another but still, it remains a valuable market for export as well as investments. In the year 2017, the UK had an estimated GDP of about $3.677 trillion making a major global trading country for entry by Tomos and Watkins (Doole and Lowe 2012). </w:t>
      </w:r>
    </w:p>
    <w:p>
      <w:pPr>
        <w:spacing w:line="480" w:lineRule="auto"/>
        <w:jc w:val="both"/>
      </w:pPr>
      <w:r>
        <w:t xml:space="preserve">However, the legal system and tax system in Germany prohibits the production of alcoholic beverages and the large production which was taking place in Germany was suppressed. An advantage about the Germany market is that it has few barriers to entry serving as entry market for over 43,000 exporters from the USA and from the UK which makes it appropriate for firms with a mission to penetrate products to the country. However, the German market is a sophisticated one and has a high demand for commodities and services that improve productivity, lower costs and also enhance the performance of the business. This may pose a threat Tomos and Watkins who are thinking about bringing beer to the German market which may be considered unproductive commodity or one that does not improve the efficiency of other businesses in the country. </w:t>
      </w:r>
    </w:p>
    <w:p>
      <w:pPr>
        <w:spacing w:line="480" w:lineRule="auto"/>
        <w:jc w:val="both"/>
        <w:rPr>
          <w:b/>
        </w:rPr>
      </w:pPr>
      <w:r>
        <w:rPr>
          <w:b/>
        </w:rPr>
        <w:t xml:space="preserve">2.2 Brazilian market </w:t>
      </w:r>
    </w:p>
    <w:p>
      <w:pPr>
        <w:spacing w:line="480" w:lineRule="auto"/>
        <w:jc w:val="both"/>
      </w:pPr>
      <w:r>
        <w:t xml:space="preserve">Even though the Brazilian country suffered for several years, recently there has been a significant sign the economy is on recovery. During the worst of the times, citizens changed their norms and habits to minimise consumptions. For instance, Brazilians turned their homesteads into places of gathering instead of going out for drinks. More so, beer takers from reports are in the look for quality and better beer drinking products which provides an opportunity for Tomos and Watkins. The volume of premium and super premium drinks faced a growth of 7% and 30% consecutively (De Burca et al. 2014). Tomos and Watkins entry strategy may include delighting the Brazilians with new packaging, flavours, and ingredients for its beers. </w:t>
      </w:r>
    </w:p>
    <w:p>
      <w:pPr>
        <w:spacing w:line="480" w:lineRule="auto"/>
        <w:jc w:val="both"/>
      </w:pPr>
      <w:r>
        <w:t xml:space="preserve">The Brazilian economy is stabilising and becoming one of the emerging markets for many firms. There is an ever growing number of millennials and middle-income consumers who becomes a target for  Tomos and Watkins and thus the firm needs to have a market understanding to sufficiently enter the market (De Burca et al. 2014). However, due to the cultural difference between the Brazilian people and the UK people some challenges on communication and general conduct of business may arise, nevertheless, such challenges can be addressed through taking appropriate strategies like offering campaigns and promotions to enable Brazilians to acknowledge the national presence of Tomos and Watkins in Brazil. </w:t>
      </w:r>
    </w:p>
    <w:p>
      <w:pPr>
        <w:spacing w:line="480" w:lineRule="auto"/>
        <w:jc w:val="both"/>
        <w:rPr>
          <w:b/>
        </w:rPr>
      </w:pPr>
      <w:r>
        <w:rPr>
          <w:b/>
        </w:rPr>
        <w:t>2.3 Japanese Market</w:t>
      </w:r>
    </w:p>
    <w:p>
      <w:pPr>
        <w:spacing w:line="480" w:lineRule="auto"/>
        <w:jc w:val="both"/>
      </w:pPr>
      <w:r>
        <w:t xml:space="preserve">Japan’s beer market of recent has been influenced by two major challenges. There has been a price increase due to the liquor tax amendment changes in climate which has been characterized by heavy rains, low temperatures running all the way from summer to autumn. During this period of time, the bear demand has always been at its highest (Hollensen 2013). The tax imposition and changes in weather has affected the market considerably. There is high competition between the high-alcoholic and non-alcoholic beer and the non-alcoholic ones. However foreign market producing brandy products are competing effectively in the country making Japan also a destination where the Tomos and Watkins can invest in beer making. The country infrastructure is good and considerable population which is very industrious. However, according to the market data on beer, the Japanese market has been contracting and among the top eight players in the industry only one company recorded a growth in the year 2017 (Hollensen 2013). </w:t>
      </w:r>
    </w:p>
    <w:p>
      <w:pPr>
        <w:spacing w:line="480" w:lineRule="auto"/>
        <w:jc w:val="both"/>
        <w:rPr>
          <w:b/>
        </w:rPr>
      </w:pPr>
      <w:r>
        <w:rPr>
          <w:b/>
        </w:rPr>
        <w:t>3.0 Recommendation of Countries to Establish Contact With</w:t>
      </w:r>
    </w:p>
    <w:p>
      <w:pPr>
        <w:spacing w:line="480" w:lineRule="auto"/>
        <w:jc w:val="both"/>
        <w:rPr>
          <w:color w:val="000000" w:themeColor="text1"/>
          <w14:textFill>
            <w14:solidFill>
              <w14:schemeClr w14:val="tx1"/>
            </w14:solidFill>
          </w14:textFill>
        </w:rPr>
      </w:pPr>
      <w:r>
        <w:t>Based on the analysis of the three countries above, both Brazil and Germany provide an excellent favourable environment where people Tomos Watkins could invest. In Germany, the demand is high than supply; hence a unique opportunity to be exploited (Hollensen 2013). There is no much cultural difference between the British people and the Germany people.</w:t>
      </w:r>
      <w:r>
        <w:rPr>
          <w:color w:val="000000" w:themeColor="text1"/>
          <w14:textFill>
            <w14:solidFill>
              <w14:schemeClr w14:val="tx1"/>
            </w14:solidFill>
          </w14:textFill>
        </w:rPr>
        <w:t xml:space="preserve"> Similarly, Brazil market promises a vast demand for beer to the enormous population consisting of 50 million people, the increase in middle class from 35% to 43% over the one decade which is expected to spend more and more money pleasure activities such as beer drinking (Lendrevie and Lévy, 2012). On average, a middle-income earner in Brazil would consume $2000 per year; hence it’s a critical potential market. The two countries have intensive infrastructure network and an excellent rating in the ease of doing business. Therefore they form an attractive destination for Tomos and Watkins to enter the market. According to the study report on beer production and consumption, the country produces 54 gallons per year and waste is 87 gallons per year. In the same state, people aged between the age of 50 and above are heavy drinkers, between the ages of 18 to 35 are average consumers but the level of consumption increase with age (Kumar &amp; Shah 2015). The ease of doing business in the two countries stands at 81%</w:t>
      </w:r>
      <w:r>
        <w:rPr>
          <w:color w:val="FF0000"/>
        </w:rPr>
        <w:t xml:space="preserve"> </w:t>
      </w:r>
      <w:r>
        <w:rPr>
          <w:color w:val="000000" w:themeColor="text1"/>
          <w14:textFill>
            <w14:solidFill>
              <w14:schemeClr w14:val="tx1"/>
            </w14:solidFill>
          </w14:textFill>
        </w:rPr>
        <w:t>and 73% in Germany and Brazil respectively. Therefore the legal process is free of many bureaucracies which discourage setting up of business.</w:t>
      </w:r>
    </w:p>
    <w:p>
      <w:pPr>
        <w:spacing w:line="480" w:lineRule="auto"/>
        <w:jc w:val="both"/>
        <w:rPr>
          <w:color w:val="000000" w:themeColor="text1"/>
          <w14:textFill>
            <w14:solidFill>
              <w14:schemeClr w14:val="tx1"/>
            </w14:solidFill>
          </w14:textFill>
        </w:rPr>
      </w:pPr>
    </w:p>
    <w:p>
      <w:pPr>
        <w:spacing w:line="480" w:lineRule="auto"/>
        <w:jc w:val="both"/>
        <w:rPr>
          <w:b/>
        </w:rPr>
      </w:pPr>
      <w:r>
        <w:rPr>
          <w:b/>
        </w:rPr>
        <w:t>4.0 Evaluation of Possible Options for Entry to These Markets.</w:t>
      </w:r>
    </w:p>
    <w:p>
      <w:pPr>
        <w:spacing w:line="480" w:lineRule="auto"/>
        <w:jc w:val="both"/>
      </w:pPr>
      <w:r>
        <w:t>The business environment has become very competitive in the local market due to the small population, a surplus of the factories in the same industry and the shrinking number of consumers. It's therefore crucial for the Tomos and Watkins to enter and exploit international markets (Jobber 2012)</w:t>
      </w:r>
      <w:r>
        <w:rPr>
          <w:color w:val="000000" w:themeColor="text1"/>
          <w14:textFill>
            <w14:solidFill>
              <w14:schemeClr w14:val="tx1"/>
            </w14:solidFill>
          </w14:textFill>
        </w:rPr>
        <w:t>. International markets are more open</w:t>
      </w:r>
      <w:r>
        <w:rPr>
          <w:rFonts w:hint="eastAsia" w:eastAsia="宋体"/>
          <w:color w:val="000000" w:themeColor="text1"/>
          <w:lang w:val="en-US" w:eastAsia="zh-CN"/>
          <w14:textFill>
            <w14:solidFill>
              <w14:schemeClr w14:val="tx1"/>
            </w14:solidFill>
          </w14:textFill>
        </w:rPr>
        <w:t>,</w:t>
      </w:r>
      <w:r>
        <w:rPr>
          <w:color w:val="000000" w:themeColor="text1"/>
          <w14:textFill>
            <w14:solidFill>
              <w14:schemeClr w14:val="tx1"/>
            </w14:solidFill>
          </w14:textFill>
        </w:rPr>
        <w:t xml:space="preserve"> there has been the globalization of the consumer's taste, the global population will offer a ready market for producers. Also, there has been worldwide growth in wealth and personal influence; all these factors provide an excellent platform for companies to compete internationally (Jormanainen and Koveshnikov 2012). However, there different m</w:t>
      </w:r>
      <w:r>
        <w:t>ethods or strategies in which a company can enter to the international markets.</w:t>
      </w:r>
    </w:p>
    <w:p>
      <w:pPr>
        <w:spacing w:line="480" w:lineRule="auto"/>
        <w:jc w:val="both"/>
        <w:rPr>
          <w:color w:val="000000" w:themeColor="text1"/>
          <w14:textFill>
            <w14:solidFill>
              <w14:schemeClr w14:val="tx1"/>
            </w14:solidFill>
          </w14:textFill>
        </w:rPr>
      </w:pPr>
      <w:r>
        <w:t xml:space="preserve">According to internationalization theory, a business firm must carefully consider which countries to compete in, what would be the type of operation in the foreign market and what such a business will control the overall risk in the international exchange (Nielsen and Nielsen 2011). </w:t>
      </w:r>
      <w:r>
        <w:rPr>
          <w:color w:val="000000" w:themeColor="text1"/>
          <w14:textFill>
            <w14:solidFill>
              <w14:schemeClr w14:val="tx1"/>
            </w14:solidFill>
          </w14:textFill>
        </w:rPr>
        <w:t>The globalization theory also indicates that the most commonly available market entry option include the direct exporting, indirect exporting, foreign direct investment, acquisition of an overseas company, through joint ventures, licensing, franchising or even partnering as well as piggybacking and greenfield investment.</w:t>
      </w:r>
    </w:p>
    <w:p>
      <w:pPr>
        <w:spacing w:line="480" w:lineRule="auto"/>
        <w:jc w:val="both"/>
        <w:rPr>
          <w:b/>
        </w:rPr>
      </w:pPr>
      <w:r>
        <w:rPr>
          <w:b/>
        </w:rPr>
        <w:t>4.1 Direct Exporting</w:t>
      </w:r>
    </w:p>
    <w:p>
      <w:pPr>
        <w:spacing w:line="480" w:lineRule="auto"/>
        <w:jc w:val="both"/>
      </w:pPr>
      <w:r>
        <w:t>Tomos and Watkins can choose to go international by selling directly to the identified markets using its resources in the initial stage. However, once it establishes the sales programs in the Brazil demand and Germany, it can work agents and distributors efficiently to act on it behave in these markets (Keegan 2013).   However, it is essential for Tomos and Watkins to understand that distributor or agent presents its interest, and therefore it would be critical for them to spend much of their time in deciding the best choice of distributor or agent. Depending on the market influence of the agent or the distributor, they can transform the company business to a success story and while the wrong choice could destroy the company business.</w:t>
      </w:r>
    </w:p>
    <w:p>
      <w:pPr>
        <w:spacing w:line="480" w:lineRule="auto"/>
        <w:jc w:val="both"/>
        <w:rPr>
          <w:b/>
        </w:rPr>
      </w:pPr>
      <w:r>
        <w:rPr>
          <w:b/>
        </w:rPr>
        <w:t>4.2 Joint Ventures</w:t>
      </w:r>
    </w:p>
    <w:p>
      <w:pPr>
        <w:spacing w:line="480" w:lineRule="auto"/>
        <w:jc w:val="both"/>
      </w:pPr>
      <w:r>
        <w:t>This is a strategy used by an organization which wants to trade in the international market. It is a type of partnership where a third and independently managed company is created. For example, Tomos and Watkins can come to a consensus with another company in the same industry in either Brazil or the Germany (Keegan 2013). The agreement concerns working jointly to exploit specific market in terms of geographic or in terms of making a particular product, to actualize the understanding Tomos would agree to create a third company with its partner in the respective countries. The profits and risks of this thirdly established company are shared equally.  Sony/Ericsson, Jaguar land rover is a good example of a joint venture with a Chery automobile, these venture has put business to the next level of making a sustainable profit throughout the years.</w:t>
      </w:r>
    </w:p>
    <w:p>
      <w:pPr>
        <w:spacing w:line="480" w:lineRule="auto"/>
        <w:jc w:val="both"/>
        <w:rPr>
          <w:b/>
        </w:rPr>
      </w:pPr>
      <w:r>
        <w:rPr>
          <w:b/>
        </w:rPr>
        <w:t>4.3 Acquisition of an Overseas Company</w:t>
      </w:r>
    </w:p>
    <w:p>
      <w:pPr>
        <w:spacing w:line="480" w:lineRule="auto"/>
        <w:jc w:val="both"/>
      </w:pPr>
      <w:r>
        <w:t>This is an international market entry strategy where existing companies who decide to enter the foreign market purchase existing company in that particular country. However, this strategy is effective if the company have significant market share, or when it is a direct competitor at international level with that company and at times government regulation makes this the only option (Morschett et al. 2010). For Tomos and Watkins to enter these new markets, it will require enormous cost and determining the value of a company in a foreign market demand more competence and financial due diligence. However despite it been a challenge, it is suitable since it instantly provides the entrant company with all benefits enjoyed by local companies, it will have the local market knowledge, and it builds a strong customer base and usually treated by the local government like any other local business within the country. It is an option which Tomos and Watkins can consider when deciding to move either to Brazil or the Germany.</w:t>
      </w:r>
    </w:p>
    <w:p>
      <w:pPr>
        <w:spacing w:line="480" w:lineRule="auto"/>
        <w:jc w:val="both"/>
        <w:rPr>
          <w:b/>
        </w:rPr>
      </w:pPr>
      <w:r>
        <w:rPr>
          <w:b/>
        </w:rPr>
        <w:t>4.4 Forming a Partnership</w:t>
      </w:r>
    </w:p>
    <w:p>
      <w:pPr>
        <w:spacing w:line="480" w:lineRule="auto"/>
        <w:jc w:val="both"/>
      </w:pPr>
      <w:r>
        <w:t>Partnering is a commonly used strategy by companies entering a foreign market, especially in the Asian markets. This informs Tomos and Watkins that consideration of entering Brazil brewery market will need it to partner with other players in the industry who have an establishment in the Brazil market</w:t>
      </w:r>
      <w:r>
        <w:rPr>
          <w:lang w:val="en-US"/>
        </w:rPr>
        <w:t xml:space="preserve"> (Cavusgil et al.2012)</w:t>
      </w:r>
      <w:r>
        <w:t xml:space="preserve">. However, partnering could take different forms such as simple marketing arrangements or even the formation of a strong strategic alliance between the companies. It’s also useful in areas where the culture, business, and common setup are different from the home company’s market. Partnering has the local partners bringing in the local market information and establishing of the strong customer relationship </w:t>
      </w:r>
      <w:r>
        <w:rPr>
          <w:lang w:val="en-US"/>
        </w:rPr>
        <w:t>(Cavusgil et al.2012)</w:t>
      </w:r>
      <w:r>
        <w:t>.</w:t>
      </w:r>
    </w:p>
    <w:p>
      <w:pPr>
        <w:spacing w:line="480" w:lineRule="auto"/>
        <w:jc w:val="both"/>
        <w:rPr>
          <w:b/>
        </w:rPr>
      </w:pPr>
      <w:r>
        <w:rPr>
          <w:b/>
        </w:rPr>
        <w:t>5.0 Recommendation Best Entry Options.</w:t>
      </w:r>
    </w:p>
    <w:p>
      <w:pPr>
        <w:spacing w:line="480" w:lineRule="auto"/>
        <w:jc w:val="both"/>
      </w:pPr>
      <w:r>
        <w:t xml:space="preserve">Having analysed the different options that Tomos and Watkins can use to enter the new markets of Brazil and the Germany, there are options which are favourable while others are not. Two possibilities which can be adopted by the company include forming partnership and establishment of joint ventures (Morschett et al. 2010). For example,  </w:t>
      </w:r>
      <w:r>
        <w:rPr>
          <w:rFonts w:hint="eastAsia" w:eastAsia="宋体"/>
          <w:lang w:val="en-US" w:eastAsia="zh-CN"/>
        </w:rPr>
        <w:t>the</w:t>
      </w:r>
      <w:r>
        <w:t xml:space="preserve"> connection is vital especially when the culture, business, and social setup vastly differ. This case is suitable for Tomos and Watkins when moving to the Brazilian market. Tomos and Watkins are located in Swansea which is in the United Kingdom, the two countries differ in terms of cultural dimensions, and it would be appropriate if the company enter into strategic alliance with other Brazil company in the same industry (Nielsen and Nielsen 2011). Such a partnership will help to address the cultural shock, provide much needed local market knowledge and establish strong customer’s relationship. When Tomos and Watkins consider entering Germany market, the joint venture is the best option. Germany has a good reputation on a joint venture. It is a good option since risk and benefits are equally shared.</w:t>
      </w:r>
    </w:p>
    <w:p>
      <w:pPr>
        <w:spacing w:line="480" w:lineRule="auto"/>
        <w:jc w:val="both"/>
      </w:pPr>
    </w:p>
    <w:p>
      <w:pPr>
        <w:spacing w:line="480" w:lineRule="auto"/>
        <w:jc w:val="both"/>
      </w:pPr>
    </w:p>
    <w:p>
      <w:pPr>
        <w:spacing w:line="480" w:lineRule="auto"/>
        <w:jc w:val="both"/>
      </w:pPr>
    </w:p>
    <w:p>
      <w:pPr>
        <w:spacing w:line="480" w:lineRule="auto"/>
        <w:jc w:val="both"/>
      </w:pPr>
    </w:p>
    <w:p>
      <w:pPr>
        <w:spacing w:line="480" w:lineRule="auto"/>
        <w:jc w:val="both"/>
      </w:pPr>
    </w:p>
    <w:p>
      <w:pPr>
        <w:spacing w:line="480" w:lineRule="auto"/>
        <w:jc w:val="both"/>
      </w:pPr>
    </w:p>
    <w:p>
      <w:pPr>
        <w:spacing w:line="480" w:lineRule="auto"/>
        <w:jc w:val="both"/>
      </w:pPr>
    </w:p>
    <w:p>
      <w:pPr>
        <w:spacing w:line="480" w:lineRule="auto"/>
        <w:jc w:val="both"/>
        <w:rPr>
          <w:b/>
        </w:rPr>
      </w:pPr>
    </w:p>
    <w:p>
      <w:pPr>
        <w:spacing w:line="480" w:lineRule="auto"/>
        <w:jc w:val="both"/>
        <w:rPr>
          <w:b/>
        </w:rPr>
      </w:pPr>
    </w:p>
    <w:p>
      <w:pPr>
        <w:spacing w:line="480" w:lineRule="auto"/>
        <w:jc w:val="both"/>
        <w:rPr>
          <w:b/>
        </w:rPr>
      </w:pPr>
    </w:p>
    <w:p>
      <w:pPr>
        <w:spacing w:line="480" w:lineRule="auto"/>
        <w:jc w:val="both"/>
        <w:rPr>
          <w:b/>
        </w:rPr>
      </w:pPr>
    </w:p>
    <w:p>
      <w:pPr>
        <w:spacing w:line="480" w:lineRule="auto"/>
        <w:jc w:val="both"/>
        <w:rPr>
          <w:b/>
        </w:rPr>
      </w:pPr>
    </w:p>
    <w:p>
      <w:pPr>
        <w:spacing w:line="480" w:lineRule="auto"/>
        <w:jc w:val="both"/>
        <w:rPr>
          <w:b/>
        </w:rPr>
      </w:pPr>
    </w:p>
    <w:p>
      <w:pPr>
        <w:spacing w:line="480" w:lineRule="auto"/>
        <w:jc w:val="both"/>
        <w:rPr>
          <w:b/>
        </w:rPr>
      </w:pPr>
    </w:p>
    <w:p>
      <w:pPr>
        <w:spacing w:line="480" w:lineRule="auto"/>
        <w:jc w:val="both"/>
        <w:rPr>
          <w:b/>
        </w:rPr>
      </w:pPr>
    </w:p>
    <w:p>
      <w:pPr>
        <w:spacing w:line="480" w:lineRule="auto"/>
        <w:jc w:val="both"/>
        <w:rPr>
          <w:b/>
        </w:rPr>
      </w:pPr>
    </w:p>
    <w:p>
      <w:pPr>
        <w:spacing w:line="480" w:lineRule="auto"/>
        <w:jc w:val="both"/>
        <w:rPr>
          <w:b/>
        </w:rPr>
      </w:pPr>
    </w:p>
    <w:p>
      <w:pPr>
        <w:spacing w:line="480" w:lineRule="auto"/>
        <w:jc w:val="both"/>
        <w:rPr>
          <w:b/>
        </w:rPr>
      </w:pPr>
    </w:p>
    <w:p>
      <w:pPr>
        <w:spacing w:line="480" w:lineRule="auto"/>
        <w:jc w:val="both"/>
        <w:rPr>
          <w:b/>
        </w:rPr>
      </w:pPr>
    </w:p>
    <w:p>
      <w:pPr>
        <w:spacing w:line="480" w:lineRule="auto"/>
        <w:jc w:val="both"/>
        <w:rPr>
          <w:b/>
        </w:rPr>
      </w:pPr>
      <w:bookmarkStart w:id="0" w:name="_GoBack"/>
      <w:bookmarkEnd w:id="0"/>
    </w:p>
    <w:p>
      <w:pPr>
        <w:spacing w:line="480" w:lineRule="auto"/>
        <w:jc w:val="both"/>
        <w:rPr>
          <w:b/>
        </w:rPr>
      </w:pPr>
      <w:r>
        <w:rPr>
          <w:b/>
        </w:rPr>
        <w:t>6.0 References</w:t>
      </w:r>
    </w:p>
    <w:p>
      <w:pPr>
        <w:spacing w:line="480" w:lineRule="auto"/>
        <w:ind w:left="720" w:hanging="720"/>
        <w:jc w:val="both"/>
      </w:pPr>
      <w:r>
        <w:t>Blythe, J 2009</w:t>
      </w:r>
      <w:r>
        <w:rPr>
          <w:rFonts w:hint="eastAsia" w:eastAsia="宋体"/>
          <w:lang w:val="en-US" w:eastAsia="zh-CN"/>
        </w:rPr>
        <w:t>.</w:t>
      </w:r>
      <w:r>
        <w:rPr>
          <w:i/>
          <w:iCs/>
        </w:rPr>
        <w:t xml:space="preserve"> Principles and Practice of Marketing</w:t>
      </w:r>
      <w:r>
        <w:t>, London: Thomson</w:t>
      </w:r>
    </w:p>
    <w:p>
      <w:pPr>
        <w:rPr>
          <w:lang w:val="en-US"/>
        </w:rPr>
      </w:pPr>
      <w:r>
        <w:rPr>
          <w:lang w:val="en-US"/>
        </w:rPr>
        <w:t xml:space="preserve">Belohlavek, P. 2011. </w:t>
      </w:r>
      <w:r>
        <w:rPr>
          <w:i/>
          <w:iCs/>
          <w:lang w:val="en-US"/>
        </w:rPr>
        <w:t>Unicist Marketing</w:t>
      </w:r>
      <w:r>
        <w:rPr>
          <w:lang w:val="en-US"/>
        </w:rPr>
        <w:t>. Blue Eagle Group.</w:t>
      </w:r>
    </w:p>
    <w:p>
      <w:pPr>
        <w:rPr>
          <w:lang w:val="en-US"/>
        </w:rPr>
      </w:pPr>
    </w:p>
    <w:p>
      <w:pPr>
        <w:rPr>
          <w:lang w:val="en-US"/>
        </w:rPr>
      </w:pPr>
      <w:r>
        <w:rPr>
          <w:lang w:val="en-US"/>
        </w:rPr>
        <w:t xml:space="preserve">Cavusgil, S.T., Ghauri, P.N. and Akcal, A.A., 2012. </w:t>
      </w:r>
      <w:r>
        <w:rPr>
          <w:i/>
          <w:iCs/>
          <w:lang w:val="en-US"/>
        </w:rPr>
        <w:t>Doing business in emerging markets</w:t>
      </w:r>
      <w:r>
        <w:rPr>
          <w:lang w:val="en-US"/>
        </w:rPr>
        <w:t>. Sage.</w:t>
      </w:r>
    </w:p>
    <w:p>
      <w:pPr>
        <w:rPr>
          <w:lang w:val="en-US"/>
        </w:rPr>
      </w:pPr>
    </w:p>
    <w:p>
      <w:pPr>
        <w:spacing w:line="480" w:lineRule="auto"/>
        <w:ind w:left="720" w:hanging="720"/>
        <w:jc w:val="both"/>
      </w:pPr>
      <w:r>
        <w:t>De Burca, Brown, L and Fletcher, R (2014) International Marketing: An SME perspective, London: Financial Times.</w:t>
      </w:r>
    </w:p>
    <w:p>
      <w:pPr>
        <w:spacing w:line="480" w:lineRule="auto"/>
        <w:ind w:left="720" w:hanging="720"/>
        <w:jc w:val="both"/>
      </w:pPr>
      <w:r>
        <w:t>Doole, I and Lowe, R (2012)</w:t>
      </w:r>
      <w:r>
        <w:rPr>
          <w:i/>
          <w:iCs/>
        </w:rPr>
        <w:t xml:space="preserve"> International Marketing Strategy</w:t>
      </w:r>
      <w:r>
        <w:t>, London: Thomson Learning</w:t>
      </w:r>
    </w:p>
    <w:p>
      <w:pPr>
        <w:spacing w:line="480" w:lineRule="auto"/>
        <w:ind w:left="720" w:hanging="720"/>
        <w:jc w:val="both"/>
      </w:pPr>
      <w:r>
        <w:t xml:space="preserve">Hollensen, S (2013) </w:t>
      </w:r>
      <w:r>
        <w:rPr>
          <w:i/>
          <w:iCs/>
        </w:rPr>
        <w:t>Global marketing 6e</w:t>
      </w:r>
      <w:r>
        <w:t>, London: Pearson Education ltd</w:t>
      </w:r>
    </w:p>
    <w:p>
      <w:pPr>
        <w:spacing w:line="480" w:lineRule="auto"/>
        <w:ind w:left="720" w:hanging="720"/>
        <w:jc w:val="both"/>
      </w:pPr>
      <w:r>
        <w:t xml:space="preserve">Jobber, D (2012) </w:t>
      </w:r>
      <w:r>
        <w:rPr>
          <w:i/>
          <w:iCs/>
        </w:rPr>
        <w:t>Principles and Practice of Marketing</w:t>
      </w:r>
      <w:r>
        <w:t>, Maidenhead: McGraw Hill</w:t>
      </w:r>
    </w:p>
    <w:p>
      <w:pPr>
        <w:spacing w:line="480" w:lineRule="auto"/>
        <w:ind w:left="720" w:hanging="720"/>
        <w:jc w:val="both"/>
      </w:pPr>
      <w:r>
        <w:t xml:space="preserve">Jormanainen, I. and Koveshnikov, A., 2012. International activities of emerging market firms. </w:t>
      </w:r>
      <w:r>
        <w:rPr>
          <w:i/>
          <w:iCs/>
        </w:rPr>
        <w:t>Management International Review</w:t>
      </w:r>
      <w:r>
        <w:t xml:space="preserve">, </w:t>
      </w:r>
      <w:r>
        <w:rPr>
          <w:i/>
          <w:iCs/>
        </w:rPr>
        <w:t>52</w:t>
      </w:r>
      <w:r>
        <w:t>(5), pp.691-725.</w:t>
      </w:r>
    </w:p>
    <w:p>
      <w:pPr>
        <w:spacing w:line="480" w:lineRule="auto"/>
        <w:ind w:left="720" w:hanging="720"/>
      </w:pPr>
      <w:r>
        <w:rPr>
          <w:lang w:val="en-US"/>
        </w:rPr>
        <w:t xml:space="preserve">Kumar, V., &amp; Shah, D. (Eds.). (2015). </w:t>
      </w:r>
      <w:r>
        <w:rPr>
          <w:i/>
          <w:iCs/>
          <w:lang w:val="en-US"/>
        </w:rPr>
        <w:t>Handbook of research on customer equity in marketing</w:t>
      </w:r>
      <w:r>
        <w:rPr>
          <w:lang w:val="en-US"/>
        </w:rPr>
        <w:t>. Edward Elgar Publishing.</w:t>
      </w:r>
    </w:p>
    <w:p>
      <w:pPr>
        <w:spacing w:line="480" w:lineRule="auto"/>
        <w:ind w:left="720" w:hanging="720"/>
        <w:jc w:val="both"/>
      </w:pPr>
      <w:r>
        <w:t>Keegan, WT 2013</w:t>
      </w:r>
      <w:r>
        <w:rPr>
          <w:i/>
          <w:iCs/>
        </w:rPr>
        <w:t xml:space="preserve"> Global Marketing management: international Version</w:t>
      </w:r>
      <w:r>
        <w:t>, London: Pearson Education ltd</w:t>
      </w:r>
    </w:p>
    <w:p>
      <w:pPr>
        <w:spacing w:line="480" w:lineRule="auto"/>
        <w:ind w:left="720" w:hanging="720"/>
        <w:rPr>
          <w:lang w:val="en-US"/>
        </w:rPr>
      </w:pPr>
      <w:r>
        <w:rPr>
          <w:lang w:val="en-US"/>
        </w:rPr>
        <w:t xml:space="preserve">Lendrevie, J. and Lévy, J., 2012. </w:t>
      </w:r>
      <w:r>
        <w:rPr>
          <w:i/>
          <w:iCs/>
          <w:lang w:val="en-US"/>
        </w:rPr>
        <w:t>Mercator 2013: Théories et nouvelles pratiques du marketing</w:t>
      </w:r>
      <w:r>
        <w:rPr>
          <w:lang w:val="en-US"/>
        </w:rPr>
        <w:t>. Dunod.</w:t>
      </w:r>
    </w:p>
    <w:p>
      <w:pPr>
        <w:spacing w:line="480" w:lineRule="auto"/>
        <w:ind w:left="720" w:hanging="720"/>
        <w:jc w:val="both"/>
      </w:pPr>
    </w:p>
    <w:p>
      <w:pPr>
        <w:spacing w:line="480" w:lineRule="auto"/>
        <w:ind w:left="720" w:hanging="720"/>
        <w:jc w:val="both"/>
      </w:pPr>
      <w:r>
        <w:t xml:space="preserve">Morschett, D., Schramm-Klein, H. and Swoboda, B., 2010. Decades of research on market entry modes: what do we really know about external antecedents of entry mode choice?. </w:t>
      </w:r>
      <w:r>
        <w:rPr>
          <w:i/>
          <w:iCs/>
        </w:rPr>
        <w:t>Journal of International Management</w:t>
      </w:r>
      <w:r>
        <w:t xml:space="preserve">, </w:t>
      </w:r>
      <w:r>
        <w:rPr>
          <w:i/>
          <w:iCs/>
        </w:rPr>
        <w:t>16</w:t>
      </w:r>
      <w:r>
        <w:t>(1), pp.60-77.</w:t>
      </w:r>
    </w:p>
    <w:p>
      <w:pPr>
        <w:spacing w:line="480" w:lineRule="auto"/>
        <w:ind w:left="720" w:hanging="720"/>
        <w:jc w:val="both"/>
      </w:pPr>
      <w:r>
        <w:t xml:space="preserve">Nielsen, B.B. and Nielsen, S., 2011. The role of top management team international orientation in international strategic decision-making: The choice of foreign entry mode. </w:t>
      </w:r>
      <w:r>
        <w:rPr>
          <w:i/>
          <w:iCs/>
        </w:rPr>
        <w:t>Journal of World Business</w:t>
      </w:r>
      <w:r>
        <w:t xml:space="preserve">, </w:t>
      </w:r>
      <w:r>
        <w:rPr>
          <w:i/>
          <w:iCs/>
        </w:rPr>
        <w:t>46</w:t>
      </w:r>
      <w:r>
        <w:t>(2), pp.185-193.</w:t>
      </w:r>
    </w:p>
    <w:p>
      <w:pPr>
        <w:spacing w:line="480" w:lineRule="auto"/>
        <w:ind w:left="720" w:hanging="720"/>
        <w:jc w:val="both"/>
      </w:pPr>
      <w:r>
        <w:t xml:space="preserve">Shenkar, O., Luo, Y. and Chi, T., 2014. </w:t>
      </w:r>
      <w:r>
        <w:rPr>
          <w:i/>
          <w:iCs/>
        </w:rPr>
        <w:t>International business</w:t>
      </w:r>
      <w:r>
        <w:t>. Routledge.</w:t>
      </w:r>
    </w:p>
    <w:sectPr>
      <w:headerReference r:id="rId3" w:type="first"/>
      <w:footerReference r:id="rId5" w:type="first"/>
      <w:footerReference r:id="rId4" w:type="default"/>
      <w:pgSz w:w="12240" w:h="15840"/>
      <w:pgMar w:top="1440" w:right="1440" w:bottom="1440" w:left="1440" w:header="720" w:footer="720"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9894423"/>
      <w:docPartObj>
        <w:docPartGallery w:val="autotext"/>
      </w:docPartObj>
    </w:sdtPr>
    <w:sdtContent>
      <w:p>
        <w:pPr>
          <w:pStyle w:val="9"/>
          <w:jc w:val="center"/>
        </w:pPr>
        <w:r>
          <w:fldChar w:fldCharType="begin"/>
        </w:r>
        <w:r>
          <w:instrText xml:space="preserve"> PAGE   \* MERGEFORMAT </w:instrText>
        </w:r>
        <w:r>
          <w:fldChar w:fldCharType="separate"/>
        </w:r>
        <w:r>
          <w:t>10</w:t>
        </w:r>
        <w:r>
          <w:fldChar w:fldCharType="end"/>
        </w:r>
      </w:p>
    </w:sdtContent>
  </w:sdt>
  <w:p>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7199728"/>
      <w:docPartObj>
        <w:docPartGallery w:val="autotext"/>
      </w:docPartObj>
    </w:sdtPr>
    <w:sdtContent>
      <w:p>
        <w:pPr>
          <w:pStyle w:val="9"/>
          <w:jc w:val="center"/>
        </w:pPr>
        <w:r>
          <w:fldChar w:fldCharType="begin"/>
        </w:r>
        <w:r>
          <w:instrText xml:space="preserve"> PAGE   \* MERGEFORMAT </w:instrText>
        </w:r>
        <w:r>
          <w:fldChar w:fldCharType="separate"/>
        </w:r>
        <w:r>
          <w:t>1</w:t>
        </w:r>
        <w:r>
          <w:fldChar w:fldCharType="end"/>
        </w:r>
      </w:p>
    </w:sdtContent>
  </w:sdt>
  <w:p>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4"/>
      <w:tblW w:w="9576" w:type="dxa"/>
      <w:tblInd w:w="0" w:type="dxa"/>
      <w:tblLayout w:type="fixed"/>
      <w:tblCellMar>
        <w:top w:w="0" w:type="dxa"/>
        <w:left w:w="108" w:type="dxa"/>
        <w:bottom w:w="0" w:type="dxa"/>
        <w:right w:w="108" w:type="dxa"/>
      </w:tblCellMar>
    </w:tblPr>
    <w:tblGrid>
      <w:gridCol w:w="8618"/>
      <w:gridCol w:w="958"/>
    </w:tblGrid>
    <w:tr>
      <w:tblPrEx>
        <w:tblLayout w:type="fixed"/>
      </w:tblPrEx>
      <w:tc>
        <w:tcPr>
          <w:tcW w:w="8618" w:type="dxa"/>
          <w:shd w:val="clear" w:color="auto" w:fill="auto"/>
        </w:tcPr>
        <w:p>
          <w:pPr>
            <w:pStyle w:val="24"/>
            <w:ind w:firstLine="0"/>
            <w:jc w:val="right"/>
          </w:pPr>
        </w:p>
      </w:tc>
      <w:tc>
        <w:tcPr>
          <w:tcW w:w="958" w:type="dxa"/>
          <w:shd w:val="clear" w:color="auto" w:fill="auto"/>
        </w:tcPr>
        <w:p>
          <w:pPr>
            <w:pStyle w:val="10"/>
            <w:jc w:val="right"/>
          </w:pPr>
        </w:p>
      </w:tc>
    </w:tr>
  </w:tbl>
  <w:p>
    <w:pPr>
      <w:pStyle w:val="1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documentProtection w:enforcement="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6873"/>
    <w:rsid w:val="0001571C"/>
    <w:rsid w:val="000165E8"/>
    <w:rsid w:val="00016C41"/>
    <w:rsid w:val="00023580"/>
    <w:rsid w:val="00024039"/>
    <w:rsid w:val="00031986"/>
    <w:rsid w:val="000443CE"/>
    <w:rsid w:val="000577DE"/>
    <w:rsid w:val="00061842"/>
    <w:rsid w:val="000862C0"/>
    <w:rsid w:val="00091594"/>
    <w:rsid w:val="00094FBA"/>
    <w:rsid w:val="000A7EB4"/>
    <w:rsid w:val="000B14D5"/>
    <w:rsid w:val="000C0E7E"/>
    <w:rsid w:val="000C79E7"/>
    <w:rsid w:val="000D6D12"/>
    <w:rsid w:val="000D7110"/>
    <w:rsid w:val="000E1128"/>
    <w:rsid w:val="000E3DD1"/>
    <w:rsid w:val="000E6D41"/>
    <w:rsid w:val="000F0B3E"/>
    <w:rsid w:val="000F2E73"/>
    <w:rsid w:val="000F3F06"/>
    <w:rsid w:val="00104043"/>
    <w:rsid w:val="00110949"/>
    <w:rsid w:val="00110A5D"/>
    <w:rsid w:val="00113501"/>
    <w:rsid w:val="001249FF"/>
    <w:rsid w:val="0012740B"/>
    <w:rsid w:val="001277B9"/>
    <w:rsid w:val="00131FEB"/>
    <w:rsid w:val="0013271C"/>
    <w:rsid w:val="001358AB"/>
    <w:rsid w:val="001370DC"/>
    <w:rsid w:val="00140B78"/>
    <w:rsid w:val="001433AE"/>
    <w:rsid w:val="001433FA"/>
    <w:rsid w:val="00143E6B"/>
    <w:rsid w:val="00146096"/>
    <w:rsid w:val="00157279"/>
    <w:rsid w:val="00163CE3"/>
    <w:rsid w:val="001658C6"/>
    <w:rsid w:val="00172D3A"/>
    <w:rsid w:val="0017467C"/>
    <w:rsid w:val="00176A06"/>
    <w:rsid w:val="00181C9C"/>
    <w:rsid w:val="00182AF4"/>
    <w:rsid w:val="00183E64"/>
    <w:rsid w:val="00187100"/>
    <w:rsid w:val="00190844"/>
    <w:rsid w:val="001929DA"/>
    <w:rsid w:val="00193AD9"/>
    <w:rsid w:val="001942F0"/>
    <w:rsid w:val="001B0E38"/>
    <w:rsid w:val="001B230C"/>
    <w:rsid w:val="001D7167"/>
    <w:rsid w:val="001D77B2"/>
    <w:rsid w:val="001E0010"/>
    <w:rsid w:val="001E6278"/>
    <w:rsid w:val="001E79ED"/>
    <w:rsid w:val="002023E2"/>
    <w:rsid w:val="0020302A"/>
    <w:rsid w:val="00204883"/>
    <w:rsid w:val="00206BA2"/>
    <w:rsid w:val="00210F85"/>
    <w:rsid w:val="00211DCC"/>
    <w:rsid w:val="00211F12"/>
    <w:rsid w:val="00213459"/>
    <w:rsid w:val="00222F8B"/>
    <w:rsid w:val="00223812"/>
    <w:rsid w:val="00225FE9"/>
    <w:rsid w:val="0022790F"/>
    <w:rsid w:val="00231971"/>
    <w:rsid w:val="00231B06"/>
    <w:rsid w:val="00231B44"/>
    <w:rsid w:val="00233C17"/>
    <w:rsid w:val="00234A06"/>
    <w:rsid w:val="00244890"/>
    <w:rsid w:val="002513BF"/>
    <w:rsid w:val="0025225D"/>
    <w:rsid w:val="00252743"/>
    <w:rsid w:val="00253C91"/>
    <w:rsid w:val="00254514"/>
    <w:rsid w:val="00255E17"/>
    <w:rsid w:val="002567F8"/>
    <w:rsid w:val="00262CE4"/>
    <w:rsid w:val="0026308A"/>
    <w:rsid w:val="002631E8"/>
    <w:rsid w:val="002703CE"/>
    <w:rsid w:val="002746AF"/>
    <w:rsid w:val="0028473B"/>
    <w:rsid w:val="0028602A"/>
    <w:rsid w:val="002877FE"/>
    <w:rsid w:val="0029138E"/>
    <w:rsid w:val="00293185"/>
    <w:rsid w:val="002B5B9F"/>
    <w:rsid w:val="002B77D2"/>
    <w:rsid w:val="002C3F8C"/>
    <w:rsid w:val="002C6873"/>
    <w:rsid w:val="002D18F0"/>
    <w:rsid w:val="002E6815"/>
    <w:rsid w:val="002F1064"/>
    <w:rsid w:val="002F2D25"/>
    <w:rsid w:val="002F2FB2"/>
    <w:rsid w:val="002F4988"/>
    <w:rsid w:val="002F7EEE"/>
    <w:rsid w:val="002F7F63"/>
    <w:rsid w:val="002F7F7E"/>
    <w:rsid w:val="003019BB"/>
    <w:rsid w:val="00303694"/>
    <w:rsid w:val="00311EE4"/>
    <w:rsid w:val="00315DA7"/>
    <w:rsid w:val="00320E06"/>
    <w:rsid w:val="00325C6D"/>
    <w:rsid w:val="00327622"/>
    <w:rsid w:val="00330875"/>
    <w:rsid w:val="0033598C"/>
    <w:rsid w:val="00337264"/>
    <w:rsid w:val="00340D74"/>
    <w:rsid w:val="003428B8"/>
    <w:rsid w:val="00343ACB"/>
    <w:rsid w:val="00345259"/>
    <w:rsid w:val="00345F8E"/>
    <w:rsid w:val="003478FE"/>
    <w:rsid w:val="003641E2"/>
    <w:rsid w:val="0037509A"/>
    <w:rsid w:val="00375F3A"/>
    <w:rsid w:val="00383286"/>
    <w:rsid w:val="00394EEA"/>
    <w:rsid w:val="003A1678"/>
    <w:rsid w:val="003A4219"/>
    <w:rsid w:val="003B4AD9"/>
    <w:rsid w:val="003B79F3"/>
    <w:rsid w:val="003D340F"/>
    <w:rsid w:val="003E08FB"/>
    <w:rsid w:val="003E2D86"/>
    <w:rsid w:val="003E3173"/>
    <w:rsid w:val="003E4C31"/>
    <w:rsid w:val="003E759F"/>
    <w:rsid w:val="003F581E"/>
    <w:rsid w:val="00407ECB"/>
    <w:rsid w:val="00412C0F"/>
    <w:rsid w:val="004133FB"/>
    <w:rsid w:val="00420F62"/>
    <w:rsid w:val="00424330"/>
    <w:rsid w:val="00425322"/>
    <w:rsid w:val="00426FAC"/>
    <w:rsid w:val="004361E4"/>
    <w:rsid w:val="0044583F"/>
    <w:rsid w:val="00445DA1"/>
    <w:rsid w:val="00454B21"/>
    <w:rsid w:val="00467409"/>
    <w:rsid w:val="004812E8"/>
    <w:rsid w:val="004B259E"/>
    <w:rsid w:val="004B280F"/>
    <w:rsid w:val="004C2F27"/>
    <w:rsid w:val="004C4607"/>
    <w:rsid w:val="004D0DE1"/>
    <w:rsid w:val="004D268E"/>
    <w:rsid w:val="004D5197"/>
    <w:rsid w:val="004E3831"/>
    <w:rsid w:val="004F3323"/>
    <w:rsid w:val="004F6E7F"/>
    <w:rsid w:val="005027AE"/>
    <w:rsid w:val="00502A89"/>
    <w:rsid w:val="00510E2D"/>
    <w:rsid w:val="005114D2"/>
    <w:rsid w:val="005200C5"/>
    <w:rsid w:val="0052607E"/>
    <w:rsid w:val="005260B1"/>
    <w:rsid w:val="0052748E"/>
    <w:rsid w:val="00530C97"/>
    <w:rsid w:val="00542CB7"/>
    <w:rsid w:val="005472E2"/>
    <w:rsid w:val="00551827"/>
    <w:rsid w:val="005541F2"/>
    <w:rsid w:val="0055473B"/>
    <w:rsid w:val="00555008"/>
    <w:rsid w:val="00563147"/>
    <w:rsid w:val="00563B6C"/>
    <w:rsid w:val="005647B2"/>
    <w:rsid w:val="00565042"/>
    <w:rsid w:val="00576AF9"/>
    <w:rsid w:val="00576E8D"/>
    <w:rsid w:val="00581FA2"/>
    <w:rsid w:val="00582111"/>
    <w:rsid w:val="00582E60"/>
    <w:rsid w:val="00585F7A"/>
    <w:rsid w:val="005953D9"/>
    <w:rsid w:val="005A2107"/>
    <w:rsid w:val="005A2988"/>
    <w:rsid w:val="005A3653"/>
    <w:rsid w:val="005B2423"/>
    <w:rsid w:val="005B521D"/>
    <w:rsid w:val="005B7A21"/>
    <w:rsid w:val="005C4852"/>
    <w:rsid w:val="005D35EC"/>
    <w:rsid w:val="005D3D2A"/>
    <w:rsid w:val="005D4E13"/>
    <w:rsid w:val="005E1583"/>
    <w:rsid w:val="005F4A42"/>
    <w:rsid w:val="00606661"/>
    <w:rsid w:val="0061437A"/>
    <w:rsid w:val="0062455D"/>
    <w:rsid w:val="00637915"/>
    <w:rsid w:val="00646A05"/>
    <w:rsid w:val="00646C80"/>
    <w:rsid w:val="006528E2"/>
    <w:rsid w:val="006537BB"/>
    <w:rsid w:val="006553EC"/>
    <w:rsid w:val="00660823"/>
    <w:rsid w:val="00663891"/>
    <w:rsid w:val="00666FE8"/>
    <w:rsid w:val="00667AFC"/>
    <w:rsid w:val="006704EF"/>
    <w:rsid w:val="00686C36"/>
    <w:rsid w:val="00691251"/>
    <w:rsid w:val="006A1C91"/>
    <w:rsid w:val="006B06B9"/>
    <w:rsid w:val="006B665F"/>
    <w:rsid w:val="006B6902"/>
    <w:rsid w:val="006D04F8"/>
    <w:rsid w:val="006D2E84"/>
    <w:rsid w:val="006D7428"/>
    <w:rsid w:val="006E017B"/>
    <w:rsid w:val="006E20C7"/>
    <w:rsid w:val="006E3A0B"/>
    <w:rsid w:val="006F795F"/>
    <w:rsid w:val="007032E9"/>
    <w:rsid w:val="007039CF"/>
    <w:rsid w:val="007058BC"/>
    <w:rsid w:val="00705DEC"/>
    <w:rsid w:val="00706E56"/>
    <w:rsid w:val="00707299"/>
    <w:rsid w:val="00713227"/>
    <w:rsid w:val="007148E5"/>
    <w:rsid w:val="007168E3"/>
    <w:rsid w:val="007177A1"/>
    <w:rsid w:val="00724E26"/>
    <w:rsid w:val="0072778B"/>
    <w:rsid w:val="00731E73"/>
    <w:rsid w:val="00732047"/>
    <w:rsid w:val="007330F6"/>
    <w:rsid w:val="00735312"/>
    <w:rsid w:val="007422A7"/>
    <w:rsid w:val="00747854"/>
    <w:rsid w:val="0076003C"/>
    <w:rsid w:val="007626D8"/>
    <w:rsid w:val="00763F7E"/>
    <w:rsid w:val="00767AE5"/>
    <w:rsid w:val="0078078C"/>
    <w:rsid w:val="00783585"/>
    <w:rsid w:val="00791260"/>
    <w:rsid w:val="007A00BE"/>
    <w:rsid w:val="007A06CB"/>
    <w:rsid w:val="007A16CF"/>
    <w:rsid w:val="007A21C4"/>
    <w:rsid w:val="007A28EC"/>
    <w:rsid w:val="007A5DDA"/>
    <w:rsid w:val="007A72F0"/>
    <w:rsid w:val="007B2F0F"/>
    <w:rsid w:val="007B33B1"/>
    <w:rsid w:val="007B57A1"/>
    <w:rsid w:val="007B6102"/>
    <w:rsid w:val="007B6512"/>
    <w:rsid w:val="007B6F22"/>
    <w:rsid w:val="007C7FBE"/>
    <w:rsid w:val="007D4876"/>
    <w:rsid w:val="007E7516"/>
    <w:rsid w:val="007F2D35"/>
    <w:rsid w:val="007F4FE4"/>
    <w:rsid w:val="008030AD"/>
    <w:rsid w:val="00803CB5"/>
    <w:rsid w:val="008104A6"/>
    <w:rsid w:val="008117A7"/>
    <w:rsid w:val="00812217"/>
    <w:rsid w:val="008178C1"/>
    <w:rsid w:val="00820518"/>
    <w:rsid w:val="00841422"/>
    <w:rsid w:val="00856BD2"/>
    <w:rsid w:val="008624D6"/>
    <w:rsid w:val="008654C2"/>
    <w:rsid w:val="008723A2"/>
    <w:rsid w:val="00877276"/>
    <w:rsid w:val="00887ABB"/>
    <w:rsid w:val="00891E00"/>
    <w:rsid w:val="00892939"/>
    <w:rsid w:val="008A3A44"/>
    <w:rsid w:val="008B51C6"/>
    <w:rsid w:val="008B7609"/>
    <w:rsid w:val="008C7EE5"/>
    <w:rsid w:val="008C7FEF"/>
    <w:rsid w:val="008D3569"/>
    <w:rsid w:val="008D6ABF"/>
    <w:rsid w:val="008D7C5E"/>
    <w:rsid w:val="00900990"/>
    <w:rsid w:val="009045AE"/>
    <w:rsid w:val="009104E3"/>
    <w:rsid w:val="0091421B"/>
    <w:rsid w:val="00921402"/>
    <w:rsid w:val="00923B00"/>
    <w:rsid w:val="009253A2"/>
    <w:rsid w:val="009317F5"/>
    <w:rsid w:val="00934C1C"/>
    <w:rsid w:val="009352B5"/>
    <w:rsid w:val="00946CD8"/>
    <w:rsid w:val="0095110F"/>
    <w:rsid w:val="00952F64"/>
    <w:rsid w:val="00957E9D"/>
    <w:rsid w:val="00960BF3"/>
    <w:rsid w:val="00960F65"/>
    <w:rsid w:val="00963B9D"/>
    <w:rsid w:val="00976BB1"/>
    <w:rsid w:val="0098494C"/>
    <w:rsid w:val="009921CB"/>
    <w:rsid w:val="0099734A"/>
    <w:rsid w:val="00997D6B"/>
    <w:rsid w:val="009A1916"/>
    <w:rsid w:val="009A300C"/>
    <w:rsid w:val="009B5181"/>
    <w:rsid w:val="009C001C"/>
    <w:rsid w:val="009C0792"/>
    <w:rsid w:val="009C143F"/>
    <w:rsid w:val="009C22B4"/>
    <w:rsid w:val="009C3407"/>
    <w:rsid w:val="009C5E6A"/>
    <w:rsid w:val="009D3A5D"/>
    <w:rsid w:val="009E003A"/>
    <w:rsid w:val="009E30AC"/>
    <w:rsid w:val="009E38C1"/>
    <w:rsid w:val="009E5C79"/>
    <w:rsid w:val="009E67B7"/>
    <w:rsid w:val="009F11E7"/>
    <w:rsid w:val="009F1AB3"/>
    <w:rsid w:val="009F3292"/>
    <w:rsid w:val="009F4EC7"/>
    <w:rsid w:val="009F52C1"/>
    <w:rsid w:val="009F5822"/>
    <w:rsid w:val="00A11E68"/>
    <w:rsid w:val="00A1609B"/>
    <w:rsid w:val="00A21CD3"/>
    <w:rsid w:val="00A223AE"/>
    <w:rsid w:val="00A235B9"/>
    <w:rsid w:val="00A24E0C"/>
    <w:rsid w:val="00A25997"/>
    <w:rsid w:val="00A351EF"/>
    <w:rsid w:val="00A42B74"/>
    <w:rsid w:val="00A459CE"/>
    <w:rsid w:val="00A605A8"/>
    <w:rsid w:val="00A66D1F"/>
    <w:rsid w:val="00A66E9C"/>
    <w:rsid w:val="00A71EBB"/>
    <w:rsid w:val="00A8136B"/>
    <w:rsid w:val="00A8375B"/>
    <w:rsid w:val="00A859AA"/>
    <w:rsid w:val="00A8757F"/>
    <w:rsid w:val="00A92390"/>
    <w:rsid w:val="00A96E22"/>
    <w:rsid w:val="00AA3EE5"/>
    <w:rsid w:val="00AB71FE"/>
    <w:rsid w:val="00AC102F"/>
    <w:rsid w:val="00AC42B5"/>
    <w:rsid w:val="00AE0218"/>
    <w:rsid w:val="00AE0E68"/>
    <w:rsid w:val="00AE1254"/>
    <w:rsid w:val="00B00A93"/>
    <w:rsid w:val="00B055AE"/>
    <w:rsid w:val="00B124B0"/>
    <w:rsid w:val="00B13AB4"/>
    <w:rsid w:val="00B20BBB"/>
    <w:rsid w:val="00B2243C"/>
    <w:rsid w:val="00B22CBE"/>
    <w:rsid w:val="00B24663"/>
    <w:rsid w:val="00B35A00"/>
    <w:rsid w:val="00B429AD"/>
    <w:rsid w:val="00B4569E"/>
    <w:rsid w:val="00B53A4D"/>
    <w:rsid w:val="00B57EAA"/>
    <w:rsid w:val="00B6267A"/>
    <w:rsid w:val="00B632ED"/>
    <w:rsid w:val="00B67C61"/>
    <w:rsid w:val="00B72E4F"/>
    <w:rsid w:val="00B7578A"/>
    <w:rsid w:val="00B7645F"/>
    <w:rsid w:val="00B84C4B"/>
    <w:rsid w:val="00B85EF1"/>
    <w:rsid w:val="00B92545"/>
    <w:rsid w:val="00B956F0"/>
    <w:rsid w:val="00B961E3"/>
    <w:rsid w:val="00B96BEA"/>
    <w:rsid w:val="00BA0853"/>
    <w:rsid w:val="00BA0C85"/>
    <w:rsid w:val="00BA4521"/>
    <w:rsid w:val="00BA7543"/>
    <w:rsid w:val="00BC07DC"/>
    <w:rsid w:val="00BC7B89"/>
    <w:rsid w:val="00BD0B67"/>
    <w:rsid w:val="00BD3013"/>
    <w:rsid w:val="00BE4B23"/>
    <w:rsid w:val="00BF5EFD"/>
    <w:rsid w:val="00C01188"/>
    <w:rsid w:val="00C06EAC"/>
    <w:rsid w:val="00C15402"/>
    <w:rsid w:val="00C2768E"/>
    <w:rsid w:val="00C32755"/>
    <w:rsid w:val="00C348D6"/>
    <w:rsid w:val="00C36BF4"/>
    <w:rsid w:val="00C416BB"/>
    <w:rsid w:val="00C439D3"/>
    <w:rsid w:val="00C55D34"/>
    <w:rsid w:val="00C57BFF"/>
    <w:rsid w:val="00C63257"/>
    <w:rsid w:val="00C65C18"/>
    <w:rsid w:val="00C67D0F"/>
    <w:rsid w:val="00C74218"/>
    <w:rsid w:val="00C76194"/>
    <w:rsid w:val="00C80E02"/>
    <w:rsid w:val="00C81882"/>
    <w:rsid w:val="00C906CC"/>
    <w:rsid w:val="00C9135C"/>
    <w:rsid w:val="00C928D8"/>
    <w:rsid w:val="00C97E98"/>
    <w:rsid w:val="00CA05D9"/>
    <w:rsid w:val="00CA3D91"/>
    <w:rsid w:val="00CB2E7F"/>
    <w:rsid w:val="00CB62B4"/>
    <w:rsid w:val="00CC7672"/>
    <w:rsid w:val="00CD2E7B"/>
    <w:rsid w:val="00CE4829"/>
    <w:rsid w:val="00CE60F7"/>
    <w:rsid w:val="00CF740E"/>
    <w:rsid w:val="00D01A62"/>
    <w:rsid w:val="00D07AB9"/>
    <w:rsid w:val="00D10348"/>
    <w:rsid w:val="00D162DC"/>
    <w:rsid w:val="00D25A5D"/>
    <w:rsid w:val="00D36FC0"/>
    <w:rsid w:val="00D37D85"/>
    <w:rsid w:val="00D4194B"/>
    <w:rsid w:val="00D446E4"/>
    <w:rsid w:val="00D4645B"/>
    <w:rsid w:val="00D55514"/>
    <w:rsid w:val="00D6747D"/>
    <w:rsid w:val="00D72483"/>
    <w:rsid w:val="00D72E80"/>
    <w:rsid w:val="00D75A03"/>
    <w:rsid w:val="00D814C1"/>
    <w:rsid w:val="00D903B9"/>
    <w:rsid w:val="00D93E81"/>
    <w:rsid w:val="00DA36B6"/>
    <w:rsid w:val="00DA3936"/>
    <w:rsid w:val="00DA5477"/>
    <w:rsid w:val="00DB4782"/>
    <w:rsid w:val="00DB6D00"/>
    <w:rsid w:val="00DC0639"/>
    <w:rsid w:val="00DC1689"/>
    <w:rsid w:val="00DC4063"/>
    <w:rsid w:val="00DC640F"/>
    <w:rsid w:val="00DC6BEF"/>
    <w:rsid w:val="00DC6D5C"/>
    <w:rsid w:val="00DD0E58"/>
    <w:rsid w:val="00DD179A"/>
    <w:rsid w:val="00DD6CA6"/>
    <w:rsid w:val="00DE612E"/>
    <w:rsid w:val="00DF09DD"/>
    <w:rsid w:val="00DF1BA6"/>
    <w:rsid w:val="00DF728D"/>
    <w:rsid w:val="00E047D7"/>
    <w:rsid w:val="00E07548"/>
    <w:rsid w:val="00E10A2E"/>
    <w:rsid w:val="00E14505"/>
    <w:rsid w:val="00E16D92"/>
    <w:rsid w:val="00E21A0D"/>
    <w:rsid w:val="00E25429"/>
    <w:rsid w:val="00E25E2B"/>
    <w:rsid w:val="00E323C3"/>
    <w:rsid w:val="00E341DC"/>
    <w:rsid w:val="00E347C2"/>
    <w:rsid w:val="00E3502F"/>
    <w:rsid w:val="00E40C59"/>
    <w:rsid w:val="00E46369"/>
    <w:rsid w:val="00E5057D"/>
    <w:rsid w:val="00E56229"/>
    <w:rsid w:val="00E57390"/>
    <w:rsid w:val="00E6203A"/>
    <w:rsid w:val="00E63682"/>
    <w:rsid w:val="00E63E21"/>
    <w:rsid w:val="00E66308"/>
    <w:rsid w:val="00E70630"/>
    <w:rsid w:val="00E82B07"/>
    <w:rsid w:val="00E92A52"/>
    <w:rsid w:val="00E92C0B"/>
    <w:rsid w:val="00E93236"/>
    <w:rsid w:val="00EA5EC7"/>
    <w:rsid w:val="00EA601A"/>
    <w:rsid w:val="00EB03A8"/>
    <w:rsid w:val="00EB2DBA"/>
    <w:rsid w:val="00EB5278"/>
    <w:rsid w:val="00ED2BA3"/>
    <w:rsid w:val="00ED7AAF"/>
    <w:rsid w:val="00EE06F0"/>
    <w:rsid w:val="00EF1AA2"/>
    <w:rsid w:val="00EF5A2A"/>
    <w:rsid w:val="00F07352"/>
    <w:rsid w:val="00F17542"/>
    <w:rsid w:val="00F214F6"/>
    <w:rsid w:val="00F227E3"/>
    <w:rsid w:val="00F25D5E"/>
    <w:rsid w:val="00F3233C"/>
    <w:rsid w:val="00F32A38"/>
    <w:rsid w:val="00F476E0"/>
    <w:rsid w:val="00F501F1"/>
    <w:rsid w:val="00F537AF"/>
    <w:rsid w:val="00F65730"/>
    <w:rsid w:val="00F65F2E"/>
    <w:rsid w:val="00F7409A"/>
    <w:rsid w:val="00F74239"/>
    <w:rsid w:val="00F7631C"/>
    <w:rsid w:val="00F81289"/>
    <w:rsid w:val="00F82F5F"/>
    <w:rsid w:val="00F87308"/>
    <w:rsid w:val="00F87446"/>
    <w:rsid w:val="00FA1ED2"/>
    <w:rsid w:val="00FC26E0"/>
    <w:rsid w:val="00FC3DC9"/>
    <w:rsid w:val="00FC69C0"/>
    <w:rsid w:val="00FC75A7"/>
    <w:rsid w:val="00FD234D"/>
    <w:rsid w:val="00FD37A7"/>
    <w:rsid w:val="00FD3F8D"/>
    <w:rsid w:val="00FD56E4"/>
    <w:rsid w:val="00FD5B76"/>
    <w:rsid w:val="00FE2915"/>
    <w:rsid w:val="0A485D85"/>
    <w:rsid w:val="0BA86E43"/>
    <w:rsid w:val="2BCC6E8D"/>
    <w:rsid w:val="31B40380"/>
    <w:rsid w:val="349F41BA"/>
    <w:rsid w:val="42F643A7"/>
    <w:rsid w:val="566F27B4"/>
    <w:rsid w:val="6AAE30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qFormat="1"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qFormat="1"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en-GB" w:eastAsia="en-US" w:bidi="ar-SA"/>
    </w:rPr>
  </w:style>
  <w:style w:type="paragraph" w:styleId="2">
    <w:name w:val="heading 1"/>
    <w:basedOn w:val="1"/>
    <w:next w:val="1"/>
    <w:link w:val="23"/>
    <w:qFormat/>
    <w:uiPriority w:val="9"/>
    <w:pPr>
      <w:keepNext/>
      <w:keepLines/>
      <w:spacing w:before="240" w:line="259" w:lineRule="auto"/>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link w:val="29"/>
    <w:unhideWhenUsed/>
    <w:qFormat/>
    <w:uiPriority w:val="9"/>
    <w:pPr>
      <w:keepNext/>
      <w:keepLines/>
      <w:spacing w:before="40"/>
      <w:outlineLvl w:val="1"/>
    </w:pPr>
    <w:rPr>
      <w:rFonts w:asciiTheme="majorHAnsi" w:hAnsiTheme="majorHAnsi" w:eastAsiaTheme="majorEastAsia" w:cstheme="majorBidi"/>
      <w:color w:val="2E75B6" w:themeColor="accent1" w:themeShade="BF"/>
      <w:sz w:val="26"/>
      <w:szCs w:val="26"/>
    </w:rPr>
  </w:style>
  <w:style w:type="paragraph" w:styleId="4">
    <w:name w:val="heading 3"/>
    <w:basedOn w:val="1"/>
    <w:next w:val="1"/>
    <w:link w:val="30"/>
    <w:unhideWhenUsed/>
    <w:qFormat/>
    <w:uiPriority w:val="9"/>
    <w:pPr>
      <w:keepNext/>
      <w:keepLines/>
      <w:spacing w:before="40"/>
      <w:outlineLvl w:val="2"/>
    </w:pPr>
    <w:rPr>
      <w:rFonts w:asciiTheme="majorHAnsi" w:hAnsiTheme="majorHAnsi" w:eastAsiaTheme="majorEastAsia" w:cstheme="majorBidi"/>
      <w:color w:val="1F4E79" w:themeColor="accent1" w:themeShade="80"/>
    </w:rPr>
  </w:style>
  <w:style w:type="character" w:default="1" w:styleId="19">
    <w:name w:val="Default Paragraph Font"/>
    <w:semiHidden/>
    <w:unhideWhenUsed/>
    <w:qFormat/>
    <w:uiPriority w:val="1"/>
  </w:style>
  <w:style w:type="table" w:default="1" w:styleId="14">
    <w:name w:val="Normal Table"/>
    <w:semiHidden/>
    <w:unhideWhenUsed/>
    <w:qFormat/>
    <w:uiPriority w:val="99"/>
    <w:tblPr>
      <w:tblLayout w:type="fixed"/>
      <w:tblCellMar>
        <w:top w:w="0" w:type="dxa"/>
        <w:left w:w="108" w:type="dxa"/>
        <w:bottom w:w="0" w:type="dxa"/>
        <w:right w:w="108" w:type="dxa"/>
      </w:tblCellMar>
    </w:tblPr>
  </w:style>
  <w:style w:type="paragraph" w:styleId="5">
    <w:name w:val="annotation text"/>
    <w:basedOn w:val="1"/>
    <w:link w:val="33"/>
    <w:semiHidden/>
    <w:unhideWhenUsed/>
    <w:uiPriority w:val="99"/>
  </w:style>
  <w:style w:type="paragraph" w:styleId="6">
    <w:name w:val="Body Text"/>
    <w:basedOn w:val="1"/>
    <w:link w:val="28"/>
    <w:semiHidden/>
    <w:unhideWhenUsed/>
    <w:qFormat/>
    <w:uiPriority w:val="99"/>
    <w:pPr>
      <w:spacing w:after="120"/>
    </w:pPr>
  </w:style>
  <w:style w:type="paragraph" w:styleId="7">
    <w:name w:val="toc 3"/>
    <w:basedOn w:val="1"/>
    <w:next w:val="1"/>
    <w:unhideWhenUsed/>
    <w:uiPriority w:val="39"/>
    <w:pPr>
      <w:spacing w:after="100"/>
      <w:ind w:left="480"/>
    </w:pPr>
  </w:style>
  <w:style w:type="paragraph" w:styleId="8">
    <w:name w:val="Balloon Text"/>
    <w:basedOn w:val="1"/>
    <w:link w:val="32"/>
    <w:semiHidden/>
    <w:unhideWhenUsed/>
    <w:uiPriority w:val="99"/>
    <w:rPr>
      <w:sz w:val="18"/>
      <w:szCs w:val="18"/>
    </w:rPr>
  </w:style>
  <w:style w:type="paragraph" w:styleId="9">
    <w:name w:val="footer"/>
    <w:basedOn w:val="1"/>
    <w:link w:val="35"/>
    <w:unhideWhenUsed/>
    <w:uiPriority w:val="99"/>
    <w:pPr>
      <w:tabs>
        <w:tab w:val="center" w:pos="4680"/>
        <w:tab w:val="right" w:pos="9360"/>
      </w:tabs>
    </w:pPr>
  </w:style>
  <w:style w:type="paragraph" w:styleId="10">
    <w:name w:val="header"/>
    <w:basedOn w:val="1"/>
    <w:link w:val="26"/>
    <w:uiPriority w:val="99"/>
    <w:pPr>
      <w:tabs>
        <w:tab w:val="center" w:pos="4320"/>
        <w:tab w:val="right" w:pos="8640"/>
      </w:tabs>
      <w:overflowPunct w:val="0"/>
      <w:autoSpaceDE w:val="0"/>
      <w:autoSpaceDN w:val="0"/>
      <w:adjustRightInd w:val="0"/>
      <w:textAlignment w:val="baseline"/>
    </w:pPr>
    <w:rPr>
      <w:szCs w:val="20"/>
    </w:rPr>
  </w:style>
  <w:style w:type="paragraph" w:styleId="11">
    <w:name w:val="toc 1"/>
    <w:basedOn w:val="1"/>
    <w:next w:val="1"/>
    <w:unhideWhenUsed/>
    <w:uiPriority w:val="39"/>
    <w:pPr>
      <w:spacing w:after="100"/>
    </w:pPr>
  </w:style>
  <w:style w:type="paragraph" w:styleId="12">
    <w:name w:val="toc 2"/>
    <w:basedOn w:val="1"/>
    <w:next w:val="1"/>
    <w:unhideWhenUsed/>
    <w:uiPriority w:val="39"/>
    <w:pPr>
      <w:spacing w:after="100"/>
      <w:ind w:left="240"/>
    </w:pPr>
  </w:style>
  <w:style w:type="paragraph" w:styleId="13">
    <w:name w:val="annotation subject"/>
    <w:basedOn w:val="5"/>
    <w:next w:val="5"/>
    <w:link w:val="34"/>
    <w:semiHidden/>
    <w:unhideWhenUsed/>
    <w:uiPriority w:val="99"/>
    <w:rPr>
      <w:b/>
      <w:bCs/>
    </w:rPr>
  </w:style>
  <w:style w:type="table" w:styleId="15">
    <w:name w:val="Table Grid"/>
    <w:basedOn w:val="14"/>
    <w:uiPriority w:val="59"/>
    <w:pPr>
      <w:spacing w:after="0" w:line="240" w:lineRule="auto"/>
    </w:pPr>
    <w:rPr>
      <w:rFonts w:ascii="Times New Roman" w:hAnsi="Times New Roman" w:eastAsia="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table" w:styleId="16">
    <w:name w:val="Light Shading Accent 3"/>
    <w:basedOn w:val="14"/>
    <w:uiPriority w:val="60"/>
    <w:pPr>
      <w:spacing w:after="0" w:line="240" w:lineRule="auto"/>
    </w:pPr>
    <w:rPr>
      <w:color w:val="7C7C7C" w:themeColor="accent3" w:themeShade="BF"/>
    </w:rPr>
    <w:tblPr>
      <w:tblBorders>
        <w:top w:val="single" w:color="A5A5A5" w:themeColor="accent3" w:sz="8" w:space="0"/>
        <w:bottom w:val="single" w:color="A5A5A5" w:themeColor="accent3" w:sz="8" w:space="0"/>
      </w:tblBorders>
      <w:tblLayout w:type="fixed"/>
    </w:tblPr>
    <w:tblStylePr w:type="firstRow">
      <w:pPr>
        <w:spacing w:before="0" w:after="0" w:line="240" w:lineRule="auto"/>
      </w:pPr>
      <w:rPr>
        <w:b/>
        <w:bCs/>
      </w:rPr>
      <w:tblPr>
        <w:tblLayout w:type="fixed"/>
      </w:tblPr>
      <w:tcPr>
        <w:tcBorders>
          <w:top w:val="single" w:color="A5A5A5" w:themeColor="accent3" w:sz="8" w:space="0"/>
          <w:left w:val="nil"/>
          <w:bottom w:val="single" w:color="A5A5A5" w:themeColor="accent3" w:sz="8" w:space="0"/>
          <w:right w:val="nil"/>
          <w:insideH w:val="nil"/>
          <w:insideV w:val="nil"/>
        </w:tcBorders>
      </w:tcPr>
    </w:tblStylePr>
    <w:tblStylePr w:type="lastRow">
      <w:pPr>
        <w:spacing w:before="0" w:after="0" w:line="240" w:lineRule="auto"/>
      </w:pPr>
      <w:rPr>
        <w:b/>
        <w:bCs/>
      </w:rPr>
      <w:tblPr>
        <w:tblLayout w:type="fixed"/>
      </w:tblPr>
      <w:tcPr>
        <w:tcBorders>
          <w:top w:val="single" w:color="A5A5A5" w:themeColor="accent3" w:sz="8" w:space="0"/>
          <w:left w:val="nil"/>
          <w:bottom w:val="single" w:color="A5A5A5" w:themeColor="accent3" w:sz="8" w:space="0"/>
          <w:right w:val="nil"/>
          <w:insideH w:val="nil"/>
          <w:insideV w:val="nil"/>
        </w:tcBorders>
      </w:tcPr>
    </w:tblStylePr>
    <w:tblStylePr w:type="firstCol">
      <w:rPr>
        <w:b/>
        <w:bCs/>
      </w:rPr>
    </w:tblStylePr>
    <w:tblStylePr w:type="lastCol">
      <w:rPr>
        <w:b/>
        <w:bCs/>
      </w:rPr>
    </w:tblStylePr>
    <w:tblStylePr w:type="band1Vert">
      <w:tblPr>
        <w:tblLayout w:type="fixed"/>
      </w:tblPr>
      <w:tcPr>
        <w:tcBorders>
          <w:left w:val="nil"/>
          <w:right w:val="nil"/>
          <w:insideH w:val="nil"/>
          <w:insideV w:val="nil"/>
        </w:tcBorders>
        <w:shd w:val="clear" w:color="auto" w:fill="E8E8E8" w:themeFill="accent3" w:themeFillTint="3F"/>
      </w:tcPr>
    </w:tblStylePr>
    <w:tblStylePr w:type="band1Horz">
      <w:tblPr>
        <w:tblLayout w:type="fixed"/>
      </w:tblPr>
      <w:tcPr>
        <w:tcBorders>
          <w:left w:val="nil"/>
          <w:right w:val="nil"/>
          <w:insideH w:val="nil"/>
          <w:insideV w:val="nil"/>
        </w:tcBorders>
        <w:shd w:val="clear" w:color="auto" w:fill="E8E8E8" w:themeFill="accent3" w:themeFillTint="3F"/>
      </w:tcPr>
    </w:tblStylePr>
  </w:style>
  <w:style w:type="table" w:styleId="17">
    <w:name w:val="Light Grid Accent 2"/>
    <w:basedOn w:val="14"/>
    <w:uiPriority w:val="62"/>
    <w:pPr>
      <w:spacing w:after="0" w:line="240" w:lineRule="auto"/>
    </w:pPr>
    <w:rPr>
      <w:rFonts w:eastAsiaTheme="minorHAnsi"/>
      <w:lang w:val="en-GB"/>
    </w:rPr>
    <w:tblPr>
      <w:tblBorders>
        <w:top w:val="single" w:color="ED7D31" w:themeColor="accent2" w:sz="8" w:space="0"/>
        <w:left w:val="single" w:color="ED7D31" w:themeColor="accent2" w:sz="8" w:space="0"/>
        <w:bottom w:val="single" w:color="ED7D31" w:themeColor="accent2" w:sz="8" w:space="0"/>
        <w:right w:val="single" w:color="ED7D31" w:themeColor="accent2" w:sz="8" w:space="0"/>
        <w:insideH w:val="single" w:color="ED7D31" w:themeColor="accent2" w:sz="8" w:space="0"/>
        <w:insideV w:val="single" w:color="ED7D31" w:themeColor="accent2" w:sz="8" w:space="0"/>
      </w:tblBorders>
      <w:tblLayout w:type="fixed"/>
    </w:tblPr>
    <w:tblStylePr w:type="firstRow">
      <w:pPr>
        <w:spacing w:before="0" w:after="0" w:line="240" w:lineRule="auto"/>
      </w:pPr>
      <w:rPr>
        <w:rFonts w:asciiTheme="majorHAnsi" w:hAnsiTheme="majorHAnsi" w:eastAsiaTheme="majorEastAsia" w:cstheme="majorBidi"/>
        <w:b/>
        <w:bCs/>
      </w:rPr>
      <w:tblPr>
        <w:tblLayout w:type="fixed"/>
      </w:tblPr>
      <w:tcPr>
        <w:tcBorders>
          <w:top w:val="single" w:color="ED7D31" w:themeColor="accent2" w:sz="8" w:space="0"/>
          <w:left w:val="single" w:color="ED7D31" w:themeColor="accent2" w:sz="8" w:space="0"/>
          <w:bottom w:val="single" w:color="ED7D31" w:themeColor="accent2" w:sz="18" w:space="0"/>
          <w:right w:val="single" w:color="ED7D31"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blLayout w:type="fixed"/>
      </w:tblPr>
      <w:tcPr>
        <w:tcBorders>
          <w:top w:val="double" w:color="ED7D31" w:themeColor="accent2" w:sz="6" w:space="0"/>
          <w:left w:val="single" w:color="ED7D31" w:themeColor="accent2" w:sz="8" w:space="0"/>
          <w:bottom w:val="single" w:color="ED7D31" w:themeColor="accent2" w:sz="8" w:space="0"/>
          <w:right w:val="single" w:color="ED7D31"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blLayout w:type="fixed"/>
      </w:tblPr>
      <w:tcPr>
        <w:tcBorders>
          <w:top w:val="single" w:color="ED7D31" w:themeColor="accent2" w:sz="8" w:space="0"/>
          <w:left w:val="single" w:color="ED7D31" w:themeColor="accent2" w:sz="8" w:space="0"/>
          <w:bottom w:val="single" w:color="ED7D31" w:themeColor="accent2" w:sz="8" w:space="0"/>
          <w:right w:val="single" w:color="ED7D31" w:themeColor="accent2" w:sz="8" w:space="0"/>
        </w:tcBorders>
      </w:tcPr>
    </w:tblStylePr>
    <w:tblStylePr w:type="band1Vert">
      <w:tblPr>
        <w:tblLayout w:type="fixed"/>
      </w:tblPr>
      <w:tcPr>
        <w:tcBorders>
          <w:top w:val="single" w:color="ED7D31" w:themeColor="accent2" w:sz="8" w:space="0"/>
          <w:left w:val="single" w:color="ED7D31" w:themeColor="accent2" w:sz="8" w:space="0"/>
          <w:bottom w:val="single" w:color="ED7D31" w:themeColor="accent2" w:sz="8" w:space="0"/>
          <w:right w:val="single" w:color="ED7D31" w:themeColor="accent2" w:sz="8" w:space="0"/>
        </w:tcBorders>
        <w:shd w:val="clear" w:color="auto" w:fill="FADECC" w:themeFill="accent2" w:themeFillTint="3F"/>
      </w:tcPr>
    </w:tblStylePr>
    <w:tblStylePr w:type="band1Horz">
      <w:tblPr>
        <w:tblLayout w:type="fixed"/>
      </w:tblPr>
      <w:tcPr>
        <w:tcBorders>
          <w:top w:val="single" w:color="ED7D31" w:themeColor="accent2" w:sz="8" w:space="0"/>
          <w:left w:val="single" w:color="ED7D31" w:themeColor="accent2" w:sz="8" w:space="0"/>
          <w:bottom w:val="single" w:color="ED7D31" w:themeColor="accent2" w:sz="8" w:space="0"/>
          <w:right w:val="single" w:color="ED7D31" w:themeColor="accent2" w:sz="8" w:space="0"/>
          <w:insideV w:val="single" w:sz="8" w:space="0"/>
        </w:tcBorders>
        <w:shd w:val="clear" w:color="auto" w:fill="FADECC" w:themeFill="accent2" w:themeFillTint="3F"/>
      </w:tcPr>
    </w:tblStylePr>
    <w:tblStylePr w:type="band2Horz">
      <w:tblPr>
        <w:tblLayout w:type="fixed"/>
      </w:tblPr>
      <w:tcPr>
        <w:tcBorders>
          <w:top w:val="single" w:color="ED7D31" w:themeColor="accent2" w:sz="8" w:space="0"/>
          <w:left w:val="single" w:color="ED7D31" w:themeColor="accent2" w:sz="8" w:space="0"/>
          <w:bottom w:val="single" w:color="ED7D31" w:themeColor="accent2" w:sz="8" w:space="0"/>
          <w:right w:val="single" w:color="ED7D31" w:themeColor="accent2" w:sz="8" w:space="0"/>
          <w:insideV w:val="single" w:sz="8" w:space="0"/>
        </w:tcBorders>
      </w:tcPr>
    </w:tblStylePr>
  </w:style>
  <w:style w:type="table" w:styleId="18">
    <w:name w:val="Medium Shading 2 Accent 5"/>
    <w:basedOn w:val="14"/>
    <w:qFormat/>
    <w:uiPriority w:val="64"/>
    <w:pPr>
      <w:spacing w:after="0" w:line="240" w:lineRule="auto"/>
    </w:pPr>
    <w:tblPr>
      <w:tblBorders>
        <w:top w:val="single" w:color="auto" w:sz="18" w:space="0"/>
        <w:bottom w:val="single" w:color="auto" w:sz="18" w:space="0"/>
      </w:tblBorders>
      <w:tblLayout w:type="fixed"/>
    </w:tblPr>
    <w:tblStylePr w:type="firstRow">
      <w:pPr>
        <w:spacing w:before="0" w:after="0" w:line="240" w:lineRule="auto"/>
      </w:pPr>
      <w:rPr>
        <w:b/>
        <w:bCs/>
        <w:color w:val="FFFFFF" w:themeColor="background1"/>
        <w14:textFill>
          <w14:solidFill>
            <w14:schemeClr w14:val="bg1"/>
          </w14:solidFill>
        </w14:textFill>
      </w:rPr>
      <w:tblPr>
        <w:tblLayout w:type="fixed"/>
      </w:tblPr>
      <w:tcPr>
        <w:tcBorders>
          <w:top w:val="single" w:color="auto" w:sz="18" w:space="0"/>
          <w:left w:val="nil"/>
          <w:bottom w:val="single" w:color="auto" w:sz="18" w:space="0"/>
          <w:right w:val="nil"/>
          <w:insideH w:val="nil"/>
          <w:insideV w:val="nil"/>
        </w:tcBorders>
        <w:shd w:val="clear" w:color="auto" w:fill="4472C4" w:themeFill="accent5"/>
      </w:tcPr>
    </w:tblStylePr>
    <w:tblStylePr w:type="lastRow">
      <w:pPr>
        <w:spacing w:before="0" w:after="0" w:line="240" w:lineRule="auto"/>
      </w:pPr>
      <w:rPr>
        <w:color w:val="auto"/>
      </w:rPr>
      <w:tblPr>
        <w:tblLayout w:type="fixed"/>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blLayout w:type="fixed"/>
      </w:tblPr>
      <w:tcPr>
        <w:tcBorders>
          <w:top w:val="nil"/>
          <w:left w:val="nil"/>
          <w:bottom w:val="single" w:color="auto" w:sz="18" w:space="0"/>
          <w:right w:val="nil"/>
          <w:insideH w:val="nil"/>
          <w:insideV w:val="nil"/>
        </w:tcBorders>
        <w:shd w:val="clear" w:color="auto" w:fill="4472C4" w:themeFill="accent5"/>
      </w:tcPr>
    </w:tblStylePr>
    <w:tblStylePr w:type="lastCol">
      <w:rPr>
        <w:b/>
        <w:bCs/>
        <w:color w:val="FFFFFF" w:themeColor="background1"/>
        <w14:textFill>
          <w14:solidFill>
            <w14:schemeClr w14:val="bg1"/>
          </w14:solidFill>
        </w14:textFill>
      </w:rPr>
      <w:tblPr>
        <w:tblLayout w:type="fixed"/>
      </w:tblPr>
      <w:tcPr>
        <w:tcBorders>
          <w:left w:val="nil"/>
          <w:right w:val="nil"/>
          <w:insideH w:val="nil"/>
          <w:insideV w:val="nil"/>
        </w:tcBorders>
        <w:shd w:val="clear" w:color="auto" w:fill="4472C4" w:themeFill="accent5"/>
      </w:tcPr>
    </w:tblStylePr>
    <w:tblStylePr w:type="band1Vert">
      <w:tblPr>
        <w:tblLayout w:type="fixed"/>
      </w:tblPr>
      <w:tcPr>
        <w:tcBorders>
          <w:left w:val="nil"/>
          <w:right w:val="nil"/>
          <w:insideH w:val="nil"/>
          <w:insideV w:val="nil"/>
        </w:tcBorders>
        <w:shd w:val="clear" w:color="auto" w:fill="D7D7D7" w:themeFill="background1" w:themeFillShade="D8"/>
      </w:tcPr>
    </w:tblStylePr>
    <w:tblStylePr w:type="band1Horz">
      <w:tblPr>
        <w:tblLayout w:type="fixed"/>
      </w:tblPr>
      <w:tcPr>
        <w:shd w:val="clear" w:color="auto" w:fill="D7D7D7" w:themeFill="background1" w:themeFillShade="D8"/>
      </w:tcPr>
    </w:tblStylePr>
    <w:tblStylePr w:type="neCell">
      <w:tblPr>
        <w:tblLayout w:type="fixed"/>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blLayout w:type="fixed"/>
      </w:tblPr>
      <w:tcPr>
        <w:tcBorders>
          <w:top w:val="single" w:color="auto" w:sz="18" w:space="0"/>
          <w:left w:val="nil"/>
          <w:bottom w:val="single" w:color="auto" w:sz="18" w:space="0"/>
          <w:right w:val="nil"/>
          <w:insideH w:val="nil"/>
          <w:insideV w:val="nil"/>
        </w:tcBorders>
      </w:tcPr>
    </w:tblStylePr>
  </w:style>
  <w:style w:type="character" w:styleId="20">
    <w:name w:val="Hyperlink"/>
    <w:basedOn w:val="19"/>
    <w:unhideWhenUsed/>
    <w:uiPriority w:val="99"/>
    <w:rPr>
      <w:color w:val="0563C1" w:themeColor="hyperlink"/>
      <w:u w:val="single"/>
      <w14:textFill>
        <w14:solidFill>
          <w14:schemeClr w14:val="hlink"/>
        </w14:solidFill>
      </w14:textFill>
    </w:rPr>
  </w:style>
  <w:style w:type="character" w:styleId="21">
    <w:name w:val="annotation reference"/>
    <w:basedOn w:val="19"/>
    <w:semiHidden/>
    <w:unhideWhenUsed/>
    <w:qFormat/>
    <w:uiPriority w:val="99"/>
    <w:rPr>
      <w:sz w:val="21"/>
      <w:szCs w:val="21"/>
    </w:rPr>
  </w:style>
  <w:style w:type="character" w:styleId="22">
    <w:name w:val="HTML Cite"/>
    <w:basedOn w:val="19"/>
    <w:semiHidden/>
    <w:unhideWhenUsed/>
    <w:qFormat/>
    <w:uiPriority w:val="99"/>
    <w:rPr>
      <w:i/>
      <w:iCs/>
    </w:rPr>
  </w:style>
  <w:style w:type="character" w:customStyle="1" w:styleId="23">
    <w:name w:val="Heading 1 Char"/>
    <w:basedOn w:val="19"/>
    <w:link w:val="2"/>
    <w:uiPriority w:val="9"/>
    <w:rPr>
      <w:rFonts w:asciiTheme="majorHAnsi" w:hAnsiTheme="majorHAnsi" w:eastAsiaTheme="majorEastAsia" w:cstheme="majorBidi"/>
      <w:color w:val="2E75B6" w:themeColor="accent1" w:themeShade="BF"/>
      <w:sz w:val="32"/>
      <w:szCs w:val="32"/>
    </w:rPr>
  </w:style>
  <w:style w:type="paragraph" w:customStyle="1" w:styleId="24">
    <w:name w:val="APA"/>
    <w:basedOn w:val="6"/>
    <w:uiPriority w:val="0"/>
    <w:pPr>
      <w:overflowPunct w:val="0"/>
      <w:autoSpaceDE w:val="0"/>
      <w:autoSpaceDN w:val="0"/>
      <w:adjustRightInd w:val="0"/>
      <w:spacing w:after="0" w:line="480" w:lineRule="auto"/>
      <w:ind w:firstLine="720"/>
      <w:textAlignment w:val="baseline"/>
    </w:pPr>
    <w:rPr>
      <w:szCs w:val="20"/>
    </w:rPr>
  </w:style>
  <w:style w:type="paragraph" w:customStyle="1" w:styleId="25">
    <w:name w:val="APA Header"/>
    <w:basedOn w:val="24"/>
    <w:next w:val="24"/>
    <w:uiPriority w:val="0"/>
    <w:pPr>
      <w:ind w:firstLine="0"/>
      <w:jc w:val="center"/>
    </w:pPr>
  </w:style>
  <w:style w:type="character" w:customStyle="1" w:styleId="26">
    <w:name w:val="Header Char"/>
    <w:basedOn w:val="19"/>
    <w:link w:val="10"/>
    <w:qFormat/>
    <w:uiPriority w:val="99"/>
    <w:rPr>
      <w:rFonts w:ascii="Times New Roman" w:hAnsi="Times New Roman" w:eastAsia="Times New Roman" w:cs="Times New Roman"/>
      <w:sz w:val="24"/>
      <w:szCs w:val="20"/>
    </w:rPr>
  </w:style>
  <w:style w:type="paragraph" w:customStyle="1" w:styleId="27">
    <w:name w:val="Normal1"/>
    <w:uiPriority w:val="0"/>
    <w:pPr>
      <w:widowControl w:val="0"/>
      <w:pBdr>
        <w:top w:val="none" w:color="auto" w:sz="0" w:space="0"/>
        <w:left w:val="none" w:color="auto" w:sz="0" w:space="0"/>
        <w:bottom w:val="none" w:color="auto" w:sz="0" w:space="0"/>
        <w:right w:val="none" w:color="auto" w:sz="0" w:space="0"/>
        <w:between w:val="none" w:color="auto" w:sz="0" w:space="0"/>
      </w:pBdr>
      <w:spacing w:after="200" w:line="276" w:lineRule="auto"/>
    </w:pPr>
    <w:rPr>
      <w:rFonts w:ascii="Calibri" w:hAnsi="Calibri" w:eastAsia="Calibri" w:cs="Calibri"/>
      <w:color w:val="000000"/>
      <w:sz w:val="22"/>
      <w:szCs w:val="22"/>
      <w:lang w:val="en-US" w:eastAsia="en-US" w:bidi="ar-SA"/>
    </w:rPr>
  </w:style>
  <w:style w:type="character" w:customStyle="1" w:styleId="28">
    <w:name w:val="Body Text Char"/>
    <w:basedOn w:val="19"/>
    <w:link w:val="6"/>
    <w:semiHidden/>
    <w:uiPriority w:val="99"/>
    <w:rPr>
      <w:rFonts w:ascii="Times New Roman" w:hAnsi="Times New Roman" w:eastAsia="Times New Roman" w:cs="Times New Roman"/>
      <w:sz w:val="24"/>
      <w:szCs w:val="24"/>
    </w:rPr>
  </w:style>
  <w:style w:type="character" w:customStyle="1" w:styleId="29">
    <w:name w:val="Heading 2 Char"/>
    <w:basedOn w:val="19"/>
    <w:link w:val="3"/>
    <w:uiPriority w:val="9"/>
    <w:rPr>
      <w:rFonts w:asciiTheme="majorHAnsi" w:hAnsiTheme="majorHAnsi" w:eastAsiaTheme="majorEastAsia" w:cstheme="majorBidi"/>
      <w:color w:val="2E75B6" w:themeColor="accent1" w:themeShade="BF"/>
      <w:sz w:val="26"/>
      <w:szCs w:val="26"/>
    </w:rPr>
  </w:style>
  <w:style w:type="character" w:customStyle="1" w:styleId="30">
    <w:name w:val="Heading 3 Char"/>
    <w:basedOn w:val="19"/>
    <w:link w:val="4"/>
    <w:uiPriority w:val="9"/>
    <w:rPr>
      <w:rFonts w:asciiTheme="majorHAnsi" w:hAnsiTheme="majorHAnsi" w:eastAsiaTheme="majorEastAsia" w:cstheme="majorBidi"/>
      <w:color w:val="1F4E79" w:themeColor="accent1" w:themeShade="80"/>
      <w:sz w:val="24"/>
      <w:szCs w:val="24"/>
    </w:rPr>
  </w:style>
  <w:style w:type="paragraph" w:customStyle="1" w:styleId="31">
    <w:name w:val="TOC Heading"/>
    <w:basedOn w:val="2"/>
    <w:next w:val="1"/>
    <w:unhideWhenUsed/>
    <w:qFormat/>
    <w:uiPriority w:val="39"/>
    <w:pPr>
      <w:outlineLvl w:val="9"/>
    </w:pPr>
  </w:style>
  <w:style w:type="character" w:customStyle="1" w:styleId="32">
    <w:name w:val="Balloon Text Char"/>
    <w:basedOn w:val="19"/>
    <w:link w:val="8"/>
    <w:semiHidden/>
    <w:uiPriority w:val="99"/>
    <w:rPr>
      <w:rFonts w:ascii="Times New Roman" w:hAnsi="Times New Roman" w:eastAsia="Times New Roman" w:cs="Times New Roman"/>
      <w:sz w:val="18"/>
      <w:szCs w:val="18"/>
    </w:rPr>
  </w:style>
  <w:style w:type="character" w:customStyle="1" w:styleId="33">
    <w:name w:val="Comment Text Char"/>
    <w:basedOn w:val="19"/>
    <w:link w:val="5"/>
    <w:semiHidden/>
    <w:uiPriority w:val="99"/>
    <w:rPr>
      <w:rFonts w:ascii="Times New Roman" w:hAnsi="Times New Roman" w:eastAsia="Times New Roman" w:cs="Times New Roman"/>
      <w:sz w:val="24"/>
      <w:szCs w:val="24"/>
    </w:rPr>
  </w:style>
  <w:style w:type="character" w:customStyle="1" w:styleId="34">
    <w:name w:val="Comment Subject Char"/>
    <w:basedOn w:val="33"/>
    <w:link w:val="13"/>
    <w:semiHidden/>
    <w:uiPriority w:val="99"/>
    <w:rPr>
      <w:rFonts w:ascii="Times New Roman" w:hAnsi="Times New Roman" w:eastAsia="Times New Roman" w:cs="Times New Roman"/>
      <w:b/>
      <w:bCs/>
      <w:sz w:val="24"/>
      <w:szCs w:val="24"/>
    </w:rPr>
  </w:style>
  <w:style w:type="character" w:customStyle="1" w:styleId="35">
    <w:name w:val="Footer Char"/>
    <w:basedOn w:val="19"/>
    <w:link w:val="9"/>
    <w:qFormat/>
    <w:uiPriority w:val="99"/>
    <w:rPr>
      <w:rFonts w:ascii="Times New Roman" w:hAnsi="Times New Roman" w:eastAsia="Times New Roman" w:cs="Times New Roman"/>
      <w:sz w:val="24"/>
      <w:szCs w:val="24"/>
    </w:rPr>
  </w:style>
  <w:style w:type="paragraph" w:customStyle="1" w:styleId="36">
    <w:name w:val="Table Paragraph"/>
    <w:basedOn w:val="1"/>
    <w:qFormat/>
    <w:uiPriority w:val="1"/>
    <w:pPr>
      <w:widowControl w:val="0"/>
    </w:pPr>
    <w:rPr>
      <w:rFonts w:asciiTheme="minorHAnsi" w:hAnsiTheme="minorHAnsi" w:eastAsiaTheme="minorHAnsi" w:cstheme="minorBidi"/>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C5987F9-A75E-41AC-835A-D09116532DA1}">
  <ds:schemaRefs/>
</ds:datastoreItem>
</file>

<file path=docProps/app.xml><?xml version="1.0" encoding="utf-8"?>
<Properties xmlns="http://schemas.openxmlformats.org/officeDocument/2006/extended-properties" xmlns:vt="http://schemas.openxmlformats.org/officeDocument/2006/docPropsVTypes">
  <Template>Normal</Template>
  <Pages>11</Pages>
  <Words>2275</Words>
  <Characters>12969</Characters>
  <Lines>108</Lines>
  <Paragraphs>30</Paragraphs>
  <TotalTime>26</TotalTime>
  <ScaleCrop>false</ScaleCrop>
  <LinksUpToDate>false</LinksUpToDate>
  <CharactersWithSpaces>15214</CharactersWithSpaces>
  <Application>WPS Office_11.1.0.8500_F1E327BC-269C-435d-A152-05C5408002CA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2019-03-02T03:56:00Z</dcterms:created>
  <dc:creator>Danny Kinyua</dc:creator>
  <cp:lastModifiedBy>richard Shi</cp:lastModifiedBy>
  <dcterms:modified xsi:type="dcterms:W3CDTF">2019-03-02T16:11:35Z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2052-11.1.0.8500</vt:lpwstr>
  </property>
</Properties>
</file>