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margin" w:tblpY="2710"/>
        <w:tblW w:w="95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24"/>
        <w:gridCol w:w="3551"/>
        <w:gridCol w:w="2116"/>
        <w:gridCol w:w="2122"/>
      </w:tblGrid>
      <w:tr w:rsidR="00DF0991" w:rsidRPr="008839BA" w14:paraId="76A95CE0" w14:textId="77777777" w:rsidTr="00DF0991">
        <w:trPr>
          <w:trHeight w:val="508"/>
        </w:trPr>
        <w:tc>
          <w:tcPr>
            <w:tcW w:w="1724" w:type="dxa"/>
          </w:tcPr>
          <w:p w14:paraId="38639655" w14:textId="77777777" w:rsidR="00DF0991" w:rsidRPr="008839BA" w:rsidRDefault="00DF0991" w:rsidP="00DF0991">
            <w:pPr>
              <w:pStyle w:val="TableParagraph"/>
              <w:spacing w:before="123"/>
              <w:ind w:left="110"/>
              <w:rPr>
                <w:rFonts w:ascii="Arial" w:hAnsi="Arial" w:cs="Arial"/>
                <w:b/>
              </w:rPr>
            </w:pPr>
            <w:proofErr w:type="spellStart"/>
            <w:r w:rsidRPr="008839BA">
              <w:rPr>
                <w:rFonts w:ascii="Arial" w:hAnsi="Arial" w:cs="Arial"/>
                <w:b/>
                <w:spacing w:val="-2"/>
              </w:rPr>
              <w:t>Programme</w:t>
            </w:r>
            <w:proofErr w:type="spellEnd"/>
            <w:r w:rsidRPr="008839BA">
              <w:rPr>
                <w:rFonts w:ascii="Arial" w:hAnsi="Arial" w:cs="Arial"/>
                <w:b/>
                <w:spacing w:val="-2"/>
              </w:rPr>
              <w:t>:</w:t>
            </w:r>
          </w:p>
        </w:tc>
        <w:tc>
          <w:tcPr>
            <w:tcW w:w="7789" w:type="dxa"/>
            <w:gridSpan w:val="3"/>
          </w:tcPr>
          <w:p w14:paraId="5F8B1B76" w14:textId="77777777" w:rsidR="00DF0991" w:rsidRPr="008839BA" w:rsidRDefault="00DF0991" w:rsidP="00DF0991">
            <w:pPr>
              <w:pStyle w:val="TableParagraph"/>
              <w:spacing w:before="123"/>
              <w:ind w:left="109"/>
              <w:rPr>
                <w:rFonts w:ascii="Arial" w:hAnsi="Arial" w:cs="Arial"/>
                <w:b/>
              </w:rPr>
            </w:pPr>
            <w:r w:rsidRPr="008839BA">
              <w:rPr>
                <w:rFonts w:ascii="Arial" w:hAnsi="Arial" w:cs="Arial"/>
                <w:b/>
              </w:rPr>
              <w:t>BSc</w:t>
            </w:r>
            <w:r w:rsidRPr="008839BA">
              <w:rPr>
                <w:rFonts w:ascii="Arial" w:hAnsi="Arial" w:cs="Arial"/>
                <w:b/>
                <w:spacing w:val="-2"/>
              </w:rPr>
              <w:t xml:space="preserve"> </w:t>
            </w:r>
            <w:r w:rsidRPr="008839BA">
              <w:rPr>
                <w:rFonts w:ascii="Arial" w:hAnsi="Arial" w:cs="Arial"/>
                <w:b/>
              </w:rPr>
              <w:t>Health</w:t>
            </w:r>
            <w:r w:rsidRPr="008839BA">
              <w:rPr>
                <w:rFonts w:ascii="Arial" w:hAnsi="Arial" w:cs="Arial"/>
                <w:b/>
                <w:spacing w:val="-2"/>
              </w:rPr>
              <w:t xml:space="preserve"> </w:t>
            </w:r>
            <w:r w:rsidRPr="008839BA">
              <w:rPr>
                <w:rFonts w:ascii="Arial" w:hAnsi="Arial" w:cs="Arial"/>
                <w:b/>
              </w:rPr>
              <w:t>and</w:t>
            </w:r>
            <w:r w:rsidRPr="008839BA">
              <w:rPr>
                <w:rFonts w:ascii="Arial" w:hAnsi="Arial" w:cs="Arial"/>
                <w:b/>
                <w:spacing w:val="-3"/>
              </w:rPr>
              <w:t xml:space="preserve"> </w:t>
            </w:r>
            <w:r w:rsidRPr="008839BA">
              <w:rPr>
                <w:rFonts w:ascii="Arial" w:hAnsi="Arial" w:cs="Arial"/>
                <w:b/>
              </w:rPr>
              <w:t>Social</w:t>
            </w:r>
            <w:r w:rsidRPr="008839BA">
              <w:rPr>
                <w:rFonts w:ascii="Arial" w:hAnsi="Arial" w:cs="Arial"/>
                <w:b/>
                <w:spacing w:val="-4"/>
              </w:rPr>
              <w:t xml:space="preserve"> Care</w:t>
            </w:r>
          </w:p>
        </w:tc>
      </w:tr>
      <w:tr w:rsidR="00DF0991" w:rsidRPr="008839BA" w14:paraId="1DC4D800" w14:textId="77777777" w:rsidTr="00DF0991">
        <w:trPr>
          <w:trHeight w:val="502"/>
        </w:trPr>
        <w:tc>
          <w:tcPr>
            <w:tcW w:w="1724" w:type="dxa"/>
          </w:tcPr>
          <w:p w14:paraId="5A5CE380" w14:textId="77777777" w:rsidR="00DF0991" w:rsidRPr="008839BA" w:rsidRDefault="00DF0991" w:rsidP="00DF0991">
            <w:pPr>
              <w:pStyle w:val="TableParagraph"/>
              <w:spacing w:before="124"/>
              <w:ind w:left="110"/>
              <w:rPr>
                <w:rFonts w:ascii="Arial" w:hAnsi="Arial" w:cs="Arial"/>
                <w:b/>
              </w:rPr>
            </w:pPr>
            <w:r w:rsidRPr="008839BA">
              <w:rPr>
                <w:rFonts w:ascii="Arial" w:hAnsi="Arial" w:cs="Arial"/>
                <w:b/>
                <w:spacing w:val="-2"/>
              </w:rPr>
              <w:t>Module:</w:t>
            </w:r>
          </w:p>
        </w:tc>
        <w:tc>
          <w:tcPr>
            <w:tcW w:w="7789" w:type="dxa"/>
            <w:gridSpan w:val="3"/>
          </w:tcPr>
          <w:p w14:paraId="38909585" w14:textId="77777777" w:rsidR="00DF0991" w:rsidRPr="008839BA" w:rsidRDefault="00DF0991" w:rsidP="00DF0991">
            <w:pPr>
              <w:pStyle w:val="TableParagraph"/>
              <w:spacing w:before="124"/>
              <w:ind w:left="109"/>
              <w:rPr>
                <w:rFonts w:ascii="Arial" w:hAnsi="Arial" w:cs="Arial"/>
                <w:b/>
              </w:rPr>
            </w:pPr>
            <w:r w:rsidRPr="008839BA">
              <w:rPr>
                <w:rFonts w:ascii="Arial" w:hAnsi="Arial" w:cs="Arial"/>
                <w:b/>
              </w:rPr>
              <w:t>Introduction</w:t>
            </w:r>
            <w:r w:rsidRPr="008839BA">
              <w:rPr>
                <w:rFonts w:ascii="Arial" w:hAnsi="Arial" w:cs="Arial"/>
                <w:b/>
                <w:spacing w:val="-11"/>
              </w:rPr>
              <w:t xml:space="preserve"> </w:t>
            </w:r>
            <w:r w:rsidRPr="008839BA">
              <w:rPr>
                <w:rFonts w:ascii="Arial" w:hAnsi="Arial" w:cs="Arial"/>
                <w:b/>
              </w:rPr>
              <w:t>to</w:t>
            </w:r>
            <w:r w:rsidRPr="008839BA">
              <w:rPr>
                <w:rFonts w:ascii="Arial" w:hAnsi="Arial" w:cs="Arial"/>
                <w:b/>
                <w:spacing w:val="-2"/>
              </w:rPr>
              <w:t xml:space="preserve"> </w:t>
            </w:r>
            <w:r w:rsidRPr="008839BA">
              <w:rPr>
                <w:rFonts w:ascii="Arial" w:hAnsi="Arial" w:cs="Arial"/>
                <w:b/>
              </w:rPr>
              <w:t>Independent</w:t>
            </w:r>
            <w:r w:rsidRPr="008839BA">
              <w:rPr>
                <w:rFonts w:ascii="Arial" w:hAnsi="Arial" w:cs="Arial"/>
                <w:b/>
                <w:spacing w:val="-2"/>
              </w:rPr>
              <w:t xml:space="preserve"> </w:t>
            </w:r>
            <w:r w:rsidRPr="008839BA">
              <w:rPr>
                <w:rFonts w:ascii="Arial" w:hAnsi="Arial" w:cs="Arial"/>
                <w:b/>
              </w:rPr>
              <w:t>Research</w:t>
            </w:r>
            <w:r w:rsidRPr="008839BA">
              <w:rPr>
                <w:rFonts w:ascii="Arial" w:hAnsi="Arial" w:cs="Arial"/>
                <w:b/>
                <w:spacing w:val="-2"/>
              </w:rPr>
              <w:t xml:space="preserve"> Skills</w:t>
            </w:r>
          </w:p>
        </w:tc>
      </w:tr>
      <w:tr w:rsidR="00DF0991" w:rsidRPr="008839BA" w14:paraId="79B669C7" w14:textId="77777777" w:rsidTr="00DF0991">
        <w:trPr>
          <w:trHeight w:val="779"/>
        </w:trPr>
        <w:tc>
          <w:tcPr>
            <w:tcW w:w="1724" w:type="dxa"/>
          </w:tcPr>
          <w:p w14:paraId="239F32D2" w14:textId="77777777" w:rsidR="00DF0991" w:rsidRPr="008839BA" w:rsidRDefault="00DF0991" w:rsidP="00DF0991">
            <w:pPr>
              <w:pStyle w:val="TableParagraph"/>
              <w:spacing w:before="123"/>
              <w:ind w:left="110"/>
              <w:rPr>
                <w:rFonts w:ascii="Arial" w:hAnsi="Arial" w:cs="Arial"/>
                <w:b/>
              </w:rPr>
            </w:pPr>
            <w:r w:rsidRPr="008839BA">
              <w:rPr>
                <w:rFonts w:ascii="Arial" w:hAnsi="Arial" w:cs="Arial"/>
                <w:b/>
              </w:rPr>
              <w:t>Module</w:t>
            </w:r>
            <w:r w:rsidRPr="008839BA">
              <w:rPr>
                <w:rFonts w:ascii="Arial" w:hAnsi="Arial" w:cs="Arial"/>
                <w:b/>
                <w:spacing w:val="-1"/>
              </w:rPr>
              <w:t xml:space="preserve"> </w:t>
            </w:r>
            <w:r w:rsidRPr="008839BA">
              <w:rPr>
                <w:rFonts w:ascii="Arial" w:hAnsi="Arial" w:cs="Arial"/>
                <w:b/>
                <w:spacing w:val="-2"/>
              </w:rPr>
              <w:t>code:</w:t>
            </w:r>
          </w:p>
        </w:tc>
        <w:tc>
          <w:tcPr>
            <w:tcW w:w="3551" w:type="dxa"/>
          </w:tcPr>
          <w:p w14:paraId="2D6D6C52" w14:textId="77777777" w:rsidR="00DF0991" w:rsidRPr="008839BA" w:rsidRDefault="00DF0991" w:rsidP="00DF0991">
            <w:pPr>
              <w:pStyle w:val="TableParagraph"/>
              <w:spacing w:before="123"/>
              <w:ind w:left="109"/>
              <w:rPr>
                <w:rFonts w:ascii="Arial" w:hAnsi="Arial" w:cs="Arial"/>
                <w:b/>
              </w:rPr>
            </w:pPr>
            <w:r w:rsidRPr="008839BA">
              <w:rPr>
                <w:rFonts w:ascii="Arial" w:hAnsi="Arial" w:cs="Arial"/>
                <w:b/>
                <w:spacing w:val="-2"/>
              </w:rPr>
              <w:t>BMHP5019</w:t>
            </w:r>
          </w:p>
        </w:tc>
        <w:tc>
          <w:tcPr>
            <w:tcW w:w="2116" w:type="dxa"/>
            <w:shd w:val="clear" w:color="auto" w:fill="D9D9D9"/>
          </w:tcPr>
          <w:p w14:paraId="59E14AF2" w14:textId="77777777" w:rsidR="00DF0991" w:rsidRPr="008839BA" w:rsidRDefault="00DF0991" w:rsidP="00DF0991">
            <w:pPr>
              <w:pStyle w:val="TableParagraph"/>
              <w:tabs>
                <w:tab w:val="left" w:pos="1388"/>
                <w:tab w:val="left" w:pos="1952"/>
              </w:tabs>
              <w:spacing w:before="5" w:line="237" w:lineRule="auto"/>
              <w:ind w:left="104" w:right="96"/>
              <w:rPr>
                <w:rFonts w:ascii="Arial" w:hAnsi="Arial" w:cs="Arial"/>
                <w:b/>
              </w:rPr>
            </w:pPr>
            <w:r w:rsidRPr="008839BA">
              <w:rPr>
                <w:rFonts w:ascii="Arial" w:hAnsi="Arial" w:cs="Arial"/>
                <w:b/>
                <w:spacing w:val="-2"/>
              </w:rPr>
              <w:t>Contribution</w:t>
            </w:r>
            <w:r w:rsidRPr="008839BA">
              <w:rPr>
                <w:rFonts w:ascii="Arial" w:hAnsi="Arial" w:cs="Arial"/>
                <w:b/>
              </w:rPr>
              <w:tab/>
            </w:r>
            <w:r w:rsidRPr="008839BA">
              <w:rPr>
                <w:rFonts w:ascii="Arial" w:hAnsi="Arial" w:cs="Arial"/>
                <w:b/>
                <w:spacing w:val="-6"/>
              </w:rPr>
              <w:t xml:space="preserve">to </w:t>
            </w:r>
            <w:r w:rsidRPr="008839BA">
              <w:rPr>
                <w:rFonts w:ascii="Arial" w:hAnsi="Arial" w:cs="Arial"/>
                <w:b/>
                <w:spacing w:val="-2"/>
              </w:rPr>
              <w:t>Overall</w:t>
            </w:r>
            <w:r w:rsidRPr="008839BA">
              <w:rPr>
                <w:rFonts w:ascii="Arial" w:hAnsi="Arial" w:cs="Arial"/>
                <w:b/>
              </w:rPr>
              <w:tab/>
            </w:r>
            <w:r w:rsidRPr="008839BA">
              <w:rPr>
                <w:rFonts w:ascii="Arial" w:hAnsi="Arial" w:cs="Arial"/>
                <w:b/>
                <w:spacing w:val="-2"/>
              </w:rPr>
              <w:t>Module</w:t>
            </w:r>
          </w:p>
          <w:p w14:paraId="330518DB" w14:textId="77777777" w:rsidR="00DF0991" w:rsidRPr="008839BA" w:rsidRDefault="00DF0991" w:rsidP="00DF0991">
            <w:pPr>
              <w:pStyle w:val="TableParagraph"/>
              <w:spacing w:before="2" w:line="231" w:lineRule="exact"/>
              <w:ind w:left="104"/>
              <w:rPr>
                <w:rFonts w:ascii="Arial" w:hAnsi="Arial" w:cs="Arial"/>
                <w:b/>
              </w:rPr>
            </w:pPr>
            <w:r w:rsidRPr="008839BA">
              <w:rPr>
                <w:rFonts w:ascii="Arial" w:hAnsi="Arial" w:cs="Arial"/>
                <w:b/>
              </w:rPr>
              <w:t>Assessment</w:t>
            </w:r>
            <w:r w:rsidRPr="008839BA">
              <w:rPr>
                <w:rFonts w:ascii="Arial" w:hAnsi="Arial" w:cs="Arial"/>
                <w:b/>
                <w:spacing w:val="-7"/>
              </w:rPr>
              <w:t xml:space="preserve"> </w:t>
            </w:r>
            <w:r w:rsidRPr="008839BA">
              <w:rPr>
                <w:rFonts w:ascii="Arial" w:hAnsi="Arial" w:cs="Arial"/>
                <w:b/>
                <w:spacing w:val="-4"/>
              </w:rPr>
              <w:t>(%):</w:t>
            </w:r>
          </w:p>
        </w:tc>
        <w:tc>
          <w:tcPr>
            <w:tcW w:w="2121" w:type="dxa"/>
          </w:tcPr>
          <w:p w14:paraId="65975576" w14:textId="77777777" w:rsidR="00DF0991" w:rsidRPr="008839BA" w:rsidRDefault="00DF0991" w:rsidP="00DF0991">
            <w:pPr>
              <w:pStyle w:val="TableParagraph"/>
              <w:spacing w:before="123"/>
              <w:ind w:left="109"/>
              <w:rPr>
                <w:rFonts w:ascii="Arial" w:hAnsi="Arial" w:cs="Arial"/>
                <w:b/>
              </w:rPr>
            </w:pPr>
            <w:r w:rsidRPr="008839BA">
              <w:rPr>
                <w:rFonts w:ascii="Arial" w:hAnsi="Arial" w:cs="Arial"/>
                <w:b/>
                <w:spacing w:val="-5"/>
              </w:rPr>
              <w:t>90%</w:t>
            </w:r>
          </w:p>
        </w:tc>
      </w:tr>
      <w:tr w:rsidR="00DF0991" w:rsidRPr="008839BA" w14:paraId="1A9550AF" w14:textId="77777777" w:rsidTr="00DF0991">
        <w:trPr>
          <w:trHeight w:val="636"/>
        </w:trPr>
        <w:tc>
          <w:tcPr>
            <w:tcW w:w="1724" w:type="dxa"/>
          </w:tcPr>
          <w:p w14:paraId="6604F64B" w14:textId="77777777" w:rsidR="00DF0991" w:rsidRPr="008839BA" w:rsidRDefault="00DF0991" w:rsidP="00DF0991">
            <w:pPr>
              <w:pStyle w:val="TableParagraph"/>
              <w:spacing w:before="123"/>
              <w:ind w:left="110"/>
              <w:rPr>
                <w:rFonts w:ascii="Arial" w:hAnsi="Arial" w:cs="Arial"/>
                <w:b/>
              </w:rPr>
            </w:pPr>
            <w:r w:rsidRPr="008839BA">
              <w:rPr>
                <w:rFonts w:ascii="Arial" w:hAnsi="Arial" w:cs="Arial"/>
                <w:b/>
                <w:spacing w:val="-2"/>
              </w:rPr>
              <w:t>Lecturer:</w:t>
            </w:r>
          </w:p>
        </w:tc>
        <w:tc>
          <w:tcPr>
            <w:tcW w:w="3551" w:type="dxa"/>
          </w:tcPr>
          <w:p w14:paraId="676996F3" w14:textId="4DC71052" w:rsidR="00DF0991" w:rsidRPr="007B4F12" w:rsidRDefault="007B4F12" w:rsidP="00DF0991">
            <w:pPr>
              <w:pStyle w:val="TableParagraph"/>
              <w:ind w:left="0"/>
              <w:rPr>
                <w:rFonts w:ascii="Arial" w:hAnsi="Arial" w:cs="Arial"/>
                <w:b/>
                <w:bCs/>
              </w:rPr>
            </w:pPr>
            <w:r w:rsidRPr="007B4F12">
              <w:rPr>
                <w:rFonts w:ascii="Arial" w:hAnsi="Arial" w:cs="Arial"/>
                <w:b/>
                <w:bCs/>
              </w:rPr>
              <w:t>Rizwan Nadim</w:t>
            </w:r>
          </w:p>
        </w:tc>
        <w:tc>
          <w:tcPr>
            <w:tcW w:w="2116" w:type="dxa"/>
            <w:shd w:val="clear" w:color="auto" w:fill="D9D9D9"/>
          </w:tcPr>
          <w:p w14:paraId="58D0E435" w14:textId="77777777" w:rsidR="00DF0991" w:rsidRPr="008839BA" w:rsidRDefault="00DF0991" w:rsidP="00DF0991">
            <w:pPr>
              <w:pStyle w:val="TableParagraph"/>
              <w:spacing w:before="123"/>
              <w:ind w:left="104"/>
              <w:rPr>
                <w:rFonts w:ascii="Arial" w:hAnsi="Arial" w:cs="Arial"/>
                <w:b/>
              </w:rPr>
            </w:pPr>
            <w:r w:rsidRPr="008839BA">
              <w:rPr>
                <w:rFonts w:ascii="Arial" w:hAnsi="Arial" w:cs="Arial"/>
                <w:b/>
              </w:rPr>
              <w:t>Internal</w:t>
            </w:r>
            <w:r w:rsidRPr="008839BA">
              <w:rPr>
                <w:rFonts w:ascii="Arial" w:hAnsi="Arial" w:cs="Arial"/>
                <w:b/>
                <w:spacing w:val="-1"/>
              </w:rPr>
              <w:t xml:space="preserve"> </w:t>
            </w:r>
            <w:r w:rsidRPr="008839BA">
              <w:rPr>
                <w:rFonts w:ascii="Arial" w:hAnsi="Arial" w:cs="Arial"/>
                <w:b/>
                <w:spacing w:val="-2"/>
              </w:rPr>
              <w:t>Verifier:</w:t>
            </w:r>
          </w:p>
        </w:tc>
        <w:tc>
          <w:tcPr>
            <w:tcW w:w="2121" w:type="dxa"/>
          </w:tcPr>
          <w:p w14:paraId="60CFAFBA" w14:textId="77777777" w:rsidR="00DF0991" w:rsidRPr="008839BA" w:rsidRDefault="00DF0991" w:rsidP="00DF0991">
            <w:pPr>
              <w:pStyle w:val="TableParagraph"/>
              <w:spacing w:before="123"/>
              <w:ind w:left="109"/>
              <w:rPr>
                <w:rFonts w:ascii="Arial" w:hAnsi="Arial" w:cs="Arial"/>
                <w:b/>
              </w:rPr>
            </w:pPr>
            <w:r w:rsidRPr="008839BA">
              <w:rPr>
                <w:rFonts w:ascii="Arial" w:hAnsi="Arial" w:cs="Arial"/>
                <w:b/>
              </w:rPr>
              <w:t>Chloe</w:t>
            </w:r>
            <w:r w:rsidRPr="008839BA">
              <w:rPr>
                <w:rFonts w:ascii="Arial" w:hAnsi="Arial" w:cs="Arial"/>
                <w:b/>
                <w:spacing w:val="-2"/>
              </w:rPr>
              <w:t xml:space="preserve"> Harries</w:t>
            </w:r>
          </w:p>
        </w:tc>
      </w:tr>
      <w:tr w:rsidR="00DF0991" w:rsidRPr="008839BA" w14:paraId="6405E83E" w14:textId="77777777" w:rsidTr="00DF0991">
        <w:trPr>
          <w:trHeight w:val="1538"/>
        </w:trPr>
        <w:tc>
          <w:tcPr>
            <w:tcW w:w="1724" w:type="dxa"/>
          </w:tcPr>
          <w:p w14:paraId="6D450271" w14:textId="77777777" w:rsidR="00DF0991" w:rsidRPr="008839BA" w:rsidRDefault="00DF0991" w:rsidP="00DF0991">
            <w:pPr>
              <w:pStyle w:val="TableParagraph"/>
              <w:spacing w:before="118" w:line="242" w:lineRule="auto"/>
              <w:ind w:left="110" w:right="462"/>
              <w:rPr>
                <w:rFonts w:ascii="Arial" w:hAnsi="Arial" w:cs="Arial"/>
                <w:b/>
              </w:rPr>
            </w:pPr>
            <w:r w:rsidRPr="008839BA">
              <w:rPr>
                <w:rFonts w:ascii="Arial" w:hAnsi="Arial" w:cs="Arial"/>
                <w:b/>
                <w:spacing w:val="-2"/>
              </w:rPr>
              <w:t>Assignment Title:</w:t>
            </w:r>
          </w:p>
        </w:tc>
        <w:tc>
          <w:tcPr>
            <w:tcW w:w="3551" w:type="dxa"/>
          </w:tcPr>
          <w:p w14:paraId="0B7BA416" w14:textId="77777777" w:rsidR="00DF0991" w:rsidRPr="008839BA" w:rsidRDefault="00DF0991" w:rsidP="00DF0991">
            <w:pPr>
              <w:pStyle w:val="TableParagraph"/>
              <w:spacing w:before="123"/>
              <w:ind w:left="109"/>
              <w:rPr>
                <w:rFonts w:ascii="Arial" w:hAnsi="Arial" w:cs="Arial"/>
                <w:b/>
              </w:rPr>
            </w:pPr>
            <w:r w:rsidRPr="008839BA">
              <w:rPr>
                <w:rFonts w:ascii="Arial" w:hAnsi="Arial" w:cs="Arial"/>
                <w:b/>
              </w:rPr>
              <w:t>Component</w:t>
            </w:r>
            <w:r w:rsidRPr="008839BA">
              <w:rPr>
                <w:rFonts w:ascii="Arial" w:hAnsi="Arial" w:cs="Arial"/>
                <w:b/>
                <w:spacing w:val="-1"/>
              </w:rPr>
              <w:t xml:space="preserve"> </w:t>
            </w:r>
            <w:r w:rsidRPr="008839BA">
              <w:rPr>
                <w:rFonts w:ascii="Arial" w:hAnsi="Arial" w:cs="Arial"/>
                <w:b/>
                <w:spacing w:val="-5"/>
              </w:rPr>
              <w:t>2:</w:t>
            </w:r>
          </w:p>
          <w:p w14:paraId="21529D5C" w14:textId="77777777" w:rsidR="00DF0991" w:rsidRPr="008839BA" w:rsidRDefault="00DF0991" w:rsidP="00DF0991">
            <w:pPr>
              <w:pStyle w:val="TableParagraph"/>
              <w:spacing w:before="247" w:line="360" w:lineRule="auto"/>
              <w:ind w:left="109"/>
              <w:rPr>
                <w:rFonts w:ascii="Arial" w:hAnsi="Arial" w:cs="Arial"/>
                <w:b/>
              </w:rPr>
            </w:pPr>
            <w:r w:rsidRPr="008839BA">
              <w:rPr>
                <w:rFonts w:ascii="Arial" w:hAnsi="Arial" w:cs="Arial"/>
                <w:b/>
              </w:rPr>
              <w:t>Written</w:t>
            </w:r>
            <w:r w:rsidRPr="008839BA">
              <w:rPr>
                <w:rFonts w:ascii="Arial" w:hAnsi="Arial" w:cs="Arial"/>
                <w:b/>
                <w:spacing w:val="-16"/>
              </w:rPr>
              <w:t xml:space="preserve"> </w:t>
            </w:r>
            <w:r w:rsidRPr="008839BA">
              <w:rPr>
                <w:rFonts w:ascii="Arial" w:hAnsi="Arial" w:cs="Arial"/>
                <w:b/>
              </w:rPr>
              <w:t>Assignment</w:t>
            </w:r>
            <w:r w:rsidRPr="008839BA">
              <w:rPr>
                <w:rFonts w:ascii="Arial" w:hAnsi="Arial" w:cs="Arial"/>
                <w:b/>
                <w:spacing w:val="-15"/>
              </w:rPr>
              <w:t xml:space="preserve"> </w:t>
            </w:r>
            <w:r w:rsidRPr="008839BA">
              <w:rPr>
                <w:rFonts w:ascii="Arial" w:hAnsi="Arial" w:cs="Arial"/>
                <w:b/>
              </w:rPr>
              <w:t xml:space="preserve">(Research </w:t>
            </w:r>
            <w:r w:rsidRPr="008839BA">
              <w:rPr>
                <w:rFonts w:ascii="Arial" w:hAnsi="Arial" w:cs="Arial"/>
                <w:b/>
                <w:spacing w:val="-2"/>
              </w:rPr>
              <w:t>Report)</w:t>
            </w:r>
          </w:p>
        </w:tc>
        <w:tc>
          <w:tcPr>
            <w:tcW w:w="2116" w:type="dxa"/>
          </w:tcPr>
          <w:p w14:paraId="796BA331" w14:textId="77777777" w:rsidR="00DF0991" w:rsidRPr="008839BA" w:rsidRDefault="00DF0991" w:rsidP="00DF0991">
            <w:pPr>
              <w:pStyle w:val="TableParagraph"/>
              <w:tabs>
                <w:tab w:val="left" w:pos="969"/>
                <w:tab w:val="left" w:pos="1863"/>
              </w:tabs>
              <w:spacing w:before="118" w:line="242" w:lineRule="auto"/>
              <w:ind w:left="104" w:right="96"/>
              <w:rPr>
                <w:rFonts w:ascii="Arial" w:hAnsi="Arial" w:cs="Arial"/>
                <w:b/>
              </w:rPr>
            </w:pPr>
            <w:r w:rsidRPr="008839BA">
              <w:rPr>
                <w:rFonts w:ascii="Arial" w:hAnsi="Arial" w:cs="Arial"/>
                <w:b/>
                <w:spacing w:val="-4"/>
              </w:rPr>
              <w:t>Word</w:t>
            </w:r>
            <w:r w:rsidRPr="008839BA">
              <w:rPr>
                <w:rFonts w:ascii="Arial" w:hAnsi="Arial" w:cs="Arial"/>
                <w:b/>
              </w:rPr>
              <w:tab/>
            </w:r>
            <w:r w:rsidRPr="008839BA">
              <w:rPr>
                <w:rFonts w:ascii="Arial" w:hAnsi="Arial" w:cs="Arial"/>
                <w:b/>
                <w:spacing w:val="-2"/>
              </w:rPr>
              <w:t>count</w:t>
            </w:r>
            <w:r w:rsidRPr="008839BA">
              <w:rPr>
                <w:rFonts w:ascii="Arial" w:hAnsi="Arial" w:cs="Arial"/>
                <w:b/>
              </w:rPr>
              <w:tab/>
            </w:r>
            <w:r w:rsidRPr="008839BA">
              <w:rPr>
                <w:rFonts w:ascii="Arial" w:hAnsi="Arial" w:cs="Arial"/>
                <w:b/>
                <w:spacing w:val="-4"/>
              </w:rPr>
              <w:t xml:space="preserve">(or </w:t>
            </w:r>
            <w:r w:rsidRPr="008839BA">
              <w:rPr>
                <w:rFonts w:ascii="Arial" w:hAnsi="Arial" w:cs="Arial"/>
                <w:b/>
                <w:spacing w:val="-2"/>
              </w:rPr>
              <w:t>equivalent):</w:t>
            </w:r>
          </w:p>
        </w:tc>
        <w:tc>
          <w:tcPr>
            <w:tcW w:w="2121" w:type="dxa"/>
          </w:tcPr>
          <w:p w14:paraId="316087A9" w14:textId="77777777" w:rsidR="00DF0991" w:rsidRPr="008839BA" w:rsidRDefault="00DF0991" w:rsidP="00DF0991">
            <w:pPr>
              <w:pStyle w:val="TableParagraph"/>
              <w:tabs>
                <w:tab w:val="left" w:pos="919"/>
                <w:tab w:val="left" w:pos="1828"/>
              </w:tabs>
              <w:spacing w:before="123"/>
              <w:ind w:left="109"/>
              <w:rPr>
                <w:rFonts w:ascii="Arial" w:hAnsi="Arial" w:cs="Arial"/>
                <w:b/>
              </w:rPr>
            </w:pPr>
            <w:r w:rsidRPr="008839BA">
              <w:rPr>
                <w:rFonts w:ascii="Arial" w:hAnsi="Arial" w:cs="Arial"/>
                <w:b/>
                <w:spacing w:val="-2"/>
              </w:rPr>
              <w:t>3,600</w:t>
            </w:r>
            <w:r w:rsidRPr="008839BA">
              <w:rPr>
                <w:rFonts w:ascii="Arial" w:hAnsi="Arial" w:cs="Arial"/>
                <w:b/>
              </w:rPr>
              <w:tab/>
            </w:r>
            <w:r w:rsidRPr="008839BA">
              <w:rPr>
                <w:rFonts w:ascii="Arial" w:hAnsi="Arial" w:cs="Arial"/>
                <w:b/>
                <w:spacing w:val="-4"/>
              </w:rPr>
              <w:t>words</w:t>
            </w:r>
            <w:r w:rsidRPr="008839BA">
              <w:rPr>
                <w:rFonts w:ascii="Arial" w:hAnsi="Arial" w:cs="Arial"/>
                <w:b/>
              </w:rPr>
              <w:tab/>
            </w:r>
            <w:r w:rsidRPr="008839BA">
              <w:rPr>
                <w:rFonts w:ascii="Arial" w:hAnsi="Arial" w:cs="Arial"/>
                <w:b/>
                <w:spacing w:val="-4"/>
              </w:rPr>
              <w:t>(+/-</w:t>
            </w:r>
          </w:p>
          <w:p w14:paraId="5F4137C8" w14:textId="77777777" w:rsidR="00DF0991" w:rsidRPr="008839BA" w:rsidRDefault="00DF0991" w:rsidP="00DF0991">
            <w:pPr>
              <w:pStyle w:val="TableParagraph"/>
              <w:spacing w:before="127"/>
              <w:ind w:left="109"/>
              <w:rPr>
                <w:rFonts w:ascii="Arial" w:hAnsi="Arial" w:cs="Arial"/>
                <w:b/>
              </w:rPr>
            </w:pPr>
            <w:r w:rsidRPr="008839BA">
              <w:rPr>
                <w:rFonts w:ascii="Arial" w:hAnsi="Arial" w:cs="Arial"/>
                <w:b/>
                <w:spacing w:val="-4"/>
              </w:rPr>
              <w:t>10%)</w:t>
            </w:r>
          </w:p>
        </w:tc>
      </w:tr>
      <w:tr w:rsidR="00DF0991" w:rsidRPr="008839BA" w14:paraId="424640CA" w14:textId="77777777" w:rsidTr="00DF0991">
        <w:trPr>
          <w:trHeight w:val="1143"/>
        </w:trPr>
        <w:tc>
          <w:tcPr>
            <w:tcW w:w="1724" w:type="dxa"/>
          </w:tcPr>
          <w:p w14:paraId="51AB84A3" w14:textId="77777777" w:rsidR="00DF0991" w:rsidRPr="008839BA" w:rsidRDefault="00DF0991" w:rsidP="00DF0991">
            <w:pPr>
              <w:pStyle w:val="TableParagraph"/>
              <w:spacing w:before="119" w:line="242" w:lineRule="auto"/>
              <w:ind w:left="110"/>
              <w:rPr>
                <w:rFonts w:ascii="Arial" w:hAnsi="Arial" w:cs="Arial"/>
                <w:b/>
              </w:rPr>
            </w:pPr>
            <w:r w:rsidRPr="008839BA">
              <w:rPr>
                <w:rFonts w:ascii="Arial" w:hAnsi="Arial" w:cs="Arial"/>
                <w:b/>
                <w:spacing w:val="-2"/>
              </w:rPr>
              <w:t>Submission deadline:</w:t>
            </w:r>
          </w:p>
        </w:tc>
        <w:tc>
          <w:tcPr>
            <w:tcW w:w="3551" w:type="dxa"/>
          </w:tcPr>
          <w:p w14:paraId="3C0C538E" w14:textId="77777777" w:rsidR="00DF0991" w:rsidRPr="008839BA" w:rsidRDefault="00DF0991" w:rsidP="00DF0991">
            <w:pPr>
              <w:pStyle w:val="TableParagraph"/>
              <w:spacing w:before="124"/>
              <w:ind w:left="109"/>
              <w:rPr>
                <w:rFonts w:ascii="Arial" w:hAnsi="Arial" w:cs="Arial"/>
                <w:b/>
              </w:rPr>
            </w:pPr>
            <w:r w:rsidRPr="008839BA">
              <w:rPr>
                <w:rFonts w:ascii="Arial" w:hAnsi="Arial" w:cs="Arial"/>
                <w:b/>
              </w:rPr>
              <w:t>Sunday</w:t>
            </w:r>
            <w:r w:rsidRPr="008839BA">
              <w:rPr>
                <w:rFonts w:ascii="Arial" w:hAnsi="Arial" w:cs="Arial"/>
                <w:b/>
                <w:spacing w:val="-5"/>
              </w:rPr>
              <w:t xml:space="preserve"> </w:t>
            </w:r>
            <w:r w:rsidRPr="008839BA">
              <w:rPr>
                <w:rFonts w:ascii="Arial" w:hAnsi="Arial" w:cs="Arial"/>
                <w:b/>
              </w:rPr>
              <w:t>29</w:t>
            </w:r>
            <w:r w:rsidRPr="008839BA">
              <w:rPr>
                <w:rFonts w:ascii="Arial" w:hAnsi="Arial" w:cs="Arial"/>
                <w:b/>
                <w:vertAlign w:val="superscript"/>
              </w:rPr>
              <w:t>th</w:t>
            </w:r>
            <w:r w:rsidRPr="008839BA">
              <w:rPr>
                <w:rFonts w:ascii="Arial" w:hAnsi="Arial" w:cs="Arial"/>
                <w:b/>
                <w:spacing w:val="-2"/>
              </w:rPr>
              <w:t xml:space="preserve"> </w:t>
            </w:r>
            <w:r w:rsidRPr="008839BA">
              <w:rPr>
                <w:rFonts w:ascii="Arial" w:hAnsi="Arial" w:cs="Arial"/>
                <w:b/>
              </w:rPr>
              <w:t>March</w:t>
            </w:r>
            <w:r w:rsidRPr="008839BA">
              <w:rPr>
                <w:rFonts w:ascii="Arial" w:hAnsi="Arial" w:cs="Arial"/>
                <w:b/>
                <w:spacing w:val="1"/>
              </w:rPr>
              <w:t xml:space="preserve"> </w:t>
            </w:r>
            <w:r w:rsidRPr="008839BA">
              <w:rPr>
                <w:rFonts w:ascii="Arial" w:hAnsi="Arial" w:cs="Arial"/>
                <w:b/>
                <w:spacing w:val="-4"/>
              </w:rPr>
              <w:t>2026</w:t>
            </w:r>
          </w:p>
          <w:p w14:paraId="3FEE4F78" w14:textId="77777777" w:rsidR="00DF0991" w:rsidRPr="008839BA" w:rsidRDefault="00DF0991" w:rsidP="00DF0991">
            <w:pPr>
              <w:pStyle w:val="TableParagraph"/>
              <w:spacing w:before="242"/>
              <w:ind w:left="109"/>
              <w:rPr>
                <w:rFonts w:ascii="Arial" w:hAnsi="Arial" w:cs="Arial"/>
                <w:b/>
              </w:rPr>
            </w:pPr>
            <w:r w:rsidRPr="008839BA">
              <w:rPr>
                <w:rFonts w:ascii="Arial" w:hAnsi="Arial" w:cs="Arial"/>
                <w:b/>
              </w:rPr>
              <w:t>14:00</w:t>
            </w:r>
            <w:r w:rsidRPr="008839BA">
              <w:rPr>
                <w:rFonts w:ascii="Arial" w:hAnsi="Arial" w:cs="Arial"/>
                <w:b/>
                <w:spacing w:val="-4"/>
              </w:rPr>
              <w:t xml:space="preserve"> </w:t>
            </w:r>
            <w:r w:rsidRPr="008839BA">
              <w:rPr>
                <w:rFonts w:ascii="Arial" w:hAnsi="Arial" w:cs="Arial"/>
                <w:b/>
              </w:rPr>
              <w:t>(2PM)</w:t>
            </w:r>
            <w:r w:rsidRPr="008839BA">
              <w:rPr>
                <w:rFonts w:ascii="Arial" w:hAnsi="Arial" w:cs="Arial"/>
                <w:b/>
                <w:spacing w:val="-2"/>
              </w:rPr>
              <w:t xml:space="preserve"> </w:t>
            </w:r>
            <w:r w:rsidRPr="008839BA">
              <w:rPr>
                <w:rFonts w:ascii="Arial" w:hAnsi="Arial" w:cs="Arial"/>
                <w:b/>
              </w:rPr>
              <w:t>- (Week</w:t>
            </w:r>
            <w:r w:rsidRPr="008839BA">
              <w:rPr>
                <w:rFonts w:ascii="Arial" w:hAnsi="Arial" w:cs="Arial"/>
                <w:b/>
                <w:spacing w:val="2"/>
              </w:rPr>
              <w:t xml:space="preserve"> </w:t>
            </w:r>
            <w:r w:rsidRPr="008839BA">
              <w:rPr>
                <w:rFonts w:ascii="Arial" w:hAnsi="Arial" w:cs="Arial"/>
                <w:b/>
                <w:spacing w:val="-5"/>
              </w:rPr>
              <w:t>11)</w:t>
            </w:r>
          </w:p>
        </w:tc>
        <w:tc>
          <w:tcPr>
            <w:tcW w:w="2116" w:type="dxa"/>
          </w:tcPr>
          <w:p w14:paraId="346B831D" w14:textId="77777777" w:rsidR="00DF0991" w:rsidRPr="008839BA" w:rsidRDefault="00DF0991" w:rsidP="00DF0991">
            <w:pPr>
              <w:pStyle w:val="TableParagraph"/>
              <w:spacing w:before="119" w:line="242" w:lineRule="auto"/>
              <w:ind w:left="104" w:right="98"/>
              <w:jc w:val="both"/>
              <w:rPr>
                <w:rFonts w:ascii="Arial" w:hAnsi="Arial" w:cs="Arial"/>
                <w:b/>
              </w:rPr>
            </w:pPr>
            <w:r w:rsidRPr="008839BA">
              <w:rPr>
                <w:rFonts w:ascii="Arial" w:hAnsi="Arial" w:cs="Arial"/>
                <w:b/>
              </w:rPr>
              <w:t>Return date of provisional marks &amp;</w:t>
            </w:r>
            <w:r w:rsidRPr="008839BA">
              <w:rPr>
                <w:rFonts w:ascii="Arial" w:hAnsi="Arial" w:cs="Arial"/>
                <w:b/>
                <w:spacing w:val="-1"/>
              </w:rPr>
              <w:t xml:space="preserve"> </w:t>
            </w:r>
            <w:r w:rsidRPr="008839BA">
              <w:rPr>
                <w:rFonts w:ascii="Arial" w:hAnsi="Arial" w:cs="Arial"/>
                <w:b/>
              </w:rPr>
              <w:t xml:space="preserve">written </w:t>
            </w:r>
            <w:r w:rsidRPr="008839BA">
              <w:rPr>
                <w:rFonts w:ascii="Arial" w:hAnsi="Arial" w:cs="Arial"/>
                <w:b/>
                <w:spacing w:val="-2"/>
              </w:rPr>
              <w:t>feedback:</w:t>
            </w:r>
          </w:p>
        </w:tc>
        <w:tc>
          <w:tcPr>
            <w:tcW w:w="2121" w:type="dxa"/>
          </w:tcPr>
          <w:p w14:paraId="1B91C52E" w14:textId="77777777" w:rsidR="00DF0991" w:rsidRPr="008839BA" w:rsidRDefault="00DF0991" w:rsidP="00DF0991">
            <w:pPr>
              <w:pStyle w:val="TableParagraph"/>
              <w:spacing w:before="124"/>
              <w:ind w:left="109"/>
              <w:rPr>
                <w:rFonts w:ascii="Arial" w:hAnsi="Arial" w:cs="Arial"/>
                <w:b/>
              </w:rPr>
            </w:pPr>
            <w:r w:rsidRPr="008839BA">
              <w:rPr>
                <w:rFonts w:ascii="Arial" w:hAnsi="Arial" w:cs="Arial"/>
                <w:b/>
              </w:rPr>
              <w:t>26</w:t>
            </w:r>
            <w:r w:rsidRPr="008839BA">
              <w:rPr>
                <w:rFonts w:ascii="Arial" w:hAnsi="Arial" w:cs="Arial"/>
                <w:b/>
                <w:vertAlign w:val="superscript"/>
              </w:rPr>
              <w:t>th</w:t>
            </w:r>
            <w:r w:rsidRPr="008839BA">
              <w:rPr>
                <w:rFonts w:ascii="Arial" w:hAnsi="Arial" w:cs="Arial"/>
                <w:b/>
                <w:spacing w:val="-4"/>
              </w:rPr>
              <w:t xml:space="preserve"> </w:t>
            </w:r>
            <w:r w:rsidRPr="008839BA">
              <w:rPr>
                <w:rFonts w:ascii="Arial" w:hAnsi="Arial" w:cs="Arial"/>
                <w:b/>
              </w:rPr>
              <w:t>April</w:t>
            </w:r>
            <w:r w:rsidRPr="008839BA">
              <w:rPr>
                <w:rFonts w:ascii="Arial" w:hAnsi="Arial" w:cs="Arial"/>
                <w:b/>
                <w:spacing w:val="-3"/>
              </w:rPr>
              <w:t xml:space="preserve"> </w:t>
            </w:r>
            <w:r w:rsidRPr="008839BA">
              <w:rPr>
                <w:rFonts w:ascii="Arial" w:hAnsi="Arial" w:cs="Arial"/>
                <w:b/>
                <w:spacing w:val="-4"/>
              </w:rPr>
              <w:t>2026</w:t>
            </w:r>
          </w:p>
        </w:tc>
      </w:tr>
      <w:tr w:rsidR="00DF0991" w:rsidRPr="008839BA" w14:paraId="0303A9FA" w14:textId="77777777" w:rsidTr="00DF0991">
        <w:trPr>
          <w:trHeight w:val="1143"/>
        </w:trPr>
        <w:tc>
          <w:tcPr>
            <w:tcW w:w="1724" w:type="dxa"/>
          </w:tcPr>
          <w:p w14:paraId="1C305F60" w14:textId="77777777" w:rsidR="00DF0991" w:rsidRPr="008839BA" w:rsidRDefault="00DF0991" w:rsidP="00DF0991">
            <w:pPr>
              <w:pStyle w:val="TableParagraph"/>
              <w:spacing w:before="119" w:line="242" w:lineRule="auto"/>
              <w:ind w:left="110"/>
              <w:rPr>
                <w:rFonts w:ascii="Arial" w:hAnsi="Arial" w:cs="Arial"/>
                <w:b/>
                <w:spacing w:val="-2"/>
              </w:rPr>
            </w:pPr>
            <w:r w:rsidRPr="008839BA">
              <w:rPr>
                <w:rFonts w:ascii="Arial" w:hAnsi="Arial" w:cs="Arial"/>
                <w:b/>
                <w:spacing w:val="-2"/>
              </w:rPr>
              <w:t>Student ID</w:t>
            </w:r>
          </w:p>
        </w:tc>
        <w:tc>
          <w:tcPr>
            <w:tcW w:w="3551" w:type="dxa"/>
          </w:tcPr>
          <w:p w14:paraId="06C79F20" w14:textId="28446696" w:rsidR="00DF0991" w:rsidRPr="008839BA" w:rsidRDefault="007B4F12" w:rsidP="00DF0991">
            <w:pPr>
              <w:pStyle w:val="TableParagraph"/>
              <w:spacing w:before="124"/>
              <w:ind w:left="109"/>
              <w:rPr>
                <w:rFonts w:ascii="Arial" w:hAnsi="Arial" w:cs="Arial"/>
                <w:b/>
              </w:rPr>
            </w:pPr>
            <w:r>
              <w:rPr>
                <w:rFonts w:ascii="Arial" w:hAnsi="Arial" w:cs="Arial"/>
                <w:b/>
              </w:rPr>
              <w:t>2319081</w:t>
            </w:r>
          </w:p>
        </w:tc>
        <w:tc>
          <w:tcPr>
            <w:tcW w:w="2116" w:type="dxa"/>
          </w:tcPr>
          <w:p w14:paraId="33303969" w14:textId="77777777" w:rsidR="00DF0991" w:rsidRPr="008839BA" w:rsidRDefault="00DF0991" w:rsidP="00DF0991">
            <w:pPr>
              <w:pStyle w:val="TableParagraph"/>
              <w:spacing w:before="119" w:line="242" w:lineRule="auto"/>
              <w:ind w:left="104" w:right="98"/>
              <w:jc w:val="both"/>
              <w:rPr>
                <w:rFonts w:ascii="Arial" w:hAnsi="Arial" w:cs="Arial"/>
                <w:b/>
              </w:rPr>
            </w:pPr>
            <w:r w:rsidRPr="008839BA">
              <w:rPr>
                <w:rFonts w:ascii="Arial" w:hAnsi="Arial" w:cs="Arial"/>
                <w:b/>
              </w:rPr>
              <w:t>Name</w:t>
            </w:r>
          </w:p>
        </w:tc>
        <w:tc>
          <w:tcPr>
            <w:tcW w:w="2121" w:type="dxa"/>
          </w:tcPr>
          <w:p w14:paraId="5C17401E" w14:textId="1B04A9E2" w:rsidR="00DF0991" w:rsidRPr="008839BA" w:rsidRDefault="007B4F12" w:rsidP="00DF0991">
            <w:pPr>
              <w:pStyle w:val="TableParagraph"/>
              <w:spacing w:before="124"/>
              <w:ind w:left="109"/>
              <w:rPr>
                <w:rFonts w:ascii="Arial" w:hAnsi="Arial" w:cs="Arial"/>
                <w:b/>
              </w:rPr>
            </w:pPr>
            <w:r>
              <w:rPr>
                <w:rFonts w:ascii="Arial" w:hAnsi="Arial" w:cs="Arial"/>
                <w:b/>
              </w:rPr>
              <w:t xml:space="preserve">Nazira Mostafa Suliman Mahmoud </w:t>
            </w:r>
          </w:p>
        </w:tc>
      </w:tr>
    </w:tbl>
    <w:p w14:paraId="3E9C7E96" w14:textId="77777777" w:rsidR="00DF0991" w:rsidRPr="008839BA" w:rsidRDefault="00DF0991" w:rsidP="00DF0991">
      <w:pPr>
        <w:rPr>
          <w:rFonts w:ascii="Arial" w:eastAsiaTheme="majorEastAsia" w:hAnsi="Arial" w:cs="Arial"/>
          <w:b/>
          <w:bCs/>
          <w:color w:val="365F91" w:themeColor="accent1" w:themeShade="BF"/>
        </w:rPr>
      </w:pPr>
      <w:r w:rsidRPr="008839BA">
        <w:rPr>
          <w:rFonts w:ascii="Arial" w:hAnsi="Arial" w:cs="Arial"/>
          <w:b/>
          <w:noProof/>
        </w:rPr>
        <mc:AlternateContent>
          <mc:Choice Requires="wps">
            <w:drawing>
              <wp:anchor distT="0" distB="0" distL="0" distR="0" simplePos="0" relativeHeight="251659264" behindDoc="1" locked="0" layoutInCell="1" allowOverlap="1" wp14:anchorId="27808025" wp14:editId="07C0E163">
                <wp:simplePos x="0" y="0"/>
                <wp:positionH relativeFrom="page">
                  <wp:posOffset>859790</wp:posOffset>
                </wp:positionH>
                <wp:positionV relativeFrom="paragraph">
                  <wp:posOffset>904875</wp:posOffset>
                </wp:positionV>
                <wp:extent cx="6304280" cy="461645"/>
                <wp:effectExtent l="0" t="0" r="20320" b="14605"/>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4280" cy="461645"/>
                        </a:xfrm>
                        <a:prstGeom prst="rect">
                          <a:avLst/>
                        </a:prstGeom>
                        <a:solidFill>
                          <a:srgbClr val="C0C0C0"/>
                        </a:solidFill>
                        <a:ln w="6350">
                          <a:solidFill>
                            <a:srgbClr val="000000"/>
                          </a:solidFill>
                          <a:prstDash val="solid"/>
                        </a:ln>
                      </wps:spPr>
                      <wps:txbx>
                        <w:txbxContent>
                          <w:p w14:paraId="41FC8F3D" w14:textId="77777777" w:rsidR="00DF0991" w:rsidRDefault="00DF0991" w:rsidP="00DF0991">
                            <w:pPr>
                              <w:spacing w:before="120"/>
                              <w:ind w:right="7"/>
                              <w:jc w:val="center"/>
                              <w:rPr>
                                <w:rFonts w:ascii="Arial"/>
                                <w:b/>
                                <w:color w:val="000000"/>
                                <w:sz w:val="40"/>
                              </w:rPr>
                            </w:pPr>
                            <w:r>
                              <w:rPr>
                                <w:rFonts w:ascii="Arial"/>
                                <w:b/>
                                <w:color w:val="000000"/>
                                <w:sz w:val="40"/>
                              </w:rPr>
                              <w:t>LEVEL</w:t>
                            </w:r>
                            <w:r>
                              <w:rPr>
                                <w:rFonts w:ascii="Arial"/>
                                <w:b/>
                                <w:color w:val="000000"/>
                                <w:spacing w:val="-6"/>
                                <w:sz w:val="40"/>
                              </w:rPr>
                              <w:t xml:space="preserve"> </w:t>
                            </w:r>
                            <w:r>
                              <w:rPr>
                                <w:rFonts w:ascii="Arial"/>
                                <w:b/>
                                <w:color w:val="000000"/>
                                <w:sz w:val="40"/>
                              </w:rPr>
                              <w:t>5</w:t>
                            </w:r>
                            <w:r>
                              <w:rPr>
                                <w:rFonts w:ascii="Arial"/>
                                <w:b/>
                                <w:color w:val="000000"/>
                                <w:spacing w:val="-3"/>
                                <w:sz w:val="40"/>
                              </w:rPr>
                              <w:t xml:space="preserve"> </w:t>
                            </w:r>
                            <w:r>
                              <w:rPr>
                                <w:rFonts w:ascii="Arial"/>
                                <w:b/>
                                <w:color w:val="000000"/>
                                <w:sz w:val="40"/>
                              </w:rPr>
                              <w:t>ASSESSMENT</w:t>
                            </w:r>
                            <w:r>
                              <w:rPr>
                                <w:rFonts w:ascii="Arial"/>
                                <w:b/>
                                <w:color w:val="000000"/>
                                <w:spacing w:val="2"/>
                                <w:sz w:val="40"/>
                              </w:rPr>
                              <w:t xml:space="preserve"> </w:t>
                            </w:r>
                            <w:r>
                              <w:rPr>
                                <w:rFonts w:ascii="Arial"/>
                                <w:b/>
                                <w:color w:val="000000"/>
                                <w:spacing w:val="-2"/>
                                <w:sz w:val="40"/>
                              </w:rPr>
                              <w:t>SPECIFICATION</w:t>
                            </w: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type w14:anchorId="27808025" id="_x0000_t202" coordsize="21600,21600" o:spt="202" path="m,l,21600r21600,l21600,xe">
                <v:stroke joinstyle="miter"/>
                <v:path gradientshapeok="t" o:connecttype="rect"/>
              </v:shapetype>
              <v:shape id="Textbox 3" o:spid="_x0000_s1026" type="#_x0000_t202" style="position:absolute;margin-left:67.7pt;margin-top:71.25pt;width:496.4pt;height:36.3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" fillcolor="silver" strokeweight=".5pt">
                <v:path arrowok="t"/>
                <v:textbox inset="0,0,0,0">
                  <w:txbxContent>
                    <w:p w14:paraId="41FC8F3D" w14:textId="77777777" w:rsidR="00DF0991" w:rsidRDefault="00DF0991" w:rsidP="00DF0991">
                      <w:pPr>
                        <w:spacing w:before="120"/>
                        <w:ind w:right="7"/>
                        <w:jc w:val="center"/>
                        <w:rPr>
                          <w:rFonts w:ascii="Arial"/>
                          <w:b/>
                          <w:color w:val="000000"/>
                          <w:sz w:val="40"/>
                        </w:rPr>
                      </w:pPr>
                      <w:r>
                        <w:rPr>
                          <w:rFonts w:ascii="Arial"/>
                          <w:b/>
                          <w:color w:val="000000"/>
                          <w:sz w:val="40"/>
                        </w:rPr>
                        <w:t>LEVEL</w:t>
                      </w:r>
                      <w:r>
                        <w:rPr>
                          <w:rFonts w:ascii="Arial"/>
                          <w:b/>
                          <w:color w:val="000000"/>
                          <w:spacing w:val="-6"/>
                          <w:sz w:val="40"/>
                        </w:rPr>
                        <w:t xml:space="preserve"> </w:t>
                      </w:r>
                      <w:r>
                        <w:rPr>
                          <w:rFonts w:ascii="Arial"/>
                          <w:b/>
                          <w:color w:val="000000"/>
                          <w:sz w:val="40"/>
                        </w:rPr>
                        <w:t>5</w:t>
                      </w:r>
                      <w:r>
                        <w:rPr>
                          <w:rFonts w:ascii="Arial"/>
                          <w:b/>
                          <w:color w:val="000000"/>
                          <w:spacing w:val="-3"/>
                          <w:sz w:val="40"/>
                        </w:rPr>
                        <w:t xml:space="preserve"> </w:t>
                      </w:r>
                      <w:r>
                        <w:rPr>
                          <w:rFonts w:ascii="Arial"/>
                          <w:b/>
                          <w:color w:val="000000"/>
                          <w:sz w:val="40"/>
                        </w:rPr>
                        <w:t>ASSESSMENT</w:t>
                      </w:r>
                      <w:r>
                        <w:rPr>
                          <w:rFonts w:ascii="Arial"/>
                          <w:b/>
                          <w:color w:val="000000"/>
                          <w:spacing w:val="2"/>
                          <w:sz w:val="40"/>
                        </w:rPr>
                        <w:t xml:space="preserve"> </w:t>
                      </w:r>
                      <w:r>
                        <w:rPr>
                          <w:rFonts w:ascii="Arial"/>
                          <w:b/>
                          <w:color w:val="000000"/>
                          <w:spacing w:val="-2"/>
                          <w:sz w:val="40"/>
                        </w:rPr>
                        <w:t>SPECIFICATION</w:t>
                      </w:r>
                    </w:p>
                  </w:txbxContent>
                </v:textbox>
                <w10:wrap type="topAndBottom" anchorx="page"/>
              </v:shape>
            </w:pict>
          </mc:Fallback>
        </mc:AlternateContent>
      </w:r>
      <w:r w:rsidRPr="008839BA">
        <w:rPr>
          <w:rFonts w:ascii="Arial" w:hAnsi="Arial" w:cs="Arial"/>
          <w:noProof/>
        </w:rPr>
        <w:drawing>
          <wp:anchor distT="0" distB="0" distL="114300" distR="114300" simplePos="0" relativeHeight="251661312" behindDoc="0" locked="0" layoutInCell="1" allowOverlap="1" wp14:anchorId="0D93538E" wp14:editId="67F93817">
            <wp:simplePos x="0" y="0"/>
            <wp:positionH relativeFrom="column">
              <wp:posOffset>-304800</wp:posOffset>
            </wp:positionH>
            <wp:positionV relativeFrom="paragraph">
              <wp:posOffset>-254000</wp:posOffset>
            </wp:positionV>
            <wp:extent cx="1800860" cy="593725"/>
            <wp:effectExtent l="0" t="0" r="8890" b="0"/>
            <wp:wrapSquare wrapText="bothSides"/>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0860" cy="593725"/>
                    </a:xfrm>
                    <a:prstGeom prst="rect">
                      <a:avLst/>
                    </a:prstGeom>
                  </pic:spPr>
                </pic:pic>
              </a:graphicData>
            </a:graphic>
          </wp:anchor>
        </w:drawing>
      </w:r>
      <w:r w:rsidRPr="008839BA">
        <w:rPr>
          <w:rFonts w:ascii="Arial" w:hAnsi="Arial" w:cs="Arial"/>
        </w:rPr>
        <w:br w:type="page"/>
      </w:r>
    </w:p>
    <w:sdt>
      <w:sdtPr>
        <w:rPr>
          <w:rFonts w:ascii="Arial" w:eastAsiaTheme="minorHAnsi" w:hAnsi="Arial" w:cs="Arial"/>
          <w:b w:val="0"/>
          <w:bCs w:val="0"/>
          <w:color w:val="auto"/>
          <w:sz w:val="22"/>
          <w:szCs w:val="22"/>
          <w:lang w:eastAsia="en-US"/>
        </w:rPr>
        <w:id w:val="-161545443"/>
        <w:docPartObj>
          <w:docPartGallery w:val="Table of Contents"/>
          <w:docPartUnique/>
        </w:docPartObj>
      </w:sdtPr>
      <w:sdtEndPr>
        <w:rPr>
          <w:noProof/>
        </w:rPr>
      </w:sdtEndPr>
      <w:sdtContent>
        <w:p w14:paraId="14B12520" w14:textId="77777777" w:rsidR="00DF0991" w:rsidRPr="008839BA" w:rsidRDefault="00DF0991">
          <w:pPr>
            <w:pStyle w:val="TOCHeading"/>
            <w:rPr>
              <w:rFonts w:ascii="Arial" w:hAnsi="Arial" w:cs="Arial"/>
              <w:sz w:val="22"/>
              <w:szCs w:val="22"/>
            </w:rPr>
          </w:pPr>
          <w:r w:rsidRPr="008839BA">
            <w:rPr>
              <w:rFonts w:ascii="Arial" w:hAnsi="Arial" w:cs="Arial"/>
              <w:sz w:val="22"/>
              <w:szCs w:val="22"/>
            </w:rPr>
            <w:t>Table of Contents</w:t>
          </w:r>
        </w:p>
        <w:p w14:paraId="6AEA04EE" w14:textId="77777777" w:rsidR="00DF0991" w:rsidRPr="008839BA" w:rsidRDefault="00DF0991">
          <w:pPr>
            <w:pStyle w:val="TOC1"/>
            <w:tabs>
              <w:tab w:val="right" w:leader="dot" w:pos="9350"/>
            </w:tabs>
            <w:rPr>
              <w:rFonts w:ascii="Arial" w:eastAsiaTheme="minorEastAsia" w:hAnsi="Arial" w:cs="Arial"/>
              <w:noProof/>
            </w:rPr>
          </w:pPr>
          <w:r w:rsidRPr="008839BA">
            <w:rPr>
              <w:rFonts w:ascii="Arial" w:hAnsi="Arial" w:cs="Arial"/>
            </w:rPr>
            <w:fldChar w:fldCharType="begin"/>
          </w:r>
          <w:r w:rsidRPr="008839BA">
            <w:rPr>
              <w:rFonts w:ascii="Arial" w:hAnsi="Arial" w:cs="Arial"/>
            </w:rPr>
            <w:instrText xml:space="preserve"> TOC \o "1-3" \h \z \u </w:instrText>
          </w:r>
          <w:r w:rsidRPr="008839BA">
            <w:rPr>
              <w:rFonts w:ascii="Arial" w:hAnsi="Arial" w:cs="Arial"/>
            </w:rPr>
            <w:fldChar w:fldCharType="separate"/>
          </w:r>
          <w:hyperlink w:anchor="_Toc224136309" w:history="1">
            <w:r w:rsidRPr="008839BA">
              <w:rPr>
                <w:rStyle w:val="Hyperlink"/>
                <w:rFonts w:ascii="Arial" w:hAnsi="Arial" w:cs="Arial"/>
                <w:noProof/>
              </w:rPr>
              <w:t>a) Introduction</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_Toc224136309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3</w:t>
            </w:r>
            <w:r w:rsidRPr="008839BA">
              <w:rPr>
                <w:rFonts w:ascii="Arial" w:hAnsi="Arial" w:cs="Arial"/>
                <w:noProof/>
                <w:webHidden/>
              </w:rPr>
              <w:fldChar w:fldCharType="end"/>
            </w:r>
          </w:hyperlink>
        </w:p>
        <w:p w14:paraId="2ECC032A" w14:textId="77777777" w:rsidR="00DF0991" w:rsidRPr="008839BA" w:rsidRDefault="00DF0991">
          <w:pPr>
            <w:pStyle w:val="TOC2"/>
            <w:tabs>
              <w:tab w:val="right" w:leader="dot" w:pos="9350"/>
            </w:tabs>
            <w:rPr>
              <w:rFonts w:ascii="Arial" w:eastAsiaTheme="minorEastAsia" w:hAnsi="Arial" w:cs="Arial"/>
              <w:noProof/>
            </w:rPr>
          </w:pPr>
          <w:hyperlink w:anchor="_Toc224136310" w:history="1">
            <w:r w:rsidRPr="008839BA">
              <w:rPr>
                <w:rStyle w:val="Hyperlink"/>
                <w:rFonts w:ascii="Arial" w:hAnsi="Arial" w:cs="Arial"/>
                <w:noProof/>
              </w:rPr>
              <w:t>Overview of the Topic</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_Toc224136310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3</w:t>
            </w:r>
            <w:r w:rsidRPr="008839BA">
              <w:rPr>
                <w:rFonts w:ascii="Arial" w:hAnsi="Arial" w:cs="Arial"/>
                <w:noProof/>
                <w:webHidden/>
              </w:rPr>
              <w:fldChar w:fldCharType="end"/>
            </w:r>
          </w:hyperlink>
        </w:p>
        <w:p w14:paraId="63A240E4" w14:textId="77777777" w:rsidR="00DF0991" w:rsidRPr="008839BA" w:rsidRDefault="00DF0991">
          <w:pPr>
            <w:pStyle w:val="TOC2"/>
            <w:tabs>
              <w:tab w:val="right" w:leader="dot" w:pos="9350"/>
            </w:tabs>
            <w:rPr>
              <w:rFonts w:ascii="Arial" w:eastAsiaTheme="minorEastAsia" w:hAnsi="Arial" w:cs="Arial"/>
              <w:noProof/>
            </w:rPr>
          </w:pPr>
          <w:hyperlink w:anchor="_Toc224136311" w:history="1">
            <w:r w:rsidRPr="008839BA">
              <w:rPr>
                <w:rStyle w:val="Hyperlink"/>
                <w:rFonts w:ascii="Arial" w:hAnsi="Arial" w:cs="Arial"/>
                <w:noProof/>
              </w:rPr>
              <w:t>Definition of Key Concepts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_Toc224136311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3</w:t>
            </w:r>
            <w:r w:rsidRPr="008839BA">
              <w:rPr>
                <w:rFonts w:ascii="Arial" w:hAnsi="Arial" w:cs="Arial"/>
                <w:noProof/>
                <w:webHidden/>
              </w:rPr>
              <w:fldChar w:fldCharType="end"/>
            </w:r>
          </w:hyperlink>
        </w:p>
        <w:p w14:paraId="62A0547A" w14:textId="77777777" w:rsidR="00DF0991" w:rsidRPr="008839BA" w:rsidRDefault="00DF0991">
          <w:pPr>
            <w:pStyle w:val="TOC2"/>
            <w:tabs>
              <w:tab w:val="right" w:leader="dot" w:pos="9350"/>
            </w:tabs>
            <w:rPr>
              <w:rFonts w:ascii="Arial" w:eastAsiaTheme="minorEastAsia" w:hAnsi="Arial" w:cs="Arial"/>
              <w:noProof/>
            </w:rPr>
          </w:pPr>
          <w:hyperlink w:anchor="_Toc224136312" w:history="1">
            <w:r w:rsidRPr="008839BA">
              <w:rPr>
                <w:rStyle w:val="Hyperlink"/>
                <w:rFonts w:ascii="Arial" w:hAnsi="Arial" w:cs="Arial"/>
                <w:noProof/>
              </w:rPr>
              <w:t>Rationale of the Study</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_Toc224136312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3</w:t>
            </w:r>
            <w:r w:rsidRPr="008839BA">
              <w:rPr>
                <w:rFonts w:ascii="Arial" w:hAnsi="Arial" w:cs="Arial"/>
                <w:noProof/>
                <w:webHidden/>
              </w:rPr>
              <w:fldChar w:fldCharType="end"/>
            </w:r>
          </w:hyperlink>
        </w:p>
        <w:p w14:paraId="3BD5AA81" w14:textId="77777777" w:rsidR="00DF0991" w:rsidRPr="008839BA" w:rsidRDefault="00DF0991">
          <w:pPr>
            <w:pStyle w:val="TOC2"/>
            <w:tabs>
              <w:tab w:val="right" w:leader="dot" w:pos="9350"/>
            </w:tabs>
            <w:rPr>
              <w:rFonts w:ascii="Arial" w:eastAsiaTheme="minorEastAsia" w:hAnsi="Arial" w:cs="Arial"/>
              <w:noProof/>
            </w:rPr>
          </w:pPr>
          <w:hyperlink w:anchor="_Toc224136313" w:history="1">
            <w:r w:rsidRPr="008839BA">
              <w:rPr>
                <w:rStyle w:val="Hyperlink"/>
                <w:rFonts w:ascii="Arial" w:hAnsi="Arial" w:cs="Arial"/>
                <w:noProof/>
              </w:rPr>
              <w:t>Review Question</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_Toc224136313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4</w:t>
            </w:r>
            <w:r w:rsidRPr="008839BA">
              <w:rPr>
                <w:rFonts w:ascii="Arial" w:hAnsi="Arial" w:cs="Arial"/>
                <w:noProof/>
                <w:webHidden/>
              </w:rPr>
              <w:fldChar w:fldCharType="end"/>
            </w:r>
          </w:hyperlink>
        </w:p>
        <w:p w14:paraId="0EFAFD12" w14:textId="77777777" w:rsidR="00DF0991" w:rsidRPr="008839BA" w:rsidRDefault="00DF0991">
          <w:pPr>
            <w:pStyle w:val="TOC2"/>
            <w:tabs>
              <w:tab w:val="right" w:leader="dot" w:pos="9350"/>
            </w:tabs>
            <w:rPr>
              <w:rFonts w:ascii="Arial" w:eastAsiaTheme="minorEastAsia" w:hAnsi="Arial" w:cs="Arial"/>
              <w:noProof/>
            </w:rPr>
          </w:pPr>
          <w:hyperlink w:anchor="_Toc224136314" w:history="1">
            <w:r w:rsidRPr="008839BA">
              <w:rPr>
                <w:rStyle w:val="Hyperlink"/>
                <w:rFonts w:ascii="Arial" w:hAnsi="Arial" w:cs="Arial"/>
                <w:noProof/>
              </w:rPr>
              <w:t>Research Objectives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_Toc224136314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4</w:t>
            </w:r>
            <w:r w:rsidRPr="008839BA">
              <w:rPr>
                <w:rFonts w:ascii="Arial" w:hAnsi="Arial" w:cs="Arial"/>
                <w:noProof/>
                <w:webHidden/>
              </w:rPr>
              <w:fldChar w:fldCharType="end"/>
            </w:r>
          </w:hyperlink>
        </w:p>
        <w:p w14:paraId="4DCB45B9" w14:textId="77777777" w:rsidR="00DF0991" w:rsidRPr="008839BA" w:rsidRDefault="00DF0991">
          <w:pPr>
            <w:pStyle w:val="TOC1"/>
            <w:tabs>
              <w:tab w:val="right" w:leader="dot" w:pos="9350"/>
            </w:tabs>
            <w:rPr>
              <w:rFonts w:ascii="Arial" w:eastAsiaTheme="minorEastAsia" w:hAnsi="Arial" w:cs="Arial"/>
              <w:noProof/>
            </w:rPr>
          </w:pPr>
          <w:hyperlink w:anchor="_Toc224136315" w:history="1">
            <w:r w:rsidRPr="008839BA">
              <w:rPr>
                <w:rStyle w:val="Hyperlink"/>
                <w:rFonts w:ascii="Arial" w:hAnsi="Arial" w:cs="Arial"/>
                <w:noProof/>
              </w:rPr>
              <w:t>b) Background</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_Toc224136315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5</w:t>
            </w:r>
            <w:r w:rsidRPr="008839BA">
              <w:rPr>
                <w:rFonts w:ascii="Arial" w:hAnsi="Arial" w:cs="Arial"/>
                <w:noProof/>
                <w:webHidden/>
              </w:rPr>
              <w:fldChar w:fldCharType="end"/>
            </w:r>
          </w:hyperlink>
        </w:p>
        <w:p w14:paraId="0A3EAE2A" w14:textId="77777777" w:rsidR="00DF0991" w:rsidRPr="008839BA" w:rsidRDefault="00DF0991">
          <w:pPr>
            <w:pStyle w:val="TOC2"/>
            <w:tabs>
              <w:tab w:val="right" w:leader="dot" w:pos="9350"/>
            </w:tabs>
            <w:rPr>
              <w:rFonts w:ascii="Arial" w:eastAsiaTheme="minorEastAsia" w:hAnsi="Arial" w:cs="Arial"/>
              <w:noProof/>
            </w:rPr>
          </w:pPr>
          <w:hyperlink w:anchor="_Toc224136316" w:history="1">
            <w:r w:rsidRPr="008839BA">
              <w:rPr>
                <w:rStyle w:val="Hyperlink"/>
                <w:rFonts w:ascii="Arial" w:hAnsi="Arial" w:cs="Arial"/>
                <w:noProof/>
              </w:rPr>
              <w:t>Healthcare Context</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_Toc224136316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5</w:t>
            </w:r>
            <w:r w:rsidRPr="008839BA">
              <w:rPr>
                <w:rFonts w:ascii="Arial" w:hAnsi="Arial" w:cs="Arial"/>
                <w:noProof/>
                <w:webHidden/>
              </w:rPr>
              <w:fldChar w:fldCharType="end"/>
            </w:r>
          </w:hyperlink>
        </w:p>
        <w:p w14:paraId="21AC4093" w14:textId="77777777" w:rsidR="00DF0991" w:rsidRPr="008839BA" w:rsidRDefault="00DF0991">
          <w:pPr>
            <w:pStyle w:val="TOC2"/>
            <w:tabs>
              <w:tab w:val="right" w:leader="dot" w:pos="9350"/>
            </w:tabs>
            <w:rPr>
              <w:rFonts w:ascii="Arial" w:eastAsiaTheme="minorEastAsia" w:hAnsi="Arial" w:cs="Arial"/>
              <w:noProof/>
            </w:rPr>
          </w:pPr>
          <w:hyperlink w:anchor="_Toc224136317" w:history="1">
            <w:r w:rsidRPr="008839BA">
              <w:rPr>
                <w:rStyle w:val="Hyperlink"/>
                <w:rFonts w:ascii="Arial" w:hAnsi="Arial" w:cs="Arial"/>
                <w:noProof/>
              </w:rPr>
              <w:t>Current Policies and Legislation</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_Toc224136317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5</w:t>
            </w:r>
            <w:r w:rsidRPr="008839BA">
              <w:rPr>
                <w:rFonts w:ascii="Arial" w:hAnsi="Arial" w:cs="Arial"/>
                <w:noProof/>
                <w:webHidden/>
              </w:rPr>
              <w:fldChar w:fldCharType="end"/>
            </w:r>
          </w:hyperlink>
        </w:p>
        <w:p w14:paraId="68360D88" w14:textId="77777777" w:rsidR="00DF0991" w:rsidRPr="008839BA" w:rsidRDefault="00DF0991">
          <w:pPr>
            <w:pStyle w:val="TOC2"/>
            <w:tabs>
              <w:tab w:val="right" w:leader="dot" w:pos="9350"/>
            </w:tabs>
            <w:rPr>
              <w:rFonts w:ascii="Arial" w:eastAsiaTheme="minorEastAsia" w:hAnsi="Arial" w:cs="Arial"/>
              <w:noProof/>
            </w:rPr>
          </w:pPr>
          <w:hyperlink w:anchor="_Toc224136318" w:history="1">
            <w:r w:rsidRPr="008839BA">
              <w:rPr>
                <w:rStyle w:val="Hyperlink"/>
                <w:rFonts w:ascii="Arial" w:hAnsi="Arial" w:cs="Arial"/>
                <w:noProof/>
              </w:rPr>
              <w:t>Existing Services and Healthcare Practices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_Toc224136318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6</w:t>
            </w:r>
            <w:r w:rsidRPr="008839BA">
              <w:rPr>
                <w:rFonts w:ascii="Arial" w:hAnsi="Arial" w:cs="Arial"/>
                <w:noProof/>
                <w:webHidden/>
              </w:rPr>
              <w:fldChar w:fldCharType="end"/>
            </w:r>
          </w:hyperlink>
        </w:p>
        <w:p w14:paraId="7CB21B34" w14:textId="77777777" w:rsidR="00DF0991" w:rsidRPr="008839BA" w:rsidRDefault="00DF0991">
          <w:pPr>
            <w:pStyle w:val="TOC2"/>
            <w:tabs>
              <w:tab w:val="right" w:leader="dot" w:pos="9350"/>
            </w:tabs>
            <w:rPr>
              <w:rFonts w:ascii="Arial" w:eastAsiaTheme="minorEastAsia" w:hAnsi="Arial" w:cs="Arial"/>
              <w:noProof/>
            </w:rPr>
          </w:pPr>
          <w:hyperlink w:anchor="_Toc224136319" w:history="1">
            <w:r w:rsidRPr="008839BA">
              <w:rPr>
                <w:rStyle w:val="Hyperlink"/>
                <w:rFonts w:ascii="Arial" w:hAnsi="Arial" w:cs="Arial"/>
                <w:noProof/>
              </w:rPr>
              <w:t>Key Challenges and Issues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_Toc224136319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6</w:t>
            </w:r>
            <w:r w:rsidRPr="008839BA">
              <w:rPr>
                <w:rFonts w:ascii="Arial" w:hAnsi="Arial" w:cs="Arial"/>
                <w:noProof/>
                <w:webHidden/>
              </w:rPr>
              <w:fldChar w:fldCharType="end"/>
            </w:r>
          </w:hyperlink>
        </w:p>
        <w:p w14:paraId="57CAA34F" w14:textId="77777777" w:rsidR="00DF0991" w:rsidRPr="008839BA" w:rsidRDefault="00DF0991">
          <w:pPr>
            <w:pStyle w:val="TOC1"/>
            <w:tabs>
              <w:tab w:val="right" w:leader="dot" w:pos="9350"/>
            </w:tabs>
            <w:rPr>
              <w:rFonts w:ascii="Arial" w:eastAsiaTheme="minorEastAsia" w:hAnsi="Arial" w:cs="Arial"/>
              <w:noProof/>
            </w:rPr>
          </w:pPr>
          <w:hyperlink w:anchor="_Toc224136320" w:history="1">
            <w:r w:rsidRPr="008839BA">
              <w:rPr>
                <w:rStyle w:val="Hyperlink"/>
                <w:rFonts w:ascii="Arial" w:hAnsi="Arial" w:cs="Arial"/>
                <w:noProof/>
              </w:rPr>
              <w:t>C) Methods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_Toc224136320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8</w:t>
            </w:r>
            <w:r w:rsidRPr="008839BA">
              <w:rPr>
                <w:rFonts w:ascii="Arial" w:hAnsi="Arial" w:cs="Arial"/>
                <w:noProof/>
                <w:webHidden/>
              </w:rPr>
              <w:fldChar w:fldCharType="end"/>
            </w:r>
          </w:hyperlink>
        </w:p>
        <w:p w14:paraId="13E7ECA3" w14:textId="77777777" w:rsidR="00DF0991" w:rsidRPr="008839BA" w:rsidRDefault="00DF0991">
          <w:pPr>
            <w:pStyle w:val="TOC2"/>
            <w:tabs>
              <w:tab w:val="right" w:leader="dot" w:pos="9350"/>
            </w:tabs>
            <w:rPr>
              <w:rFonts w:ascii="Arial" w:eastAsiaTheme="minorEastAsia" w:hAnsi="Arial" w:cs="Arial"/>
              <w:noProof/>
            </w:rPr>
          </w:pPr>
          <w:hyperlink w:anchor="_Toc224136321" w:history="1">
            <w:r w:rsidRPr="008839BA">
              <w:rPr>
                <w:rStyle w:val="Hyperlink"/>
                <w:rFonts w:ascii="Arial" w:hAnsi="Arial" w:cs="Arial"/>
                <w:noProof/>
              </w:rPr>
              <w:t>Data Collection Approach</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_Toc224136321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8</w:t>
            </w:r>
            <w:r w:rsidRPr="008839BA">
              <w:rPr>
                <w:rFonts w:ascii="Arial" w:hAnsi="Arial" w:cs="Arial"/>
                <w:noProof/>
                <w:webHidden/>
              </w:rPr>
              <w:fldChar w:fldCharType="end"/>
            </w:r>
          </w:hyperlink>
        </w:p>
        <w:p w14:paraId="436DE203" w14:textId="77777777" w:rsidR="00DF0991" w:rsidRPr="008839BA" w:rsidRDefault="00DF0991">
          <w:pPr>
            <w:pStyle w:val="TOC2"/>
            <w:tabs>
              <w:tab w:val="right" w:leader="dot" w:pos="9350"/>
            </w:tabs>
            <w:rPr>
              <w:rFonts w:ascii="Arial" w:eastAsiaTheme="minorEastAsia" w:hAnsi="Arial" w:cs="Arial"/>
              <w:noProof/>
            </w:rPr>
          </w:pPr>
          <w:hyperlink w:anchor="_Toc224136322" w:history="1">
            <w:r w:rsidRPr="008839BA">
              <w:rPr>
                <w:rStyle w:val="Hyperlink"/>
                <w:rFonts w:ascii="Arial" w:hAnsi="Arial" w:cs="Arial"/>
                <w:noProof/>
              </w:rPr>
              <w:t>Data Analysis Approach</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_Toc224136322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8</w:t>
            </w:r>
            <w:r w:rsidRPr="008839BA">
              <w:rPr>
                <w:rFonts w:ascii="Arial" w:hAnsi="Arial" w:cs="Arial"/>
                <w:noProof/>
                <w:webHidden/>
              </w:rPr>
              <w:fldChar w:fldCharType="end"/>
            </w:r>
          </w:hyperlink>
        </w:p>
        <w:p w14:paraId="69845ACA" w14:textId="77777777" w:rsidR="00DF0991" w:rsidRPr="008839BA" w:rsidRDefault="00DF0991">
          <w:pPr>
            <w:pStyle w:val="TOC2"/>
            <w:tabs>
              <w:tab w:val="right" w:leader="dot" w:pos="9350"/>
            </w:tabs>
            <w:rPr>
              <w:rFonts w:ascii="Arial" w:eastAsiaTheme="minorEastAsia" w:hAnsi="Arial" w:cs="Arial"/>
              <w:noProof/>
            </w:rPr>
          </w:pPr>
          <w:hyperlink w:anchor="_Toc224136323" w:history="1">
            <w:r w:rsidRPr="008839BA">
              <w:rPr>
                <w:rStyle w:val="Hyperlink"/>
                <w:rFonts w:ascii="Arial" w:hAnsi="Arial" w:cs="Arial"/>
                <w:noProof/>
              </w:rPr>
              <w:t>Ethical Considerations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_Toc224136323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8</w:t>
            </w:r>
            <w:r w:rsidRPr="008839BA">
              <w:rPr>
                <w:rFonts w:ascii="Arial" w:hAnsi="Arial" w:cs="Arial"/>
                <w:noProof/>
                <w:webHidden/>
              </w:rPr>
              <w:fldChar w:fldCharType="end"/>
            </w:r>
          </w:hyperlink>
        </w:p>
        <w:p w14:paraId="159BDF16" w14:textId="77777777" w:rsidR="00DF0991" w:rsidRPr="008839BA" w:rsidRDefault="00DF0991">
          <w:pPr>
            <w:pStyle w:val="TOC1"/>
            <w:tabs>
              <w:tab w:val="right" w:leader="dot" w:pos="9350"/>
            </w:tabs>
            <w:rPr>
              <w:rFonts w:ascii="Arial" w:eastAsiaTheme="minorEastAsia" w:hAnsi="Arial" w:cs="Arial"/>
              <w:noProof/>
            </w:rPr>
          </w:pPr>
          <w:hyperlink w:anchor="_Toc224136324" w:history="1">
            <w:r w:rsidRPr="008839BA">
              <w:rPr>
                <w:rStyle w:val="Hyperlink"/>
                <w:rFonts w:ascii="Arial" w:hAnsi="Arial" w:cs="Arial"/>
                <w:noProof/>
              </w:rPr>
              <w:t>d) Results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_Toc224136324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10</w:t>
            </w:r>
            <w:r w:rsidRPr="008839BA">
              <w:rPr>
                <w:rFonts w:ascii="Arial" w:hAnsi="Arial" w:cs="Arial"/>
                <w:noProof/>
                <w:webHidden/>
              </w:rPr>
              <w:fldChar w:fldCharType="end"/>
            </w:r>
          </w:hyperlink>
        </w:p>
        <w:p w14:paraId="17CA1175" w14:textId="77777777" w:rsidR="00DF0991" w:rsidRPr="008839BA" w:rsidRDefault="00DF0991">
          <w:pPr>
            <w:pStyle w:val="TOC2"/>
            <w:tabs>
              <w:tab w:val="right" w:leader="dot" w:pos="9350"/>
            </w:tabs>
            <w:rPr>
              <w:rFonts w:ascii="Arial" w:eastAsiaTheme="minorEastAsia" w:hAnsi="Arial" w:cs="Arial"/>
              <w:noProof/>
            </w:rPr>
          </w:pPr>
          <w:hyperlink w:anchor="_Toc224136325" w:history="1">
            <w:r w:rsidRPr="008839BA">
              <w:rPr>
                <w:rStyle w:val="Hyperlink"/>
                <w:rFonts w:ascii="Arial" w:hAnsi="Arial" w:cs="Arial"/>
                <w:noProof/>
              </w:rPr>
              <w:t>Summary of Selected Studies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_Toc224136325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10</w:t>
            </w:r>
            <w:r w:rsidRPr="008839BA">
              <w:rPr>
                <w:rFonts w:ascii="Arial" w:hAnsi="Arial" w:cs="Arial"/>
                <w:noProof/>
                <w:webHidden/>
              </w:rPr>
              <w:fldChar w:fldCharType="end"/>
            </w:r>
          </w:hyperlink>
        </w:p>
        <w:p w14:paraId="3E0C6D67" w14:textId="77777777" w:rsidR="00DF0991" w:rsidRPr="008839BA" w:rsidRDefault="00DF0991">
          <w:pPr>
            <w:pStyle w:val="TOC2"/>
            <w:tabs>
              <w:tab w:val="right" w:leader="dot" w:pos="9350"/>
            </w:tabs>
            <w:rPr>
              <w:rFonts w:ascii="Arial" w:eastAsiaTheme="minorEastAsia" w:hAnsi="Arial" w:cs="Arial"/>
              <w:noProof/>
            </w:rPr>
          </w:pPr>
          <w:hyperlink w:anchor="_Toc224136326" w:history="1">
            <w:r w:rsidRPr="008839BA">
              <w:rPr>
                <w:rStyle w:val="Hyperlink"/>
                <w:rFonts w:ascii="Arial" w:eastAsia="Times New Roman" w:hAnsi="Arial" w:cs="Arial"/>
                <w:noProof/>
              </w:rPr>
              <w:t>Theme 1: Limited Access to Specialist Services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_Toc224136326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11</w:t>
            </w:r>
            <w:r w:rsidRPr="008839BA">
              <w:rPr>
                <w:rFonts w:ascii="Arial" w:hAnsi="Arial" w:cs="Arial"/>
                <w:noProof/>
                <w:webHidden/>
              </w:rPr>
              <w:fldChar w:fldCharType="end"/>
            </w:r>
          </w:hyperlink>
        </w:p>
        <w:p w14:paraId="7DCDCF39" w14:textId="77777777" w:rsidR="00DF0991" w:rsidRPr="008839BA" w:rsidRDefault="00DF0991">
          <w:pPr>
            <w:pStyle w:val="TOC2"/>
            <w:tabs>
              <w:tab w:val="right" w:leader="dot" w:pos="9350"/>
            </w:tabs>
            <w:rPr>
              <w:rFonts w:ascii="Arial" w:eastAsiaTheme="minorEastAsia" w:hAnsi="Arial" w:cs="Arial"/>
              <w:noProof/>
            </w:rPr>
          </w:pPr>
          <w:hyperlink w:anchor="_Toc224136327" w:history="1">
            <w:r w:rsidRPr="008839BA">
              <w:rPr>
                <w:rStyle w:val="Hyperlink"/>
                <w:rFonts w:ascii="Arial" w:eastAsia="Times New Roman" w:hAnsi="Arial" w:cs="Arial"/>
                <w:noProof/>
              </w:rPr>
              <w:t>Theme 2: Lack of Awareness and Training Among Healthcare Professionals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_Toc224136327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11</w:t>
            </w:r>
            <w:r w:rsidRPr="008839BA">
              <w:rPr>
                <w:rFonts w:ascii="Arial" w:hAnsi="Arial" w:cs="Arial"/>
                <w:noProof/>
                <w:webHidden/>
              </w:rPr>
              <w:fldChar w:fldCharType="end"/>
            </w:r>
          </w:hyperlink>
        </w:p>
        <w:p w14:paraId="5B93B07F" w14:textId="77777777" w:rsidR="00DF0991" w:rsidRPr="008839BA" w:rsidRDefault="00DF0991">
          <w:pPr>
            <w:pStyle w:val="TOC2"/>
            <w:tabs>
              <w:tab w:val="right" w:leader="dot" w:pos="9350"/>
            </w:tabs>
            <w:rPr>
              <w:rFonts w:ascii="Arial" w:eastAsiaTheme="minorEastAsia" w:hAnsi="Arial" w:cs="Arial"/>
              <w:noProof/>
            </w:rPr>
          </w:pPr>
          <w:hyperlink w:anchor="_Toc224136328" w:history="1">
            <w:r w:rsidRPr="008839BA">
              <w:rPr>
                <w:rStyle w:val="Hyperlink"/>
                <w:rFonts w:ascii="Arial" w:eastAsia="Times New Roman" w:hAnsi="Arial" w:cs="Arial"/>
                <w:noProof/>
              </w:rPr>
              <w:t>Theme 3: Complex Referral Pathways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_Toc224136328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11</w:t>
            </w:r>
            <w:r w:rsidRPr="008839BA">
              <w:rPr>
                <w:rFonts w:ascii="Arial" w:hAnsi="Arial" w:cs="Arial"/>
                <w:noProof/>
                <w:webHidden/>
              </w:rPr>
              <w:fldChar w:fldCharType="end"/>
            </w:r>
          </w:hyperlink>
        </w:p>
        <w:p w14:paraId="4BE6DC77" w14:textId="77777777" w:rsidR="00DF0991" w:rsidRPr="008839BA" w:rsidRDefault="00DF0991">
          <w:pPr>
            <w:pStyle w:val="TOC2"/>
            <w:tabs>
              <w:tab w:val="right" w:leader="dot" w:pos="9350"/>
            </w:tabs>
            <w:rPr>
              <w:rFonts w:ascii="Arial" w:eastAsiaTheme="minorEastAsia" w:hAnsi="Arial" w:cs="Arial"/>
              <w:noProof/>
            </w:rPr>
          </w:pPr>
          <w:hyperlink w:anchor="_Toc224136329" w:history="1">
            <w:r w:rsidRPr="008839BA">
              <w:rPr>
                <w:rStyle w:val="Hyperlink"/>
                <w:rFonts w:ascii="Arial" w:eastAsia="Times New Roman" w:hAnsi="Arial" w:cs="Arial"/>
                <w:noProof/>
              </w:rPr>
              <w:t>Theme 4: Stigma and Misunderstanding of ADHD</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_Toc224136329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11</w:t>
            </w:r>
            <w:r w:rsidRPr="008839BA">
              <w:rPr>
                <w:rFonts w:ascii="Arial" w:hAnsi="Arial" w:cs="Arial"/>
                <w:noProof/>
                <w:webHidden/>
              </w:rPr>
              <w:fldChar w:fldCharType="end"/>
            </w:r>
          </w:hyperlink>
        </w:p>
        <w:p w14:paraId="72A4A362" w14:textId="77777777" w:rsidR="00DF0991" w:rsidRPr="008839BA" w:rsidRDefault="00DF0991">
          <w:pPr>
            <w:pStyle w:val="TOC1"/>
            <w:tabs>
              <w:tab w:val="right" w:leader="dot" w:pos="9350"/>
            </w:tabs>
            <w:rPr>
              <w:rFonts w:ascii="Arial" w:eastAsiaTheme="minorEastAsia" w:hAnsi="Arial" w:cs="Arial"/>
              <w:noProof/>
            </w:rPr>
          </w:pPr>
          <w:hyperlink w:anchor="_Toc224136330" w:history="1">
            <w:r w:rsidRPr="008839BA">
              <w:rPr>
                <w:rStyle w:val="Hyperlink"/>
                <w:rFonts w:ascii="Arial" w:hAnsi="Arial" w:cs="Arial"/>
                <w:noProof/>
              </w:rPr>
              <w:t>e) Discussion</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_Toc224136330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12</w:t>
            </w:r>
            <w:r w:rsidRPr="008839BA">
              <w:rPr>
                <w:rFonts w:ascii="Arial" w:hAnsi="Arial" w:cs="Arial"/>
                <w:noProof/>
                <w:webHidden/>
              </w:rPr>
              <w:fldChar w:fldCharType="end"/>
            </w:r>
          </w:hyperlink>
        </w:p>
        <w:p w14:paraId="311CE4DB" w14:textId="77777777" w:rsidR="00DF0991" w:rsidRPr="008839BA" w:rsidRDefault="00DF0991">
          <w:pPr>
            <w:pStyle w:val="TOC2"/>
            <w:tabs>
              <w:tab w:val="right" w:leader="dot" w:pos="9350"/>
            </w:tabs>
            <w:rPr>
              <w:rFonts w:ascii="Arial" w:eastAsiaTheme="minorEastAsia" w:hAnsi="Arial" w:cs="Arial"/>
              <w:noProof/>
            </w:rPr>
          </w:pPr>
          <w:hyperlink w:anchor="_Toc224136331" w:history="1">
            <w:r w:rsidRPr="008839BA">
              <w:rPr>
                <w:rStyle w:val="Hyperlink"/>
                <w:rFonts w:ascii="Arial" w:hAnsi="Arial" w:cs="Arial"/>
                <w:noProof/>
              </w:rPr>
              <w:t>Comparison of Findings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_Toc224136331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12</w:t>
            </w:r>
            <w:r w:rsidRPr="008839BA">
              <w:rPr>
                <w:rFonts w:ascii="Arial" w:hAnsi="Arial" w:cs="Arial"/>
                <w:noProof/>
                <w:webHidden/>
              </w:rPr>
              <w:fldChar w:fldCharType="end"/>
            </w:r>
          </w:hyperlink>
        </w:p>
        <w:p w14:paraId="3C8481F2" w14:textId="77777777" w:rsidR="00DF0991" w:rsidRPr="008839BA" w:rsidRDefault="00DF0991">
          <w:pPr>
            <w:pStyle w:val="TOC2"/>
            <w:tabs>
              <w:tab w:val="right" w:leader="dot" w:pos="9350"/>
            </w:tabs>
            <w:rPr>
              <w:rFonts w:ascii="Arial" w:eastAsiaTheme="minorEastAsia" w:hAnsi="Arial" w:cs="Arial"/>
              <w:noProof/>
            </w:rPr>
          </w:pPr>
          <w:hyperlink w:anchor="_Toc224136332" w:history="1">
            <w:r w:rsidRPr="008839BA">
              <w:rPr>
                <w:rStyle w:val="Hyperlink"/>
                <w:rFonts w:ascii="Arial" w:hAnsi="Arial" w:cs="Arial"/>
                <w:noProof/>
              </w:rPr>
              <w:t>Research Gaps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_Toc224136332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13</w:t>
            </w:r>
            <w:r w:rsidRPr="008839BA">
              <w:rPr>
                <w:rFonts w:ascii="Arial" w:hAnsi="Arial" w:cs="Arial"/>
                <w:noProof/>
                <w:webHidden/>
              </w:rPr>
              <w:fldChar w:fldCharType="end"/>
            </w:r>
          </w:hyperlink>
        </w:p>
        <w:p w14:paraId="4279F954" w14:textId="77777777" w:rsidR="00DF0991" w:rsidRPr="008839BA" w:rsidRDefault="00DF0991">
          <w:pPr>
            <w:pStyle w:val="TOC2"/>
            <w:tabs>
              <w:tab w:val="right" w:leader="dot" w:pos="9350"/>
            </w:tabs>
            <w:rPr>
              <w:rFonts w:ascii="Arial" w:eastAsiaTheme="minorEastAsia" w:hAnsi="Arial" w:cs="Arial"/>
              <w:noProof/>
            </w:rPr>
          </w:pPr>
          <w:hyperlink w:anchor="_Toc224136333" w:history="1">
            <w:r w:rsidRPr="008839BA">
              <w:rPr>
                <w:rStyle w:val="Hyperlink"/>
                <w:rFonts w:ascii="Arial" w:hAnsi="Arial" w:cs="Arial"/>
                <w:noProof/>
              </w:rPr>
              <w:t>Theoretical Implications for Healthcare Practice</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_Toc224136333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14</w:t>
            </w:r>
            <w:r w:rsidRPr="008839BA">
              <w:rPr>
                <w:rFonts w:ascii="Arial" w:hAnsi="Arial" w:cs="Arial"/>
                <w:noProof/>
                <w:webHidden/>
              </w:rPr>
              <w:fldChar w:fldCharType="end"/>
            </w:r>
          </w:hyperlink>
        </w:p>
        <w:p w14:paraId="5C5EF23E" w14:textId="77777777" w:rsidR="00DF0991" w:rsidRPr="008839BA" w:rsidRDefault="00DF0991">
          <w:pPr>
            <w:pStyle w:val="TOC2"/>
            <w:tabs>
              <w:tab w:val="right" w:leader="dot" w:pos="9350"/>
            </w:tabs>
            <w:rPr>
              <w:rFonts w:ascii="Arial" w:eastAsiaTheme="minorEastAsia" w:hAnsi="Arial" w:cs="Arial"/>
              <w:noProof/>
            </w:rPr>
          </w:pPr>
          <w:hyperlink w:anchor="_Toc224136334" w:history="1">
            <w:r w:rsidRPr="008839BA">
              <w:rPr>
                <w:rStyle w:val="Hyperlink"/>
                <w:rFonts w:ascii="Arial" w:hAnsi="Arial" w:cs="Arial"/>
                <w:noProof/>
              </w:rPr>
              <w:t>Practical Implications for Future Research</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_Toc224136334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15</w:t>
            </w:r>
            <w:r w:rsidRPr="008839BA">
              <w:rPr>
                <w:rFonts w:ascii="Arial" w:hAnsi="Arial" w:cs="Arial"/>
                <w:noProof/>
                <w:webHidden/>
              </w:rPr>
              <w:fldChar w:fldCharType="end"/>
            </w:r>
          </w:hyperlink>
        </w:p>
        <w:p w14:paraId="41800F7D" w14:textId="77777777" w:rsidR="00DF0991" w:rsidRPr="008839BA" w:rsidRDefault="00DF0991">
          <w:pPr>
            <w:pStyle w:val="TOC1"/>
            <w:tabs>
              <w:tab w:val="right" w:leader="dot" w:pos="9350"/>
            </w:tabs>
            <w:rPr>
              <w:rFonts w:ascii="Arial" w:eastAsiaTheme="minorEastAsia" w:hAnsi="Arial" w:cs="Arial"/>
              <w:noProof/>
            </w:rPr>
          </w:pPr>
          <w:hyperlink w:anchor="_Toc224136335" w:history="1">
            <w:r w:rsidRPr="008839BA">
              <w:rPr>
                <w:rStyle w:val="Hyperlink"/>
                <w:rFonts w:ascii="Arial" w:hAnsi="Arial" w:cs="Arial"/>
                <w:noProof/>
              </w:rPr>
              <w:t>f) Conclusion and Recommendations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_Toc224136335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16</w:t>
            </w:r>
            <w:r w:rsidRPr="008839BA">
              <w:rPr>
                <w:rFonts w:ascii="Arial" w:hAnsi="Arial" w:cs="Arial"/>
                <w:noProof/>
                <w:webHidden/>
              </w:rPr>
              <w:fldChar w:fldCharType="end"/>
            </w:r>
          </w:hyperlink>
        </w:p>
        <w:p w14:paraId="68DEF584" w14:textId="77777777" w:rsidR="00DF0991" w:rsidRPr="008839BA" w:rsidRDefault="00DF0991">
          <w:pPr>
            <w:pStyle w:val="TOC2"/>
            <w:tabs>
              <w:tab w:val="right" w:leader="dot" w:pos="9350"/>
            </w:tabs>
            <w:rPr>
              <w:rFonts w:ascii="Arial" w:eastAsiaTheme="minorEastAsia" w:hAnsi="Arial" w:cs="Arial"/>
              <w:noProof/>
            </w:rPr>
          </w:pPr>
          <w:hyperlink w:anchor="_Toc224136336" w:history="1">
            <w:r w:rsidRPr="008839BA">
              <w:rPr>
                <w:rStyle w:val="Hyperlink"/>
                <w:rFonts w:ascii="Arial" w:hAnsi="Arial" w:cs="Arial"/>
                <w:noProof/>
              </w:rPr>
              <w:t>Conclusion</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_Toc224136336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16</w:t>
            </w:r>
            <w:r w:rsidRPr="008839BA">
              <w:rPr>
                <w:rFonts w:ascii="Arial" w:hAnsi="Arial" w:cs="Arial"/>
                <w:noProof/>
                <w:webHidden/>
              </w:rPr>
              <w:fldChar w:fldCharType="end"/>
            </w:r>
          </w:hyperlink>
        </w:p>
        <w:p w14:paraId="4C7DB141" w14:textId="77777777" w:rsidR="00DF0991" w:rsidRPr="008839BA" w:rsidRDefault="00DF0991">
          <w:pPr>
            <w:pStyle w:val="TOC2"/>
            <w:tabs>
              <w:tab w:val="right" w:leader="dot" w:pos="9350"/>
            </w:tabs>
            <w:rPr>
              <w:rFonts w:ascii="Arial" w:eastAsiaTheme="minorEastAsia" w:hAnsi="Arial" w:cs="Arial"/>
              <w:noProof/>
            </w:rPr>
          </w:pPr>
          <w:hyperlink w:anchor="_Toc224136337" w:history="1">
            <w:r w:rsidRPr="008839BA">
              <w:rPr>
                <w:rStyle w:val="Hyperlink"/>
                <w:rFonts w:ascii="Arial" w:hAnsi="Arial" w:cs="Arial"/>
                <w:noProof/>
              </w:rPr>
              <w:t>Recommendations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_Toc224136337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16</w:t>
            </w:r>
            <w:r w:rsidRPr="008839BA">
              <w:rPr>
                <w:rFonts w:ascii="Arial" w:hAnsi="Arial" w:cs="Arial"/>
                <w:noProof/>
                <w:webHidden/>
              </w:rPr>
              <w:fldChar w:fldCharType="end"/>
            </w:r>
          </w:hyperlink>
        </w:p>
        <w:p w14:paraId="0D05DE76" w14:textId="77777777" w:rsidR="00DF0991" w:rsidRPr="008839BA" w:rsidRDefault="00DF0991">
          <w:pPr>
            <w:pStyle w:val="TOC1"/>
            <w:tabs>
              <w:tab w:val="right" w:leader="dot" w:pos="9350"/>
            </w:tabs>
            <w:rPr>
              <w:rFonts w:ascii="Arial" w:eastAsiaTheme="minorEastAsia" w:hAnsi="Arial" w:cs="Arial"/>
              <w:noProof/>
            </w:rPr>
          </w:pPr>
          <w:hyperlink w:anchor="_Toc224136338" w:history="1">
            <w:r w:rsidRPr="008839BA">
              <w:rPr>
                <w:rStyle w:val="Hyperlink"/>
                <w:rFonts w:ascii="Arial" w:hAnsi="Arial" w:cs="Arial"/>
                <w:noProof/>
              </w:rPr>
              <w:t>References</w:t>
            </w:r>
            <w:r w:rsidRPr="008839BA">
              <w:rPr>
                <w:rFonts w:ascii="Arial" w:hAnsi="Arial" w:cs="Arial"/>
                <w:noProof/>
                <w:webHidden/>
              </w:rPr>
              <w:tab/>
            </w:r>
            <w:r w:rsidRPr="008839BA">
              <w:rPr>
                <w:rFonts w:ascii="Arial" w:hAnsi="Arial" w:cs="Arial"/>
                <w:noProof/>
                <w:webHidden/>
              </w:rPr>
              <w:fldChar w:fldCharType="begin"/>
            </w:r>
            <w:r w:rsidRPr="008839BA">
              <w:rPr>
                <w:rFonts w:ascii="Arial" w:hAnsi="Arial" w:cs="Arial"/>
                <w:noProof/>
                <w:webHidden/>
              </w:rPr>
              <w:instrText xml:space="preserve"> PAGEREF _Toc224136338 \h </w:instrText>
            </w:r>
            <w:r w:rsidRPr="008839BA">
              <w:rPr>
                <w:rFonts w:ascii="Arial" w:hAnsi="Arial" w:cs="Arial"/>
                <w:noProof/>
                <w:webHidden/>
              </w:rPr>
            </w:r>
            <w:r w:rsidRPr="008839BA">
              <w:rPr>
                <w:rFonts w:ascii="Arial" w:hAnsi="Arial" w:cs="Arial"/>
                <w:noProof/>
                <w:webHidden/>
              </w:rPr>
              <w:fldChar w:fldCharType="separate"/>
            </w:r>
            <w:r w:rsidRPr="008839BA">
              <w:rPr>
                <w:rFonts w:ascii="Arial" w:hAnsi="Arial" w:cs="Arial"/>
                <w:noProof/>
                <w:webHidden/>
              </w:rPr>
              <w:t>18</w:t>
            </w:r>
            <w:r w:rsidRPr="008839BA">
              <w:rPr>
                <w:rFonts w:ascii="Arial" w:hAnsi="Arial" w:cs="Arial"/>
                <w:noProof/>
                <w:webHidden/>
              </w:rPr>
              <w:fldChar w:fldCharType="end"/>
            </w:r>
          </w:hyperlink>
        </w:p>
        <w:p w14:paraId="35341229" w14:textId="77777777" w:rsidR="00DF0991" w:rsidRPr="008839BA" w:rsidRDefault="00DF0991" w:rsidP="00DF0991">
          <w:pPr>
            <w:rPr>
              <w:rFonts w:ascii="Arial" w:hAnsi="Arial" w:cs="Arial"/>
              <w:b/>
              <w:bCs/>
              <w:noProof/>
            </w:rPr>
          </w:pPr>
          <w:r w:rsidRPr="008839BA">
            <w:rPr>
              <w:rFonts w:ascii="Arial" w:hAnsi="Arial" w:cs="Arial"/>
              <w:b/>
              <w:bCs/>
              <w:noProof/>
            </w:rPr>
            <w:fldChar w:fldCharType="end"/>
          </w:r>
        </w:p>
      </w:sdtContent>
    </w:sdt>
    <w:p w14:paraId="29A978B3" w14:textId="77777777" w:rsidR="00DF0991" w:rsidRPr="008839BA" w:rsidRDefault="00DF0991" w:rsidP="00DF0991">
      <w:pPr>
        <w:pStyle w:val="Heading1"/>
        <w:spacing w:line="360" w:lineRule="auto"/>
        <w:jc w:val="both"/>
        <w:rPr>
          <w:rFonts w:ascii="Arial" w:hAnsi="Arial" w:cs="Arial"/>
          <w:noProof/>
          <w:sz w:val="22"/>
          <w:szCs w:val="22"/>
        </w:rPr>
      </w:pPr>
      <w:bookmarkStart w:id="0" w:name="_Toc224136309"/>
      <w:r w:rsidRPr="008839BA">
        <w:rPr>
          <w:rFonts w:ascii="Arial" w:hAnsi="Arial" w:cs="Arial"/>
          <w:sz w:val="22"/>
          <w:szCs w:val="22"/>
        </w:rPr>
        <w:lastRenderedPageBreak/>
        <w:t>a) Introduction</w:t>
      </w:r>
      <w:bookmarkEnd w:id="0"/>
      <w:r w:rsidRPr="008839BA">
        <w:rPr>
          <w:rFonts w:ascii="Arial" w:hAnsi="Arial" w:cs="Arial"/>
          <w:sz w:val="22"/>
          <w:szCs w:val="22"/>
        </w:rPr>
        <w:t xml:space="preserve"> </w:t>
      </w:r>
    </w:p>
    <w:p w14:paraId="658841A4" w14:textId="77777777" w:rsidR="00DF0991" w:rsidRPr="008839BA" w:rsidRDefault="00DF0991" w:rsidP="00DF0991">
      <w:pPr>
        <w:pStyle w:val="Heading2"/>
        <w:spacing w:before="480" w:line="360" w:lineRule="auto"/>
        <w:jc w:val="both"/>
        <w:rPr>
          <w:rFonts w:ascii="Arial" w:hAnsi="Arial" w:cs="Arial"/>
          <w:sz w:val="22"/>
          <w:szCs w:val="22"/>
        </w:rPr>
      </w:pPr>
      <w:bookmarkStart w:id="1" w:name="_Toc224136310"/>
      <w:r w:rsidRPr="008839BA">
        <w:rPr>
          <w:rFonts w:ascii="Arial" w:hAnsi="Arial" w:cs="Arial"/>
          <w:sz w:val="22"/>
          <w:szCs w:val="22"/>
        </w:rPr>
        <w:t>Overview of the Topic</w:t>
      </w:r>
      <w:bookmarkEnd w:id="1"/>
    </w:p>
    <w:p w14:paraId="374B2FE2"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Attention Deficit Hyperactivity Disorder (ADHD) is a neurodevelopmental attention impulse executive distress disorder. Although there is a perception of association with children, it is not entirely true that adult ADHD can be carried on to adulthood and possibly impact occupational, educational, and relationship functions. Many adults in the United Kingdom do not receive a diagnosis or a late diagnosis; in other words, treatment and support are not delivered in a timely manner. The diagnosis is significant in the National Health Service, but there are multiple barriers to the adult population, including waiting in line, specialists not being available, and a poor grasp of the referral systems (Asherson </w:t>
      </w:r>
      <w:r w:rsidRPr="008839BA">
        <w:rPr>
          <w:rFonts w:ascii="Arial" w:hAnsi="Arial" w:cs="Arial"/>
          <w:i/>
        </w:rPr>
        <w:t>et al.,</w:t>
      </w:r>
      <w:r w:rsidRPr="008839BA">
        <w:rPr>
          <w:rFonts w:ascii="Arial" w:hAnsi="Arial" w:cs="Arial"/>
        </w:rPr>
        <w:t xml:space="preserve"> 2022).</w:t>
      </w:r>
    </w:p>
    <w:p w14:paraId="5A78BBE1" w14:textId="77777777" w:rsidR="00DF0991" w:rsidRPr="008839BA" w:rsidRDefault="00DF0991" w:rsidP="00DF0991">
      <w:pPr>
        <w:pStyle w:val="Heading2"/>
        <w:spacing w:before="480" w:line="360" w:lineRule="auto"/>
        <w:jc w:val="both"/>
        <w:rPr>
          <w:rFonts w:ascii="Arial" w:hAnsi="Arial" w:cs="Arial"/>
          <w:sz w:val="22"/>
          <w:szCs w:val="22"/>
        </w:rPr>
      </w:pPr>
      <w:bookmarkStart w:id="2" w:name="_Toc224136311"/>
      <w:r w:rsidRPr="008839BA">
        <w:rPr>
          <w:rFonts w:ascii="Arial" w:hAnsi="Arial" w:cs="Arial"/>
          <w:sz w:val="22"/>
          <w:szCs w:val="22"/>
        </w:rPr>
        <w:t>Definition of Key Concepts</w:t>
      </w:r>
      <w:bookmarkEnd w:id="2"/>
    </w:p>
    <w:p w14:paraId="64CC8B37"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Adult Attention Deficit Hyperactivity Disorder is a disorder that was </w:t>
      </w:r>
      <w:proofErr w:type="spellStart"/>
      <w:r w:rsidRPr="008839BA">
        <w:rPr>
          <w:rFonts w:ascii="Arial" w:hAnsi="Arial" w:cs="Arial"/>
        </w:rPr>
        <w:t>characterised</w:t>
      </w:r>
      <w:proofErr w:type="spellEnd"/>
      <w:r w:rsidRPr="008839BA">
        <w:rPr>
          <w:rFonts w:ascii="Arial" w:hAnsi="Arial" w:cs="Arial"/>
        </w:rPr>
        <w:t xml:space="preserve"> as the continuation of </w:t>
      </w:r>
      <w:proofErr w:type="gramStart"/>
      <w:r w:rsidRPr="008839BA">
        <w:rPr>
          <w:rFonts w:ascii="Arial" w:hAnsi="Arial" w:cs="Arial"/>
        </w:rPr>
        <w:t>Attention Deficit Hyperactivity Disorder</w:t>
      </w:r>
      <w:proofErr w:type="gramEnd"/>
      <w:r w:rsidRPr="008839BA">
        <w:rPr>
          <w:rFonts w:ascii="Arial" w:hAnsi="Arial" w:cs="Arial"/>
        </w:rPr>
        <w:t xml:space="preserve"> into adulthood, and in most instances, the disorder is accompanied by learning problems, including attention difficulties, problems with </w:t>
      </w:r>
      <w:proofErr w:type="spellStart"/>
      <w:r w:rsidRPr="008839BA">
        <w:rPr>
          <w:rFonts w:ascii="Arial" w:hAnsi="Arial" w:cs="Arial"/>
        </w:rPr>
        <w:t>organisation</w:t>
      </w:r>
      <w:proofErr w:type="spellEnd"/>
      <w:r w:rsidRPr="008839BA">
        <w:rPr>
          <w:rFonts w:ascii="Arial" w:hAnsi="Arial" w:cs="Arial"/>
        </w:rPr>
        <w:t>, impulsiveness, and emotional regulation. A scoping review is a research method that will assist in mapping out the existing literature, identifying central themes, and uncovering gaps in knowledge regarding the complex healthcare challenges (Morgan, 2023).</w:t>
      </w:r>
    </w:p>
    <w:p w14:paraId="1605AD13" w14:textId="77777777" w:rsidR="00DF0991" w:rsidRPr="008839BA" w:rsidRDefault="00DF0991" w:rsidP="00DF0991">
      <w:pPr>
        <w:pStyle w:val="Heading2"/>
        <w:spacing w:before="480" w:line="360" w:lineRule="auto"/>
        <w:jc w:val="both"/>
        <w:rPr>
          <w:rFonts w:ascii="Arial" w:hAnsi="Arial" w:cs="Arial"/>
          <w:sz w:val="22"/>
          <w:szCs w:val="22"/>
        </w:rPr>
      </w:pPr>
      <w:bookmarkStart w:id="3" w:name="_Toc224136312"/>
      <w:r w:rsidRPr="008839BA">
        <w:rPr>
          <w:rFonts w:ascii="Arial" w:hAnsi="Arial" w:cs="Arial"/>
          <w:sz w:val="22"/>
          <w:szCs w:val="22"/>
        </w:rPr>
        <w:t>Rationale of the Study</w:t>
      </w:r>
      <w:bookmarkEnd w:id="3"/>
    </w:p>
    <w:p w14:paraId="72CD818C"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Despite the growing level of awareness about adult ADHD, there are still a number of individuals who face issues when it comes to diagnosis. The barrier in the health system, lack of specialist clinicians, and inefficient refusal and evaluation actions can delay the process of diagnostic identification and decrease the </w:t>
      </w:r>
      <w:proofErr w:type="gramStart"/>
      <w:r w:rsidRPr="008839BA">
        <w:rPr>
          <w:rFonts w:ascii="Arial" w:hAnsi="Arial" w:cs="Arial"/>
        </w:rPr>
        <w:t>possibilities</w:t>
      </w:r>
      <w:proofErr w:type="gramEnd"/>
      <w:r w:rsidRPr="008839BA">
        <w:rPr>
          <w:rFonts w:ascii="Arial" w:hAnsi="Arial" w:cs="Arial"/>
        </w:rPr>
        <w:t xml:space="preserve"> of getting treatment and support. The barriers need to be familiar so as to improve diagnostic pathways and the provision of timely care. A scoping review is the most appropriate due to the fact that it provides a researcher with a chance to research in a wide area of literature and pinpoint significant trends within the ongoing research (Elefante and </w:t>
      </w:r>
      <w:proofErr w:type="spellStart"/>
      <w:r w:rsidRPr="008839BA">
        <w:rPr>
          <w:rFonts w:ascii="Arial" w:hAnsi="Arial" w:cs="Arial"/>
        </w:rPr>
        <w:t>Perugi</w:t>
      </w:r>
      <w:proofErr w:type="spellEnd"/>
      <w:r w:rsidRPr="008839BA">
        <w:rPr>
          <w:rFonts w:ascii="Arial" w:hAnsi="Arial" w:cs="Arial"/>
        </w:rPr>
        <w:t xml:space="preserve"> 2025).</w:t>
      </w:r>
    </w:p>
    <w:p w14:paraId="50EFDB48" w14:textId="77777777" w:rsidR="00DF0991" w:rsidRPr="008839BA" w:rsidRDefault="00DF0991" w:rsidP="00DF0991">
      <w:pPr>
        <w:pStyle w:val="Heading2"/>
        <w:spacing w:before="480" w:line="360" w:lineRule="auto"/>
        <w:jc w:val="both"/>
        <w:rPr>
          <w:rFonts w:ascii="Arial" w:hAnsi="Arial" w:cs="Arial"/>
          <w:sz w:val="22"/>
          <w:szCs w:val="22"/>
        </w:rPr>
      </w:pPr>
      <w:bookmarkStart w:id="4" w:name="_Toc224136313"/>
      <w:r w:rsidRPr="008839BA">
        <w:rPr>
          <w:rFonts w:ascii="Arial" w:hAnsi="Arial" w:cs="Arial"/>
          <w:sz w:val="22"/>
          <w:szCs w:val="22"/>
        </w:rPr>
        <w:lastRenderedPageBreak/>
        <w:t>Review Question</w:t>
      </w:r>
      <w:bookmarkEnd w:id="4"/>
    </w:p>
    <w:p w14:paraId="1CBC4A13" w14:textId="77777777" w:rsidR="00DF0991" w:rsidRPr="008839BA" w:rsidRDefault="00DF0991" w:rsidP="00DF0991">
      <w:pPr>
        <w:pStyle w:val="NormalWeb"/>
        <w:spacing w:before="480" w:beforeAutospacing="0" w:line="360" w:lineRule="auto"/>
        <w:jc w:val="both"/>
        <w:rPr>
          <w:rFonts w:ascii="Arial" w:hAnsi="Arial" w:cs="Arial"/>
          <w:b/>
          <w:sz w:val="22"/>
          <w:szCs w:val="22"/>
        </w:rPr>
      </w:pPr>
      <w:r w:rsidRPr="008839BA">
        <w:rPr>
          <w:rStyle w:val="Strong"/>
          <w:rFonts w:ascii="Arial" w:hAnsi="Arial" w:cs="Arial"/>
          <w:b w:val="0"/>
          <w:sz w:val="22"/>
          <w:szCs w:val="22"/>
        </w:rPr>
        <w:t>What barriers exist to the diagnosis of Adult ADHD within UK health services?</w:t>
      </w:r>
    </w:p>
    <w:p w14:paraId="7E728A79" w14:textId="77777777" w:rsidR="00DF0991" w:rsidRPr="008839BA" w:rsidRDefault="00DF0991" w:rsidP="00DF0991">
      <w:pPr>
        <w:pStyle w:val="Heading2"/>
        <w:spacing w:before="480" w:line="360" w:lineRule="auto"/>
        <w:jc w:val="both"/>
        <w:rPr>
          <w:rFonts w:ascii="Arial" w:hAnsi="Arial" w:cs="Arial"/>
          <w:sz w:val="22"/>
          <w:szCs w:val="22"/>
        </w:rPr>
      </w:pPr>
      <w:bookmarkStart w:id="5" w:name="_Toc224136314"/>
      <w:r w:rsidRPr="008839BA">
        <w:rPr>
          <w:rFonts w:ascii="Arial" w:hAnsi="Arial" w:cs="Arial"/>
          <w:sz w:val="22"/>
          <w:szCs w:val="22"/>
        </w:rPr>
        <w:t>Research Objectives</w:t>
      </w:r>
      <w:bookmarkEnd w:id="5"/>
    </w:p>
    <w:p w14:paraId="0B37406B" w14:textId="77777777" w:rsidR="00DF0991" w:rsidRPr="008839BA" w:rsidRDefault="00DF0991" w:rsidP="00DF0991">
      <w:pPr>
        <w:pStyle w:val="NormalWeb"/>
        <w:numPr>
          <w:ilvl w:val="0"/>
          <w:numId w:val="1"/>
        </w:numPr>
        <w:spacing w:before="480" w:beforeAutospacing="0" w:line="360" w:lineRule="auto"/>
        <w:jc w:val="both"/>
        <w:rPr>
          <w:rFonts w:ascii="Arial" w:hAnsi="Arial" w:cs="Arial"/>
          <w:sz w:val="22"/>
          <w:szCs w:val="22"/>
        </w:rPr>
      </w:pPr>
      <w:r w:rsidRPr="008839BA">
        <w:rPr>
          <w:rFonts w:ascii="Arial" w:hAnsi="Arial" w:cs="Arial"/>
          <w:sz w:val="22"/>
          <w:szCs w:val="22"/>
        </w:rPr>
        <w:t>To identify structural, clinical, and systemic barriers affecting access to adult ADHD diagnosis.</w:t>
      </w:r>
    </w:p>
    <w:p w14:paraId="61AEF11B" w14:textId="77777777" w:rsidR="00DF0991" w:rsidRPr="008839BA" w:rsidRDefault="00DF0991" w:rsidP="00DF0991">
      <w:pPr>
        <w:pStyle w:val="NormalWeb"/>
        <w:numPr>
          <w:ilvl w:val="0"/>
          <w:numId w:val="1"/>
        </w:numPr>
        <w:spacing w:before="480" w:beforeAutospacing="0" w:line="360" w:lineRule="auto"/>
        <w:jc w:val="both"/>
        <w:rPr>
          <w:rFonts w:ascii="Arial" w:hAnsi="Arial" w:cs="Arial"/>
          <w:sz w:val="22"/>
          <w:szCs w:val="22"/>
        </w:rPr>
      </w:pPr>
      <w:r w:rsidRPr="008839BA">
        <w:rPr>
          <w:rFonts w:ascii="Arial" w:hAnsi="Arial" w:cs="Arial"/>
          <w:sz w:val="22"/>
          <w:szCs w:val="22"/>
        </w:rPr>
        <w:t>To map existing research on the challenges reported within UK diagnostic pathways.</w:t>
      </w:r>
    </w:p>
    <w:p w14:paraId="0F648768" w14:textId="77777777" w:rsidR="00DF0991" w:rsidRPr="008839BA" w:rsidRDefault="00DF0991" w:rsidP="00DF0991">
      <w:pPr>
        <w:pStyle w:val="NormalWeb"/>
        <w:numPr>
          <w:ilvl w:val="0"/>
          <w:numId w:val="1"/>
        </w:numPr>
        <w:spacing w:before="480" w:beforeAutospacing="0" w:line="360" w:lineRule="auto"/>
        <w:jc w:val="both"/>
        <w:rPr>
          <w:rFonts w:ascii="Arial" w:hAnsi="Arial" w:cs="Arial"/>
          <w:sz w:val="22"/>
          <w:szCs w:val="22"/>
        </w:rPr>
      </w:pPr>
      <w:r w:rsidRPr="008839BA">
        <w:rPr>
          <w:rFonts w:ascii="Arial" w:hAnsi="Arial" w:cs="Arial"/>
          <w:sz w:val="22"/>
          <w:szCs w:val="22"/>
        </w:rPr>
        <w:t xml:space="preserve">To highlight gaps in the current evidence base </w:t>
      </w:r>
    </w:p>
    <w:p w14:paraId="1EAB5828" w14:textId="77777777" w:rsidR="00DF0991" w:rsidRPr="008839BA" w:rsidRDefault="00DF0991" w:rsidP="00DF0991">
      <w:pPr>
        <w:spacing w:before="480" w:line="360" w:lineRule="auto"/>
        <w:jc w:val="both"/>
        <w:rPr>
          <w:rFonts w:ascii="Arial" w:eastAsia="Times New Roman" w:hAnsi="Arial" w:cs="Arial"/>
          <w:b/>
          <w:bCs/>
        </w:rPr>
      </w:pPr>
      <w:r w:rsidRPr="008839BA">
        <w:rPr>
          <w:rFonts w:ascii="Arial" w:hAnsi="Arial" w:cs="Arial"/>
        </w:rPr>
        <w:br w:type="page"/>
      </w:r>
    </w:p>
    <w:p w14:paraId="2E61B2ED" w14:textId="77777777" w:rsidR="00DF0991" w:rsidRPr="008839BA" w:rsidRDefault="00DF0991" w:rsidP="00DF0991">
      <w:pPr>
        <w:pStyle w:val="Heading1"/>
        <w:spacing w:line="360" w:lineRule="auto"/>
        <w:jc w:val="both"/>
        <w:rPr>
          <w:rFonts w:ascii="Arial" w:hAnsi="Arial" w:cs="Arial"/>
          <w:sz w:val="22"/>
          <w:szCs w:val="22"/>
        </w:rPr>
      </w:pPr>
      <w:bookmarkStart w:id="6" w:name="_Toc224136315"/>
      <w:r w:rsidRPr="008839BA">
        <w:rPr>
          <w:rFonts w:ascii="Arial" w:hAnsi="Arial" w:cs="Arial"/>
          <w:sz w:val="22"/>
          <w:szCs w:val="22"/>
        </w:rPr>
        <w:lastRenderedPageBreak/>
        <w:t>b) Background</w:t>
      </w:r>
      <w:bookmarkEnd w:id="6"/>
      <w:r w:rsidRPr="008839BA">
        <w:rPr>
          <w:rFonts w:ascii="Arial" w:hAnsi="Arial" w:cs="Arial"/>
          <w:sz w:val="22"/>
          <w:szCs w:val="22"/>
        </w:rPr>
        <w:t xml:space="preserve"> </w:t>
      </w:r>
    </w:p>
    <w:p w14:paraId="7519F101" w14:textId="77777777" w:rsidR="00DF0991" w:rsidRPr="008839BA" w:rsidRDefault="00DF0991" w:rsidP="00DF0991">
      <w:pPr>
        <w:pStyle w:val="Heading2"/>
        <w:spacing w:before="480" w:line="360" w:lineRule="auto"/>
        <w:jc w:val="both"/>
        <w:rPr>
          <w:rFonts w:ascii="Arial" w:hAnsi="Arial" w:cs="Arial"/>
          <w:sz w:val="22"/>
          <w:szCs w:val="22"/>
        </w:rPr>
      </w:pPr>
      <w:bookmarkStart w:id="7" w:name="_Toc224136316"/>
      <w:r w:rsidRPr="008839BA">
        <w:rPr>
          <w:rFonts w:ascii="Arial" w:hAnsi="Arial" w:cs="Arial"/>
          <w:sz w:val="22"/>
          <w:szCs w:val="22"/>
        </w:rPr>
        <w:t>Healthcare Context</w:t>
      </w:r>
      <w:bookmarkEnd w:id="7"/>
    </w:p>
    <w:p w14:paraId="7F3FBB6E"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Attention Deficit Hyperactivity Disorder (ADHD) is also turning into an ailment that could extend to adulthood and affect the normal functioning, work, academic, and social and relationship life. Although it was regarded as a childhood disorder, there are studies that suggest that there is a good number of people who continue to show the same symptoms even after their teenage years. In the United Kingdom, the provision of mental health services is mostly provided by the National Health Service (NHS). The pathways leading to the ADHD diagnosis in a person of adult age are usually initiated with the scheduled appointment made with a general practitioner (GP), followed by a referral to a specialist mental health service to undergo a clinical assessment. These pitfalls of service delivery associated with different regions and the lack of awareness among medical workers can also make the situation with diagnosis more complicated due to the late diagnosis and reduced access to timely treatment and care delivery (Ward </w:t>
      </w:r>
      <w:r w:rsidRPr="008839BA">
        <w:rPr>
          <w:rFonts w:ascii="Arial" w:hAnsi="Arial" w:cs="Arial"/>
          <w:i/>
        </w:rPr>
        <w:t>et al.,</w:t>
      </w:r>
      <w:r w:rsidRPr="008839BA">
        <w:rPr>
          <w:rFonts w:ascii="Arial" w:hAnsi="Arial" w:cs="Arial"/>
        </w:rPr>
        <w:t xml:space="preserve"> 2024).</w:t>
      </w:r>
    </w:p>
    <w:p w14:paraId="4B0665C5" w14:textId="77777777" w:rsidR="00DF0991" w:rsidRPr="008839BA" w:rsidRDefault="00DF0991" w:rsidP="00DF0991">
      <w:pPr>
        <w:pStyle w:val="Heading2"/>
        <w:spacing w:before="480" w:line="360" w:lineRule="auto"/>
        <w:jc w:val="both"/>
        <w:rPr>
          <w:rFonts w:ascii="Arial" w:hAnsi="Arial" w:cs="Arial"/>
          <w:sz w:val="22"/>
          <w:szCs w:val="22"/>
        </w:rPr>
      </w:pPr>
      <w:bookmarkStart w:id="8" w:name="_Toc224136317"/>
      <w:r w:rsidRPr="008839BA">
        <w:rPr>
          <w:rFonts w:ascii="Arial" w:hAnsi="Arial" w:cs="Arial"/>
          <w:sz w:val="22"/>
          <w:szCs w:val="22"/>
        </w:rPr>
        <w:t>Current Policies and Legislation</w:t>
      </w:r>
      <w:bookmarkEnd w:id="8"/>
    </w:p>
    <w:p w14:paraId="4F7B0551"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The United Kingdom has several policies and legislative frameworks that initiate the provision of mental health services as well as the testing of neurodevelopmental disorders. One of the most vital legal frameworks may be the Mental Health Act 1983, providing a guideline in the treatment and care of the mentally ill in society, and helps to protect the rights of the mentally ill. National Institute for Health and Care Excellence also ought to be considered when offering clinical advice; in its publications, the Institute offers evidence-based recommendations on its plan of diagnosis and treatment of ADHD in children and adults. In addition, expert bodies such as the World Health </w:t>
      </w:r>
      <w:proofErr w:type="spellStart"/>
      <w:r w:rsidRPr="008839BA">
        <w:rPr>
          <w:rFonts w:ascii="Arial" w:hAnsi="Arial" w:cs="Arial"/>
        </w:rPr>
        <w:t>Organisation</w:t>
      </w:r>
      <w:proofErr w:type="spellEnd"/>
      <w:r w:rsidRPr="008839BA">
        <w:rPr>
          <w:rFonts w:ascii="Arial" w:hAnsi="Arial" w:cs="Arial"/>
        </w:rPr>
        <w:t xml:space="preserve"> also call for the necessity to discover </w:t>
      </w:r>
      <w:proofErr w:type="gramStart"/>
      <w:r w:rsidRPr="008839BA">
        <w:rPr>
          <w:rFonts w:ascii="Arial" w:hAnsi="Arial" w:cs="Arial"/>
        </w:rPr>
        <w:t>the neurodevelopmental</w:t>
      </w:r>
      <w:proofErr w:type="gramEnd"/>
      <w:r w:rsidRPr="008839BA">
        <w:rPr>
          <w:rFonts w:ascii="Arial" w:hAnsi="Arial" w:cs="Arial"/>
        </w:rPr>
        <w:t xml:space="preserve"> disorders and strengthen mental health services on a global scale. All these models contribute to the better identification, diagnosis, and treatment of ADHD as well as access to the appropriate care (May </w:t>
      </w:r>
      <w:r w:rsidRPr="008839BA">
        <w:rPr>
          <w:rFonts w:ascii="Arial" w:hAnsi="Arial" w:cs="Arial"/>
          <w:i/>
        </w:rPr>
        <w:t xml:space="preserve">et al., </w:t>
      </w:r>
      <w:r w:rsidRPr="008839BA">
        <w:rPr>
          <w:rFonts w:ascii="Arial" w:hAnsi="Arial" w:cs="Arial"/>
        </w:rPr>
        <w:t>2023).</w:t>
      </w:r>
    </w:p>
    <w:p w14:paraId="3D87CA98" w14:textId="77777777" w:rsidR="00DF0991" w:rsidRPr="008839BA" w:rsidRDefault="00DF0991" w:rsidP="00DF0991">
      <w:pPr>
        <w:pStyle w:val="Heading2"/>
        <w:spacing w:before="480" w:line="360" w:lineRule="auto"/>
        <w:jc w:val="both"/>
        <w:rPr>
          <w:rFonts w:ascii="Arial" w:hAnsi="Arial" w:cs="Arial"/>
          <w:sz w:val="22"/>
          <w:szCs w:val="22"/>
        </w:rPr>
      </w:pPr>
      <w:bookmarkStart w:id="9" w:name="_Toc224136318"/>
      <w:r w:rsidRPr="008839BA">
        <w:rPr>
          <w:rFonts w:ascii="Arial" w:hAnsi="Arial" w:cs="Arial"/>
          <w:sz w:val="22"/>
          <w:szCs w:val="22"/>
        </w:rPr>
        <w:lastRenderedPageBreak/>
        <w:t>Existing Services and Healthcare Practices</w:t>
      </w:r>
      <w:bookmarkEnd w:id="9"/>
    </w:p>
    <w:p w14:paraId="1D73FEB7"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The healthcare services in the UK generally begin at the level of primary care for the diagnosis of adult ADHD. The patients normally go to a general practitioner who may give them a primary examination and make referrals to the services of other specialists in order to conduct additional analysis. A psychiatrist, a psychologist, or a clinician of neurodevelopmental disorders usually undertakes the assessments. </w:t>
      </w:r>
      <w:proofErr w:type="spellStart"/>
      <w:r w:rsidRPr="008839BA">
        <w:rPr>
          <w:rFonts w:ascii="Arial" w:hAnsi="Arial" w:cs="Arial"/>
        </w:rPr>
        <w:t>Specialised</w:t>
      </w:r>
      <w:proofErr w:type="spellEnd"/>
      <w:r w:rsidRPr="008839BA">
        <w:rPr>
          <w:rFonts w:ascii="Arial" w:hAnsi="Arial" w:cs="Arial"/>
        </w:rPr>
        <w:t xml:space="preserve"> ADHD clinics and multidisciplinary teams of mental health workers provide assessment, medication management, psychological support, and coping strategies. Long queues in these healthcare services that the individuals receive in a government-owned institution sometimes compel them to prefer the services offered in the private sector. These discrepancies make one focus on the multidimensionality of the adult ADHD diagnosis process and the obstacles that a person may face during the process of seeking adequate and timely attention (Young </w:t>
      </w:r>
      <w:r w:rsidRPr="008839BA">
        <w:rPr>
          <w:rFonts w:ascii="Arial" w:hAnsi="Arial" w:cs="Arial"/>
          <w:i/>
        </w:rPr>
        <w:t>et al.,</w:t>
      </w:r>
      <w:r w:rsidRPr="008839BA">
        <w:rPr>
          <w:rFonts w:ascii="Arial" w:hAnsi="Arial" w:cs="Arial"/>
        </w:rPr>
        <w:t xml:space="preserve"> 2022).</w:t>
      </w:r>
    </w:p>
    <w:p w14:paraId="05FF6FA0" w14:textId="77777777" w:rsidR="00DF0991" w:rsidRPr="008839BA" w:rsidRDefault="00DF0991" w:rsidP="00DF0991">
      <w:pPr>
        <w:pStyle w:val="Heading2"/>
        <w:spacing w:before="480" w:line="360" w:lineRule="auto"/>
        <w:jc w:val="both"/>
        <w:rPr>
          <w:rFonts w:ascii="Arial" w:hAnsi="Arial" w:cs="Arial"/>
          <w:sz w:val="22"/>
          <w:szCs w:val="22"/>
        </w:rPr>
      </w:pPr>
      <w:bookmarkStart w:id="10" w:name="_Toc224136319"/>
      <w:r w:rsidRPr="008839BA">
        <w:rPr>
          <w:rFonts w:ascii="Arial" w:hAnsi="Arial" w:cs="Arial"/>
          <w:sz w:val="22"/>
          <w:szCs w:val="22"/>
        </w:rPr>
        <w:t>Key Challenges and Issues</w:t>
      </w:r>
      <w:bookmarkEnd w:id="10"/>
    </w:p>
    <w:p w14:paraId="336A08FE"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Despite the increased awareness of adult ADHD, the diagnostic procedure in health services in the UK is still struggling to overcome some challenges. Some of the commonly cited barriers include the lack of special services that would be used to assess adult ADHD. Various mental health services are faced with incidences of high demand coupled with a lack of resources, which could cause long queues in the course of pursuing diagnostic services. The other important challenge is the lack of awareness and knowledge of adult ADHD among some healthcare specialists. Given that ADHD has always remained a child-related condition, the symptoms manifested in adults are neglected or are confused with various mental disorders, such as depression and anxiety. This can lead to </w:t>
      </w:r>
      <w:proofErr w:type="gramStart"/>
      <w:r w:rsidRPr="008839BA">
        <w:rPr>
          <w:rFonts w:ascii="Arial" w:hAnsi="Arial" w:cs="Arial"/>
        </w:rPr>
        <w:t>the</w:t>
      </w:r>
      <w:proofErr w:type="gramEnd"/>
      <w:r w:rsidRPr="008839BA">
        <w:rPr>
          <w:rFonts w:ascii="Arial" w:hAnsi="Arial" w:cs="Arial"/>
        </w:rPr>
        <w:t xml:space="preserve"> inappropriate diagnosis or </w:t>
      </w:r>
      <w:proofErr w:type="gramStart"/>
      <w:r w:rsidRPr="008839BA">
        <w:rPr>
          <w:rFonts w:ascii="Arial" w:hAnsi="Arial" w:cs="Arial"/>
        </w:rPr>
        <w:t>the</w:t>
      </w:r>
      <w:proofErr w:type="gramEnd"/>
      <w:r w:rsidRPr="008839BA">
        <w:rPr>
          <w:rFonts w:ascii="Arial" w:hAnsi="Arial" w:cs="Arial"/>
        </w:rPr>
        <w:t xml:space="preserve"> inability to refer to the appropriate specialists. Furthermore, these alternative instances of referral directions and disparity in service delivery in the regional areas may result in system-wide consequences that further confuse the situation of diagnosis accessibility (Smith </w:t>
      </w:r>
      <w:r w:rsidRPr="008839BA">
        <w:rPr>
          <w:rFonts w:ascii="Arial" w:hAnsi="Arial" w:cs="Arial"/>
          <w:i/>
        </w:rPr>
        <w:t>et al.,</w:t>
      </w:r>
      <w:r w:rsidRPr="008839BA">
        <w:rPr>
          <w:rFonts w:ascii="Arial" w:hAnsi="Arial" w:cs="Arial"/>
        </w:rPr>
        <w:t xml:space="preserve"> 2024). </w:t>
      </w:r>
    </w:p>
    <w:p w14:paraId="05E7D723"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Neurodevelopmental disorders and mental health may also be </w:t>
      </w:r>
      <w:proofErr w:type="spellStart"/>
      <w:r w:rsidRPr="008839BA">
        <w:rPr>
          <w:rFonts w:ascii="Arial" w:hAnsi="Arial" w:cs="Arial"/>
        </w:rPr>
        <w:t>stigmatised</w:t>
      </w:r>
      <w:proofErr w:type="spellEnd"/>
      <w:r w:rsidRPr="008839BA">
        <w:rPr>
          <w:rFonts w:ascii="Arial" w:hAnsi="Arial" w:cs="Arial"/>
        </w:rPr>
        <w:t xml:space="preserve"> and therefore labeled, thereby inhibiting the effort of seeking help. Adults would not be eager to diagnose his/her because of social disapproval or due to unfamiliarity with the disorder. These challenges imply that despite having diagnostic pathways within the health sector, its structural, clinical, and </w:t>
      </w:r>
      <w:r w:rsidRPr="008839BA">
        <w:rPr>
          <w:rFonts w:ascii="Arial" w:hAnsi="Arial" w:cs="Arial"/>
        </w:rPr>
        <w:lastRenderedPageBreak/>
        <w:t>systemic barriers continue to affect access to diagnosis of adult ADHD. Therefore, it is recommended that in the future, more advanced knowledge about these barriers and the ways of refining the diagnostic procedures in the UK healthcare providers should be conducted (Wills and Chakraborty, 2026).</w:t>
      </w:r>
    </w:p>
    <w:p w14:paraId="2A350B8B" w14:textId="77777777" w:rsidR="00DF0991" w:rsidRPr="008839BA" w:rsidRDefault="00DF0991" w:rsidP="00DF0991">
      <w:pPr>
        <w:spacing w:before="480" w:line="360" w:lineRule="auto"/>
        <w:jc w:val="both"/>
        <w:rPr>
          <w:rFonts w:ascii="Arial" w:eastAsiaTheme="majorEastAsia" w:hAnsi="Arial" w:cs="Arial"/>
          <w:b/>
          <w:bCs/>
          <w:color w:val="4F81BD" w:themeColor="accent1"/>
        </w:rPr>
      </w:pPr>
      <w:r w:rsidRPr="008839BA">
        <w:rPr>
          <w:rFonts w:ascii="Arial" w:hAnsi="Arial" w:cs="Arial"/>
        </w:rPr>
        <w:br w:type="page"/>
      </w:r>
    </w:p>
    <w:p w14:paraId="5008A551" w14:textId="77777777" w:rsidR="00DF0991" w:rsidRPr="008839BA" w:rsidRDefault="00DF0991" w:rsidP="00DF0991">
      <w:pPr>
        <w:pStyle w:val="Heading1"/>
        <w:spacing w:line="360" w:lineRule="auto"/>
        <w:jc w:val="both"/>
        <w:rPr>
          <w:rFonts w:ascii="Arial" w:hAnsi="Arial" w:cs="Arial"/>
          <w:sz w:val="22"/>
          <w:szCs w:val="22"/>
        </w:rPr>
      </w:pPr>
      <w:bookmarkStart w:id="11" w:name="_Toc224136320"/>
      <w:r w:rsidRPr="008839BA">
        <w:rPr>
          <w:rFonts w:ascii="Arial" w:hAnsi="Arial" w:cs="Arial"/>
          <w:sz w:val="22"/>
          <w:szCs w:val="22"/>
        </w:rPr>
        <w:lastRenderedPageBreak/>
        <w:t>C) Methods</w:t>
      </w:r>
      <w:bookmarkEnd w:id="11"/>
      <w:r w:rsidRPr="008839BA">
        <w:rPr>
          <w:rFonts w:ascii="Arial" w:hAnsi="Arial" w:cs="Arial"/>
          <w:sz w:val="22"/>
          <w:szCs w:val="22"/>
        </w:rPr>
        <w:t xml:space="preserve"> </w:t>
      </w:r>
    </w:p>
    <w:p w14:paraId="76BAFBC0" w14:textId="77777777" w:rsidR="00DF0991" w:rsidRPr="008839BA" w:rsidRDefault="00DF0991" w:rsidP="00DF0991">
      <w:pPr>
        <w:pStyle w:val="Heading2"/>
        <w:spacing w:before="480" w:line="360" w:lineRule="auto"/>
        <w:jc w:val="both"/>
        <w:rPr>
          <w:rFonts w:ascii="Arial" w:hAnsi="Arial" w:cs="Arial"/>
          <w:sz w:val="22"/>
          <w:szCs w:val="22"/>
        </w:rPr>
      </w:pPr>
      <w:bookmarkStart w:id="12" w:name="_Toc224136321"/>
      <w:r w:rsidRPr="008839BA">
        <w:rPr>
          <w:rFonts w:ascii="Arial" w:hAnsi="Arial" w:cs="Arial"/>
          <w:sz w:val="22"/>
          <w:szCs w:val="22"/>
        </w:rPr>
        <w:t>Data Collection Approach</w:t>
      </w:r>
      <w:bookmarkEnd w:id="12"/>
    </w:p>
    <w:p w14:paraId="7E58E118"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The scoping review research design presented in the paper was used to concentrate on building research to determine obstacles to the diagnosis of adult ADHD in the UK health services. It was reviewed with regard to the framework developed by Hilary Arksey and Lisa O'Malley (2005), which is </w:t>
      </w:r>
      <w:proofErr w:type="spellStart"/>
      <w:r w:rsidRPr="008839BA">
        <w:rPr>
          <w:rFonts w:ascii="Arial" w:hAnsi="Arial" w:cs="Arial"/>
        </w:rPr>
        <w:t>favourable</w:t>
      </w:r>
      <w:proofErr w:type="spellEnd"/>
      <w:r w:rsidRPr="008839BA">
        <w:rPr>
          <w:rFonts w:ascii="Arial" w:hAnsi="Arial" w:cs="Arial"/>
        </w:rPr>
        <w:t xml:space="preserve"> to systematic mapping of the research available and identifying the gaps in knowledge. Relevant studies were identified with the help of the database search in Google Scholar. The keywords were keyed with the Boolean operators such as Adult ADHD, diagnosis, barriers, and the United Kingdom. Studies were in turn screened using the inclusion criteria, which included studies that involved English peer-reviewed articles that had been published within the past decade and those studies that were confined to a period of ten years, </w:t>
      </w:r>
      <w:proofErr w:type="spellStart"/>
      <w:r w:rsidRPr="008839BA">
        <w:rPr>
          <w:rFonts w:ascii="Arial" w:hAnsi="Arial" w:cs="Arial"/>
        </w:rPr>
        <w:t>utilising</w:t>
      </w:r>
      <w:proofErr w:type="spellEnd"/>
      <w:r w:rsidRPr="008839BA">
        <w:rPr>
          <w:rFonts w:ascii="Arial" w:hAnsi="Arial" w:cs="Arial"/>
        </w:rPr>
        <w:t xml:space="preserve"> the diagnosis of adult ADHD in the UK (McKechnie </w:t>
      </w:r>
      <w:r w:rsidRPr="008839BA">
        <w:rPr>
          <w:rFonts w:ascii="Arial" w:hAnsi="Arial" w:cs="Arial"/>
          <w:i/>
        </w:rPr>
        <w:t>et al.,</w:t>
      </w:r>
      <w:r w:rsidRPr="008839BA">
        <w:rPr>
          <w:rFonts w:ascii="Arial" w:hAnsi="Arial" w:cs="Arial"/>
        </w:rPr>
        <w:t xml:space="preserve"> 2023).</w:t>
      </w:r>
    </w:p>
    <w:p w14:paraId="32C048BC" w14:textId="77777777" w:rsidR="00DF0991" w:rsidRPr="008839BA" w:rsidRDefault="00DF0991" w:rsidP="00DF0991">
      <w:pPr>
        <w:pStyle w:val="Heading2"/>
        <w:spacing w:before="480" w:line="360" w:lineRule="auto"/>
        <w:jc w:val="both"/>
        <w:rPr>
          <w:rFonts w:ascii="Arial" w:hAnsi="Arial" w:cs="Arial"/>
          <w:sz w:val="22"/>
          <w:szCs w:val="22"/>
        </w:rPr>
      </w:pPr>
      <w:bookmarkStart w:id="13" w:name="_Toc224136322"/>
      <w:r w:rsidRPr="008839BA">
        <w:rPr>
          <w:rFonts w:ascii="Arial" w:hAnsi="Arial" w:cs="Arial"/>
          <w:sz w:val="22"/>
          <w:szCs w:val="22"/>
        </w:rPr>
        <w:t>Data Analysis Approach</w:t>
      </w:r>
      <w:bookmarkEnd w:id="13"/>
    </w:p>
    <w:p w14:paraId="15B3273F"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Thematic analysis was adopted as a tool of analysis in the selected studies to identify the resemblance patterns and significant themes that are linked to the obstacles that exist in the adult ADHD diagnostic processes. Various steps have been involved in the analysis, and several of them include revision of the selected articles, </w:t>
      </w:r>
      <w:proofErr w:type="gramStart"/>
      <w:r w:rsidRPr="008839BA">
        <w:rPr>
          <w:rFonts w:ascii="Arial" w:hAnsi="Arial" w:cs="Arial"/>
        </w:rPr>
        <w:t>capture</w:t>
      </w:r>
      <w:proofErr w:type="gramEnd"/>
      <w:r w:rsidRPr="008839BA">
        <w:rPr>
          <w:rFonts w:ascii="Arial" w:hAnsi="Arial" w:cs="Arial"/>
        </w:rPr>
        <w:t xml:space="preserve"> and coding of the notable results, and putting similar results under broad themes. In this study, the thematic analysis appeared to be an appropriate approach since, in that manner, a researcher is able to </w:t>
      </w:r>
      <w:proofErr w:type="spellStart"/>
      <w:r w:rsidRPr="008839BA">
        <w:rPr>
          <w:rFonts w:ascii="Arial" w:hAnsi="Arial" w:cs="Arial"/>
        </w:rPr>
        <w:t>synthesise</w:t>
      </w:r>
      <w:proofErr w:type="spellEnd"/>
      <w:r w:rsidRPr="008839BA">
        <w:rPr>
          <w:rFonts w:ascii="Arial" w:hAnsi="Arial" w:cs="Arial"/>
        </w:rPr>
        <w:t xml:space="preserve"> the findings of numerous studies without leaving out similarities, differences, and gaps in </w:t>
      </w:r>
      <w:proofErr w:type="gramStart"/>
      <w:r w:rsidRPr="008839BA">
        <w:rPr>
          <w:rFonts w:ascii="Arial" w:hAnsi="Arial" w:cs="Arial"/>
        </w:rPr>
        <w:t>the existing</w:t>
      </w:r>
      <w:proofErr w:type="gramEnd"/>
      <w:r w:rsidRPr="008839BA">
        <w:rPr>
          <w:rFonts w:ascii="Arial" w:hAnsi="Arial" w:cs="Arial"/>
        </w:rPr>
        <w:t xml:space="preserve"> literature (Armstrong, 2025).</w:t>
      </w:r>
    </w:p>
    <w:p w14:paraId="14F5524A" w14:textId="77777777" w:rsidR="00DF0991" w:rsidRPr="008839BA" w:rsidRDefault="00DF0991" w:rsidP="00DF0991">
      <w:pPr>
        <w:pStyle w:val="Heading2"/>
        <w:spacing w:before="480" w:line="360" w:lineRule="auto"/>
        <w:jc w:val="both"/>
        <w:rPr>
          <w:rFonts w:ascii="Arial" w:hAnsi="Arial" w:cs="Arial"/>
          <w:sz w:val="22"/>
          <w:szCs w:val="22"/>
        </w:rPr>
      </w:pPr>
      <w:bookmarkStart w:id="14" w:name="_Toc224136323"/>
      <w:r w:rsidRPr="008839BA">
        <w:rPr>
          <w:rFonts w:ascii="Arial" w:hAnsi="Arial" w:cs="Arial"/>
          <w:sz w:val="22"/>
          <w:szCs w:val="22"/>
        </w:rPr>
        <w:t>Ethical Considerations</w:t>
      </w:r>
      <w:bookmarkEnd w:id="14"/>
    </w:p>
    <w:p w14:paraId="22628F6A"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This was just </w:t>
      </w:r>
      <w:proofErr w:type="gramStart"/>
      <w:r w:rsidRPr="008839BA">
        <w:rPr>
          <w:rFonts w:ascii="Arial" w:hAnsi="Arial" w:cs="Arial"/>
        </w:rPr>
        <w:t>a secondary research</w:t>
      </w:r>
      <w:proofErr w:type="gramEnd"/>
      <w:r w:rsidRPr="008839BA">
        <w:rPr>
          <w:rFonts w:ascii="Arial" w:hAnsi="Arial" w:cs="Arial"/>
        </w:rPr>
        <w:t xml:space="preserve"> with the acquisition of secondary data, such as past academic research, and therefore, no human involvement was required. The selection of the study was based on inclusion and exclusion criteria to </w:t>
      </w:r>
      <w:proofErr w:type="spellStart"/>
      <w:r w:rsidRPr="008839BA">
        <w:rPr>
          <w:rFonts w:ascii="Arial" w:hAnsi="Arial" w:cs="Arial"/>
        </w:rPr>
        <w:t>minimise</w:t>
      </w:r>
      <w:proofErr w:type="spellEnd"/>
      <w:r w:rsidRPr="008839BA">
        <w:rPr>
          <w:rFonts w:ascii="Arial" w:hAnsi="Arial" w:cs="Arial"/>
        </w:rPr>
        <w:t xml:space="preserve"> bias, and the review procedure applied the inclusion and exclusion criteria to ensure that the studies selected were not biased. On top of it, </w:t>
      </w:r>
      <w:r w:rsidRPr="008839BA">
        <w:rPr>
          <w:rFonts w:ascii="Arial" w:hAnsi="Arial" w:cs="Arial"/>
        </w:rPr>
        <w:lastRenderedPageBreak/>
        <w:t xml:space="preserve">all the sources have been cited correspondingly in accordance with the principle of academic integrity and to ensure that the original authors of the evaluated studies were not violated (Cheong </w:t>
      </w:r>
      <w:r w:rsidRPr="008839BA">
        <w:rPr>
          <w:rFonts w:ascii="Arial" w:hAnsi="Arial" w:cs="Arial"/>
          <w:i/>
        </w:rPr>
        <w:t>et al.,</w:t>
      </w:r>
      <w:r w:rsidRPr="008839BA">
        <w:rPr>
          <w:rFonts w:ascii="Arial" w:hAnsi="Arial" w:cs="Arial"/>
        </w:rPr>
        <w:t xml:space="preserve"> 2023).</w:t>
      </w:r>
    </w:p>
    <w:p w14:paraId="3A24A7A1" w14:textId="77777777" w:rsidR="00DF0991" w:rsidRPr="008839BA" w:rsidRDefault="00DF0991" w:rsidP="00DF0991">
      <w:pPr>
        <w:spacing w:before="480" w:line="360" w:lineRule="auto"/>
        <w:jc w:val="both"/>
        <w:rPr>
          <w:rFonts w:ascii="Arial" w:eastAsiaTheme="majorEastAsia" w:hAnsi="Arial" w:cs="Arial"/>
          <w:b/>
          <w:bCs/>
          <w:color w:val="4F81BD" w:themeColor="accent1"/>
        </w:rPr>
      </w:pPr>
      <w:r w:rsidRPr="008839BA">
        <w:rPr>
          <w:rFonts w:ascii="Arial" w:hAnsi="Arial" w:cs="Arial"/>
        </w:rPr>
        <w:br w:type="page"/>
      </w:r>
    </w:p>
    <w:p w14:paraId="2B3FA853" w14:textId="77777777" w:rsidR="00DF0991" w:rsidRPr="008839BA" w:rsidRDefault="00DF0991" w:rsidP="00DF0991">
      <w:pPr>
        <w:pStyle w:val="Heading1"/>
        <w:spacing w:line="360" w:lineRule="auto"/>
        <w:jc w:val="both"/>
        <w:rPr>
          <w:rFonts w:ascii="Arial" w:hAnsi="Arial" w:cs="Arial"/>
          <w:sz w:val="22"/>
          <w:szCs w:val="22"/>
        </w:rPr>
      </w:pPr>
      <w:bookmarkStart w:id="15" w:name="_Toc224136324"/>
      <w:r w:rsidRPr="008839BA">
        <w:rPr>
          <w:rFonts w:ascii="Arial" w:hAnsi="Arial" w:cs="Arial"/>
          <w:sz w:val="22"/>
          <w:szCs w:val="22"/>
        </w:rPr>
        <w:lastRenderedPageBreak/>
        <w:t>d) Results</w:t>
      </w:r>
      <w:bookmarkEnd w:id="15"/>
      <w:r w:rsidRPr="008839BA">
        <w:rPr>
          <w:rFonts w:ascii="Arial" w:hAnsi="Arial" w:cs="Arial"/>
          <w:sz w:val="22"/>
          <w:szCs w:val="22"/>
        </w:rPr>
        <w:t xml:space="preserve"> </w:t>
      </w:r>
    </w:p>
    <w:p w14:paraId="44295404" w14:textId="77777777" w:rsidR="00DF0991" w:rsidRPr="008839BA" w:rsidRDefault="00DF0991" w:rsidP="00DF0991">
      <w:pPr>
        <w:pStyle w:val="Heading2"/>
        <w:spacing w:before="480" w:line="360" w:lineRule="auto"/>
        <w:jc w:val="both"/>
        <w:rPr>
          <w:rFonts w:ascii="Arial" w:hAnsi="Arial" w:cs="Arial"/>
          <w:sz w:val="22"/>
          <w:szCs w:val="22"/>
        </w:rPr>
      </w:pPr>
      <w:bookmarkStart w:id="16" w:name="_Toc224136325"/>
      <w:r w:rsidRPr="008839BA">
        <w:rPr>
          <w:rFonts w:ascii="Arial" w:hAnsi="Arial" w:cs="Arial"/>
          <w:sz w:val="22"/>
          <w:szCs w:val="22"/>
        </w:rPr>
        <w:t>Summary of Selected Studies</w:t>
      </w:r>
      <w:bookmarkEnd w:id="16"/>
    </w:p>
    <w:tbl>
      <w:tblPr>
        <w:tblStyle w:val="TableGrid"/>
        <w:tblW w:w="0" w:type="auto"/>
        <w:tblLook w:val="04A0" w:firstRow="1" w:lastRow="0" w:firstColumn="1" w:lastColumn="0" w:noHBand="0" w:noVBand="1"/>
      </w:tblPr>
      <w:tblGrid>
        <w:gridCol w:w="1718"/>
        <w:gridCol w:w="1980"/>
        <w:gridCol w:w="1379"/>
        <w:gridCol w:w="2200"/>
        <w:gridCol w:w="2073"/>
      </w:tblGrid>
      <w:tr w:rsidR="00DF0991" w:rsidRPr="008839BA" w14:paraId="01D7BC82" w14:textId="77777777" w:rsidTr="00DF0991">
        <w:tc>
          <w:tcPr>
            <w:tcW w:w="0" w:type="auto"/>
            <w:hideMark/>
          </w:tcPr>
          <w:p w14:paraId="0088EB75" w14:textId="77777777" w:rsidR="00DF0991" w:rsidRPr="008839BA" w:rsidRDefault="00DF0991" w:rsidP="00DF0991">
            <w:pPr>
              <w:spacing w:before="480" w:line="360" w:lineRule="auto"/>
              <w:jc w:val="both"/>
              <w:rPr>
                <w:rFonts w:ascii="Arial" w:eastAsia="Times New Roman" w:hAnsi="Arial" w:cs="Arial"/>
                <w:b/>
                <w:bCs/>
              </w:rPr>
            </w:pPr>
            <w:r w:rsidRPr="008839BA">
              <w:rPr>
                <w:rFonts w:ascii="Arial" w:eastAsia="Times New Roman" w:hAnsi="Arial" w:cs="Arial"/>
                <w:b/>
                <w:bCs/>
              </w:rPr>
              <w:t>Author(s), Year</w:t>
            </w:r>
          </w:p>
        </w:tc>
        <w:tc>
          <w:tcPr>
            <w:tcW w:w="0" w:type="auto"/>
            <w:hideMark/>
          </w:tcPr>
          <w:p w14:paraId="1FBD9E5B" w14:textId="77777777" w:rsidR="00DF0991" w:rsidRPr="008839BA" w:rsidRDefault="00DF0991" w:rsidP="00DF0991">
            <w:pPr>
              <w:spacing w:before="480" w:line="360" w:lineRule="auto"/>
              <w:jc w:val="both"/>
              <w:rPr>
                <w:rFonts w:ascii="Arial" w:eastAsia="Times New Roman" w:hAnsi="Arial" w:cs="Arial"/>
                <w:b/>
                <w:bCs/>
              </w:rPr>
            </w:pPr>
            <w:r w:rsidRPr="008839BA">
              <w:rPr>
                <w:rFonts w:ascii="Arial" w:eastAsia="Times New Roman" w:hAnsi="Arial" w:cs="Arial"/>
                <w:b/>
                <w:bCs/>
              </w:rPr>
              <w:t>Objective</w:t>
            </w:r>
          </w:p>
        </w:tc>
        <w:tc>
          <w:tcPr>
            <w:tcW w:w="0" w:type="auto"/>
            <w:hideMark/>
          </w:tcPr>
          <w:p w14:paraId="4870BB09" w14:textId="77777777" w:rsidR="00DF0991" w:rsidRPr="008839BA" w:rsidRDefault="00DF0991" w:rsidP="00DF0991">
            <w:pPr>
              <w:spacing w:before="480" w:line="360" w:lineRule="auto"/>
              <w:jc w:val="both"/>
              <w:rPr>
                <w:rFonts w:ascii="Arial" w:eastAsia="Times New Roman" w:hAnsi="Arial" w:cs="Arial"/>
                <w:b/>
                <w:bCs/>
              </w:rPr>
            </w:pPr>
            <w:r w:rsidRPr="008839BA">
              <w:rPr>
                <w:rFonts w:ascii="Arial" w:eastAsia="Times New Roman" w:hAnsi="Arial" w:cs="Arial"/>
                <w:b/>
                <w:bCs/>
              </w:rPr>
              <w:t>Methods</w:t>
            </w:r>
          </w:p>
        </w:tc>
        <w:tc>
          <w:tcPr>
            <w:tcW w:w="0" w:type="auto"/>
            <w:hideMark/>
          </w:tcPr>
          <w:p w14:paraId="27C43388" w14:textId="77777777" w:rsidR="00DF0991" w:rsidRPr="008839BA" w:rsidRDefault="00DF0991" w:rsidP="00DF0991">
            <w:pPr>
              <w:spacing w:before="480" w:line="360" w:lineRule="auto"/>
              <w:jc w:val="both"/>
              <w:rPr>
                <w:rFonts w:ascii="Arial" w:eastAsia="Times New Roman" w:hAnsi="Arial" w:cs="Arial"/>
                <w:b/>
                <w:bCs/>
              </w:rPr>
            </w:pPr>
            <w:r w:rsidRPr="008839BA">
              <w:rPr>
                <w:rFonts w:ascii="Arial" w:eastAsia="Times New Roman" w:hAnsi="Arial" w:cs="Arial"/>
                <w:b/>
                <w:bCs/>
              </w:rPr>
              <w:t>Key Findings</w:t>
            </w:r>
          </w:p>
        </w:tc>
        <w:tc>
          <w:tcPr>
            <w:tcW w:w="0" w:type="auto"/>
            <w:hideMark/>
          </w:tcPr>
          <w:p w14:paraId="2CF9AFBD" w14:textId="77777777" w:rsidR="00DF0991" w:rsidRPr="008839BA" w:rsidRDefault="00DF0991" w:rsidP="00DF0991">
            <w:pPr>
              <w:spacing w:before="480" w:line="360" w:lineRule="auto"/>
              <w:jc w:val="both"/>
              <w:rPr>
                <w:rFonts w:ascii="Arial" w:eastAsia="Times New Roman" w:hAnsi="Arial" w:cs="Arial"/>
                <w:b/>
                <w:bCs/>
              </w:rPr>
            </w:pPr>
            <w:r w:rsidRPr="008839BA">
              <w:rPr>
                <w:rFonts w:ascii="Arial" w:eastAsia="Times New Roman" w:hAnsi="Arial" w:cs="Arial"/>
                <w:b/>
                <w:bCs/>
              </w:rPr>
              <w:t>Relevance</w:t>
            </w:r>
          </w:p>
        </w:tc>
      </w:tr>
      <w:tr w:rsidR="00DF0991" w:rsidRPr="008839BA" w14:paraId="5C42E3D1" w14:textId="77777777" w:rsidTr="00DF0991">
        <w:tc>
          <w:tcPr>
            <w:tcW w:w="0" w:type="auto"/>
            <w:hideMark/>
          </w:tcPr>
          <w:p w14:paraId="4C676858" w14:textId="77777777" w:rsidR="00DF0991" w:rsidRPr="008839BA" w:rsidRDefault="00DF0991" w:rsidP="00DF0991">
            <w:pPr>
              <w:spacing w:before="480" w:line="360" w:lineRule="auto"/>
              <w:jc w:val="both"/>
              <w:rPr>
                <w:rFonts w:ascii="Arial" w:eastAsia="Times New Roman" w:hAnsi="Arial" w:cs="Arial"/>
                <w:b/>
              </w:rPr>
            </w:pPr>
            <w:r w:rsidRPr="008839BA">
              <w:rPr>
                <w:rFonts w:ascii="Arial" w:eastAsia="Times New Roman" w:hAnsi="Arial" w:cs="Arial"/>
                <w:b/>
              </w:rPr>
              <w:t>Asherson et al (2022)</w:t>
            </w:r>
          </w:p>
        </w:tc>
        <w:tc>
          <w:tcPr>
            <w:tcW w:w="0" w:type="auto"/>
            <w:hideMark/>
          </w:tcPr>
          <w:p w14:paraId="361ADCC0"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Surveying primary healthcare adult ADHD care in the UK.</w:t>
            </w:r>
          </w:p>
        </w:tc>
        <w:tc>
          <w:tcPr>
            <w:tcW w:w="0" w:type="auto"/>
            <w:hideMark/>
          </w:tcPr>
          <w:p w14:paraId="3F9387FE" w14:textId="77777777" w:rsidR="00DF0991" w:rsidRPr="008839BA" w:rsidRDefault="00DF0991" w:rsidP="00DF0991">
            <w:pPr>
              <w:spacing w:before="480" w:line="360" w:lineRule="auto"/>
              <w:jc w:val="both"/>
              <w:rPr>
                <w:rFonts w:ascii="Arial" w:eastAsia="Times New Roman" w:hAnsi="Arial" w:cs="Arial"/>
              </w:rPr>
            </w:pPr>
            <w:r w:rsidRPr="008839BA">
              <w:rPr>
                <w:rFonts w:ascii="Arial" w:eastAsia="Times New Roman" w:hAnsi="Arial" w:cs="Arial"/>
              </w:rPr>
              <w:t>Review</w:t>
            </w:r>
          </w:p>
        </w:tc>
        <w:tc>
          <w:tcPr>
            <w:tcW w:w="0" w:type="auto"/>
            <w:hideMark/>
          </w:tcPr>
          <w:p w14:paraId="19D4F7BD"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Low services and care integration.</w:t>
            </w:r>
          </w:p>
        </w:tc>
        <w:tc>
          <w:tcPr>
            <w:tcW w:w="0" w:type="auto"/>
            <w:hideMark/>
          </w:tcPr>
          <w:p w14:paraId="1A30C6AF"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 xml:space="preserve">Demonstrates </w:t>
            </w:r>
            <w:proofErr w:type="spellStart"/>
            <w:r w:rsidRPr="008839BA">
              <w:rPr>
                <w:rFonts w:ascii="Arial" w:eastAsia="Times New Roman" w:hAnsi="Arial" w:cs="Arial"/>
                <w:color w:val="0E101A"/>
              </w:rPr>
              <w:t>organisational</w:t>
            </w:r>
            <w:proofErr w:type="spellEnd"/>
            <w:r w:rsidRPr="008839BA">
              <w:rPr>
                <w:rFonts w:ascii="Arial" w:eastAsia="Times New Roman" w:hAnsi="Arial" w:cs="Arial"/>
                <w:color w:val="0E101A"/>
              </w:rPr>
              <w:t xml:space="preserve"> obstacles to diagnosis.</w:t>
            </w:r>
          </w:p>
        </w:tc>
      </w:tr>
      <w:tr w:rsidR="00DF0991" w:rsidRPr="008839BA" w14:paraId="6A91CE96" w14:textId="77777777" w:rsidTr="00DF0991">
        <w:tc>
          <w:tcPr>
            <w:tcW w:w="0" w:type="auto"/>
            <w:hideMark/>
          </w:tcPr>
          <w:p w14:paraId="0D2AA444" w14:textId="77777777" w:rsidR="00DF0991" w:rsidRPr="008839BA" w:rsidRDefault="00DF0991" w:rsidP="00DF0991">
            <w:pPr>
              <w:spacing w:before="480" w:line="360" w:lineRule="auto"/>
              <w:jc w:val="both"/>
              <w:rPr>
                <w:rFonts w:ascii="Arial" w:eastAsia="Times New Roman" w:hAnsi="Arial" w:cs="Arial"/>
                <w:b/>
              </w:rPr>
            </w:pPr>
            <w:r w:rsidRPr="008839BA">
              <w:rPr>
                <w:rFonts w:ascii="Arial" w:eastAsia="Times New Roman" w:hAnsi="Arial" w:cs="Arial"/>
                <w:b/>
              </w:rPr>
              <w:t>Morgan (2023)</w:t>
            </w:r>
          </w:p>
        </w:tc>
        <w:tc>
          <w:tcPr>
            <w:tcW w:w="0" w:type="auto"/>
            <w:hideMark/>
          </w:tcPr>
          <w:p w14:paraId="37EC884A"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Delve into the late ADHD diagnosis experiences.</w:t>
            </w:r>
          </w:p>
        </w:tc>
        <w:tc>
          <w:tcPr>
            <w:tcW w:w="0" w:type="auto"/>
            <w:hideMark/>
          </w:tcPr>
          <w:p w14:paraId="08355295" w14:textId="77777777" w:rsidR="00DF0991" w:rsidRPr="008839BA" w:rsidRDefault="00DF0991" w:rsidP="00DF0991">
            <w:pPr>
              <w:spacing w:before="480" w:line="360" w:lineRule="auto"/>
              <w:jc w:val="both"/>
              <w:rPr>
                <w:rFonts w:ascii="Arial" w:eastAsia="Times New Roman" w:hAnsi="Arial" w:cs="Arial"/>
              </w:rPr>
            </w:pPr>
            <w:r w:rsidRPr="008839BA">
              <w:rPr>
                <w:rFonts w:ascii="Arial" w:eastAsia="Times New Roman" w:hAnsi="Arial" w:cs="Arial"/>
              </w:rPr>
              <w:t>Qualitative interviews</w:t>
            </w:r>
          </w:p>
        </w:tc>
        <w:tc>
          <w:tcPr>
            <w:tcW w:w="0" w:type="auto"/>
            <w:hideMark/>
          </w:tcPr>
          <w:p w14:paraId="00ADCD7D"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Slowness caused by poor awareness and gender discrimination.</w:t>
            </w:r>
          </w:p>
        </w:tc>
        <w:tc>
          <w:tcPr>
            <w:tcW w:w="0" w:type="auto"/>
            <w:hideMark/>
          </w:tcPr>
          <w:p w14:paraId="26B0E018" w14:textId="77777777" w:rsidR="00DF0991" w:rsidRPr="008839BA" w:rsidRDefault="00DF0991" w:rsidP="00DF0991">
            <w:pPr>
              <w:spacing w:before="480" w:line="360" w:lineRule="auto"/>
              <w:jc w:val="both"/>
              <w:rPr>
                <w:rFonts w:ascii="Arial" w:eastAsia="Times New Roman" w:hAnsi="Arial" w:cs="Arial"/>
                <w:color w:val="0E101A"/>
              </w:rPr>
            </w:pPr>
            <w:proofErr w:type="gramStart"/>
            <w:r w:rsidRPr="008839BA">
              <w:rPr>
                <w:rFonts w:ascii="Arial" w:eastAsia="Times New Roman" w:hAnsi="Arial" w:cs="Arial"/>
                <w:color w:val="0E101A"/>
              </w:rPr>
              <w:t>Displays</w:t>
            </w:r>
            <w:proofErr w:type="gramEnd"/>
            <w:r w:rsidRPr="008839BA">
              <w:rPr>
                <w:rFonts w:ascii="Arial" w:eastAsia="Times New Roman" w:hAnsi="Arial" w:cs="Arial"/>
                <w:color w:val="0E101A"/>
              </w:rPr>
              <w:t xml:space="preserve"> social and clinical impediments.</w:t>
            </w:r>
          </w:p>
        </w:tc>
      </w:tr>
      <w:tr w:rsidR="00DF0991" w:rsidRPr="008839BA" w14:paraId="58C589D9" w14:textId="77777777" w:rsidTr="00DF0991">
        <w:tc>
          <w:tcPr>
            <w:tcW w:w="0" w:type="auto"/>
            <w:hideMark/>
          </w:tcPr>
          <w:p w14:paraId="76AF3BF9" w14:textId="77777777" w:rsidR="00DF0991" w:rsidRPr="008839BA" w:rsidRDefault="00DF0991" w:rsidP="00DF0991">
            <w:pPr>
              <w:spacing w:before="480" w:line="360" w:lineRule="auto"/>
              <w:jc w:val="both"/>
              <w:rPr>
                <w:rFonts w:ascii="Arial" w:eastAsia="Times New Roman" w:hAnsi="Arial" w:cs="Arial"/>
                <w:b/>
              </w:rPr>
            </w:pPr>
            <w:r w:rsidRPr="008839BA">
              <w:rPr>
                <w:rFonts w:ascii="Arial" w:eastAsia="Times New Roman" w:hAnsi="Arial" w:cs="Arial"/>
                <w:b/>
              </w:rPr>
              <w:t>Ward et al (2024)</w:t>
            </w:r>
          </w:p>
        </w:tc>
        <w:tc>
          <w:tcPr>
            <w:tcW w:w="0" w:type="auto"/>
            <w:hideMark/>
          </w:tcPr>
          <w:p w14:paraId="3B9CC222"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Study the experience of ADHD in England.</w:t>
            </w:r>
          </w:p>
        </w:tc>
        <w:tc>
          <w:tcPr>
            <w:tcW w:w="0" w:type="auto"/>
            <w:hideMark/>
          </w:tcPr>
          <w:p w14:paraId="07D063CD" w14:textId="77777777" w:rsidR="00DF0991" w:rsidRPr="008839BA" w:rsidRDefault="00DF0991" w:rsidP="00DF0991">
            <w:pPr>
              <w:spacing w:before="480" w:line="360" w:lineRule="auto"/>
              <w:jc w:val="both"/>
              <w:rPr>
                <w:rFonts w:ascii="Arial" w:eastAsia="Times New Roman" w:hAnsi="Arial" w:cs="Arial"/>
              </w:rPr>
            </w:pPr>
            <w:r w:rsidRPr="008839BA">
              <w:rPr>
                <w:rFonts w:ascii="Arial" w:eastAsia="Times New Roman" w:hAnsi="Arial" w:cs="Arial"/>
              </w:rPr>
              <w:t>National survey</w:t>
            </w:r>
          </w:p>
        </w:tc>
        <w:tc>
          <w:tcPr>
            <w:tcW w:w="0" w:type="auto"/>
            <w:hideMark/>
          </w:tcPr>
          <w:p w14:paraId="609173F5"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Problem getting ADHD services.</w:t>
            </w:r>
          </w:p>
        </w:tc>
        <w:tc>
          <w:tcPr>
            <w:tcW w:w="0" w:type="auto"/>
            <w:hideMark/>
          </w:tcPr>
          <w:p w14:paraId="471A5898"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Illuminates the healthcare barriers on the systemic level.</w:t>
            </w:r>
          </w:p>
        </w:tc>
      </w:tr>
      <w:tr w:rsidR="00DF0991" w:rsidRPr="008839BA" w14:paraId="3118353F" w14:textId="77777777" w:rsidTr="00DF0991">
        <w:tc>
          <w:tcPr>
            <w:tcW w:w="0" w:type="auto"/>
            <w:hideMark/>
          </w:tcPr>
          <w:p w14:paraId="2D462060" w14:textId="77777777" w:rsidR="00DF0991" w:rsidRPr="008839BA" w:rsidRDefault="00DF0991" w:rsidP="00DF0991">
            <w:pPr>
              <w:spacing w:before="480" w:line="360" w:lineRule="auto"/>
              <w:jc w:val="both"/>
              <w:rPr>
                <w:rFonts w:ascii="Arial" w:eastAsia="Times New Roman" w:hAnsi="Arial" w:cs="Arial"/>
                <w:b/>
              </w:rPr>
            </w:pPr>
            <w:r w:rsidRPr="008839BA">
              <w:rPr>
                <w:rFonts w:ascii="Arial" w:eastAsia="Times New Roman" w:hAnsi="Arial" w:cs="Arial"/>
                <w:b/>
              </w:rPr>
              <w:t>Wills and Chakraborty (2026)</w:t>
            </w:r>
          </w:p>
        </w:tc>
        <w:tc>
          <w:tcPr>
            <w:tcW w:w="0" w:type="auto"/>
            <w:hideMark/>
          </w:tcPr>
          <w:p w14:paraId="7654D4D8"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The second study is on late diagnosis among women.</w:t>
            </w:r>
          </w:p>
        </w:tc>
        <w:tc>
          <w:tcPr>
            <w:tcW w:w="0" w:type="auto"/>
            <w:hideMark/>
          </w:tcPr>
          <w:p w14:paraId="2F7657BC" w14:textId="77777777" w:rsidR="00DF0991" w:rsidRPr="008839BA" w:rsidRDefault="00DF0991" w:rsidP="00DF0991">
            <w:pPr>
              <w:spacing w:before="480" w:line="360" w:lineRule="auto"/>
              <w:jc w:val="both"/>
              <w:rPr>
                <w:rFonts w:ascii="Arial" w:eastAsia="Times New Roman" w:hAnsi="Arial" w:cs="Arial"/>
              </w:rPr>
            </w:pPr>
            <w:r w:rsidRPr="008839BA">
              <w:rPr>
                <w:rFonts w:ascii="Arial" w:eastAsia="Times New Roman" w:hAnsi="Arial" w:cs="Arial"/>
              </w:rPr>
              <w:t>Qualitative study</w:t>
            </w:r>
          </w:p>
        </w:tc>
        <w:tc>
          <w:tcPr>
            <w:tcW w:w="0" w:type="auto"/>
            <w:hideMark/>
          </w:tcPr>
          <w:p w14:paraId="6A10851C"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Sex discrimination and wrong diagnosis.</w:t>
            </w:r>
          </w:p>
        </w:tc>
        <w:tc>
          <w:tcPr>
            <w:tcW w:w="0" w:type="auto"/>
            <w:hideMark/>
          </w:tcPr>
          <w:p w14:paraId="16CF7DC2"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Shows diagnostic delays</w:t>
            </w:r>
          </w:p>
        </w:tc>
      </w:tr>
      <w:tr w:rsidR="00DF0991" w:rsidRPr="008839BA" w14:paraId="54E8EB0C" w14:textId="77777777" w:rsidTr="00DF0991">
        <w:tc>
          <w:tcPr>
            <w:tcW w:w="0" w:type="auto"/>
            <w:hideMark/>
          </w:tcPr>
          <w:p w14:paraId="08BF8D74" w14:textId="77777777" w:rsidR="00DF0991" w:rsidRPr="008839BA" w:rsidRDefault="00DF0991" w:rsidP="00DF0991">
            <w:pPr>
              <w:spacing w:before="480" w:line="360" w:lineRule="auto"/>
              <w:jc w:val="both"/>
              <w:rPr>
                <w:rFonts w:ascii="Arial" w:eastAsia="Times New Roman" w:hAnsi="Arial" w:cs="Arial"/>
                <w:b/>
              </w:rPr>
            </w:pPr>
            <w:r w:rsidRPr="008839BA">
              <w:rPr>
                <w:rFonts w:ascii="Arial" w:eastAsia="Times New Roman" w:hAnsi="Arial" w:cs="Arial"/>
                <w:b/>
              </w:rPr>
              <w:t>Young et al (2022)</w:t>
            </w:r>
          </w:p>
        </w:tc>
        <w:tc>
          <w:tcPr>
            <w:tcW w:w="0" w:type="auto"/>
            <w:hideMark/>
          </w:tcPr>
          <w:p w14:paraId="37A24D45"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Review adult ADHD diagnosis and treatment in the UK.</w:t>
            </w:r>
          </w:p>
        </w:tc>
        <w:tc>
          <w:tcPr>
            <w:tcW w:w="0" w:type="auto"/>
            <w:hideMark/>
          </w:tcPr>
          <w:p w14:paraId="687B1765" w14:textId="77777777" w:rsidR="00DF0991" w:rsidRPr="008839BA" w:rsidRDefault="00DF0991" w:rsidP="00DF0991">
            <w:pPr>
              <w:spacing w:before="480" w:line="360" w:lineRule="auto"/>
              <w:jc w:val="both"/>
              <w:rPr>
                <w:rFonts w:ascii="Arial" w:eastAsia="Times New Roman" w:hAnsi="Arial" w:cs="Arial"/>
              </w:rPr>
            </w:pPr>
            <w:r w:rsidRPr="008839BA">
              <w:rPr>
                <w:rFonts w:ascii="Arial" w:eastAsia="Times New Roman" w:hAnsi="Arial" w:cs="Arial"/>
              </w:rPr>
              <w:t>Literature review</w:t>
            </w:r>
          </w:p>
        </w:tc>
        <w:tc>
          <w:tcPr>
            <w:tcW w:w="0" w:type="auto"/>
            <w:hideMark/>
          </w:tcPr>
          <w:p w14:paraId="553D7AE5"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 xml:space="preserve">Big queues and a shortage of </w:t>
            </w:r>
            <w:proofErr w:type="spellStart"/>
            <w:r w:rsidRPr="008839BA">
              <w:rPr>
                <w:rFonts w:ascii="Arial" w:eastAsia="Times New Roman" w:hAnsi="Arial" w:cs="Arial"/>
                <w:color w:val="0E101A"/>
              </w:rPr>
              <w:t>specialised</w:t>
            </w:r>
            <w:proofErr w:type="spellEnd"/>
            <w:r w:rsidRPr="008839BA">
              <w:rPr>
                <w:rFonts w:ascii="Arial" w:eastAsia="Times New Roman" w:hAnsi="Arial" w:cs="Arial"/>
                <w:color w:val="0E101A"/>
              </w:rPr>
              <w:t xml:space="preserve"> services.</w:t>
            </w:r>
          </w:p>
        </w:tc>
        <w:tc>
          <w:tcPr>
            <w:tcW w:w="0" w:type="auto"/>
            <w:hideMark/>
          </w:tcPr>
          <w:p w14:paraId="32A0910A" w14:textId="77777777" w:rsidR="00DF0991" w:rsidRPr="008839BA" w:rsidRDefault="00DF0991" w:rsidP="00DF0991">
            <w:pPr>
              <w:spacing w:before="480" w:line="360" w:lineRule="auto"/>
              <w:jc w:val="both"/>
              <w:rPr>
                <w:rFonts w:ascii="Arial" w:eastAsia="Times New Roman" w:hAnsi="Arial" w:cs="Arial"/>
                <w:color w:val="0E101A"/>
              </w:rPr>
            </w:pPr>
            <w:r w:rsidRPr="008839BA">
              <w:rPr>
                <w:rFonts w:ascii="Arial" w:eastAsia="Times New Roman" w:hAnsi="Arial" w:cs="Arial"/>
                <w:color w:val="0E101A"/>
              </w:rPr>
              <w:t>Illuminates obstacles to access to services.</w:t>
            </w:r>
          </w:p>
        </w:tc>
      </w:tr>
    </w:tbl>
    <w:p w14:paraId="068E10F7" w14:textId="77777777" w:rsidR="00DF0991" w:rsidRPr="008839BA" w:rsidRDefault="00DF0991" w:rsidP="00DF0991">
      <w:pPr>
        <w:pStyle w:val="Heading2"/>
        <w:spacing w:before="480" w:line="360" w:lineRule="auto"/>
        <w:jc w:val="both"/>
        <w:rPr>
          <w:rFonts w:ascii="Arial" w:hAnsi="Arial" w:cs="Arial"/>
          <w:sz w:val="22"/>
          <w:szCs w:val="22"/>
        </w:rPr>
      </w:pPr>
      <w:bookmarkStart w:id="17" w:name="_Toc224136326"/>
      <w:r w:rsidRPr="008839BA">
        <w:rPr>
          <w:rFonts w:ascii="Arial" w:eastAsia="Times New Roman" w:hAnsi="Arial" w:cs="Arial"/>
          <w:sz w:val="22"/>
          <w:szCs w:val="22"/>
        </w:rPr>
        <w:lastRenderedPageBreak/>
        <w:t>Theme 1: Limited Access to Specialist Services</w:t>
      </w:r>
      <w:bookmarkEnd w:id="17"/>
      <w:r w:rsidRPr="008839BA">
        <w:rPr>
          <w:rFonts w:ascii="Arial" w:hAnsi="Arial" w:cs="Arial"/>
          <w:sz w:val="22"/>
          <w:szCs w:val="22"/>
        </w:rPr>
        <w:t xml:space="preserve"> </w:t>
      </w:r>
    </w:p>
    <w:p w14:paraId="132D92E6"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One of the barriers to special ADHD services is also access to such services in the UK. Adult ADHD clinics are scanty, particularly in non-urban areas, and waiting lists are high (Gizaw e</w:t>
      </w:r>
      <w:r w:rsidRPr="008839BA">
        <w:rPr>
          <w:rFonts w:ascii="Arial" w:hAnsi="Arial" w:cs="Arial"/>
          <w:i/>
        </w:rPr>
        <w:t>t al.,</w:t>
      </w:r>
      <w:r w:rsidRPr="008839BA">
        <w:rPr>
          <w:rFonts w:ascii="Arial" w:hAnsi="Arial" w:cs="Arial"/>
        </w:rPr>
        <w:t xml:space="preserve"> 2022). </w:t>
      </w:r>
    </w:p>
    <w:p w14:paraId="566939C0" w14:textId="77777777" w:rsidR="00DF0991" w:rsidRPr="008839BA" w:rsidRDefault="00DF0991" w:rsidP="00DF0991">
      <w:pPr>
        <w:pStyle w:val="Heading2"/>
        <w:spacing w:before="480" w:line="360" w:lineRule="auto"/>
        <w:jc w:val="both"/>
        <w:rPr>
          <w:rFonts w:ascii="Arial" w:hAnsi="Arial" w:cs="Arial"/>
          <w:sz w:val="22"/>
          <w:szCs w:val="22"/>
        </w:rPr>
      </w:pPr>
      <w:bookmarkStart w:id="18" w:name="_Toc224136327"/>
      <w:r w:rsidRPr="008839BA">
        <w:rPr>
          <w:rFonts w:ascii="Arial" w:eastAsia="Times New Roman" w:hAnsi="Arial" w:cs="Arial"/>
          <w:sz w:val="22"/>
          <w:szCs w:val="22"/>
        </w:rPr>
        <w:t>Theme 2: Lack of Awareness and Training Among Healthcare Professionals</w:t>
      </w:r>
      <w:bookmarkEnd w:id="18"/>
      <w:r w:rsidRPr="008839BA">
        <w:rPr>
          <w:rFonts w:ascii="Arial" w:hAnsi="Arial" w:cs="Arial"/>
          <w:sz w:val="22"/>
          <w:szCs w:val="22"/>
        </w:rPr>
        <w:t xml:space="preserve"> </w:t>
      </w:r>
    </w:p>
    <w:p w14:paraId="1DD95D6F"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Healthcare providers also lack knowledge of adult ADHD, with poor recognition. ADHD is regarded as more of a childhood disorder, and the absence of proper training may bring down the effectiveness of clinicians.</w:t>
      </w:r>
    </w:p>
    <w:p w14:paraId="36E22745" w14:textId="77777777" w:rsidR="00DF0991" w:rsidRPr="008839BA" w:rsidRDefault="00DF0991" w:rsidP="00DF0991">
      <w:pPr>
        <w:pStyle w:val="Heading2"/>
        <w:spacing w:before="480" w:line="360" w:lineRule="auto"/>
        <w:jc w:val="both"/>
        <w:rPr>
          <w:rFonts w:ascii="Arial" w:hAnsi="Arial" w:cs="Arial"/>
          <w:sz w:val="22"/>
          <w:szCs w:val="22"/>
        </w:rPr>
      </w:pPr>
      <w:bookmarkStart w:id="19" w:name="_Toc224136328"/>
      <w:r w:rsidRPr="008839BA">
        <w:rPr>
          <w:rFonts w:ascii="Arial" w:eastAsia="Times New Roman" w:hAnsi="Arial" w:cs="Arial"/>
          <w:sz w:val="22"/>
          <w:szCs w:val="22"/>
        </w:rPr>
        <w:t>Theme 3: Complex Referral Pathways</w:t>
      </w:r>
      <w:bookmarkEnd w:id="19"/>
      <w:r w:rsidRPr="008839BA">
        <w:rPr>
          <w:rFonts w:ascii="Arial" w:hAnsi="Arial" w:cs="Arial"/>
          <w:sz w:val="22"/>
          <w:szCs w:val="22"/>
        </w:rPr>
        <w:t xml:space="preserve"> </w:t>
      </w:r>
    </w:p>
    <w:p w14:paraId="1D094188"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The complicated nature of referral channels in the health services of the UK leads to delays in diagnosis. Adults make numerous appointments before seeking the services of specialists who design time-consuming systems, accelerating access to evaluation and appropriate therapy (White </w:t>
      </w:r>
      <w:r w:rsidRPr="008839BA">
        <w:rPr>
          <w:rFonts w:ascii="Arial" w:hAnsi="Arial" w:cs="Arial"/>
          <w:i/>
        </w:rPr>
        <w:t>et al.,</w:t>
      </w:r>
      <w:r w:rsidRPr="008839BA">
        <w:rPr>
          <w:rFonts w:ascii="Arial" w:hAnsi="Arial" w:cs="Arial"/>
        </w:rPr>
        <w:t xml:space="preserve"> 2025).</w:t>
      </w:r>
    </w:p>
    <w:p w14:paraId="0723D27B" w14:textId="77777777" w:rsidR="00DF0991" w:rsidRPr="008839BA" w:rsidRDefault="00DF0991" w:rsidP="00DF0991">
      <w:pPr>
        <w:pStyle w:val="Heading2"/>
        <w:spacing w:before="480" w:line="360" w:lineRule="auto"/>
        <w:jc w:val="both"/>
        <w:rPr>
          <w:rFonts w:ascii="Arial" w:hAnsi="Arial" w:cs="Arial"/>
          <w:sz w:val="22"/>
          <w:szCs w:val="22"/>
        </w:rPr>
      </w:pPr>
      <w:bookmarkStart w:id="20" w:name="_Toc224136329"/>
      <w:r w:rsidRPr="008839BA">
        <w:rPr>
          <w:rFonts w:ascii="Arial" w:eastAsia="Times New Roman" w:hAnsi="Arial" w:cs="Arial"/>
          <w:sz w:val="22"/>
          <w:szCs w:val="22"/>
        </w:rPr>
        <w:t xml:space="preserve">Theme 4: Stigma and </w:t>
      </w:r>
      <w:proofErr w:type="gramStart"/>
      <w:r w:rsidRPr="008839BA">
        <w:rPr>
          <w:rFonts w:ascii="Arial" w:eastAsia="Times New Roman" w:hAnsi="Arial" w:cs="Arial"/>
          <w:sz w:val="22"/>
          <w:szCs w:val="22"/>
        </w:rPr>
        <w:t>Misunderstanding</w:t>
      </w:r>
      <w:proofErr w:type="gramEnd"/>
      <w:r w:rsidRPr="008839BA">
        <w:rPr>
          <w:rFonts w:ascii="Arial" w:eastAsia="Times New Roman" w:hAnsi="Arial" w:cs="Arial"/>
          <w:sz w:val="22"/>
          <w:szCs w:val="22"/>
        </w:rPr>
        <w:t xml:space="preserve"> of ADHD</w:t>
      </w:r>
      <w:bookmarkEnd w:id="20"/>
      <w:r w:rsidRPr="008839BA">
        <w:rPr>
          <w:rFonts w:ascii="Arial" w:hAnsi="Arial" w:cs="Arial"/>
          <w:sz w:val="22"/>
          <w:szCs w:val="22"/>
        </w:rPr>
        <w:t xml:space="preserve"> </w:t>
      </w:r>
    </w:p>
    <w:p w14:paraId="044E6485"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There might be prejudice and misunderstanding related to ADHD, which can lower the willingness of patients to seek assistance. Fear of stigma and stereotypes about the symptoms might be the potential reasons for late diagnoses or poor understanding of ADHD.</w:t>
      </w:r>
    </w:p>
    <w:p w14:paraId="4E72FFC2" w14:textId="77777777" w:rsidR="00DF0991" w:rsidRPr="008839BA" w:rsidRDefault="00DF0991" w:rsidP="00DF0991">
      <w:pPr>
        <w:spacing w:before="480" w:line="360" w:lineRule="auto"/>
        <w:jc w:val="both"/>
        <w:rPr>
          <w:rFonts w:ascii="Arial" w:eastAsiaTheme="majorEastAsia" w:hAnsi="Arial" w:cs="Arial"/>
          <w:b/>
          <w:bCs/>
          <w:color w:val="4F81BD" w:themeColor="accent1"/>
        </w:rPr>
      </w:pPr>
      <w:r w:rsidRPr="008839BA">
        <w:rPr>
          <w:rFonts w:ascii="Arial" w:hAnsi="Arial" w:cs="Arial"/>
        </w:rPr>
        <w:br w:type="page"/>
      </w:r>
    </w:p>
    <w:p w14:paraId="2CCA8D38" w14:textId="77777777" w:rsidR="00DF0991" w:rsidRPr="008839BA" w:rsidRDefault="00DF0991" w:rsidP="00DF0991">
      <w:pPr>
        <w:pStyle w:val="Heading1"/>
        <w:spacing w:line="360" w:lineRule="auto"/>
        <w:jc w:val="both"/>
        <w:rPr>
          <w:rFonts w:ascii="Arial" w:hAnsi="Arial" w:cs="Arial"/>
          <w:sz w:val="22"/>
          <w:szCs w:val="22"/>
        </w:rPr>
      </w:pPr>
      <w:bookmarkStart w:id="21" w:name="_Toc224136330"/>
      <w:r w:rsidRPr="008839BA">
        <w:rPr>
          <w:rFonts w:ascii="Arial" w:hAnsi="Arial" w:cs="Arial"/>
          <w:sz w:val="22"/>
          <w:szCs w:val="22"/>
        </w:rPr>
        <w:lastRenderedPageBreak/>
        <w:t>e) Discussion</w:t>
      </w:r>
      <w:bookmarkEnd w:id="21"/>
      <w:r w:rsidRPr="008839BA">
        <w:rPr>
          <w:rFonts w:ascii="Arial" w:hAnsi="Arial" w:cs="Arial"/>
          <w:sz w:val="22"/>
          <w:szCs w:val="22"/>
        </w:rPr>
        <w:t xml:space="preserve"> </w:t>
      </w:r>
    </w:p>
    <w:p w14:paraId="71986BB7" w14:textId="77777777" w:rsidR="00DF0991" w:rsidRPr="008839BA" w:rsidRDefault="00DF0991" w:rsidP="00DF0991">
      <w:pPr>
        <w:pStyle w:val="Heading2"/>
        <w:spacing w:before="480" w:line="360" w:lineRule="auto"/>
        <w:jc w:val="both"/>
        <w:rPr>
          <w:rFonts w:ascii="Arial" w:hAnsi="Arial" w:cs="Arial"/>
          <w:sz w:val="22"/>
          <w:szCs w:val="22"/>
        </w:rPr>
      </w:pPr>
      <w:bookmarkStart w:id="22" w:name="_Toc224136331"/>
      <w:r w:rsidRPr="008839BA">
        <w:rPr>
          <w:rFonts w:ascii="Arial" w:hAnsi="Arial" w:cs="Arial"/>
          <w:sz w:val="22"/>
          <w:szCs w:val="22"/>
        </w:rPr>
        <w:t>Comparison of Findings</w:t>
      </w:r>
      <w:bookmarkEnd w:id="22"/>
    </w:p>
    <w:p w14:paraId="7F694B88"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According to Aveyard (2014</w:t>
      </w:r>
      <w:proofErr w:type="gramStart"/>
      <w:r w:rsidRPr="008839BA">
        <w:rPr>
          <w:rFonts w:ascii="Arial" w:hAnsi="Arial" w:cs="Arial"/>
        </w:rPr>
        <w:t>), consequently</w:t>
      </w:r>
      <w:proofErr w:type="gramEnd"/>
      <w:r w:rsidRPr="008839BA">
        <w:rPr>
          <w:rFonts w:ascii="Arial" w:hAnsi="Arial" w:cs="Arial"/>
        </w:rPr>
        <w:t xml:space="preserve">, several routine trends are observed regarding the challenges to the diagnosis of adult ADHD in terms of the UK health services. The existence of structural imbalance within healthcare systems has been quoted in many works as a significant influence on the accessibility of available diagnosis. Such limited access to specialist adult ADHD services was identified as one of the most common results. Several research studies indicated that there are few clinics dealing with adult ADHD, thus giving </w:t>
      </w:r>
      <w:proofErr w:type="gramStart"/>
      <w:r w:rsidRPr="008839BA">
        <w:rPr>
          <w:rFonts w:ascii="Arial" w:hAnsi="Arial" w:cs="Arial"/>
        </w:rPr>
        <w:t>a propensity</w:t>
      </w:r>
      <w:proofErr w:type="gramEnd"/>
      <w:r w:rsidRPr="008839BA">
        <w:rPr>
          <w:rFonts w:ascii="Arial" w:hAnsi="Arial" w:cs="Arial"/>
        </w:rPr>
        <w:t xml:space="preserve"> to long queues in the course of the assessment and diagnosis. The National Health Service in the UK is playing an active role in the services involved in the diagnosis and treatment of ADHD; as demand is on the rise, there are few specialists available to render the </w:t>
      </w:r>
      <w:proofErr w:type="gramStart"/>
      <w:r w:rsidRPr="008839BA">
        <w:rPr>
          <w:rFonts w:ascii="Arial" w:hAnsi="Arial" w:cs="Arial"/>
        </w:rPr>
        <w:t>needed services</w:t>
      </w:r>
      <w:proofErr w:type="gramEnd"/>
      <w:r w:rsidRPr="008839BA">
        <w:rPr>
          <w:rFonts w:ascii="Arial" w:hAnsi="Arial" w:cs="Arial"/>
        </w:rPr>
        <w:t xml:space="preserve"> to the adult population. </w:t>
      </w:r>
    </w:p>
    <w:p w14:paraId="05838A95"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On the other hand, Cortese (2025), describes that the research problem involved </w:t>
      </w:r>
      <w:proofErr w:type="gramStart"/>
      <w:r w:rsidRPr="008839BA">
        <w:rPr>
          <w:rFonts w:ascii="Arial" w:hAnsi="Arial" w:cs="Arial"/>
        </w:rPr>
        <w:t>the ignorance</w:t>
      </w:r>
      <w:proofErr w:type="gramEnd"/>
      <w:r w:rsidRPr="008839BA">
        <w:rPr>
          <w:rFonts w:ascii="Arial" w:hAnsi="Arial" w:cs="Arial"/>
        </w:rPr>
        <w:t xml:space="preserve"> and lack of awareness of adult ADHD by the healthcare providers. Research showed that ADHD is a disorder that has always been associated with childhood, and this is the reason why the disorder was not diagnosed adequately in adulthood. Perhaps most general practitioners are less trained in the ability to diagnose the symptoms of ADHD in adult patients, meaning that they do not refer to the specialist services in a timely manner. Such ignorance may also lead to the wrong interpretation of the symptoms because the symptoms of ADHD in adult life are associated with other mental illnesses, like anxiety or depression.</w:t>
      </w:r>
    </w:p>
    <w:p w14:paraId="22683871"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Despite these similarities, Faugno </w:t>
      </w:r>
      <w:r w:rsidRPr="008839BA">
        <w:rPr>
          <w:rFonts w:ascii="Arial" w:hAnsi="Arial" w:cs="Arial"/>
          <w:i/>
        </w:rPr>
        <w:t>et al</w:t>
      </w:r>
      <w:r w:rsidRPr="008839BA">
        <w:rPr>
          <w:rFonts w:ascii="Arial" w:hAnsi="Arial" w:cs="Arial"/>
        </w:rPr>
        <w:t xml:space="preserve"> (2025) possess a few differences in their findings. The structural barriers, such as the lack of information on how to seek help or time lag in </w:t>
      </w:r>
      <w:proofErr w:type="gramStart"/>
      <w:r w:rsidRPr="008839BA">
        <w:rPr>
          <w:rFonts w:ascii="Arial" w:hAnsi="Arial" w:cs="Arial"/>
        </w:rPr>
        <w:t>referral, were subject</w:t>
      </w:r>
      <w:proofErr w:type="gramEnd"/>
      <w:r w:rsidRPr="008839BA">
        <w:rPr>
          <w:rFonts w:ascii="Arial" w:hAnsi="Arial" w:cs="Arial"/>
        </w:rPr>
        <w:t xml:space="preserve"> to some of the studies, whereas social causes, such as stigma and misconceptions about ADHD, were the subject of others. Some studies proposed this by suggesting the fear that an adult will doubt that he or she should seek assessment due to the fear of being misunderstood or labeled. Besides, the disparity in the methodology employed in various studies also contributed to the disparity in the reported results. </w:t>
      </w:r>
    </w:p>
    <w:p w14:paraId="134A1761"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Comparatively, Abdelnour </w:t>
      </w:r>
      <w:r w:rsidRPr="008839BA">
        <w:rPr>
          <w:rFonts w:ascii="Arial" w:hAnsi="Arial" w:cs="Arial"/>
          <w:i/>
        </w:rPr>
        <w:t>et al</w:t>
      </w:r>
      <w:r w:rsidRPr="008839BA">
        <w:rPr>
          <w:rFonts w:ascii="Arial" w:hAnsi="Arial" w:cs="Arial"/>
        </w:rPr>
        <w:t xml:space="preserve"> (2022) assumed that the quantitative research was more likely to be focused on the assessment of waiting time or the availability of the services, and quantitative </w:t>
      </w:r>
      <w:r w:rsidRPr="008839BA">
        <w:rPr>
          <w:rFonts w:ascii="Arial" w:hAnsi="Arial" w:cs="Arial"/>
        </w:rPr>
        <w:lastRenderedPageBreak/>
        <w:t xml:space="preserve">research studies were predisposed to examine the experiences of the patients along the diagnostic paths. These differences in research design were able to provide complementary information on </w:t>
      </w:r>
      <w:proofErr w:type="gramStart"/>
      <w:r w:rsidRPr="008839BA">
        <w:rPr>
          <w:rFonts w:ascii="Arial" w:hAnsi="Arial" w:cs="Arial"/>
        </w:rPr>
        <w:t>the various</w:t>
      </w:r>
      <w:proofErr w:type="gramEnd"/>
      <w:r w:rsidRPr="008839BA">
        <w:rPr>
          <w:rFonts w:ascii="Arial" w:hAnsi="Arial" w:cs="Arial"/>
        </w:rPr>
        <w:t xml:space="preserve"> issues related to the diagnosis of adult ADHD. All together, these combined pieces of evidence indicate that the obstacles to adult diagnosis of ADHD are brought about by various factors that include the obstacles within the healthcare system, professional knowledge deficiency, and social perception of the illness. </w:t>
      </w:r>
    </w:p>
    <w:p w14:paraId="1C6F8CED" w14:textId="77777777" w:rsidR="00DF0991" w:rsidRPr="008839BA" w:rsidRDefault="00DF0991" w:rsidP="00DF0991">
      <w:pPr>
        <w:pStyle w:val="Heading2"/>
        <w:spacing w:before="480" w:line="360" w:lineRule="auto"/>
        <w:jc w:val="both"/>
        <w:rPr>
          <w:rFonts w:ascii="Arial" w:hAnsi="Arial" w:cs="Arial"/>
          <w:sz w:val="22"/>
          <w:szCs w:val="22"/>
        </w:rPr>
      </w:pPr>
      <w:bookmarkStart w:id="23" w:name="_Toc224136332"/>
      <w:r w:rsidRPr="008839BA">
        <w:rPr>
          <w:rFonts w:ascii="Arial" w:hAnsi="Arial" w:cs="Arial"/>
          <w:sz w:val="22"/>
          <w:szCs w:val="22"/>
        </w:rPr>
        <w:t>Research Gaps</w:t>
      </w:r>
      <w:bookmarkEnd w:id="23"/>
    </w:p>
    <w:p w14:paraId="7E7E2BC6"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There exist certain deficiencies in the literature regarding the main facts of the barriers in the diagnosis of adult ADHD. Among the core gaps, the inaccessibility of </w:t>
      </w:r>
      <w:proofErr w:type="gramStart"/>
      <w:r w:rsidRPr="008839BA">
        <w:rPr>
          <w:rFonts w:ascii="Arial" w:hAnsi="Arial" w:cs="Arial"/>
        </w:rPr>
        <w:t>the long</w:t>
      </w:r>
      <w:proofErr w:type="gramEnd"/>
      <w:r w:rsidRPr="008839BA">
        <w:rPr>
          <w:rFonts w:ascii="Arial" w:hAnsi="Arial" w:cs="Arial"/>
        </w:rPr>
        <w:t xml:space="preserve">-term research that would explore the influence of diagnostic barriers on long-term patient outcomes is listed. Much research will be focused on uncovering the hindering factors of the healthcare system, but little research will be done on the long-term outcomes of delayed diagnosis on the mental stability, work, or even life quality of individuals. Although smaller studies may provide useful qualitative information on whether or not the patients experience the condition, smaller studies may not always be </w:t>
      </w:r>
      <w:proofErr w:type="spellStart"/>
      <w:r w:rsidRPr="008839BA">
        <w:rPr>
          <w:rFonts w:ascii="Arial" w:hAnsi="Arial" w:cs="Arial"/>
        </w:rPr>
        <w:t>generalisable</w:t>
      </w:r>
      <w:proofErr w:type="spellEnd"/>
      <w:r w:rsidRPr="008839BA">
        <w:rPr>
          <w:rFonts w:ascii="Arial" w:hAnsi="Arial" w:cs="Arial"/>
        </w:rPr>
        <w:t xml:space="preserve"> to the whole adult population who wants to seek an ADHD diagnosis. Conducting more research on diverse participants would provide more solid evidence regarding the prevalence and importance of the barriers to diagnosis in different regions and health facilities (McKenna </w:t>
      </w:r>
      <w:r w:rsidRPr="008839BA">
        <w:rPr>
          <w:rFonts w:ascii="Arial" w:hAnsi="Arial" w:cs="Arial"/>
          <w:i/>
        </w:rPr>
        <w:t>et al.,</w:t>
      </w:r>
      <w:r w:rsidRPr="008839BA">
        <w:rPr>
          <w:rFonts w:ascii="Arial" w:hAnsi="Arial" w:cs="Arial"/>
        </w:rPr>
        <w:t xml:space="preserve"> 2024).</w:t>
      </w:r>
    </w:p>
    <w:p w14:paraId="4962364D"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The other gap would be based on the lack of research that will investigate regional differences in the availability of ADHD diagnostic services in the UK. According to other studies, there could be a significant disparity between the availability of services to the urban and rural areas, but few studies have been done to examine them systematically. Additionally, there is little research concerning the perceptions of medical practitioners regarding the issue of the diagnosis of adult ADHD. A number of studies give attention to the experiences of patients, but a lesser number are concerned with the challenges of the clinician in identifying and diagnosing ADHD in adults. The additional research of the experiences of medical workers may remain informative on training preferences and the way the clinical practice may be enhanced (</w:t>
      </w:r>
      <w:proofErr w:type="spellStart"/>
      <w:r w:rsidRPr="008839BA">
        <w:rPr>
          <w:rFonts w:ascii="Arial" w:hAnsi="Arial" w:cs="Arial"/>
        </w:rPr>
        <w:t>Maciver</w:t>
      </w:r>
      <w:proofErr w:type="spellEnd"/>
      <w:r w:rsidRPr="008839BA">
        <w:rPr>
          <w:rFonts w:ascii="Arial" w:hAnsi="Arial" w:cs="Arial"/>
        </w:rPr>
        <w:t xml:space="preserve"> </w:t>
      </w:r>
      <w:r w:rsidRPr="008839BA">
        <w:rPr>
          <w:rFonts w:ascii="Arial" w:hAnsi="Arial" w:cs="Arial"/>
          <w:i/>
        </w:rPr>
        <w:t>et al.,</w:t>
      </w:r>
      <w:r w:rsidRPr="008839BA">
        <w:rPr>
          <w:rFonts w:ascii="Arial" w:hAnsi="Arial" w:cs="Arial"/>
        </w:rPr>
        <w:t xml:space="preserve"> 2025).</w:t>
      </w:r>
    </w:p>
    <w:p w14:paraId="57CA0D0D"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Although certain studies have been done that reveal there are several barriers in the diagnosis of adult ADHD in the UK, it is evident that more research studies should be done to build on the </w:t>
      </w:r>
      <w:r w:rsidRPr="008839BA">
        <w:rPr>
          <w:rFonts w:ascii="Arial" w:hAnsi="Arial" w:cs="Arial"/>
        </w:rPr>
        <w:lastRenderedPageBreak/>
        <w:t xml:space="preserve">evidence base. Inadequate research on disparities in service delivery and accessibility to expert treatment in certain areas has also led to even further research. Interestingly enough, an analysis of the perspectives of the healthcare providers could provide a thrilling opportunity to find out which challenges in diagnosing, what parts of the training, and what supplies in the sphere of clinical practice are required to make the diagnosis of adult ADHD less complicated and more successful (Sedgwick-Muller </w:t>
      </w:r>
      <w:r w:rsidRPr="008839BA">
        <w:rPr>
          <w:rFonts w:ascii="Arial" w:hAnsi="Arial" w:cs="Arial"/>
          <w:i/>
        </w:rPr>
        <w:t>et al.,</w:t>
      </w:r>
      <w:r w:rsidRPr="008839BA">
        <w:rPr>
          <w:rFonts w:ascii="Arial" w:hAnsi="Arial" w:cs="Arial"/>
        </w:rPr>
        <w:t xml:space="preserve"> 2022).</w:t>
      </w:r>
    </w:p>
    <w:p w14:paraId="7D6386D5" w14:textId="77777777" w:rsidR="00DF0991" w:rsidRPr="008839BA" w:rsidRDefault="00DF0991" w:rsidP="00DF0991">
      <w:pPr>
        <w:pStyle w:val="Heading2"/>
        <w:spacing w:before="480" w:line="360" w:lineRule="auto"/>
        <w:jc w:val="both"/>
        <w:rPr>
          <w:rFonts w:ascii="Arial" w:hAnsi="Arial" w:cs="Arial"/>
          <w:sz w:val="22"/>
          <w:szCs w:val="22"/>
        </w:rPr>
      </w:pPr>
      <w:bookmarkStart w:id="24" w:name="_Toc224136333"/>
      <w:r w:rsidRPr="008839BA">
        <w:rPr>
          <w:rFonts w:ascii="Arial" w:hAnsi="Arial" w:cs="Arial"/>
          <w:sz w:val="22"/>
          <w:szCs w:val="22"/>
        </w:rPr>
        <w:t>Theoretical Implications for Healthcare Practice</w:t>
      </w:r>
      <w:bookmarkEnd w:id="24"/>
    </w:p>
    <w:p w14:paraId="6E3894C9"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This review has several implications for healthcare practice. In order to remove the hindrances to the diagnosis of the old adult attention deficit hypothesis, the healthcare systems, both </w:t>
      </w:r>
      <w:proofErr w:type="gramStart"/>
      <w:r w:rsidRPr="008839BA">
        <w:rPr>
          <w:rFonts w:ascii="Arial" w:hAnsi="Arial" w:cs="Arial"/>
        </w:rPr>
        <w:t>the professional</w:t>
      </w:r>
      <w:proofErr w:type="gramEnd"/>
      <w:r w:rsidRPr="008839BA">
        <w:rPr>
          <w:rFonts w:ascii="Arial" w:hAnsi="Arial" w:cs="Arial"/>
        </w:rPr>
        <w:t xml:space="preserve"> training, must be enhanced. One of the relatively </w:t>
      </w:r>
      <w:proofErr w:type="gramStart"/>
      <w:r w:rsidRPr="008839BA">
        <w:rPr>
          <w:rFonts w:ascii="Arial" w:hAnsi="Arial" w:cs="Arial"/>
        </w:rPr>
        <w:t>crucial disease</w:t>
      </w:r>
      <w:proofErr w:type="gramEnd"/>
      <w:r w:rsidRPr="008839BA">
        <w:rPr>
          <w:rFonts w:ascii="Arial" w:hAnsi="Arial" w:cs="Arial"/>
        </w:rPr>
        <w:t xml:space="preserve"> areas to improve early diagnosis and referral is increasing healthcare professionals' awareness of adult ADHD. Healthcare </w:t>
      </w:r>
      <w:proofErr w:type="spellStart"/>
      <w:r w:rsidRPr="008839BA">
        <w:rPr>
          <w:rFonts w:ascii="Arial" w:hAnsi="Arial" w:cs="Arial"/>
        </w:rPr>
        <w:t>organisations</w:t>
      </w:r>
      <w:proofErr w:type="spellEnd"/>
      <w:r w:rsidRPr="008839BA">
        <w:rPr>
          <w:rFonts w:ascii="Arial" w:hAnsi="Arial" w:cs="Arial"/>
        </w:rPr>
        <w:t xml:space="preserve"> also help to increase access to diagnostic services. Increasing access to </w:t>
      </w:r>
      <w:proofErr w:type="gramStart"/>
      <w:r w:rsidRPr="008839BA">
        <w:rPr>
          <w:rFonts w:ascii="Arial" w:hAnsi="Arial" w:cs="Arial"/>
        </w:rPr>
        <w:t>assessment</w:t>
      </w:r>
      <w:proofErr w:type="gramEnd"/>
      <w:r w:rsidRPr="008839BA">
        <w:rPr>
          <w:rFonts w:ascii="Arial" w:hAnsi="Arial" w:cs="Arial"/>
        </w:rPr>
        <w:t xml:space="preserve"> would reduce the waiting time, and specialist ADHD clinics would help in filling the shortage of trained professionals. More sustainable connections between the primary care services and the efforts of the specialist mental health practitioners might also contribute to the enhanced processes of diagnostic procedures (Lauder </w:t>
      </w:r>
      <w:r w:rsidRPr="008839BA">
        <w:rPr>
          <w:rFonts w:ascii="Arial" w:hAnsi="Arial" w:cs="Arial"/>
          <w:i/>
        </w:rPr>
        <w:t>et al.,</w:t>
      </w:r>
      <w:r w:rsidRPr="008839BA">
        <w:rPr>
          <w:rFonts w:ascii="Arial" w:hAnsi="Arial" w:cs="Arial"/>
        </w:rPr>
        <w:t xml:space="preserve"> 2022).</w:t>
      </w:r>
    </w:p>
    <w:p w14:paraId="0BB0C328"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The other implication </w:t>
      </w:r>
      <w:proofErr w:type="gramStart"/>
      <w:r w:rsidRPr="008839BA">
        <w:rPr>
          <w:rFonts w:ascii="Arial" w:hAnsi="Arial" w:cs="Arial"/>
        </w:rPr>
        <w:t>is on</w:t>
      </w:r>
      <w:proofErr w:type="gramEnd"/>
      <w:r w:rsidRPr="008839BA">
        <w:rPr>
          <w:rFonts w:ascii="Arial" w:hAnsi="Arial" w:cs="Arial"/>
        </w:rPr>
        <w:t xml:space="preserve"> raising awareness among the population and </w:t>
      </w:r>
      <w:proofErr w:type="spellStart"/>
      <w:r w:rsidRPr="008839BA">
        <w:rPr>
          <w:rFonts w:ascii="Arial" w:hAnsi="Arial" w:cs="Arial"/>
        </w:rPr>
        <w:t>destigmatising</w:t>
      </w:r>
      <w:proofErr w:type="spellEnd"/>
      <w:r w:rsidRPr="008839BA">
        <w:rPr>
          <w:rFonts w:ascii="Arial" w:hAnsi="Arial" w:cs="Arial"/>
        </w:rPr>
        <w:t xml:space="preserve"> ADHD. Education and promoting health services of the community could help to increase awareness regarding adult ADHD and prompt people with the symptoms to seek help. The stereotypes concerning the condition may also be eradicated with greater awareness, and the perceptions of diagnosis and treatment will become more positive. The large delay within the diagnostic procedure can be reduced through streamlining the referral procedure, together with improving the lines and linkages among the health care professionals. Overall, the issues are worked out as they would enable improved access to the diagnosis and ensure that patients with ADHD receive the appropriate treatment and support (Pant, 2025).</w:t>
      </w:r>
    </w:p>
    <w:p w14:paraId="173B8ACF" w14:textId="77777777" w:rsidR="00DF0991" w:rsidRPr="008839BA" w:rsidRDefault="00DF0991" w:rsidP="00DF0991">
      <w:pPr>
        <w:pStyle w:val="Heading2"/>
        <w:spacing w:before="480" w:line="360" w:lineRule="auto"/>
        <w:jc w:val="both"/>
        <w:rPr>
          <w:rFonts w:ascii="Arial" w:hAnsi="Arial" w:cs="Arial"/>
          <w:sz w:val="22"/>
          <w:szCs w:val="22"/>
        </w:rPr>
      </w:pPr>
      <w:bookmarkStart w:id="25" w:name="_Toc224136334"/>
      <w:r w:rsidRPr="008839BA">
        <w:rPr>
          <w:rFonts w:ascii="Arial" w:hAnsi="Arial" w:cs="Arial"/>
          <w:sz w:val="22"/>
          <w:szCs w:val="22"/>
        </w:rPr>
        <w:t>Practical Implications for Future Research</w:t>
      </w:r>
      <w:bookmarkEnd w:id="25"/>
    </w:p>
    <w:p w14:paraId="6248E04B"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The gaps in the current literature that can be identified in future studies should be addressed and contribute to the knowledge about the impediments in terms of diagnosing adult ADHD. One of </w:t>
      </w:r>
      <w:r w:rsidRPr="008839BA">
        <w:rPr>
          <w:rFonts w:ascii="Arial" w:hAnsi="Arial" w:cs="Arial"/>
        </w:rPr>
        <w:lastRenderedPageBreak/>
        <w:t xml:space="preserve">the key areas of research that can be further enhanced is the impact a late diagnosis has on the life and well-being of people. Longitudinal studies where people have been followed over a long period would have provided valuable data on the effects of mental health, employment, education, and relations of delayed diagnosis. According to McNeely et al. (2017), the other crucial area of future research would be the disparity between the access to ADHD diagnostic services in different parts of the UK. The study of differences among the regions would make certain that the </w:t>
      </w:r>
      <w:proofErr w:type="gramStart"/>
      <w:r w:rsidRPr="008839BA">
        <w:rPr>
          <w:rFonts w:ascii="Arial" w:hAnsi="Arial" w:cs="Arial"/>
        </w:rPr>
        <w:t>policy-makers</w:t>
      </w:r>
      <w:proofErr w:type="gramEnd"/>
      <w:r w:rsidRPr="008839BA">
        <w:rPr>
          <w:rFonts w:ascii="Arial" w:hAnsi="Arial" w:cs="Arial"/>
        </w:rPr>
        <w:t xml:space="preserve"> are aware that particular areas can have higher needs regarding resources and services (Kandasamy </w:t>
      </w:r>
      <w:r w:rsidRPr="008839BA">
        <w:rPr>
          <w:rFonts w:ascii="Arial" w:hAnsi="Arial" w:cs="Arial"/>
          <w:i/>
        </w:rPr>
        <w:t>et al.,</w:t>
      </w:r>
      <w:r w:rsidRPr="008839BA">
        <w:rPr>
          <w:rFonts w:ascii="Arial" w:hAnsi="Arial" w:cs="Arial"/>
        </w:rPr>
        <w:t xml:space="preserve"> 2025).</w:t>
      </w:r>
    </w:p>
    <w:p w14:paraId="20D186D3"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Their perspectives should also be studied in the future by healthcare professionals who are involved in the diagnosis of ADHD. The clinicians are likely to have a better understanding of the difficulties that might inform training with a view to improving the generation of superior diagnostic guidelines. The studies regarding the success of professional education </w:t>
      </w:r>
      <w:proofErr w:type="spellStart"/>
      <w:r w:rsidRPr="008839BA">
        <w:rPr>
          <w:rFonts w:ascii="Arial" w:hAnsi="Arial" w:cs="Arial"/>
        </w:rPr>
        <w:t>programmes</w:t>
      </w:r>
      <w:proofErr w:type="spellEnd"/>
      <w:r w:rsidRPr="008839BA">
        <w:rPr>
          <w:rFonts w:ascii="Arial" w:hAnsi="Arial" w:cs="Arial"/>
        </w:rPr>
        <w:t xml:space="preserve"> in supporting clinicians to detect adult ADHD can also come in handy. Finally, future research on the improvement of the diagnostic paths in healthcare systems should be </w:t>
      </w:r>
      <w:proofErr w:type="gramStart"/>
      <w:r w:rsidRPr="008839BA">
        <w:rPr>
          <w:rFonts w:ascii="Arial" w:hAnsi="Arial" w:cs="Arial"/>
        </w:rPr>
        <w:t>performed</w:t>
      </w:r>
      <w:proofErr w:type="gramEnd"/>
      <w:r w:rsidRPr="008839BA">
        <w:rPr>
          <w:rFonts w:ascii="Arial" w:hAnsi="Arial" w:cs="Arial"/>
        </w:rPr>
        <w:t xml:space="preserve">. Evaluation of new </w:t>
      </w:r>
      <w:proofErr w:type="gramStart"/>
      <w:r w:rsidRPr="008839BA">
        <w:rPr>
          <w:rFonts w:ascii="Arial" w:hAnsi="Arial" w:cs="Arial"/>
        </w:rPr>
        <w:t>service</w:t>
      </w:r>
      <w:proofErr w:type="gramEnd"/>
      <w:r w:rsidRPr="008839BA">
        <w:rPr>
          <w:rFonts w:ascii="Arial" w:hAnsi="Arial" w:cs="Arial"/>
        </w:rPr>
        <w:t>, referral, and multidisciplinary measures could help supply valuable information on how diagnostic delay can be decreased, and care access improved. All these areas of research will fill the knowledge gap, and further research can assist in the development of more convenient and effective ADHD diagnosis services in the UK healthcare system (Al-</w:t>
      </w:r>
      <w:proofErr w:type="spellStart"/>
      <w:r w:rsidRPr="008839BA">
        <w:rPr>
          <w:rFonts w:ascii="Arial" w:hAnsi="Arial" w:cs="Arial"/>
        </w:rPr>
        <w:t>Beltagi</w:t>
      </w:r>
      <w:proofErr w:type="spellEnd"/>
      <w:r w:rsidRPr="008839BA">
        <w:rPr>
          <w:rFonts w:ascii="Arial" w:hAnsi="Arial" w:cs="Arial"/>
        </w:rPr>
        <w:t xml:space="preserve"> </w:t>
      </w:r>
      <w:r w:rsidRPr="008839BA">
        <w:rPr>
          <w:rFonts w:ascii="Arial" w:hAnsi="Arial" w:cs="Arial"/>
          <w:i/>
        </w:rPr>
        <w:t xml:space="preserve">et al., </w:t>
      </w:r>
      <w:r w:rsidRPr="008839BA">
        <w:rPr>
          <w:rFonts w:ascii="Arial" w:hAnsi="Arial" w:cs="Arial"/>
        </w:rPr>
        <w:t>2025).</w:t>
      </w:r>
    </w:p>
    <w:p w14:paraId="212DFD82" w14:textId="77777777" w:rsidR="00DF0991" w:rsidRPr="008839BA" w:rsidRDefault="00DF0991" w:rsidP="00DF0991">
      <w:pPr>
        <w:spacing w:before="480" w:after="0" w:line="360" w:lineRule="auto"/>
        <w:jc w:val="both"/>
        <w:rPr>
          <w:rFonts w:ascii="Arial" w:hAnsi="Arial" w:cs="Arial"/>
        </w:rPr>
      </w:pPr>
      <w:proofErr w:type="gramStart"/>
      <w:r w:rsidRPr="008839BA">
        <w:rPr>
          <w:rFonts w:ascii="Arial" w:hAnsi="Arial" w:cs="Arial"/>
        </w:rPr>
        <w:t>The additional</w:t>
      </w:r>
      <w:proofErr w:type="gramEnd"/>
      <w:r w:rsidRPr="008839BA">
        <w:rPr>
          <w:rFonts w:ascii="Arial" w:hAnsi="Arial" w:cs="Arial"/>
        </w:rPr>
        <w:t xml:space="preserve"> literature should be guided towards bridging the knowledge gaps that exist about the barriers to the diagnosis of adult ADHD. It is necessary to carry out longitudinal studies to provide insight into the long-term effects of delayed diagnosis on mental health, employment, education, and relationships. Various approaches to improve </w:t>
      </w:r>
      <w:proofErr w:type="gramStart"/>
      <w:r w:rsidRPr="008839BA">
        <w:rPr>
          <w:rFonts w:ascii="Arial" w:hAnsi="Arial" w:cs="Arial"/>
        </w:rPr>
        <w:t>the diagnostic</w:t>
      </w:r>
      <w:proofErr w:type="gramEnd"/>
      <w:r w:rsidRPr="008839BA">
        <w:rPr>
          <w:rFonts w:ascii="Arial" w:hAnsi="Arial" w:cs="Arial"/>
        </w:rPr>
        <w:t xml:space="preserve"> procedures include new service models, referral pathways, and multidisciplinary approaches that should be experimented with in the future. In this regard, the medical need will be one of the spheres in which research will be in a position to establish a more effective path of diagnostics and improve access to timely ADHD testing and support the UK healthcare system (Lindhardt </w:t>
      </w:r>
      <w:r w:rsidRPr="008839BA">
        <w:rPr>
          <w:rFonts w:ascii="Arial" w:hAnsi="Arial" w:cs="Arial"/>
          <w:i/>
        </w:rPr>
        <w:t>et al.,</w:t>
      </w:r>
      <w:r w:rsidRPr="008839BA">
        <w:rPr>
          <w:rFonts w:ascii="Arial" w:hAnsi="Arial" w:cs="Arial"/>
        </w:rPr>
        <w:t xml:space="preserve"> 2022).</w:t>
      </w:r>
    </w:p>
    <w:p w14:paraId="7C63282F" w14:textId="77777777" w:rsidR="00DF0991" w:rsidRPr="008839BA" w:rsidRDefault="00DF0991" w:rsidP="00DF0991">
      <w:pPr>
        <w:pStyle w:val="Heading1"/>
        <w:spacing w:line="360" w:lineRule="auto"/>
        <w:jc w:val="both"/>
        <w:rPr>
          <w:rFonts w:ascii="Arial" w:eastAsia="Times New Roman" w:hAnsi="Arial" w:cs="Arial"/>
          <w:sz w:val="22"/>
          <w:szCs w:val="22"/>
        </w:rPr>
      </w:pPr>
      <w:bookmarkStart w:id="26" w:name="_Toc224136335"/>
      <w:r w:rsidRPr="008839BA">
        <w:rPr>
          <w:rFonts w:ascii="Arial" w:hAnsi="Arial" w:cs="Arial"/>
          <w:sz w:val="22"/>
          <w:szCs w:val="22"/>
        </w:rPr>
        <w:lastRenderedPageBreak/>
        <w:t>f) Conclusion and Recommendations</w:t>
      </w:r>
      <w:bookmarkEnd w:id="26"/>
      <w:r w:rsidRPr="008839BA">
        <w:rPr>
          <w:rFonts w:ascii="Arial" w:hAnsi="Arial" w:cs="Arial"/>
          <w:sz w:val="22"/>
          <w:szCs w:val="22"/>
        </w:rPr>
        <w:t xml:space="preserve"> </w:t>
      </w:r>
    </w:p>
    <w:p w14:paraId="0309899D" w14:textId="77777777" w:rsidR="00DF0991" w:rsidRPr="008839BA" w:rsidRDefault="00DF0991" w:rsidP="00DF0991">
      <w:pPr>
        <w:pStyle w:val="Heading2"/>
        <w:spacing w:before="480" w:line="360" w:lineRule="auto"/>
        <w:jc w:val="both"/>
        <w:rPr>
          <w:rFonts w:ascii="Arial" w:hAnsi="Arial" w:cs="Arial"/>
          <w:sz w:val="22"/>
          <w:szCs w:val="22"/>
        </w:rPr>
      </w:pPr>
      <w:bookmarkStart w:id="27" w:name="_Toc224136336"/>
      <w:r w:rsidRPr="008839BA">
        <w:rPr>
          <w:rFonts w:ascii="Arial" w:hAnsi="Arial" w:cs="Arial"/>
          <w:sz w:val="22"/>
          <w:szCs w:val="22"/>
        </w:rPr>
        <w:t>Conclusion</w:t>
      </w:r>
      <w:bookmarkEnd w:id="27"/>
      <w:r w:rsidRPr="008839BA">
        <w:rPr>
          <w:rFonts w:ascii="Arial" w:hAnsi="Arial" w:cs="Arial"/>
          <w:sz w:val="22"/>
          <w:szCs w:val="22"/>
        </w:rPr>
        <w:t xml:space="preserve"> </w:t>
      </w:r>
    </w:p>
    <w:p w14:paraId="1FF10D4D"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The current scoping review examined the barriers to the diagnosis of adult ADHD in the health services of the United Kingdom. The findings indicated that there were a number of structural, clinical, and systemic variables that were affecting patients seeking a diagnosis. The body of literature </w:t>
      </w:r>
      <w:proofErr w:type="spellStart"/>
      <w:r w:rsidRPr="008839BA">
        <w:rPr>
          <w:rFonts w:ascii="Arial" w:hAnsi="Arial" w:cs="Arial"/>
        </w:rPr>
        <w:t>analysed</w:t>
      </w:r>
      <w:proofErr w:type="spellEnd"/>
      <w:r w:rsidRPr="008839BA">
        <w:rPr>
          <w:rFonts w:ascii="Arial" w:hAnsi="Arial" w:cs="Arial"/>
        </w:rPr>
        <w:t xml:space="preserve"> highlighted that due to the lack of </w:t>
      </w:r>
      <w:proofErr w:type="spellStart"/>
      <w:r w:rsidRPr="008839BA">
        <w:rPr>
          <w:rFonts w:ascii="Arial" w:hAnsi="Arial" w:cs="Arial"/>
        </w:rPr>
        <w:t>specialised</w:t>
      </w:r>
      <w:proofErr w:type="spellEnd"/>
      <w:r w:rsidRPr="008839BA">
        <w:rPr>
          <w:rFonts w:ascii="Arial" w:hAnsi="Arial" w:cs="Arial"/>
        </w:rPr>
        <w:t xml:space="preserve"> services, long queues, and complex referencing procedures, significant structural constraints were present. Furthermore, healthcare workers were not properly aware and trained in the field of ADHD symptom recognition in adults. Within the context of the services provided by the National Health Service, the rising need for mental health services limited the diagnostic path even further. Overall, the review revealed that the barriers towards adult ADHD diagnosis stemmed from the symbiotic association between </w:t>
      </w:r>
      <w:proofErr w:type="gramStart"/>
      <w:r w:rsidRPr="008839BA">
        <w:rPr>
          <w:rFonts w:ascii="Arial" w:hAnsi="Arial" w:cs="Arial"/>
        </w:rPr>
        <w:t>the healthcare</w:t>
      </w:r>
      <w:proofErr w:type="gramEnd"/>
      <w:r w:rsidRPr="008839BA">
        <w:rPr>
          <w:rFonts w:ascii="Arial" w:hAnsi="Arial" w:cs="Arial"/>
        </w:rPr>
        <w:t xml:space="preserve">, professional, and social factors. </w:t>
      </w:r>
    </w:p>
    <w:p w14:paraId="7D97FE77" w14:textId="77777777" w:rsidR="00DF0991" w:rsidRPr="008839BA" w:rsidRDefault="00DF0991" w:rsidP="00DF0991">
      <w:pPr>
        <w:pStyle w:val="Heading2"/>
        <w:spacing w:before="480" w:line="360" w:lineRule="auto"/>
        <w:jc w:val="both"/>
        <w:rPr>
          <w:rFonts w:ascii="Arial" w:hAnsi="Arial" w:cs="Arial"/>
          <w:sz w:val="22"/>
          <w:szCs w:val="22"/>
        </w:rPr>
      </w:pPr>
      <w:bookmarkStart w:id="28" w:name="_Toc224136337"/>
      <w:r w:rsidRPr="008839BA">
        <w:rPr>
          <w:rFonts w:ascii="Arial" w:hAnsi="Arial" w:cs="Arial"/>
          <w:sz w:val="22"/>
          <w:szCs w:val="22"/>
        </w:rPr>
        <w:t>Recommendations</w:t>
      </w:r>
      <w:bookmarkEnd w:id="28"/>
    </w:p>
    <w:p w14:paraId="4B0A149D" w14:textId="77777777" w:rsidR="00DF0991" w:rsidRPr="008839BA" w:rsidRDefault="00DF0991" w:rsidP="00DF0991">
      <w:pPr>
        <w:spacing w:before="480" w:after="0" w:line="360" w:lineRule="auto"/>
        <w:jc w:val="both"/>
        <w:rPr>
          <w:rFonts w:ascii="Arial" w:hAnsi="Arial" w:cs="Arial"/>
        </w:rPr>
      </w:pPr>
      <w:r w:rsidRPr="008839BA">
        <w:rPr>
          <w:rFonts w:ascii="Arial" w:eastAsia="Times New Roman" w:hAnsi="Arial" w:cs="Arial"/>
          <w:b/>
          <w:bCs/>
        </w:rPr>
        <w:t>Research</w:t>
      </w:r>
      <w:r w:rsidRPr="008839BA">
        <w:rPr>
          <w:rFonts w:ascii="Arial" w:hAnsi="Arial" w:cs="Arial"/>
        </w:rPr>
        <w:t xml:space="preserve"> </w:t>
      </w:r>
    </w:p>
    <w:p w14:paraId="5CC5AEC3"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Future research is envisaged to be </w:t>
      </w:r>
      <w:proofErr w:type="gramStart"/>
      <w:r w:rsidRPr="008839BA">
        <w:rPr>
          <w:rFonts w:ascii="Arial" w:hAnsi="Arial" w:cs="Arial"/>
        </w:rPr>
        <w:t>a longitudinal research</w:t>
      </w:r>
      <w:proofErr w:type="gramEnd"/>
      <w:r w:rsidRPr="008839BA">
        <w:rPr>
          <w:rFonts w:ascii="Arial" w:hAnsi="Arial" w:cs="Arial"/>
        </w:rPr>
        <w:t xml:space="preserve"> to establish the long-term effects of late diagnosis of ADHD in adulthood, well-being, and life outcomes. There should be increased reliability of findings through the use of a larger and more varied sample. The research must be conducted in the area of variations in the UK diagnostic services, and the opinions of healthcare workers should be explored to </w:t>
      </w:r>
      <w:proofErr w:type="spellStart"/>
      <w:r w:rsidRPr="008839BA">
        <w:rPr>
          <w:rFonts w:ascii="Arial" w:hAnsi="Arial" w:cs="Arial"/>
        </w:rPr>
        <w:t>characterise</w:t>
      </w:r>
      <w:proofErr w:type="spellEnd"/>
      <w:r w:rsidRPr="008839BA">
        <w:rPr>
          <w:rFonts w:ascii="Arial" w:hAnsi="Arial" w:cs="Arial"/>
        </w:rPr>
        <w:t xml:space="preserve"> the training needs and clinical concerns.</w:t>
      </w:r>
    </w:p>
    <w:p w14:paraId="26CE65FA" w14:textId="77777777" w:rsidR="00DF0991" w:rsidRPr="008839BA" w:rsidRDefault="00DF0991" w:rsidP="00DF0991">
      <w:pPr>
        <w:spacing w:before="480" w:after="0" w:line="360" w:lineRule="auto"/>
        <w:jc w:val="both"/>
        <w:rPr>
          <w:rFonts w:ascii="Arial" w:hAnsi="Arial" w:cs="Arial"/>
        </w:rPr>
      </w:pPr>
      <w:r w:rsidRPr="008839BA">
        <w:rPr>
          <w:rFonts w:ascii="Arial" w:eastAsia="Times New Roman" w:hAnsi="Arial" w:cs="Arial"/>
          <w:b/>
          <w:bCs/>
        </w:rPr>
        <w:t>Policy</w:t>
      </w:r>
      <w:r w:rsidRPr="008839BA">
        <w:rPr>
          <w:rFonts w:ascii="Arial" w:hAnsi="Arial" w:cs="Arial"/>
        </w:rPr>
        <w:t xml:space="preserve"> </w:t>
      </w:r>
    </w:p>
    <w:p w14:paraId="572AFA51"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It has been recommended to increase national mental health plans because they will help to improve the national provision of diagnostic services to adult patients with ADHD. The primary </w:t>
      </w:r>
      <w:proofErr w:type="gramStart"/>
      <w:r w:rsidRPr="008839BA">
        <w:rPr>
          <w:rFonts w:ascii="Arial" w:hAnsi="Arial" w:cs="Arial"/>
        </w:rPr>
        <w:t>concepts are</w:t>
      </w:r>
      <w:proofErr w:type="gramEnd"/>
      <w:r w:rsidRPr="008839BA">
        <w:rPr>
          <w:rFonts w:ascii="Arial" w:hAnsi="Arial" w:cs="Arial"/>
        </w:rPr>
        <w:t xml:space="preserve"> the growth of specialist clinics dealing with ADHD issues to reduce waiting lines and service violations. The governments and medical </w:t>
      </w:r>
      <w:proofErr w:type="spellStart"/>
      <w:r w:rsidRPr="008839BA">
        <w:rPr>
          <w:rFonts w:ascii="Arial" w:hAnsi="Arial" w:cs="Arial"/>
        </w:rPr>
        <w:t>organisations</w:t>
      </w:r>
      <w:proofErr w:type="spellEnd"/>
      <w:r w:rsidRPr="008839BA">
        <w:rPr>
          <w:rFonts w:ascii="Arial" w:hAnsi="Arial" w:cs="Arial"/>
        </w:rPr>
        <w:t xml:space="preserve"> should also encourage </w:t>
      </w:r>
      <w:r w:rsidRPr="008839BA">
        <w:rPr>
          <w:rFonts w:ascii="Arial" w:hAnsi="Arial" w:cs="Arial"/>
        </w:rPr>
        <w:lastRenderedPageBreak/>
        <w:t>professional training and awareness of the issue of adult ADHD to increase the level of knowledge about the condition and reduce the stigma.</w:t>
      </w:r>
    </w:p>
    <w:p w14:paraId="26D1CEBE" w14:textId="77777777" w:rsidR="00DF0991" w:rsidRPr="008839BA" w:rsidRDefault="00DF0991" w:rsidP="00DF0991">
      <w:pPr>
        <w:spacing w:before="480" w:after="0" w:line="360" w:lineRule="auto"/>
        <w:jc w:val="both"/>
        <w:rPr>
          <w:rFonts w:ascii="Arial" w:hAnsi="Arial" w:cs="Arial"/>
        </w:rPr>
      </w:pPr>
      <w:r w:rsidRPr="008839BA">
        <w:rPr>
          <w:rFonts w:ascii="Arial" w:eastAsia="Times New Roman" w:hAnsi="Arial" w:cs="Arial"/>
          <w:b/>
          <w:bCs/>
        </w:rPr>
        <w:t>Practice</w:t>
      </w:r>
      <w:r w:rsidRPr="008839BA">
        <w:rPr>
          <w:rFonts w:ascii="Arial" w:hAnsi="Arial" w:cs="Arial"/>
        </w:rPr>
        <w:t xml:space="preserve"> </w:t>
      </w:r>
    </w:p>
    <w:p w14:paraId="59F51647" w14:textId="77777777" w:rsidR="00DF0991" w:rsidRPr="008839BA" w:rsidRDefault="00DF0991" w:rsidP="00DF0991">
      <w:pPr>
        <w:spacing w:before="480" w:after="0" w:line="360" w:lineRule="auto"/>
        <w:jc w:val="both"/>
        <w:rPr>
          <w:rFonts w:ascii="Arial" w:hAnsi="Arial" w:cs="Arial"/>
        </w:rPr>
      </w:pPr>
      <w:r w:rsidRPr="008839BA">
        <w:rPr>
          <w:rFonts w:ascii="Arial" w:hAnsi="Arial" w:cs="Arial"/>
        </w:rPr>
        <w:t xml:space="preserve">Healthcare </w:t>
      </w:r>
      <w:proofErr w:type="spellStart"/>
      <w:r w:rsidRPr="008839BA">
        <w:rPr>
          <w:rFonts w:ascii="Arial" w:hAnsi="Arial" w:cs="Arial"/>
        </w:rPr>
        <w:t>organisations</w:t>
      </w:r>
      <w:proofErr w:type="spellEnd"/>
      <w:r w:rsidRPr="008839BA">
        <w:rPr>
          <w:rFonts w:ascii="Arial" w:hAnsi="Arial" w:cs="Arial"/>
        </w:rPr>
        <w:t xml:space="preserve"> should provide specific training to make professionals understand the ways of identifying and evaluating ADHD symptoms in adults. The improved communication between the specialist and primary care teams might also be capable of providing a faster diagnosis, better coordination of the services, and better support to ADHD patients (</w:t>
      </w:r>
      <w:proofErr w:type="spellStart"/>
      <w:r w:rsidRPr="008839BA">
        <w:rPr>
          <w:rFonts w:ascii="Arial" w:hAnsi="Arial" w:cs="Arial"/>
        </w:rPr>
        <w:t>Kooij</w:t>
      </w:r>
      <w:proofErr w:type="spellEnd"/>
      <w:r w:rsidRPr="008839BA">
        <w:rPr>
          <w:rFonts w:ascii="Arial" w:hAnsi="Arial" w:cs="Arial"/>
        </w:rPr>
        <w:t xml:space="preserve"> </w:t>
      </w:r>
      <w:r w:rsidRPr="008839BA">
        <w:rPr>
          <w:rFonts w:ascii="Arial" w:hAnsi="Arial" w:cs="Arial"/>
          <w:i/>
        </w:rPr>
        <w:t>et al.,</w:t>
      </w:r>
      <w:r w:rsidRPr="008839BA">
        <w:rPr>
          <w:rFonts w:ascii="Arial" w:hAnsi="Arial" w:cs="Arial"/>
        </w:rPr>
        <w:t xml:space="preserve"> 2025).</w:t>
      </w:r>
    </w:p>
    <w:p w14:paraId="2A649808" w14:textId="77777777" w:rsidR="00DF0991" w:rsidRPr="008839BA" w:rsidRDefault="00DF0991" w:rsidP="00DF0991">
      <w:pPr>
        <w:spacing w:before="480" w:line="360" w:lineRule="auto"/>
        <w:jc w:val="both"/>
        <w:rPr>
          <w:rFonts w:ascii="Arial" w:eastAsiaTheme="majorEastAsia" w:hAnsi="Arial" w:cs="Arial"/>
          <w:b/>
          <w:bCs/>
          <w:color w:val="365F91" w:themeColor="accent1" w:themeShade="BF"/>
        </w:rPr>
      </w:pPr>
      <w:r w:rsidRPr="008839BA">
        <w:rPr>
          <w:rFonts w:ascii="Arial" w:hAnsi="Arial" w:cs="Arial"/>
        </w:rPr>
        <w:br w:type="page"/>
      </w:r>
    </w:p>
    <w:p w14:paraId="70293682" w14:textId="77777777" w:rsidR="00DF0991" w:rsidRPr="008839BA" w:rsidRDefault="00DF0991" w:rsidP="00DF0991">
      <w:pPr>
        <w:pStyle w:val="Heading1"/>
        <w:rPr>
          <w:rFonts w:ascii="Arial" w:hAnsi="Arial" w:cs="Arial"/>
          <w:sz w:val="22"/>
          <w:szCs w:val="22"/>
        </w:rPr>
      </w:pPr>
      <w:bookmarkStart w:id="29" w:name="_Toc224136338"/>
      <w:r w:rsidRPr="008839BA">
        <w:rPr>
          <w:rFonts w:ascii="Arial" w:hAnsi="Arial" w:cs="Arial"/>
          <w:sz w:val="22"/>
          <w:szCs w:val="22"/>
        </w:rPr>
        <w:lastRenderedPageBreak/>
        <w:t>References</w:t>
      </w:r>
      <w:bookmarkEnd w:id="29"/>
    </w:p>
    <w:p w14:paraId="781CFDA1"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Abdelnour, E., Jansen, M.O. and Gold, J.A (2022) ‘ADHD diagnostic trends: increased recognition or overdiagnosis?’. </w:t>
      </w:r>
      <w:r w:rsidRPr="008839BA">
        <w:rPr>
          <w:rFonts w:ascii="Arial" w:hAnsi="Arial" w:cs="Arial"/>
          <w:i/>
          <w:iCs/>
          <w:shd w:val="clear" w:color="auto" w:fill="FFFFFF"/>
        </w:rPr>
        <w:t>Missouri medicine</w:t>
      </w:r>
      <w:r w:rsidRPr="008839BA">
        <w:rPr>
          <w:rFonts w:ascii="Arial" w:hAnsi="Arial" w:cs="Arial"/>
          <w:shd w:val="clear" w:color="auto" w:fill="FFFFFF"/>
        </w:rPr>
        <w:t>, </w:t>
      </w:r>
      <w:r w:rsidRPr="008839BA">
        <w:rPr>
          <w:rFonts w:ascii="Arial" w:hAnsi="Arial" w:cs="Arial"/>
          <w:i/>
          <w:iCs/>
          <w:shd w:val="clear" w:color="auto" w:fill="FFFFFF"/>
        </w:rPr>
        <w:t>119</w:t>
      </w:r>
      <w:r w:rsidRPr="008839BA">
        <w:rPr>
          <w:rFonts w:ascii="Arial" w:hAnsi="Arial" w:cs="Arial"/>
          <w:shd w:val="clear" w:color="auto" w:fill="FFFFFF"/>
        </w:rPr>
        <w:t xml:space="preserve">(5), p.467. Online available at: </w:t>
      </w:r>
      <w:hyperlink r:id="rId9" w:history="1">
        <w:r w:rsidRPr="008839BA">
          <w:rPr>
            <w:rStyle w:val="Hyperlink"/>
            <w:rFonts w:ascii="Arial" w:hAnsi="Arial" w:cs="Arial"/>
            <w:shd w:val="clear" w:color="auto" w:fill="FFFFFF"/>
          </w:rPr>
          <w:t>https://pmc.ncbi.nlm.nih.gov/articles/PMC9616454/pdf/ms119_p0467.pdf</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0B3AF29E"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Al-</w:t>
      </w:r>
      <w:proofErr w:type="spellStart"/>
      <w:r w:rsidRPr="008839BA">
        <w:rPr>
          <w:rFonts w:ascii="Arial" w:hAnsi="Arial" w:cs="Arial"/>
          <w:shd w:val="clear" w:color="auto" w:fill="FFFFFF"/>
        </w:rPr>
        <w:t>Beltagi</w:t>
      </w:r>
      <w:proofErr w:type="spellEnd"/>
      <w:r w:rsidRPr="008839BA">
        <w:rPr>
          <w:rFonts w:ascii="Arial" w:hAnsi="Arial" w:cs="Arial"/>
          <w:shd w:val="clear" w:color="auto" w:fill="FFFFFF"/>
        </w:rPr>
        <w:t xml:space="preserve">, M., Mani, B.S., </w:t>
      </w:r>
      <w:proofErr w:type="spellStart"/>
      <w:r w:rsidRPr="008839BA">
        <w:rPr>
          <w:rFonts w:ascii="Arial" w:hAnsi="Arial" w:cs="Arial"/>
          <w:shd w:val="clear" w:color="auto" w:fill="FFFFFF"/>
        </w:rPr>
        <w:t>Hantash</w:t>
      </w:r>
      <w:proofErr w:type="spellEnd"/>
      <w:r w:rsidRPr="008839BA">
        <w:rPr>
          <w:rFonts w:ascii="Arial" w:hAnsi="Arial" w:cs="Arial"/>
          <w:shd w:val="clear" w:color="auto" w:fill="FFFFFF"/>
        </w:rPr>
        <w:t xml:space="preserve">, E.M., Al Zahrani, A.A. and </w:t>
      </w:r>
      <w:proofErr w:type="spellStart"/>
      <w:r w:rsidRPr="008839BA">
        <w:rPr>
          <w:rFonts w:ascii="Arial" w:hAnsi="Arial" w:cs="Arial"/>
          <w:shd w:val="clear" w:color="auto" w:fill="FFFFFF"/>
        </w:rPr>
        <w:t>Toema</w:t>
      </w:r>
      <w:proofErr w:type="spellEnd"/>
      <w:r w:rsidRPr="008839BA">
        <w:rPr>
          <w:rFonts w:ascii="Arial" w:hAnsi="Arial" w:cs="Arial"/>
          <w:shd w:val="clear" w:color="auto" w:fill="FFFFFF"/>
        </w:rPr>
        <w:t>, O (2025) ‘Challenges in diagnosing attention-deficit/hyperactivity disorder in pediatric practice: A regional and global perspective’. </w:t>
      </w:r>
      <w:r w:rsidRPr="008839BA">
        <w:rPr>
          <w:rFonts w:ascii="Arial" w:hAnsi="Arial" w:cs="Arial"/>
          <w:i/>
          <w:iCs/>
          <w:shd w:val="clear" w:color="auto" w:fill="FFFFFF"/>
        </w:rPr>
        <w:t>World Journal of Clinical Pediatrics</w:t>
      </w:r>
      <w:r w:rsidRPr="008839BA">
        <w:rPr>
          <w:rFonts w:ascii="Arial" w:hAnsi="Arial" w:cs="Arial"/>
          <w:shd w:val="clear" w:color="auto" w:fill="FFFFFF"/>
        </w:rPr>
        <w:t>, </w:t>
      </w:r>
      <w:r w:rsidRPr="008839BA">
        <w:rPr>
          <w:rFonts w:ascii="Arial" w:hAnsi="Arial" w:cs="Arial"/>
          <w:i/>
          <w:iCs/>
          <w:shd w:val="clear" w:color="auto" w:fill="FFFFFF"/>
        </w:rPr>
        <w:t>14</w:t>
      </w:r>
      <w:r w:rsidRPr="008839BA">
        <w:rPr>
          <w:rFonts w:ascii="Arial" w:hAnsi="Arial" w:cs="Arial"/>
          <w:shd w:val="clear" w:color="auto" w:fill="FFFFFF"/>
        </w:rPr>
        <w:t xml:space="preserve">(4), p.111684. Online available at: </w:t>
      </w:r>
      <w:hyperlink r:id="rId10" w:history="1">
        <w:r w:rsidRPr="008839BA">
          <w:rPr>
            <w:rStyle w:val="Hyperlink"/>
            <w:rFonts w:ascii="Arial" w:hAnsi="Arial" w:cs="Arial"/>
            <w:shd w:val="clear" w:color="auto" w:fill="FFFFFF"/>
          </w:rPr>
          <w:t>https://pmc.ncbi.nlm.nih.gov/articles/PMC12620849/</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6F7A44E1"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 xml:space="preserve">Arksey, H. and </w:t>
      </w:r>
      <w:proofErr w:type="spellStart"/>
      <w:r w:rsidRPr="008839BA">
        <w:rPr>
          <w:rFonts w:ascii="Arial" w:hAnsi="Arial" w:cs="Arial"/>
          <w:shd w:val="clear" w:color="auto" w:fill="FFFFFF"/>
        </w:rPr>
        <w:t>O'malley</w:t>
      </w:r>
      <w:proofErr w:type="spellEnd"/>
      <w:r w:rsidRPr="008839BA">
        <w:rPr>
          <w:rFonts w:ascii="Arial" w:hAnsi="Arial" w:cs="Arial"/>
          <w:shd w:val="clear" w:color="auto" w:fill="FFFFFF"/>
        </w:rPr>
        <w:t>, L (2005) ‘Scoping studies: towards a methodological framework’. </w:t>
      </w:r>
      <w:r w:rsidRPr="008839BA">
        <w:rPr>
          <w:rFonts w:ascii="Arial" w:hAnsi="Arial" w:cs="Arial"/>
          <w:i/>
          <w:iCs/>
          <w:shd w:val="clear" w:color="auto" w:fill="FFFFFF"/>
        </w:rPr>
        <w:t>International journal of social research methodology</w:t>
      </w:r>
      <w:r w:rsidRPr="008839BA">
        <w:rPr>
          <w:rFonts w:ascii="Arial" w:hAnsi="Arial" w:cs="Arial"/>
          <w:shd w:val="clear" w:color="auto" w:fill="FFFFFF"/>
        </w:rPr>
        <w:t>, </w:t>
      </w:r>
      <w:r w:rsidRPr="008839BA">
        <w:rPr>
          <w:rFonts w:ascii="Arial" w:hAnsi="Arial" w:cs="Arial"/>
          <w:i/>
          <w:iCs/>
          <w:shd w:val="clear" w:color="auto" w:fill="FFFFFF"/>
        </w:rPr>
        <w:t>8</w:t>
      </w:r>
      <w:r w:rsidRPr="008839BA">
        <w:rPr>
          <w:rFonts w:ascii="Arial" w:hAnsi="Arial" w:cs="Arial"/>
          <w:shd w:val="clear" w:color="auto" w:fill="FFFFFF"/>
        </w:rPr>
        <w:t xml:space="preserve">(1), pp.19-32. Online available at: </w:t>
      </w:r>
      <w:hyperlink r:id="rId11" w:history="1">
        <w:r w:rsidRPr="008839BA">
          <w:rPr>
            <w:rStyle w:val="Hyperlink"/>
            <w:rFonts w:ascii="Arial" w:hAnsi="Arial" w:cs="Arial"/>
            <w:shd w:val="clear" w:color="auto" w:fill="FFFFFF"/>
          </w:rPr>
          <w:t>https://eprints.whiterose.ac.uk/id/eprint/1618/1/Scopingstudies.pdf</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40B14F65"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Armstrong, J (</w:t>
      </w:r>
      <w:proofErr w:type="gramStart"/>
      <w:r w:rsidRPr="008839BA">
        <w:rPr>
          <w:rFonts w:ascii="Arial" w:hAnsi="Arial" w:cs="Arial"/>
          <w:shd w:val="clear" w:color="auto" w:fill="FFFFFF"/>
        </w:rPr>
        <w:t>2025) ‘</w:t>
      </w:r>
      <w:proofErr w:type="gramEnd"/>
      <w:r w:rsidRPr="008839BA">
        <w:rPr>
          <w:rFonts w:ascii="Arial" w:hAnsi="Arial" w:cs="Arial"/>
          <w:i/>
          <w:iCs/>
          <w:shd w:val="clear" w:color="auto" w:fill="FFFFFF"/>
        </w:rPr>
        <w:t>Clinician Experiences of the Pathways to Adult ADHD Diagnosis</w:t>
      </w:r>
      <w:r w:rsidRPr="008839BA">
        <w:rPr>
          <w:rFonts w:ascii="Arial" w:hAnsi="Arial" w:cs="Arial"/>
          <w:shd w:val="clear" w:color="auto" w:fill="FFFFFF"/>
        </w:rPr>
        <w:t xml:space="preserve"> (Doctoral dissertation, University of Hertfordshire)’. Online available at: </w:t>
      </w:r>
      <w:hyperlink r:id="rId12" w:history="1">
        <w:r w:rsidRPr="008839BA">
          <w:rPr>
            <w:rStyle w:val="Hyperlink"/>
            <w:rFonts w:ascii="Arial" w:hAnsi="Arial" w:cs="Arial"/>
            <w:shd w:val="clear" w:color="auto" w:fill="FFFFFF"/>
          </w:rPr>
          <w:t>https://uhra.herts.ac.uk/id/eprint/26229/1/20001043%20ARMSTRONG%20James%20Final%20submission%20October%202025.pdf</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6D3F9FA5" w14:textId="77777777" w:rsidR="00DF0991" w:rsidRPr="008839BA" w:rsidRDefault="00DF0991" w:rsidP="00DF0991">
      <w:pPr>
        <w:pStyle w:val="NoSpacing"/>
        <w:spacing w:before="240" w:line="360" w:lineRule="auto"/>
        <w:jc w:val="both"/>
        <w:rPr>
          <w:rFonts w:ascii="Arial" w:hAnsi="Arial" w:cs="Arial"/>
        </w:rPr>
      </w:pPr>
      <w:r w:rsidRPr="008839BA">
        <w:rPr>
          <w:rFonts w:ascii="Arial" w:hAnsi="Arial" w:cs="Arial"/>
        </w:rPr>
        <w:t xml:space="preserve">Asherson, P., Leaver, L., Adamou, M., Arif, M., Askey, G., Butler, M., Cubbin, S., Newlove-Delgado, T., </w:t>
      </w:r>
      <w:proofErr w:type="spellStart"/>
      <w:r w:rsidRPr="008839BA">
        <w:rPr>
          <w:rFonts w:ascii="Arial" w:hAnsi="Arial" w:cs="Arial"/>
        </w:rPr>
        <w:t>Kustow</w:t>
      </w:r>
      <w:proofErr w:type="spellEnd"/>
      <w:r w:rsidRPr="008839BA">
        <w:rPr>
          <w:rFonts w:ascii="Arial" w:hAnsi="Arial" w:cs="Arial"/>
        </w:rPr>
        <w:t xml:space="preserve">, J. and Lanham-Cook, J., 2022. </w:t>
      </w:r>
      <w:r w:rsidRPr="008839BA">
        <w:rPr>
          <w:rStyle w:val="Strong"/>
          <w:rFonts w:ascii="Arial" w:hAnsi="Arial" w:cs="Arial"/>
          <w:b w:val="0"/>
        </w:rPr>
        <w:t>Mainstreaming adult ADHD into primary care in the UK: guidance, practice, and best practice recommendations.</w:t>
      </w:r>
      <w:r w:rsidRPr="008839BA">
        <w:rPr>
          <w:rFonts w:ascii="Arial" w:hAnsi="Arial" w:cs="Arial"/>
        </w:rPr>
        <w:t xml:space="preserve"> </w:t>
      </w:r>
      <w:r w:rsidRPr="008839BA">
        <w:rPr>
          <w:rStyle w:val="Emphasis"/>
          <w:rFonts w:ascii="Arial" w:hAnsi="Arial" w:cs="Arial"/>
        </w:rPr>
        <w:t>BMC Psychiatry</w:t>
      </w:r>
      <w:r w:rsidRPr="008839BA">
        <w:rPr>
          <w:rFonts w:ascii="Arial" w:hAnsi="Arial" w:cs="Arial"/>
        </w:rPr>
        <w:t xml:space="preserve">, 22(640). Online available at: </w:t>
      </w:r>
      <w:hyperlink r:id="rId13" w:tgtFrame="_new" w:history="1">
        <w:r w:rsidRPr="008839BA">
          <w:rPr>
            <w:rStyle w:val="Hyperlink"/>
            <w:rFonts w:ascii="Arial" w:hAnsi="Arial" w:cs="Arial"/>
          </w:rPr>
          <w:t>https://bmcpsychiatry.biomedcentral.com/articles/10.1186/s12888-022-04290-7</w:t>
        </w:r>
      </w:hyperlink>
      <w:r w:rsidRPr="008839BA">
        <w:rPr>
          <w:rFonts w:ascii="Arial" w:hAnsi="Arial" w:cs="Arial"/>
        </w:rPr>
        <w:t xml:space="preserve"> </w:t>
      </w:r>
      <w:r w:rsidRPr="008839BA">
        <w:rPr>
          <w:rFonts w:ascii="Arial" w:hAnsi="Arial" w:cs="Arial"/>
          <w:shd w:val="clear" w:color="auto" w:fill="FFFFFF"/>
        </w:rPr>
        <w:t>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3CDC617F" w14:textId="77777777" w:rsidR="00DF0991" w:rsidRPr="008839BA" w:rsidRDefault="00DF0991" w:rsidP="00DF0991">
      <w:pPr>
        <w:pStyle w:val="NoSpacing"/>
        <w:spacing w:before="240" w:line="360" w:lineRule="auto"/>
        <w:jc w:val="both"/>
        <w:rPr>
          <w:rFonts w:ascii="Arial" w:hAnsi="Arial" w:cs="Arial"/>
        </w:rPr>
      </w:pPr>
      <w:r w:rsidRPr="008839BA">
        <w:rPr>
          <w:rFonts w:ascii="Arial" w:hAnsi="Arial" w:cs="Arial"/>
        </w:rPr>
        <w:t>Aveyard, H (</w:t>
      </w:r>
      <w:proofErr w:type="gramStart"/>
      <w:r w:rsidRPr="008839BA">
        <w:rPr>
          <w:rFonts w:ascii="Arial" w:hAnsi="Arial" w:cs="Arial"/>
        </w:rPr>
        <w:t>2014) ‘</w:t>
      </w:r>
      <w:proofErr w:type="gramEnd"/>
      <w:r w:rsidRPr="008839BA">
        <w:rPr>
          <w:rFonts w:ascii="Arial" w:hAnsi="Arial" w:cs="Arial"/>
        </w:rPr>
        <w:t xml:space="preserve">Doing a Literature Review in Health and Social Care: A Practical Guide’. United Kingdom: Open University Press. Online available at; </w:t>
      </w:r>
      <w:hyperlink r:id="rId14" w:history="1">
        <w:r w:rsidRPr="008839BA">
          <w:rPr>
            <w:rStyle w:val="Hyperlink"/>
            <w:rFonts w:ascii="Arial" w:hAnsi="Arial" w:cs="Arial"/>
          </w:rPr>
          <w:t>https://www.google.co.in/books/edition/_/LlKLBgAAQBAJ?hl=en&amp;sa=X&amp;ved=2ahUKEwjk1c2Up5eTAxVZfGwGHX2eLp8Qre8FegQIBRAj</w:t>
        </w:r>
      </w:hyperlink>
      <w:r w:rsidRPr="008839BA">
        <w:rPr>
          <w:rFonts w:ascii="Arial" w:hAnsi="Arial" w:cs="Arial"/>
        </w:rPr>
        <w:t xml:space="preserve"> Last accessed on: 10</w:t>
      </w:r>
      <w:r w:rsidRPr="008839BA">
        <w:rPr>
          <w:rFonts w:ascii="Arial" w:hAnsi="Arial" w:cs="Arial"/>
          <w:vertAlign w:val="superscript"/>
        </w:rPr>
        <w:t>th</w:t>
      </w:r>
      <w:r w:rsidRPr="008839BA">
        <w:rPr>
          <w:rFonts w:ascii="Arial" w:hAnsi="Arial" w:cs="Arial"/>
        </w:rPr>
        <w:t xml:space="preserve"> March 26</w:t>
      </w:r>
    </w:p>
    <w:p w14:paraId="6D9515FB"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Cheong, H.I., Lyons, A., Houghton, R. and Majumdar, A (</w:t>
      </w:r>
      <w:proofErr w:type="gramStart"/>
      <w:r w:rsidRPr="008839BA">
        <w:rPr>
          <w:rFonts w:ascii="Arial" w:hAnsi="Arial" w:cs="Arial"/>
          <w:shd w:val="clear" w:color="auto" w:fill="FFFFFF"/>
        </w:rPr>
        <w:t>2023) ‘</w:t>
      </w:r>
      <w:proofErr w:type="gramEnd"/>
      <w:r w:rsidRPr="008839BA">
        <w:rPr>
          <w:rFonts w:ascii="Arial" w:hAnsi="Arial" w:cs="Arial"/>
          <w:shd w:val="clear" w:color="auto" w:fill="FFFFFF"/>
        </w:rPr>
        <w:t xml:space="preserve">Secondary qualitative research methodology using online data within the context of social </w:t>
      </w:r>
      <w:proofErr w:type="gramStart"/>
      <w:r w:rsidRPr="008839BA">
        <w:rPr>
          <w:rFonts w:ascii="Arial" w:hAnsi="Arial" w:cs="Arial"/>
          <w:shd w:val="clear" w:color="auto" w:fill="FFFFFF"/>
        </w:rPr>
        <w:t>sciences’</w:t>
      </w:r>
      <w:proofErr w:type="gramEnd"/>
      <w:r w:rsidRPr="008839BA">
        <w:rPr>
          <w:rFonts w:ascii="Arial" w:hAnsi="Arial" w:cs="Arial"/>
          <w:shd w:val="clear" w:color="auto" w:fill="FFFFFF"/>
        </w:rPr>
        <w:t>. </w:t>
      </w:r>
      <w:r w:rsidRPr="008839BA">
        <w:rPr>
          <w:rFonts w:ascii="Arial" w:hAnsi="Arial" w:cs="Arial"/>
          <w:i/>
          <w:iCs/>
          <w:shd w:val="clear" w:color="auto" w:fill="FFFFFF"/>
        </w:rPr>
        <w:t>International Journal of Qualitative Methods</w:t>
      </w:r>
      <w:r w:rsidRPr="008839BA">
        <w:rPr>
          <w:rFonts w:ascii="Arial" w:hAnsi="Arial" w:cs="Arial"/>
          <w:shd w:val="clear" w:color="auto" w:fill="FFFFFF"/>
        </w:rPr>
        <w:t>, </w:t>
      </w:r>
      <w:r w:rsidRPr="008839BA">
        <w:rPr>
          <w:rFonts w:ascii="Arial" w:hAnsi="Arial" w:cs="Arial"/>
          <w:i/>
          <w:iCs/>
          <w:shd w:val="clear" w:color="auto" w:fill="FFFFFF"/>
        </w:rPr>
        <w:t>22</w:t>
      </w:r>
      <w:r w:rsidRPr="008839BA">
        <w:rPr>
          <w:rFonts w:ascii="Arial" w:hAnsi="Arial" w:cs="Arial"/>
          <w:shd w:val="clear" w:color="auto" w:fill="FFFFFF"/>
        </w:rPr>
        <w:t xml:space="preserve">, p.16094069231180160. Online available at: </w:t>
      </w:r>
      <w:hyperlink r:id="rId15" w:history="1">
        <w:r w:rsidRPr="008839BA">
          <w:rPr>
            <w:rStyle w:val="Hyperlink"/>
            <w:rFonts w:ascii="Arial" w:hAnsi="Arial" w:cs="Arial"/>
            <w:shd w:val="clear" w:color="auto" w:fill="FFFFFF"/>
          </w:rPr>
          <w:t>https://journals.sagepub.com/doi/pdf/10.1177/16094069231180160</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0B793E04"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 xml:space="preserve">Cortese, S., </w:t>
      </w:r>
      <w:proofErr w:type="spellStart"/>
      <w:r w:rsidRPr="008839BA">
        <w:rPr>
          <w:rFonts w:ascii="Arial" w:hAnsi="Arial" w:cs="Arial"/>
          <w:shd w:val="clear" w:color="auto" w:fill="FFFFFF"/>
        </w:rPr>
        <w:t>Bellgrove</w:t>
      </w:r>
      <w:proofErr w:type="spellEnd"/>
      <w:r w:rsidRPr="008839BA">
        <w:rPr>
          <w:rFonts w:ascii="Arial" w:hAnsi="Arial" w:cs="Arial"/>
          <w:shd w:val="clear" w:color="auto" w:fill="FFFFFF"/>
        </w:rPr>
        <w:t xml:space="preserve">, M.A., Brikell, I., Franke, B., Goodman, D.W., Hartman, C.A., Larsson, H., Levin, F.R., </w:t>
      </w:r>
      <w:proofErr w:type="spellStart"/>
      <w:r w:rsidRPr="008839BA">
        <w:rPr>
          <w:rFonts w:ascii="Arial" w:hAnsi="Arial" w:cs="Arial"/>
          <w:shd w:val="clear" w:color="auto" w:fill="FFFFFF"/>
        </w:rPr>
        <w:t>Ostinelli</w:t>
      </w:r>
      <w:proofErr w:type="spellEnd"/>
      <w:r w:rsidRPr="008839BA">
        <w:rPr>
          <w:rFonts w:ascii="Arial" w:hAnsi="Arial" w:cs="Arial"/>
          <w:shd w:val="clear" w:color="auto" w:fill="FFFFFF"/>
        </w:rPr>
        <w:t xml:space="preserve">, E.G., </w:t>
      </w:r>
      <w:proofErr w:type="spellStart"/>
      <w:r w:rsidRPr="008839BA">
        <w:rPr>
          <w:rFonts w:ascii="Arial" w:hAnsi="Arial" w:cs="Arial"/>
          <w:shd w:val="clear" w:color="auto" w:fill="FFFFFF"/>
        </w:rPr>
        <w:t>Parlatini</w:t>
      </w:r>
      <w:proofErr w:type="spellEnd"/>
      <w:r w:rsidRPr="008839BA">
        <w:rPr>
          <w:rFonts w:ascii="Arial" w:hAnsi="Arial" w:cs="Arial"/>
          <w:shd w:val="clear" w:color="auto" w:fill="FFFFFF"/>
        </w:rPr>
        <w:t>, V. and Ramos</w:t>
      </w:r>
      <w:r w:rsidRPr="008839BA">
        <w:rPr>
          <w:rFonts w:ascii="Cambria Math" w:hAnsi="Cambria Math" w:cs="Cambria Math"/>
          <w:shd w:val="clear" w:color="auto" w:fill="FFFFFF"/>
        </w:rPr>
        <w:t>‐</w:t>
      </w:r>
      <w:r w:rsidRPr="008839BA">
        <w:rPr>
          <w:rFonts w:ascii="Arial" w:hAnsi="Arial" w:cs="Arial"/>
          <w:shd w:val="clear" w:color="auto" w:fill="FFFFFF"/>
        </w:rPr>
        <w:t>Quiroga, J.A (2025) ‘Attention</w:t>
      </w:r>
      <w:r w:rsidRPr="008839BA">
        <w:rPr>
          <w:rFonts w:ascii="Cambria Math" w:hAnsi="Cambria Math" w:cs="Cambria Math"/>
          <w:shd w:val="clear" w:color="auto" w:fill="FFFFFF"/>
        </w:rPr>
        <w:t>‐</w:t>
      </w:r>
      <w:r w:rsidRPr="008839BA">
        <w:rPr>
          <w:rFonts w:ascii="Arial" w:hAnsi="Arial" w:cs="Arial"/>
          <w:shd w:val="clear" w:color="auto" w:fill="FFFFFF"/>
        </w:rPr>
        <w:t xml:space="preserve">deficit/hyperactivity disorder (ADHD) in adults: evidence base, uncertainties and </w:t>
      </w:r>
      <w:proofErr w:type="gramStart"/>
      <w:r w:rsidRPr="008839BA">
        <w:rPr>
          <w:rFonts w:ascii="Arial" w:hAnsi="Arial" w:cs="Arial"/>
          <w:shd w:val="clear" w:color="auto" w:fill="FFFFFF"/>
        </w:rPr>
        <w:t>controversies’</w:t>
      </w:r>
      <w:proofErr w:type="gramEnd"/>
      <w:r w:rsidRPr="008839BA">
        <w:rPr>
          <w:rFonts w:ascii="Arial" w:hAnsi="Arial" w:cs="Arial"/>
          <w:shd w:val="clear" w:color="auto" w:fill="FFFFFF"/>
        </w:rPr>
        <w:t>. </w:t>
      </w:r>
      <w:r w:rsidRPr="008839BA">
        <w:rPr>
          <w:rFonts w:ascii="Arial" w:hAnsi="Arial" w:cs="Arial"/>
          <w:i/>
          <w:iCs/>
          <w:shd w:val="clear" w:color="auto" w:fill="FFFFFF"/>
        </w:rPr>
        <w:t>World psychiatry</w:t>
      </w:r>
      <w:r w:rsidRPr="008839BA">
        <w:rPr>
          <w:rFonts w:ascii="Arial" w:hAnsi="Arial" w:cs="Arial"/>
          <w:shd w:val="clear" w:color="auto" w:fill="FFFFFF"/>
        </w:rPr>
        <w:t>, </w:t>
      </w:r>
      <w:r w:rsidRPr="008839BA">
        <w:rPr>
          <w:rFonts w:ascii="Arial" w:hAnsi="Arial" w:cs="Arial"/>
          <w:i/>
          <w:iCs/>
          <w:shd w:val="clear" w:color="auto" w:fill="FFFFFF"/>
        </w:rPr>
        <w:t>24</w:t>
      </w:r>
      <w:r w:rsidRPr="008839BA">
        <w:rPr>
          <w:rFonts w:ascii="Arial" w:hAnsi="Arial" w:cs="Arial"/>
          <w:shd w:val="clear" w:color="auto" w:fill="FFFFFF"/>
        </w:rPr>
        <w:t xml:space="preserve">(3), pp.347-371. Online available at: </w:t>
      </w:r>
      <w:hyperlink r:id="rId16" w:history="1">
        <w:r w:rsidRPr="008839BA">
          <w:rPr>
            <w:rStyle w:val="Hyperlink"/>
            <w:rFonts w:ascii="Arial" w:hAnsi="Arial" w:cs="Arial"/>
            <w:shd w:val="clear" w:color="auto" w:fill="FFFFFF"/>
          </w:rPr>
          <w:t>https://onlinelibrary.wiley.com/doi/pdf/10.1002/wps.21374</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454CCE6F"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 xml:space="preserve">Elefante, C. and </w:t>
      </w:r>
      <w:proofErr w:type="spellStart"/>
      <w:r w:rsidRPr="008839BA">
        <w:rPr>
          <w:rFonts w:ascii="Arial" w:hAnsi="Arial" w:cs="Arial"/>
          <w:shd w:val="clear" w:color="auto" w:fill="FFFFFF"/>
        </w:rPr>
        <w:t>Perugi</w:t>
      </w:r>
      <w:proofErr w:type="spellEnd"/>
      <w:r w:rsidRPr="008839BA">
        <w:rPr>
          <w:rFonts w:ascii="Arial" w:hAnsi="Arial" w:cs="Arial"/>
          <w:shd w:val="clear" w:color="auto" w:fill="FFFFFF"/>
        </w:rPr>
        <w:t>, G (</w:t>
      </w:r>
      <w:proofErr w:type="gramStart"/>
      <w:r w:rsidRPr="008839BA">
        <w:rPr>
          <w:rFonts w:ascii="Arial" w:hAnsi="Arial" w:cs="Arial"/>
          <w:shd w:val="clear" w:color="auto" w:fill="FFFFFF"/>
        </w:rPr>
        <w:t>2025) ‘</w:t>
      </w:r>
      <w:proofErr w:type="gramEnd"/>
      <w:r w:rsidRPr="008839BA">
        <w:rPr>
          <w:rFonts w:ascii="Arial" w:hAnsi="Arial" w:cs="Arial"/>
          <w:shd w:val="clear" w:color="auto" w:fill="FFFFFF"/>
        </w:rPr>
        <w:t>Raising awareness for adult ADHD diagnosis: addressing diagnostic challenges, comorbidities, and the path to proper recognition’. </w:t>
      </w:r>
      <w:r w:rsidRPr="008839BA">
        <w:rPr>
          <w:rFonts w:ascii="Arial" w:hAnsi="Arial" w:cs="Arial"/>
          <w:i/>
          <w:iCs/>
          <w:shd w:val="clear" w:color="auto" w:fill="FFFFFF"/>
        </w:rPr>
        <w:t>International Clinical Psychopharmacology</w:t>
      </w:r>
      <w:r w:rsidRPr="008839BA">
        <w:rPr>
          <w:rFonts w:ascii="Arial" w:hAnsi="Arial" w:cs="Arial"/>
          <w:shd w:val="clear" w:color="auto" w:fill="FFFFFF"/>
        </w:rPr>
        <w:t>, </w:t>
      </w:r>
      <w:r w:rsidRPr="008839BA">
        <w:rPr>
          <w:rFonts w:ascii="Arial" w:hAnsi="Arial" w:cs="Arial"/>
          <w:i/>
          <w:iCs/>
          <w:shd w:val="clear" w:color="auto" w:fill="FFFFFF"/>
        </w:rPr>
        <w:t>40</w:t>
      </w:r>
      <w:r w:rsidRPr="008839BA">
        <w:rPr>
          <w:rFonts w:ascii="Arial" w:hAnsi="Arial" w:cs="Arial"/>
          <w:shd w:val="clear" w:color="auto" w:fill="FFFFFF"/>
        </w:rPr>
        <w:t xml:space="preserve">(4), pp.250-252. Online available at: </w:t>
      </w:r>
      <w:hyperlink r:id="rId17" w:history="1">
        <w:r w:rsidRPr="008839BA">
          <w:rPr>
            <w:rStyle w:val="Hyperlink"/>
            <w:rFonts w:ascii="Arial" w:hAnsi="Arial" w:cs="Arial"/>
            <w:shd w:val="clear" w:color="auto" w:fill="FFFFFF"/>
          </w:rPr>
          <w:t>https://journals.lww.com/intclinpsychopharm/_layouts/15/oaks.journals/downloadpdf.aspx?an=00004850-202507000-00008&amp;casa_token=YSBxuLdlMxMAAAAA:0S6P4lDUT8d3DGRrIV7G12KQ2oLnmXIa6FQPSDIldt2jDwPrVgE5L4MOaN-3ZIg5BxxMz6xMAGnJ8B7Mo5sU3U-KoUTwK1RhMg</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2E984DE5"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Faugno, E., Galbraith, A.A., Walsh, K., Maglione, P.J., Farmer, J.R. and Ong, M.S (2025) ‘Experiences with diagnostic delay among underserved racial and ethnic patients: a systematic review of the qualitative literature’. </w:t>
      </w:r>
      <w:r w:rsidRPr="008839BA">
        <w:rPr>
          <w:rFonts w:ascii="Arial" w:hAnsi="Arial" w:cs="Arial"/>
          <w:i/>
          <w:iCs/>
          <w:shd w:val="clear" w:color="auto" w:fill="FFFFFF"/>
        </w:rPr>
        <w:t>BMJ quality &amp; safety</w:t>
      </w:r>
      <w:r w:rsidRPr="008839BA">
        <w:rPr>
          <w:rFonts w:ascii="Arial" w:hAnsi="Arial" w:cs="Arial"/>
          <w:shd w:val="clear" w:color="auto" w:fill="FFFFFF"/>
        </w:rPr>
        <w:t>, </w:t>
      </w:r>
      <w:r w:rsidRPr="008839BA">
        <w:rPr>
          <w:rFonts w:ascii="Arial" w:hAnsi="Arial" w:cs="Arial"/>
          <w:i/>
          <w:iCs/>
          <w:shd w:val="clear" w:color="auto" w:fill="FFFFFF"/>
        </w:rPr>
        <w:t>34</w:t>
      </w:r>
      <w:r w:rsidRPr="008839BA">
        <w:rPr>
          <w:rFonts w:ascii="Arial" w:hAnsi="Arial" w:cs="Arial"/>
          <w:shd w:val="clear" w:color="auto" w:fill="FFFFFF"/>
        </w:rPr>
        <w:t xml:space="preserve">(3), pp.190-200. Online available at: </w:t>
      </w:r>
      <w:hyperlink r:id="rId18" w:history="1">
        <w:r w:rsidRPr="008839BA">
          <w:rPr>
            <w:rStyle w:val="Hyperlink"/>
            <w:rFonts w:ascii="Arial" w:hAnsi="Arial" w:cs="Arial"/>
            <w:shd w:val="clear" w:color="auto" w:fill="FFFFFF"/>
          </w:rPr>
          <w:t>https://pmc.ncbi.nlm.nih.gov/articles/PMC11839380/</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23F10E4E"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 xml:space="preserve">Gizaw, Z., </w:t>
      </w:r>
      <w:proofErr w:type="spellStart"/>
      <w:r w:rsidRPr="008839BA">
        <w:rPr>
          <w:rFonts w:ascii="Arial" w:hAnsi="Arial" w:cs="Arial"/>
          <w:shd w:val="clear" w:color="auto" w:fill="FFFFFF"/>
        </w:rPr>
        <w:t>Astale</w:t>
      </w:r>
      <w:proofErr w:type="spellEnd"/>
      <w:r w:rsidRPr="008839BA">
        <w:rPr>
          <w:rFonts w:ascii="Arial" w:hAnsi="Arial" w:cs="Arial"/>
          <w:shd w:val="clear" w:color="auto" w:fill="FFFFFF"/>
        </w:rPr>
        <w:t>, T. and Kassie, G.M (</w:t>
      </w:r>
      <w:proofErr w:type="gramStart"/>
      <w:r w:rsidRPr="008839BA">
        <w:rPr>
          <w:rFonts w:ascii="Arial" w:hAnsi="Arial" w:cs="Arial"/>
          <w:shd w:val="clear" w:color="auto" w:fill="FFFFFF"/>
        </w:rPr>
        <w:t>2022) ‘</w:t>
      </w:r>
      <w:proofErr w:type="gramEnd"/>
      <w:r w:rsidRPr="008839BA">
        <w:rPr>
          <w:rFonts w:ascii="Arial" w:hAnsi="Arial" w:cs="Arial"/>
          <w:shd w:val="clear" w:color="auto" w:fill="FFFFFF"/>
        </w:rPr>
        <w:t>What improves access to primary healthcare services in rural communities?’ A systematic review. </w:t>
      </w:r>
      <w:r w:rsidRPr="008839BA">
        <w:rPr>
          <w:rFonts w:ascii="Arial" w:hAnsi="Arial" w:cs="Arial"/>
          <w:i/>
          <w:iCs/>
          <w:shd w:val="clear" w:color="auto" w:fill="FFFFFF"/>
        </w:rPr>
        <w:t>BMC Primary Care</w:t>
      </w:r>
      <w:r w:rsidRPr="008839BA">
        <w:rPr>
          <w:rFonts w:ascii="Arial" w:hAnsi="Arial" w:cs="Arial"/>
          <w:shd w:val="clear" w:color="auto" w:fill="FFFFFF"/>
        </w:rPr>
        <w:t>, </w:t>
      </w:r>
      <w:r w:rsidRPr="008839BA">
        <w:rPr>
          <w:rFonts w:ascii="Arial" w:hAnsi="Arial" w:cs="Arial"/>
          <w:i/>
          <w:iCs/>
          <w:shd w:val="clear" w:color="auto" w:fill="FFFFFF"/>
        </w:rPr>
        <w:t>23</w:t>
      </w:r>
      <w:r w:rsidRPr="008839BA">
        <w:rPr>
          <w:rFonts w:ascii="Arial" w:hAnsi="Arial" w:cs="Arial"/>
          <w:shd w:val="clear" w:color="auto" w:fill="FFFFFF"/>
        </w:rPr>
        <w:t xml:space="preserve">(1), p.313. Online available at: </w:t>
      </w:r>
      <w:hyperlink r:id="rId19" w:history="1">
        <w:r w:rsidRPr="008839BA">
          <w:rPr>
            <w:rStyle w:val="Hyperlink"/>
            <w:rFonts w:ascii="Arial" w:hAnsi="Arial" w:cs="Arial"/>
            <w:shd w:val="clear" w:color="auto" w:fill="FFFFFF"/>
          </w:rPr>
          <w:t>https://link.springer.com/content/pdf/10.1186/s12875-022-01919-0.pdf</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71BE7E14"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 xml:space="preserve">Kandasamy, G., </w:t>
      </w:r>
      <w:proofErr w:type="spellStart"/>
      <w:r w:rsidRPr="008839BA">
        <w:rPr>
          <w:rFonts w:ascii="Arial" w:hAnsi="Arial" w:cs="Arial"/>
          <w:shd w:val="clear" w:color="auto" w:fill="FFFFFF"/>
        </w:rPr>
        <w:t>Orayj</w:t>
      </w:r>
      <w:proofErr w:type="spellEnd"/>
      <w:r w:rsidRPr="008839BA">
        <w:rPr>
          <w:rFonts w:ascii="Arial" w:hAnsi="Arial" w:cs="Arial"/>
          <w:shd w:val="clear" w:color="auto" w:fill="FFFFFF"/>
        </w:rPr>
        <w:t xml:space="preserve">, K., Rani, V.I., Alshahrani, A.M., Alanazi, T.S. and </w:t>
      </w:r>
      <w:proofErr w:type="spellStart"/>
      <w:r w:rsidRPr="008839BA">
        <w:rPr>
          <w:rFonts w:ascii="Arial" w:hAnsi="Arial" w:cs="Arial"/>
          <w:shd w:val="clear" w:color="auto" w:fill="FFFFFF"/>
        </w:rPr>
        <w:t>Hmlan</w:t>
      </w:r>
      <w:proofErr w:type="spellEnd"/>
      <w:r w:rsidRPr="008839BA">
        <w:rPr>
          <w:rFonts w:ascii="Arial" w:hAnsi="Arial" w:cs="Arial"/>
          <w:shd w:val="clear" w:color="auto" w:fill="FFFFFF"/>
        </w:rPr>
        <w:t>, A (2025) ‘Bridging the gap: a cross-sectional study on knowledge and awareness of attention-deficit/hyperactivity disorder among students at a public university’. </w:t>
      </w:r>
      <w:r w:rsidRPr="008839BA">
        <w:rPr>
          <w:rFonts w:ascii="Arial" w:hAnsi="Arial" w:cs="Arial"/>
          <w:i/>
          <w:iCs/>
          <w:shd w:val="clear" w:color="auto" w:fill="FFFFFF"/>
        </w:rPr>
        <w:t>Frontiers in Public Health</w:t>
      </w:r>
      <w:r w:rsidRPr="008839BA">
        <w:rPr>
          <w:rFonts w:ascii="Arial" w:hAnsi="Arial" w:cs="Arial"/>
          <w:shd w:val="clear" w:color="auto" w:fill="FFFFFF"/>
        </w:rPr>
        <w:t>, </w:t>
      </w:r>
      <w:r w:rsidRPr="008839BA">
        <w:rPr>
          <w:rFonts w:ascii="Arial" w:hAnsi="Arial" w:cs="Arial"/>
          <w:i/>
          <w:iCs/>
          <w:shd w:val="clear" w:color="auto" w:fill="FFFFFF"/>
        </w:rPr>
        <w:t>13</w:t>
      </w:r>
      <w:r w:rsidRPr="008839BA">
        <w:rPr>
          <w:rFonts w:ascii="Arial" w:hAnsi="Arial" w:cs="Arial"/>
          <w:shd w:val="clear" w:color="auto" w:fill="FFFFFF"/>
        </w:rPr>
        <w:t xml:space="preserve">, p.1679269. Online available at: </w:t>
      </w:r>
      <w:hyperlink r:id="rId20" w:history="1">
        <w:r w:rsidRPr="008839BA">
          <w:rPr>
            <w:rStyle w:val="Hyperlink"/>
            <w:rFonts w:ascii="Arial" w:hAnsi="Arial" w:cs="Arial"/>
            <w:shd w:val="clear" w:color="auto" w:fill="FFFFFF"/>
          </w:rPr>
          <w:t>https://www.frontiersin.org/journals/public-health/articles/10.3389/fpubh.2025.1679269/pdf</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33F7CADD" w14:textId="77777777" w:rsidR="00DF0991" w:rsidRPr="008839BA" w:rsidRDefault="00DF0991" w:rsidP="00DF0991">
      <w:pPr>
        <w:pStyle w:val="NoSpacing"/>
        <w:spacing w:before="240" w:line="360" w:lineRule="auto"/>
        <w:jc w:val="both"/>
        <w:rPr>
          <w:rFonts w:ascii="Arial" w:hAnsi="Arial" w:cs="Arial"/>
          <w:shd w:val="clear" w:color="auto" w:fill="FFFFFF"/>
        </w:rPr>
      </w:pPr>
      <w:proofErr w:type="spellStart"/>
      <w:r w:rsidRPr="008839BA">
        <w:rPr>
          <w:rFonts w:ascii="Arial" w:hAnsi="Arial" w:cs="Arial"/>
          <w:shd w:val="clear" w:color="auto" w:fill="FFFFFF"/>
        </w:rPr>
        <w:t>Kooij</w:t>
      </w:r>
      <w:proofErr w:type="spellEnd"/>
      <w:r w:rsidRPr="008839BA">
        <w:rPr>
          <w:rFonts w:ascii="Arial" w:hAnsi="Arial" w:cs="Arial"/>
          <w:shd w:val="clear" w:color="auto" w:fill="FFFFFF"/>
        </w:rPr>
        <w:t xml:space="preserve">, J.J., De Jong, M., Agnew-Blais, J., Amoretti, S., Bang Madsen, K., Barclay, I., </w:t>
      </w:r>
      <w:proofErr w:type="spellStart"/>
      <w:r w:rsidRPr="008839BA">
        <w:rPr>
          <w:rFonts w:ascii="Arial" w:hAnsi="Arial" w:cs="Arial"/>
          <w:shd w:val="clear" w:color="auto" w:fill="FFFFFF"/>
        </w:rPr>
        <w:t>Bölte</w:t>
      </w:r>
      <w:proofErr w:type="spellEnd"/>
      <w:r w:rsidRPr="008839BA">
        <w:rPr>
          <w:rFonts w:ascii="Arial" w:hAnsi="Arial" w:cs="Arial"/>
          <w:shd w:val="clear" w:color="auto" w:fill="FFFFFF"/>
        </w:rPr>
        <w:t xml:space="preserve">, S., Borg Skoglund, C., Broughton, T., Carucci, S. and van Dijken, D.K (2025) ‘Research advances </w:t>
      </w:r>
      <w:r w:rsidRPr="008839BA">
        <w:rPr>
          <w:rFonts w:ascii="Arial" w:hAnsi="Arial" w:cs="Arial"/>
          <w:shd w:val="clear" w:color="auto" w:fill="FFFFFF"/>
        </w:rPr>
        <w:lastRenderedPageBreak/>
        <w:t>and future directions in female ADHD: the lifelong interplay of hormonal fluctuations with mood, cognition, and disease’. </w:t>
      </w:r>
      <w:r w:rsidRPr="008839BA">
        <w:rPr>
          <w:rFonts w:ascii="Arial" w:hAnsi="Arial" w:cs="Arial"/>
          <w:i/>
          <w:iCs/>
          <w:shd w:val="clear" w:color="auto" w:fill="FFFFFF"/>
        </w:rPr>
        <w:t>Frontiers in global women's health</w:t>
      </w:r>
      <w:r w:rsidRPr="008839BA">
        <w:rPr>
          <w:rFonts w:ascii="Arial" w:hAnsi="Arial" w:cs="Arial"/>
          <w:shd w:val="clear" w:color="auto" w:fill="FFFFFF"/>
        </w:rPr>
        <w:t>, </w:t>
      </w:r>
      <w:r w:rsidRPr="008839BA">
        <w:rPr>
          <w:rFonts w:ascii="Arial" w:hAnsi="Arial" w:cs="Arial"/>
          <w:i/>
          <w:iCs/>
          <w:shd w:val="clear" w:color="auto" w:fill="FFFFFF"/>
        </w:rPr>
        <w:t>6</w:t>
      </w:r>
      <w:r w:rsidRPr="008839BA">
        <w:rPr>
          <w:rFonts w:ascii="Arial" w:hAnsi="Arial" w:cs="Arial"/>
          <w:shd w:val="clear" w:color="auto" w:fill="FFFFFF"/>
        </w:rPr>
        <w:t xml:space="preserve">, p.1613628. Online available at: </w:t>
      </w:r>
      <w:hyperlink r:id="rId21" w:history="1">
        <w:r w:rsidRPr="008839BA">
          <w:rPr>
            <w:rStyle w:val="Hyperlink"/>
            <w:rFonts w:ascii="Arial" w:hAnsi="Arial" w:cs="Arial"/>
            <w:shd w:val="clear" w:color="auto" w:fill="FFFFFF"/>
          </w:rPr>
          <w:t>https://www.frontiersin.org/journals/global-womens-health/articles/10.3389/fgwh.2025.1613628/full?utm_source=chatgpt.com</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442E5507"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Lauder, K., McDowall, A. and Tenenbaum, H.R (2022) ‘A systematic review of interventions to support adults with ADHD at work—Implications from the paucity of context-specific research for theory and practice’. </w:t>
      </w:r>
      <w:r w:rsidRPr="008839BA">
        <w:rPr>
          <w:rFonts w:ascii="Arial" w:hAnsi="Arial" w:cs="Arial"/>
          <w:i/>
          <w:iCs/>
          <w:shd w:val="clear" w:color="auto" w:fill="FFFFFF"/>
        </w:rPr>
        <w:t>Frontiers in Psychology</w:t>
      </w:r>
      <w:r w:rsidRPr="008839BA">
        <w:rPr>
          <w:rFonts w:ascii="Arial" w:hAnsi="Arial" w:cs="Arial"/>
          <w:shd w:val="clear" w:color="auto" w:fill="FFFFFF"/>
        </w:rPr>
        <w:t>, </w:t>
      </w:r>
      <w:r w:rsidRPr="008839BA">
        <w:rPr>
          <w:rFonts w:ascii="Arial" w:hAnsi="Arial" w:cs="Arial"/>
          <w:i/>
          <w:iCs/>
          <w:shd w:val="clear" w:color="auto" w:fill="FFFFFF"/>
        </w:rPr>
        <w:t>13</w:t>
      </w:r>
      <w:r w:rsidRPr="008839BA">
        <w:rPr>
          <w:rFonts w:ascii="Arial" w:hAnsi="Arial" w:cs="Arial"/>
          <w:shd w:val="clear" w:color="auto" w:fill="FFFFFF"/>
        </w:rPr>
        <w:t xml:space="preserve">, p.893469. Online available at: </w:t>
      </w:r>
      <w:hyperlink r:id="rId22" w:history="1">
        <w:r w:rsidRPr="008839BA">
          <w:rPr>
            <w:rStyle w:val="Hyperlink"/>
            <w:rFonts w:ascii="Arial" w:hAnsi="Arial" w:cs="Arial"/>
            <w:shd w:val="clear" w:color="auto" w:fill="FFFFFF"/>
          </w:rPr>
          <w:t>https://www.frontiersin.org/journals/psychology/articles/10.3389/fpsyg.2022.893469/full</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4080D817"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Lindhardt, L., Nilsson, L.S., Munk-Jørgensen, P., Mortensen, O.S., Simonsen, E. and Nordgaard, J (2022) ‘Unrecognized schizophrenia spectrum and other mental disorders in youth disconnected from education and work-life’. </w:t>
      </w:r>
      <w:r w:rsidRPr="008839BA">
        <w:rPr>
          <w:rFonts w:ascii="Arial" w:hAnsi="Arial" w:cs="Arial"/>
          <w:i/>
          <w:iCs/>
          <w:shd w:val="clear" w:color="auto" w:fill="FFFFFF"/>
        </w:rPr>
        <w:t>Frontiers in psychiatry</w:t>
      </w:r>
      <w:r w:rsidRPr="008839BA">
        <w:rPr>
          <w:rFonts w:ascii="Arial" w:hAnsi="Arial" w:cs="Arial"/>
          <w:shd w:val="clear" w:color="auto" w:fill="FFFFFF"/>
        </w:rPr>
        <w:t>, </w:t>
      </w:r>
      <w:r w:rsidRPr="008839BA">
        <w:rPr>
          <w:rFonts w:ascii="Arial" w:hAnsi="Arial" w:cs="Arial"/>
          <w:i/>
          <w:iCs/>
          <w:shd w:val="clear" w:color="auto" w:fill="FFFFFF"/>
        </w:rPr>
        <w:t>13</w:t>
      </w:r>
      <w:r w:rsidRPr="008839BA">
        <w:rPr>
          <w:rFonts w:ascii="Arial" w:hAnsi="Arial" w:cs="Arial"/>
          <w:shd w:val="clear" w:color="auto" w:fill="FFFFFF"/>
        </w:rPr>
        <w:t xml:space="preserve">, p.1015616. Online available at: </w:t>
      </w:r>
      <w:hyperlink r:id="rId23" w:history="1">
        <w:r w:rsidRPr="008839BA">
          <w:rPr>
            <w:rStyle w:val="Hyperlink"/>
            <w:rFonts w:ascii="Arial" w:hAnsi="Arial" w:cs="Arial"/>
            <w:shd w:val="clear" w:color="auto" w:fill="FFFFFF"/>
          </w:rPr>
          <w:t>https://www.frontiersin.org/journals/psychiatry/articles/10.3389/fpsyt.2022.1015616/pdf</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29EECF6F" w14:textId="77777777" w:rsidR="00DF0991" w:rsidRPr="008839BA" w:rsidRDefault="00DF0991" w:rsidP="00DF0991">
      <w:pPr>
        <w:pStyle w:val="NoSpacing"/>
        <w:spacing w:before="240" w:line="360" w:lineRule="auto"/>
        <w:jc w:val="both"/>
        <w:rPr>
          <w:rFonts w:ascii="Arial" w:hAnsi="Arial" w:cs="Arial"/>
          <w:shd w:val="clear" w:color="auto" w:fill="FFFFFF"/>
        </w:rPr>
      </w:pPr>
      <w:proofErr w:type="spellStart"/>
      <w:r w:rsidRPr="008839BA">
        <w:rPr>
          <w:rFonts w:ascii="Arial" w:hAnsi="Arial" w:cs="Arial"/>
          <w:shd w:val="clear" w:color="auto" w:fill="FFFFFF"/>
        </w:rPr>
        <w:t>Maciver</w:t>
      </w:r>
      <w:proofErr w:type="spellEnd"/>
      <w:r w:rsidRPr="008839BA">
        <w:rPr>
          <w:rFonts w:ascii="Arial" w:hAnsi="Arial" w:cs="Arial"/>
          <w:shd w:val="clear" w:color="auto" w:fill="FFFFFF"/>
        </w:rPr>
        <w:t xml:space="preserve">, D., Roy, A.S., Johnston, L., </w:t>
      </w:r>
      <w:proofErr w:type="spellStart"/>
      <w:r w:rsidRPr="008839BA">
        <w:rPr>
          <w:rFonts w:ascii="Arial" w:hAnsi="Arial" w:cs="Arial"/>
          <w:shd w:val="clear" w:color="auto" w:fill="FFFFFF"/>
        </w:rPr>
        <w:t>Boilson</w:t>
      </w:r>
      <w:proofErr w:type="spellEnd"/>
      <w:r w:rsidRPr="008839BA">
        <w:rPr>
          <w:rFonts w:ascii="Arial" w:hAnsi="Arial" w:cs="Arial"/>
          <w:shd w:val="clear" w:color="auto" w:fill="FFFFFF"/>
        </w:rPr>
        <w:t>, M., Curnow, E., Johnstone</w:t>
      </w:r>
      <w:r w:rsidRPr="008839BA">
        <w:rPr>
          <w:rFonts w:ascii="Cambria Math" w:hAnsi="Cambria Math" w:cs="Cambria Math"/>
          <w:shd w:val="clear" w:color="auto" w:fill="FFFFFF"/>
        </w:rPr>
        <w:t>‐</w:t>
      </w:r>
      <w:r w:rsidRPr="008839BA">
        <w:rPr>
          <w:rFonts w:ascii="Arial" w:hAnsi="Arial" w:cs="Arial"/>
          <w:shd w:val="clear" w:color="auto" w:fill="FFFFFF"/>
        </w:rPr>
        <w:t xml:space="preserve">Cooke, V. and Rutherford, M (2025) ‘Waiting times and influencing factors in children and adults undergoing assessment for autism, ADHD, and other neurodevelopmental </w:t>
      </w:r>
      <w:proofErr w:type="gramStart"/>
      <w:r w:rsidRPr="008839BA">
        <w:rPr>
          <w:rFonts w:ascii="Arial" w:hAnsi="Arial" w:cs="Arial"/>
          <w:shd w:val="clear" w:color="auto" w:fill="FFFFFF"/>
        </w:rPr>
        <w:t>differences’</w:t>
      </w:r>
      <w:proofErr w:type="gramEnd"/>
      <w:r w:rsidRPr="008839BA">
        <w:rPr>
          <w:rFonts w:ascii="Arial" w:hAnsi="Arial" w:cs="Arial"/>
          <w:shd w:val="clear" w:color="auto" w:fill="FFFFFF"/>
        </w:rPr>
        <w:t>. </w:t>
      </w:r>
      <w:r w:rsidRPr="008839BA">
        <w:rPr>
          <w:rFonts w:ascii="Arial" w:hAnsi="Arial" w:cs="Arial"/>
          <w:i/>
          <w:iCs/>
          <w:shd w:val="clear" w:color="auto" w:fill="FFFFFF"/>
        </w:rPr>
        <w:t>Autism Research</w:t>
      </w:r>
      <w:r w:rsidRPr="008839BA">
        <w:rPr>
          <w:rFonts w:ascii="Arial" w:hAnsi="Arial" w:cs="Arial"/>
          <w:shd w:val="clear" w:color="auto" w:fill="FFFFFF"/>
        </w:rPr>
        <w:t>, </w:t>
      </w:r>
      <w:r w:rsidRPr="008839BA">
        <w:rPr>
          <w:rFonts w:ascii="Arial" w:hAnsi="Arial" w:cs="Arial"/>
          <w:i/>
          <w:iCs/>
          <w:shd w:val="clear" w:color="auto" w:fill="FFFFFF"/>
        </w:rPr>
        <w:t>18</w:t>
      </w:r>
      <w:r w:rsidRPr="008839BA">
        <w:rPr>
          <w:rFonts w:ascii="Arial" w:hAnsi="Arial" w:cs="Arial"/>
          <w:shd w:val="clear" w:color="auto" w:fill="FFFFFF"/>
        </w:rPr>
        <w:t xml:space="preserve">(4), pp.788-801. Online available at: </w:t>
      </w:r>
      <w:hyperlink r:id="rId24" w:history="1">
        <w:r w:rsidRPr="008839BA">
          <w:rPr>
            <w:rStyle w:val="Hyperlink"/>
            <w:rFonts w:ascii="Arial" w:hAnsi="Arial" w:cs="Arial"/>
            <w:shd w:val="clear" w:color="auto" w:fill="FFFFFF"/>
          </w:rPr>
          <w:t>https://onlinelibrary.wiley.com/doi/pdf/10.1002/aur.70011</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4998B070"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 xml:space="preserve">May, T., Birch, E., Chaves, K., </w:t>
      </w:r>
      <w:proofErr w:type="spellStart"/>
      <w:r w:rsidRPr="008839BA">
        <w:rPr>
          <w:rFonts w:ascii="Arial" w:hAnsi="Arial" w:cs="Arial"/>
          <w:shd w:val="clear" w:color="auto" w:fill="FFFFFF"/>
        </w:rPr>
        <w:t>Cranswick</w:t>
      </w:r>
      <w:proofErr w:type="spellEnd"/>
      <w:r w:rsidRPr="008839BA">
        <w:rPr>
          <w:rFonts w:ascii="Arial" w:hAnsi="Arial" w:cs="Arial"/>
          <w:shd w:val="clear" w:color="auto" w:fill="FFFFFF"/>
        </w:rPr>
        <w:t xml:space="preserve">, N., Culnane, E., Delaney, J., Derrick, M., Eapen, V., </w:t>
      </w:r>
      <w:proofErr w:type="spellStart"/>
      <w:r w:rsidRPr="008839BA">
        <w:rPr>
          <w:rFonts w:ascii="Arial" w:hAnsi="Arial" w:cs="Arial"/>
          <w:shd w:val="clear" w:color="auto" w:fill="FFFFFF"/>
        </w:rPr>
        <w:t>Edlington</w:t>
      </w:r>
      <w:proofErr w:type="spellEnd"/>
      <w:r w:rsidRPr="008839BA">
        <w:rPr>
          <w:rFonts w:ascii="Arial" w:hAnsi="Arial" w:cs="Arial"/>
          <w:shd w:val="clear" w:color="auto" w:fill="FFFFFF"/>
        </w:rPr>
        <w:t xml:space="preserve">, C., Efron, D. and </w:t>
      </w:r>
      <w:proofErr w:type="spellStart"/>
      <w:r w:rsidRPr="008839BA">
        <w:rPr>
          <w:rFonts w:ascii="Arial" w:hAnsi="Arial" w:cs="Arial"/>
          <w:shd w:val="clear" w:color="auto" w:fill="FFFFFF"/>
        </w:rPr>
        <w:t>Ewais</w:t>
      </w:r>
      <w:proofErr w:type="spellEnd"/>
      <w:r w:rsidRPr="008839BA">
        <w:rPr>
          <w:rFonts w:ascii="Arial" w:hAnsi="Arial" w:cs="Arial"/>
          <w:shd w:val="clear" w:color="auto" w:fill="FFFFFF"/>
        </w:rPr>
        <w:t>, T (2023) ‘The Australian evidence-based clinical practice guideline for attention deficit hyperactivity disorder’. </w:t>
      </w:r>
      <w:r w:rsidRPr="008839BA">
        <w:rPr>
          <w:rFonts w:ascii="Arial" w:hAnsi="Arial" w:cs="Arial"/>
          <w:i/>
          <w:iCs/>
          <w:shd w:val="clear" w:color="auto" w:fill="FFFFFF"/>
        </w:rPr>
        <w:t>Australian &amp; New Zealand Journal of Psychiatry</w:t>
      </w:r>
      <w:r w:rsidRPr="008839BA">
        <w:rPr>
          <w:rFonts w:ascii="Arial" w:hAnsi="Arial" w:cs="Arial"/>
          <w:shd w:val="clear" w:color="auto" w:fill="FFFFFF"/>
        </w:rPr>
        <w:t>, </w:t>
      </w:r>
      <w:r w:rsidRPr="008839BA">
        <w:rPr>
          <w:rFonts w:ascii="Arial" w:hAnsi="Arial" w:cs="Arial"/>
          <w:i/>
          <w:iCs/>
          <w:shd w:val="clear" w:color="auto" w:fill="FFFFFF"/>
        </w:rPr>
        <w:t>57</w:t>
      </w:r>
      <w:r w:rsidRPr="008839BA">
        <w:rPr>
          <w:rFonts w:ascii="Arial" w:hAnsi="Arial" w:cs="Arial"/>
          <w:shd w:val="clear" w:color="auto" w:fill="FFFFFF"/>
        </w:rPr>
        <w:t xml:space="preserve">(8), pp.1101-1116. Online available at: </w:t>
      </w:r>
      <w:hyperlink r:id="rId25" w:history="1">
        <w:r w:rsidRPr="008839BA">
          <w:rPr>
            <w:rStyle w:val="Hyperlink"/>
            <w:rFonts w:ascii="Arial" w:hAnsi="Arial" w:cs="Arial"/>
            <w:shd w:val="clear" w:color="auto" w:fill="FFFFFF"/>
          </w:rPr>
          <w:t>https://journals.sagepub.com/doi/pdf/10.1177/00048674231166329</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01B58DBC" w14:textId="77777777" w:rsidR="00DF0991" w:rsidRPr="008839BA" w:rsidRDefault="00DF0991" w:rsidP="00DF0991">
      <w:pPr>
        <w:pStyle w:val="NoSpacing"/>
        <w:spacing w:before="240" w:line="360" w:lineRule="auto"/>
        <w:jc w:val="both"/>
        <w:rPr>
          <w:rFonts w:ascii="Arial" w:hAnsi="Arial" w:cs="Arial"/>
        </w:rPr>
      </w:pPr>
      <w:r w:rsidRPr="008839BA">
        <w:rPr>
          <w:rFonts w:ascii="Arial" w:hAnsi="Arial" w:cs="Arial"/>
        </w:rPr>
        <w:t xml:space="preserve">McKechnie, D.G.J., </w:t>
      </w:r>
      <w:proofErr w:type="spellStart"/>
      <w:r w:rsidRPr="008839BA">
        <w:rPr>
          <w:rFonts w:ascii="Arial" w:hAnsi="Arial" w:cs="Arial"/>
        </w:rPr>
        <w:t>O’Nions</w:t>
      </w:r>
      <w:proofErr w:type="spellEnd"/>
      <w:r w:rsidRPr="008839BA">
        <w:rPr>
          <w:rFonts w:ascii="Arial" w:hAnsi="Arial" w:cs="Arial"/>
        </w:rPr>
        <w:t xml:space="preserve">, E., Dunsmuir, S. and Petersen, I. (2023) ‘Attention-deficit hyperactivity disorder diagnoses and prescriptions in UK primary care: a population-based cohort study’, </w:t>
      </w:r>
      <w:proofErr w:type="spellStart"/>
      <w:r w:rsidRPr="008839BA">
        <w:rPr>
          <w:rStyle w:val="Emphasis"/>
          <w:rFonts w:ascii="Arial" w:hAnsi="Arial" w:cs="Arial"/>
        </w:rPr>
        <w:t>BJPsych</w:t>
      </w:r>
      <w:proofErr w:type="spellEnd"/>
      <w:r w:rsidRPr="008839BA">
        <w:rPr>
          <w:rStyle w:val="Emphasis"/>
          <w:rFonts w:ascii="Arial" w:hAnsi="Arial" w:cs="Arial"/>
        </w:rPr>
        <w:t xml:space="preserve"> Open</w:t>
      </w:r>
      <w:r w:rsidRPr="008839BA">
        <w:rPr>
          <w:rFonts w:ascii="Arial" w:hAnsi="Arial" w:cs="Arial"/>
        </w:rPr>
        <w:t xml:space="preserve">, 9(e121), pp. 1–10. Online available at: </w:t>
      </w:r>
      <w:hyperlink r:id="rId26" w:tgtFrame="_new" w:history="1">
        <w:r w:rsidRPr="008839BA">
          <w:rPr>
            <w:rStyle w:val="Hyperlink"/>
            <w:rFonts w:ascii="Arial" w:hAnsi="Arial" w:cs="Arial"/>
          </w:rPr>
          <w:t>https://doi.org/10.1192/bjo.2023.512</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2D0B1EFE"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lastRenderedPageBreak/>
        <w:t>McKenna, K., Wanni Arachchige Dona, S., Gold, L., Dew, A. and Le, H.N (</w:t>
      </w:r>
      <w:proofErr w:type="gramStart"/>
      <w:r w:rsidRPr="008839BA">
        <w:rPr>
          <w:rFonts w:ascii="Arial" w:hAnsi="Arial" w:cs="Arial"/>
          <w:shd w:val="clear" w:color="auto" w:fill="FFFFFF"/>
        </w:rPr>
        <w:t>2024) ‘</w:t>
      </w:r>
      <w:proofErr w:type="gramEnd"/>
      <w:r w:rsidRPr="008839BA">
        <w:rPr>
          <w:rFonts w:ascii="Arial" w:hAnsi="Arial" w:cs="Arial"/>
          <w:shd w:val="clear" w:color="auto" w:fill="FFFFFF"/>
        </w:rPr>
        <w:t>Barriers and enablers of service access and utilization for children and adolescents with attention deficit hyperactivity disorder: a systematic review’. </w:t>
      </w:r>
      <w:r w:rsidRPr="008839BA">
        <w:rPr>
          <w:rFonts w:ascii="Arial" w:hAnsi="Arial" w:cs="Arial"/>
          <w:i/>
          <w:iCs/>
          <w:shd w:val="clear" w:color="auto" w:fill="FFFFFF"/>
        </w:rPr>
        <w:t>Journal of attention disorders</w:t>
      </w:r>
      <w:r w:rsidRPr="008839BA">
        <w:rPr>
          <w:rFonts w:ascii="Arial" w:hAnsi="Arial" w:cs="Arial"/>
          <w:shd w:val="clear" w:color="auto" w:fill="FFFFFF"/>
        </w:rPr>
        <w:t>, </w:t>
      </w:r>
      <w:r w:rsidRPr="008839BA">
        <w:rPr>
          <w:rFonts w:ascii="Arial" w:hAnsi="Arial" w:cs="Arial"/>
          <w:i/>
          <w:iCs/>
          <w:shd w:val="clear" w:color="auto" w:fill="FFFFFF"/>
        </w:rPr>
        <w:t>28</w:t>
      </w:r>
      <w:r w:rsidRPr="008839BA">
        <w:rPr>
          <w:rFonts w:ascii="Arial" w:hAnsi="Arial" w:cs="Arial"/>
          <w:shd w:val="clear" w:color="auto" w:fill="FFFFFF"/>
        </w:rPr>
        <w:t xml:space="preserve">(3), pp.259-278. Online available at: </w:t>
      </w:r>
      <w:hyperlink r:id="rId27" w:history="1">
        <w:r w:rsidRPr="008839BA">
          <w:rPr>
            <w:rStyle w:val="Hyperlink"/>
            <w:rFonts w:ascii="Arial" w:hAnsi="Arial" w:cs="Arial"/>
            <w:shd w:val="clear" w:color="auto" w:fill="FFFFFF"/>
          </w:rPr>
          <w:t>https://journals.sagepub.com/doi/pdf/10.1177/10870547231214002</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1EB0CADF" w14:textId="77777777" w:rsidR="00DF0991" w:rsidRPr="008839BA" w:rsidRDefault="00DF0991" w:rsidP="00DF0991">
      <w:pPr>
        <w:pStyle w:val="NoSpacing"/>
        <w:spacing w:before="240" w:line="360" w:lineRule="auto"/>
        <w:jc w:val="both"/>
        <w:rPr>
          <w:rFonts w:ascii="Arial" w:hAnsi="Arial" w:cs="Arial"/>
        </w:rPr>
      </w:pPr>
      <w:r w:rsidRPr="008839BA">
        <w:rPr>
          <w:rFonts w:ascii="Arial" w:hAnsi="Arial" w:cs="Arial"/>
        </w:rPr>
        <w:t xml:space="preserve">Morgan, J., 2023. </w:t>
      </w:r>
      <w:r w:rsidRPr="008839BA">
        <w:rPr>
          <w:rStyle w:val="Strong"/>
          <w:rFonts w:ascii="Arial" w:hAnsi="Arial" w:cs="Arial"/>
          <w:b w:val="0"/>
        </w:rPr>
        <w:t>Exploring women’s experiences of diagnosis of ADHD in adulthood: a qualitative study.</w:t>
      </w:r>
      <w:r w:rsidRPr="008839BA">
        <w:rPr>
          <w:rFonts w:ascii="Arial" w:hAnsi="Arial" w:cs="Arial"/>
        </w:rPr>
        <w:t xml:space="preserve"> </w:t>
      </w:r>
      <w:r w:rsidRPr="008839BA">
        <w:rPr>
          <w:rStyle w:val="Emphasis"/>
          <w:rFonts w:ascii="Arial" w:hAnsi="Arial" w:cs="Arial"/>
        </w:rPr>
        <w:t>Advances in Mental Health</w:t>
      </w:r>
      <w:r w:rsidRPr="008839BA">
        <w:rPr>
          <w:rFonts w:ascii="Arial" w:hAnsi="Arial" w:cs="Arial"/>
        </w:rPr>
        <w:t xml:space="preserve">. Online available at: </w:t>
      </w:r>
      <w:hyperlink r:id="rId28" w:tgtFrame="_new" w:history="1">
        <w:r w:rsidRPr="008839BA">
          <w:rPr>
            <w:rStyle w:val="Hyperlink"/>
            <w:rFonts w:ascii="Arial" w:hAnsi="Arial" w:cs="Arial"/>
          </w:rPr>
          <w:t>https://www.tandfonline.com/doi/full/10.1080/18387357.2023.2268756</w:t>
        </w:r>
      </w:hyperlink>
      <w:r w:rsidRPr="008839BA">
        <w:rPr>
          <w:rFonts w:ascii="Arial" w:hAnsi="Arial" w:cs="Arial"/>
        </w:rPr>
        <w:t xml:space="preserve"> </w:t>
      </w:r>
      <w:r w:rsidRPr="008839BA">
        <w:rPr>
          <w:rFonts w:ascii="Arial" w:hAnsi="Arial" w:cs="Arial"/>
          <w:shd w:val="clear" w:color="auto" w:fill="FFFFFF"/>
        </w:rPr>
        <w:t>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7F639A42"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Pant, L (2025) “ADHD isn’t Real”–Addressing ADHD Stigma Through Public Policy and Social Marketing Strategy. </w:t>
      </w:r>
      <w:r w:rsidRPr="008839BA">
        <w:rPr>
          <w:rFonts w:ascii="Arial" w:hAnsi="Arial" w:cs="Arial"/>
          <w:i/>
          <w:iCs/>
          <w:shd w:val="clear" w:color="auto" w:fill="FFFFFF"/>
        </w:rPr>
        <w:t>Social Marketing Quarterly</w:t>
      </w:r>
      <w:r w:rsidRPr="008839BA">
        <w:rPr>
          <w:rFonts w:ascii="Arial" w:hAnsi="Arial" w:cs="Arial"/>
          <w:shd w:val="clear" w:color="auto" w:fill="FFFFFF"/>
        </w:rPr>
        <w:t>, </w:t>
      </w:r>
      <w:r w:rsidRPr="008839BA">
        <w:rPr>
          <w:rFonts w:ascii="Arial" w:hAnsi="Arial" w:cs="Arial"/>
          <w:i/>
          <w:iCs/>
          <w:shd w:val="clear" w:color="auto" w:fill="FFFFFF"/>
        </w:rPr>
        <w:t>31</w:t>
      </w:r>
      <w:r w:rsidRPr="008839BA">
        <w:rPr>
          <w:rFonts w:ascii="Arial" w:hAnsi="Arial" w:cs="Arial"/>
          <w:shd w:val="clear" w:color="auto" w:fill="FFFFFF"/>
        </w:rPr>
        <w:t xml:space="preserve">(4), pp.384-407. Online available at: </w:t>
      </w:r>
      <w:hyperlink r:id="rId29" w:history="1">
        <w:r w:rsidRPr="008839BA">
          <w:rPr>
            <w:rStyle w:val="Hyperlink"/>
            <w:rFonts w:ascii="Arial" w:hAnsi="Arial" w:cs="Arial"/>
            <w:shd w:val="clear" w:color="auto" w:fill="FFFFFF"/>
          </w:rPr>
          <w:t>https://journals.sagepub.com/doi/pdf/10.1177/15245004251376014?casa_token=Stw0SLdN9EwAAAAA:ocTkiI9XIidDDDZhTf7s26gj9Oq5XJiUsVKvOf56Zua04EaABTHy5-n0HryRBFzLxm4mal_CR8GV</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2B21E098"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t>Sedgwick-Müller, J.A., Müller-Sedgwick, U., Adamou, M., Catani, M., Champ, R., Gudjónsson, G., Hank, D., Pitts, M., Young, S. and Asherson, P (2022) ‘University students with attention deficit hyperactivity disorder (ADHD): a consensus statement from the UK Adult ADHD Network (UKAAN)’. </w:t>
      </w:r>
      <w:r w:rsidRPr="008839BA">
        <w:rPr>
          <w:rFonts w:ascii="Arial" w:hAnsi="Arial" w:cs="Arial"/>
          <w:i/>
          <w:iCs/>
          <w:shd w:val="clear" w:color="auto" w:fill="FFFFFF"/>
        </w:rPr>
        <w:t>BMC psychiatry</w:t>
      </w:r>
      <w:r w:rsidRPr="008839BA">
        <w:rPr>
          <w:rFonts w:ascii="Arial" w:hAnsi="Arial" w:cs="Arial"/>
          <w:shd w:val="clear" w:color="auto" w:fill="FFFFFF"/>
        </w:rPr>
        <w:t>, </w:t>
      </w:r>
      <w:r w:rsidRPr="008839BA">
        <w:rPr>
          <w:rFonts w:ascii="Arial" w:hAnsi="Arial" w:cs="Arial"/>
          <w:i/>
          <w:iCs/>
          <w:shd w:val="clear" w:color="auto" w:fill="FFFFFF"/>
        </w:rPr>
        <w:t>22</w:t>
      </w:r>
      <w:r w:rsidRPr="008839BA">
        <w:rPr>
          <w:rFonts w:ascii="Arial" w:hAnsi="Arial" w:cs="Arial"/>
          <w:shd w:val="clear" w:color="auto" w:fill="FFFFFF"/>
        </w:rPr>
        <w:t xml:space="preserve">(1), p.292. Online available at: </w:t>
      </w:r>
      <w:hyperlink r:id="rId30" w:history="1">
        <w:r w:rsidRPr="008839BA">
          <w:rPr>
            <w:rStyle w:val="Hyperlink"/>
            <w:rFonts w:ascii="Arial" w:hAnsi="Arial" w:cs="Arial"/>
            <w:shd w:val="clear" w:color="auto" w:fill="FFFFFF"/>
          </w:rPr>
          <w:t>https://link.springer.com/content/pdf/10.1186/s12888-022-03898-z.pdf</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4DB2028E" w14:textId="77777777" w:rsidR="00DF0991" w:rsidRPr="008839BA" w:rsidRDefault="00DF0991" w:rsidP="00DF0991">
      <w:pPr>
        <w:pStyle w:val="NoSpacing"/>
        <w:spacing w:before="240" w:line="360" w:lineRule="auto"/>
        <w:jc w:val="both"/>
        <w:rPr>
          <w:rFonts w:ascii="Arial" w:hAnsi="Arial" w:cs="Arial"/>
          <w:color w:val="181817"/>
          <w:shd w:val="clear" w:color="auto" w:fill="FFFFFF"/>
        </w:rPr>
      </w:pPr>
      <w:r w:rsidRPr="008839BA">
        <w:rPr>
          <w:rFonts w:ascii="Arial" w:hAnsi="Arial" w:cs="Arial"/>
          <w:color w:val="181817"/>
          <w:shd w:val="clear" w:color="auto" w:fill="FFFFFF"/>
        </w:rPr>
        <w:t>Smith, M. C. F., Mukherjee, R. A. S., Müller-Sedgwick, U., Hank, D., Carpenter, P., &amp; Adamou, M (2024) ‘UK adult ADHD services in crisis’. </w:t>
      </w:r>
      <w:proofErr w:type="spellStart"/>
      <w:r w:rsidRPr="008839BA">
        <w:rPr>
          <w:rFonts w:ascii="Arial" w:hAnsi="Arial" w:cs="Arial"/>
          <w:i/>
          <w:iCs/>
          <w:color w:val="181817"/>
          <w:shd w:val="clear" w:color="auto" w:fill="FFFFFF"/>
        </w:rPr>
        <w:t>BJPsych</w:t>
      </w:r>
      <w:proofErr w:type="spellEnd"/>
      <w:r w:rsidRPr="008839BA">
        <w:rPr>
          <w:rFonts w:ascii="Arial" w:hAnsi="Arial" w:cs="Arial"/>
          <w:i/>
          <w:iCs/>
          <w:color w:val="181817"/>
          <w:shd w:val="clear" w:color="auto" w:fill="FFFFFF"/>
        </w:rPr>
        <w:t xml:space="preserve"> Bulletin</w:t>
      </w:r>
      <w:r w:rsidRPr="008839BA">
        <w:rPr>
          <w:rFonts w:ascii="Arial" w:hAnsi="Arial" w:cs="Arial"/>
          <w:color w:val="181817"/>
          <w:shd w:val="clear" w:color="auto" w:fill="FFFFFF"/>
        </w:rPr>
        <w:t>, </w:t>
      </w:r>
      <w:r w:rsidRPr="008839BA">
        <w:rPr>
          <w:rFonts w:ascii="Arial" w:hAnsi="Arial" w:cs="Arial"/>
          <w:i/>
          <w:iCs/>
          <w:color w:val="181817"/>
          <w:shd w:val="clear" w:color="auto" w:fill="FFFFFF"/>
        </w:rPr>
        <w:t>48</w:t>
      </w:r>
      <w:r w:rsidRPr="008839BA">
        <w:rPr>
          <w:rFonts w:ascii="Arial" w:hAnsi="Arial" w:cs="Arial"/>
          <w:color w:val="181817"/>
          <w:shd w:val="clear" w:color="auto" w:fill="FFFFFF"/>
        </w:rPr>
        <w:t xml:space="preserve">(1), 1–5. Online available at: </w:t>
      </w:r>
      <w:hyperlink r:id="rId31" w:history="1">
        <w:r w:rsidRPr="008839BA">
          <w:rPr>
            <w:rStyle w:val="Hyperlink"/>
            <w:rFonts w:ascii="Arial" w:hAnsi="Arial" w:cs="Arial"/>
            <w:shd w:val="clear" w:color="auto" w:fill="FFFFFF"/>
          </w:rPr>
          <w:t>https://www.cambridge.org/core/services/aop-cambridge-core/content/view/937AED1FBA8B93362D5A6B15BC1BC960/S2056469423000888a.pdf/uk_adult_adhd_services_in_crisis.pdf</w:t>
        </w:r>
      </w:hyperlink>
      <w:r w:rsidRPr="008839BA">
        <w:rPr>
          <w:rFonts w:ascii="Arial" w:hAnsi="Arial" w:cs="Arial"/>
          <w:color w:val="181817"/>
          <w:shd w:val="clear" w:color="auto" w:fill="FFFFFF"/>
        </w:rPr>
        <w:t xml:space="preserve"> Last accessed on: 10</w:t>
      </w:r>
      <w:r w:rsidRPr="008839BA">
        <w:rPr>
          <w:rFonts w:ascii="Arial" w:hAnsi="Arial" w:cs="Arial"/>
          <w:color w:val="181817"/>
          <w:shd w:val="clear" w:color="auto" w:fill="FFFFFF"/>
          <w:vertAlign w:val="superscript"/>
        </w:rPr>
        <w:t>th</w:t>
      </w:r>
      <w:r w:rsidRPr="008839BA">
        <w:rPr>
          <w:rFonts w:ascii="Arial" w:hAnsi="Arial" w:cs="Arial"/>
          <w:color w:val="181817"/>
          <w:shd w:val="clear" w:color="auto" w:fill="FFFFFF"/>
        </w:rPr>
        <w:t xml:space="preserve"> March 26</w:t>
      </w:r>
    </w:p>
    <w:p w14:paraId="4118EB89" w14:textId="77777777" w:rsidR="00DF0991" w:rsidRPr="008839BA" w:rsidRDefault="00DF0991" w:rsidP="00DF0991">
      <w:pPr>
        <w:pStyle w:val="NoSpacing"/>
        <w:spacing w:before="240" w:line="360" w:lineRule="auto"/>
        <w:jc w:val="both"/>
        <w:rPr>
          <w:rFonts w:ascii="Arial" w:hAnsi="Arial" w:cs="Arial"/>
        </w:rPr>
      </w:pPr>
      <w:r w:rsidRPr="008839BA">
        <w:rPr>
          <w:rFonts w:ascii="Arial" w:hAnsi="Arial" w:cs="Arial"/>
        </w:rPr>
        <w:t>Ward, J.H., Becker, K., Smith, J., Price, A. and Newlove-Delgado, T (</w:t>
      </w:r>
      <w:proofErr w:type="gramStart"/>
      <w:r w:rsidRPr="008839BA">
        <w:rPr>
          <w:rFonts w:ascii="Arial" w:hAnsi="Arial" w:cs="Arial"/>
        </w:rPr>
        <w:t>2024) ‘</w:t>
      </w:r>
      <w:proofErr w:type="gramEnd"/>
      <w:r w:rsidRPr="008839BA">
        <w:rPr>
          <w:rStyle w:val="Strong"/>
          <w:rFonts w:ascii="Arial" w:hAnsi="Arial" w:cs="Arial"/>
          <w:b w:val="0"/>
        </w:rPr>
        <w:t>Patient, supporter and primary healthcare professional perspectives on health risks in over 16s with ADHD in England: a national survey study’.</w:t>
      </w:r>
      <w:r w:rsidRPr="008839BA">
        <w:rPr>
          <w:rFonts w:ascii="Arial" w:hAnsi="Arial" w:cs="Arial"/>
        </w:rPr>
        <w:t xml:space="preserve"> </w:t>
      </w:r>
      <w:r w:rsidRPr="008839BA">
        <w:rPr>
          <w:rStyle w:val="Emphasis"/>
          <w:rFonts w:ascii="Arial" w:hAnsi="Arial" w:cs="Arial"/>
        </w:rPr>
        <w:t>BMC Health Services Research</w:t>
      </w:r>
      <w:r w:rsidRPr="008839BA">
        <w:rPr>
          <w:rFonts w:ascii="Arial" w:hAnsi="Arial" w:cs="Arial"/>
        </w:rPr>
        <w:t xml:space="preserve">, 24(751). Online available at: </w:t>
      </w:r>
      <w:hyperlink r:id="rId32" w:tgtFrame="_new" w:history="1">
        <w:r w:rsidRPr="008839BA">
          <w:rPr>
            <w:rStyle w:val="Hyperlink"/>
            <w:rFonts w:ascii="Arial" w:hAnsi="Arial" w:cs="Arial"/>
          </w:rPr>
          <w:t>https://bmchealthservres.biomedcentral.com/articles/10.1186/s12913-024-11188-5</w:t>
        </w:r>
      </w:hyperlink>
      <w:r w:rsidRPr="008839BA">
        <w:rPr>
          <w:rFonts w:ascii="Arial" w:hAnsi="Arial" w:cs="Arial"/>
        </w:rPr>
        <w:t xml:space="preserve"> </w:t>
      </w:r>
      <w:r w:rsidRPr="008839BA">
        <w:rPr>
          <w:rFonts w:ascii="Arial" w:hAnsi="Arial" w:cs="Arial"/>
          <w:shd w:val="clear" w:color="auto" w:fill="FFFFFF"/>
        </w:rPr>
        <w:t>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7410BA76" w14:textId="77777777" w:rsidR="00DF0991" w:rsidRPr="008839BA" w:rsidRDefault="00DF0991" w:rsidP="00DF0991">
      <w:pPr>
        <w:pStyle w:val="NoSpacing"/>
        <w:spacing w:before="240" w:line="360" w:lineRule="auto"/>
        <w:jc w:val="both"/>
        <w:rPr>
          <w:rFonts w:ascii="Arial" w:hAnsi="Arial" w:cs="Arial"/>
          <w:shd w:val="clear" w:color="auto" w:fill="FFFFFF"/>
        </w:rPr>
      </w:pPr>
      <w:r w:rsidRPr="008839BA">
        <w:rPr>
          <w:rFonts w:ascii="Arial" w:hAnsi="Arial" w:cs="Arial"/>
          <w:shd w:val="clear" w:color="auto" w:fill="FFFFFF"/>
        </w:rPr>
        <w:lastRenderedPageBreak/>
        <w:t>White, C., Robinson, S., Macleod, U. and Kelly, C (</w:t>
      </w:r>
      <w:proofErr w:type="gramStart"/>
      <w:r w:rsidRPr="008839BA">
        <w:rPr>
          <w:rFonts w:ascii="Arial" w:hAnsi="Arial" w:cs="Arial"/>
          <w:shd w:val="clear" w:color="auto" w:fill="FFFFFF"/>
        </w:rPr>
        <w:t>2025) ‘</w:t>
      </w:r>
      <w:proofErr w:type="gramEnd"/>
      <w:r w:rsidRPr="008839BA">
        <w:rPr>
          <w:rFonts w:ascii="Arial" w:hAnsi="Arial" w:cs="Arial"/>
          <w:shd w:val="clear" w:color="auto" w:fill="FFFFFF"/>
        </w:rPr>
        <w:t xml:space="preserve">GP referral to rapid diagnostic </w:t>
      </w:r>
      <w:proofErr w:type="spellStart"/>
      <w:r w:rsidRPr="008839BA">
        <w:rPr>
          <w:rFonts w:ascii="Arial" w:hAnsi="Arial" w:cs="Arial"/>
          <w:shd w:val="clear" w:color="auto" w:fill="FFFFFF"/>
        </w:rPr>
        <w:t>centres</w:t>
      </w:r>
      <w:proofErr w:type="spellEnd"/>
      <w:r w:rsidRPr="008839BA">
        <w:rPr>
          <w:rFonts w:ascii="Arial" w:hAnsi="Arial" w:cs="Arial"/>
          <w:shd w:val="clear" w:color="auto" w:fill="FFFFFF"/>
        </w:rPr>
        <w:t xml:space="preserve"> for non-specific cancer symptoms: a qualitative study’. </w:t>
      </w:r>
      <w:r w:rsidRPr="008839BA">
        <w:rPr>
          <w:rFonts w:ascii="Arial" w:hAnsi="Arial" w:cs="Arial"/>
          <w:i/>
          <w:iCs/>
          <w:shd w:val="clear" w:color="auto" w:fill="FFFFFF"/>
        </w:rPr>
        <w:t>BJGP open</w:t>
      </w:r>
      <w:r w:rsidRPr="008839BA">
        <w:rPr>
          <w:rFonts w:ascii="Arial" w:hAnsi="Arial" w:cs="Arial"/>
          <w:shd w:val="clear" w:color="auto" w:fill="FFFFFF"/>
        </w:rPr>
        <w:t>, </w:t>
      </w:r>
      <w:r w:rsidRPr="008839BA">
        <w:rPr>
          <w:rFonts w:ascii="Arial" w:hAnsi="Arial" w:cs="Arial"/>
          <w:i/>
          <w:iCs/>
          <w:shd w:val="clear" w:color="auto" w:fill="FFFFFF"/>
        </w:rPr>
        <w:t>9</w:t>
      </w:r>
      <w:r w:rsidRPr="008839BA">
        <w:rPr>
          <w:rFonts w:ascii="Arial" w:hAnsi="Arial" w:cs="Arial"/>
          <w:shd w:val="clear" w:color="auto" w:fill="FFFFFF"/>
        </w:rPr>
        <w:t xml:space="preserve">(3). Online available at: </w:t>
      </w:r>
      <w:hyperlink r:id="rId33" w:history="1">
        <w:r w:rsidRPr="008839BA">
          <w:rPr>
            <w:rStyle w:val="Hyperlink"/>
            <w:rFonts w:ascii="Arial" w:hAnsi="Arial" w:cs="Arial"/>
            <w:shd w:val="clear" w:color="auto" w:fill="FFFFFF"/>
          </w:rPr>
          <w:t>https://bjgpopen.org/content/bjgpoa/9/3/BJGPO.2024.0179.full.pdf</w:t>
        </w:r>
      </w:hyperlink>
      <w:r w:rsidRPr="008839BA">
        <w:rPr>
          <w:rFonts w:ascii="Arial" w:hAnsi="Arial" w:cs="Arial"/>
          <w:shd w:val="clear" w:color="auto" w:fill="FFFFFF"/>
        </w:rPr>
        <w:t xml:space="preserve"> 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40CE3CF3" w14:textId="77777777" w:rsidR="00DF0991" w:rsidRPr="008839BA" w:rsidRDefault="00DF0991" w:rsidP="00DF0991">
      <w:pPr>
        <w:pStyle w:val="NoSpacing"/>
        <w:spacing w:before="240" w:line="360" w:lineRule="auto"/>
        <w:jc w:val="both"/>
        <w:rPr>
          <w:rFonts w:ascii="Arial" w:hAnsi="Arial" w:cs="Arial"/>
        </w:rPr>
      </w:pPr>
      <w:r w:rsidRPr="008839BA">
        <w:rPr>
          <w:rFonts w:ascii="Arial" w:hAnsi="Arial" w:cs="Arial"/>
        </w:rPr>
        <w:t>Wills, V. and Chakraborty, R (2026) ‘</w:t>
      </w:r>
      <w:r w:rsidRPr="008839BA">
        <w:rPr>
          <w:rStyle w:val="Strong"/>
          <w:rFonts w:ascii="Arial" w:hAnsi="Arial" w:cs="Arial"/>
          <w:b w:val="0"/>
        </w:rPr>
        <w:t>A qualitative study on the experiences of adult females with late diagnosis of ASD and ADHD in the UK’.</w:t>
      </w:r>
      <w:r w:rsidRPr="008839BA">
        <w:rPr>
          <w:rFonts w:ascii="Arial" w:hAnsi="Arial" w:cs="Arial"/>
        </w:rPr>
        <w:t xml:space="preserve"> </w:t>
      </w:r>
      <w:r w:rsidRPr="008839BA">
        <w:rPr>
          <w:rStyle w:val="Emphasis"/>
          <w:rFonts w:ascii="Arial" w:hAnsi="Arial" w:cs="Arial"/>
        </w:rPr>
        <w:t>Healthcare</w:t>
      </w:r>
      <w:r w:rsidRPr="008839BA">
        <w:rPr>
          <w:rFonts w:ascii="Arial" w:hAnsi="Arial" w:cs="Arial"/>
        </w:rPr>
        <w:t xml:space="preserve">, 14(2), 209. Online available at: </w:t>
      </w:r>
      <w:hyperlink r:id="rId34" w:tgtFrame="_new" w:history="1">
        <w:r w:rsidRPr="008839BA">
          <w:rPr>
            <w:rStyle w:val="Hyperlink"/>
            <w:rFonts w:ascii="Arial" w:hAnsi="Arial" w:cs="Arial"/>
          </w:rPr>
          <w:t>https://www.mdpi.com/2227-9032/14/2/209</w:t>
        </w:r>
      </w:hyperlink>
      <w:r w:rsidRPr="008839BA">
        <w:rPr>
          <w:rFonts w:ascii="Arial" w:hAnsi="Arial" w:cs="Arial"/>
        </w:rPr>
        <w:t xml:space="preserve"> </w:t>
      </w:r>
      <w:r w:rsidRPr="008839BA">
        <w:rPr>
          <w:rFonts w:ascii="Arial" w:hAnsi="Arial" w:cs="Arial"/>
          <w:shd w:val="clear" w:color="auto" w:fill="FFFFFF"/>
        </w:rPr>
        <w:t>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43050853" w14:textId="77777777" w:rsidR="00DF0991" w:rsidRPr="008839BA" w:rsidRDefault="00DF0991" w:rsidP="00DF0991">
      <w:pPr>
        <w:pStyle w:val="NoSpacing"/>
        <w:spacing w:before="240" w:line="360" w:lineRule="auto"/>
        <w:jc w:val="both"/>
        <w:rPr>
          <w:rFonts w:ascii="Arial" w:hAnsi="Arial" w:cs="Arial"/>
        </w:rPr>
      </w:pPr>
      <w:r w:rsidRPr="008839BA">
        <w:rPr>
          <w:rStyle w:val="Strong"/>
          <w:rFonts w:ascii="Arial" w:hAnsi="Arial" w:cs="Arial"/>
          <w:b w:val="0"/>
        </w:rPr>
        <w:t xml:space="preserve">Young, S., Asherson, P., Lloyd, T., </w:t>
      </w:r>
      <w:proofErr w:type="spellStart"/>
      <w:r w:rsidRPr="008839BA">
        <w:rPr>
          <w:rStyle w:val="Strong"/>
          <w:rFonts w:ascii="Arial" w:hAnsi="Arial" w:cs="Arial"/>
          <w:b w:val="0"/>
        </w:rPr>
        <w:t>Absoud</w:t>
      </w:r>
      <w:proofErr w:type="spellEnd"/>
      <w:r w:rsidRPr="008839BA">
        <w:rPr>
          <w:rStyle w:val="Strong"/>
          <w:rFonts w:ascii="Arial" w:hAnsi="Arial" w:cs="Arial"/>
          <w:b w:val="0"/>
        </w:rPr>
        <w:t>, M., Arif, M., Colley, W. and Gudjonsson, G (2022)</w:t>
      </w:r>
      <w:r w:rsidRPr="008839BA">
        <w:rPr>
          <w:rFonts w:ascii="Arial" w:hAnsi="Arial" w:cs="Arial"/>
        </w:rPr>
        <w:t xml:space="preserve"> ‘Failure of healthcare provision for attention-deficit/hyperactivity disorder in the United Kingdom: a consensus statement’, </w:t>
      </w:r>
      <w:r w:rsidRPr="008839BA">
        <w:rPr>
          <w:rStyle w:val="Emphasis"/>
          <w:rFonts w:ascii="Arial" w:hAnsi="Arial" w:cs="Arial"/>
        </w:rPr>
        <w:t>Frontiers in Psychiatry</w:t>
      </w:r>
      <w:r w:rsidRPr="008839BA">
        <w:rPr>
          <w:rFonts w:ascii="Arial" w:hAnsi="Arial" w:cs="Arial"/>
        </w:rPr>
        <w:t>. Online available at:</w:t>
      </w:r>
      <w:r w:rsidRPr="008839BA">
        <w:rPr>
          <w:rFonts w:ascii="Arial" w:hAnsi="Arial" w:cs="Arial"/>
        </w:rPr>
        <w:br/>
      </w:r>
      <w:hyperlink r:id="rId35" w:tgtFrame="_new" w:history="1">
        <w:r w:rsidRPr="008839BA">
          <w:rPr>
            <w:rStyle w:val="Hyperlink"/>
            <w:rFonts w:ascii="Arial" w:hAnsi="Arial" w:cs="Arial"/>
          </w:rPr>
          <w:t>https://www.frontiersin.org/articles/10.3389/fpsyt.2021.649399/full</w:t>
        </w:r>
      </w:hyperlink>
      <w:r w:rsidRPr="008839BA">
        <w:rPr>
          <w:rFonts w:ascii="Arial" w:hAnsi="Arial" w:cs="Arial"/>
        </w:rPr>
        <w:t xml:space="preserve"> </w:t>
      </w:r>
      <w:r w:rsidRPr="008839BA">
        <w:rPr>
          <w:rFonts w:ascii="Arial" w:hAnsi="Arial" w:cs="Arial"/>
          <w:shd w:val="clear" w:color="auto" w:fill="FFFFFF"/>
        </w:rPr>
        <w:t>Last accessed on: 10</w:t>
      </w:r>
      <w:r w:rsidRPr="008839BA">
        <w:rPr>
          <w:rFonts w:ascii="Arial" w:hAnsi="Arial" w:cs="Arial"/>
          <w:shd w:val="clear" w:color="auto" w:fill="FFFFFF"/>
          <w:vertAlign w:val="superscript"/>
        </w:rPr>
        <w:t>th</w:t>
      </w:r>
      <w:r w:rsidRPr="008839BA">
        <w:rPr>
          <w:rFonts w:ascii="Arial" w:hAnsi="Arial" w:cs="Arial"/>
          <w:shd w:val="clear" w:color="auto" w:fill="FFFFFF"/>
        </w:rPr>
        <w:t xml:space="preserve"> March 26</w:t>
      </w:r>
    </w:p>
    <w:p w14:paraId="331D2E05" w14:textId="77777777" w:rsidR="00DF0991" w:rsidRPr="008839BA" w:rsidRDefault="00DF0991" w:rsidP="00DF0991">
      <w:pPr>
        <w:rPr>
          <w:rFonts w:ascii="Arial" w:eastAsia="Times New Roman" w:hAnsi="Arial" w:cs="Arial"/>
          <w:b/>
          <w:bCs/>
        </w:rPr>
      </w:pPr>
    </w:p>
    <w:p w14:paraId="017B55CE" w14:textId="77777777" w:rsidR="00DF0991" w:rsidRPr="008839BA" w:rsidRDefault="00DF0991" w:rsidP="00DF0991">
      <w:pPr>
        <w:pStyle w:val="Heading1"/>
        <w:rPr>
          <w:rFonts w:ascii="Arial" w:hAnsi="Arial" w:cs="Arial"/>
          <w:sz w:val="22"/>
          <w:szCs w:val="22"/>
        </w:rPr>
      </w:pPr>
    </w:p>
    <w:p w14:paraId="73976718" w14:textId="77777777" w:rsidR="00DF0991" w:rsidRPr="008839BA" w:rsidRDefault="00DF0991" w:rsidP="00DF0991">
      <w:pPr>
        <w:pStyle w:val="Heading1"/>
        <w:rPr>
          <w:rFonts w:ascii="Arial" w:hAnsi="Arial" w:cs="Arial"/>
          <w:sz w:val="22"/>
          <w:szCs w:val="22"/>
        </w:rPr>
      </w:pPr>
    </w:p>
    <w:p w14:paraId="125B0AD2" w14:textId="77777777" w:rsidR="00000000" w:rsidRPr="008839BA" w:rsidRDefault="00000000">
      <w:pPr>
        <w:rPr>
          <w:rFonts w:ascii="Arial" w:hAnsi="Arial" w:cs="Arial"/>
        </w:rPr>
      </w:pPr>
    </w:p>
    <w:sectPr w:rsidR="003F1E42" w:rsidRPr="008839BA">
      <w:headerReference w:type="even" r:id="rId36"/>
      <w:headerReference w:type="default" r:id="rId37"/>
      <w:footerReference w:type="even" r:id="rId38"/>
      <w:footerReference w:type="default" r:id="rId39"/>
      <w:headerReference w:type="first" r:id="rId40"/>
      <w:footerReference w:type="first" r:id="rId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C26DA" w14:textId="77777777" w:rsidR="00F23BA4" w:rsidRDefault="00F23BA4" w:rsidP="00DF0991">
      <w:pPr>
        <w:spacing w:after="0" w:line="240" w:lineRule="auto"/>
      </w:pPr>
      <w:r>
        <w:separator/>
      </w:r>
    </w:p>
  </w:endnote>
  <w:endnote w:type="continuationSeparator" w:id="0">
    <w:p w14:paraId="46197F77" w14:textId="77777777" w:rsidR="00F23BA4" w:rsidRDefault="00F23BA4" w:rsidP="00DF0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D4400B" w14:textId="77777777" w:rsidR="006D2D79" w:rsidRDefault="006D2D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285647"/>
      <w:docPartObj>
        <w:docPartGallery w:val="Page Numbers (Bottom of Page)"/>
        <w:docPartUnique/>
      </w:docPartObj>
    </w:sdtPr>
    <w:sdtEndPr>
      <w:rPr>
        <w:noProof/>
      </w:rPr>
    </w:sdtEndPr>
    <w:sdtContent>
      <w:p w14:paraId="130D978D" w14:textId="77777777" w:rsidR="00DF0991" w:rsidRDefault="00DF0991">
        <w:pPr>
          <w:pStyle w:val="Footer"/>
          <w:jc w:val="right"/>
        </w:pPr>
        <w:r>
          <w:fldChar w:fldCharType="begin"/>
        </w:r>
        <w:r>
          <w:instrText xml:space="preserve"> PAGE   \* MERGEFORMAT </w:instrText>
        </w:r>
        <w:r>
          <w:fldChar w:fldCharType="separate"/>
        </w:r>
        <w:r w:rsidR="008247C2">
          <w:rPr>
            <w:noProof/>
          </w:rPr>
          <w:t>1</w:t>
        </w:r>
        <w:r>
          <w:rPr>
            <w:noProof/>
          </w:rPr>
          <w:fldChar w:fldCharType="end"/>
        </w:r>
      </w:p>
    </w:sdtContent>
  </w:sdt>
  <w:p w14:paraId="0B7BA4EA" w14:textId="77777777" w:rsidR="00DF0991" w:rsidRDefault="00DF09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69FB4" w14:textId="77777777" w:rsidR="006D2D79" w:rsidRDefault="006D2D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19405" w14:textId="77777777" w:rsidR="00F23BA4" w:rsidRDefault="00F23BA4" w:rsidP="00DF0991">
      <w:pPr>
        <w:spacing w:after="0" w:line="240" w:lineRule="auto"/>
      </w:pPr>
      <w:r>
        <w:separator/>
      </w:r>
    </w:p>
  </w:footnote>
  <w:footnote w:type="continuationSeparator" w:id="0">
    <w:p w14:paraId="2322632E" w14:textId="77777777" w:rsidR="00F23BA4" w:rsidRDefault="00F23BA4" w:rsidP="00DF09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9B4E4" w14:textId="77777777" w:rsidR="006D2D79" w:rsidRDefault="006D2D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3F652" w14:textId="77777777" w:rsidR="006D2D79" w:rsidRDefault="006D2D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9A1729" w14:textId="77777777" w:rsidR="006D2D79" w:rsidRDefault="006D2D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8B27EA"/>
    <w:multiLevelType w:val="multilevel"/>
    <w:tmpl w:val="07D84C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706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991"/>
    <w:rsid w:val="005A2BC7"/>
    <w:rsid w:val="005E6436"/>
    <w:rsid w:val="006B3959"/>
    <w:rsid w:val="006D2D79"/>
    <w:rsid w:val="00705B45"/>
    <w:rsid w:val="007B4F12"/>
    <w:rsid w:val="008247C2"/>
    <w:rsid w:val="008503C9"/>
    <w:rsid w:val="00875F33"/>
    <w:rsid w:val="008839BA"/>
    <w:rsid w:val="00BE4556"/>
    <w:rsid w:val="00DF0991"/>
    <w:rsid w:val="00E84563"/>
    <w:rsid w:val="00F23B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2BB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991"/>
  </w:style>
  <w:style w:type="paragraph" w:styleId="Heading1">
    <w:name w:val="heading 1"/>
    <w:basedOn w:val="Normal"/>
    <w:next w:val="Normal"/>
    <w:link w:val="Heading1Char"/>
    <w:uiPriority w:val="9"/>
    <w:qFormat/>
    <w:rsid w:val="00DF099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F099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DF099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99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F099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F0991"/>
    <w:rPr>
      <w:rFonts w:ascii="Times New Roman" w:eastAsia="Times New Roman" w:hAnsi="Times New Roman" w:cs="Times New Roman"/>
      <w:b/>
      <w:bCs/>
      <w:sz w:val="27"/>
      <w:szCs w:val="27"/>
    </w:rPr>
  </w:style>
  <w:style w:type="paragraph" w:styleId="NormalWeb">
    <w:name w:val="Normal (Web)"/>
    <w:basedOn w:val="Normal"/>
    <w:uiPriority w:val="99"/>
    <w:unhideWhenUsed/>
    <w:rsid w:val="00DF099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F0991"/>
    <w:rPr>
      <w:b/>
      <w:bCs/>
    </w:rPr>
  </w:style>
  <w:style w:type="character" w:styleId="Hyperlink">
    <w:name w:val="Hyperlink"/>
    <w:basedOn w:val="DefaultParagraphFont"/>
    <w:uiPriority w:val="99"/>
    <w:unhideWhenUsed/>
    <w:rsid w:val="00DF0991"/>
    <w:rPr>
      <w:color w:val="0000FF" w:themeColor="hyperlink"/>
      <w:u w:val="single"/>
    </w:rPr>
  </w:style>
  <w:style w:type="character" w:styleId="Emphasis">
    <w:name w:val="Emphasis"/>
    <w:basedOn w:val="DefaultParagraphFont"/>
    <w:uiPriority w:val="20"/>
    <w:qFormat/>
    <w:rsid w:val="00DF0991"/>
    <w:rPr>
      <w:i/>
      <w:iCs/>
    </w:rPr>
  </w:style>
  <w:style w:type="paragraph" w:styleId="NoSpacing">
    <w:name w:val="No Spacing"/>
    <w:uiPriority w:val="1"/>
    <w:qFormat/>
    <w:rsid w:val="00DF0991"/>
    <w:pPr>
      <w:spacing w:after="0" w:line="240" w:lineRule="auto"/>
    </w:pPr>
  </w:style>
  <w:style w:type="paragraph" w:customStyle="1" w:styleId="TableParagraph">
    <w:name w:val="Table Paragraph"/>
    <w:basedOn w:val="Normal"/>
    <w:uiPriority w:val="1"/>
    <w:qFormat/>
    <w:rsid w:val="00DF0991"/>
    <w:pPr>
      <w:widowControl w:val="0"/>
      <w:autoSpaceDE w:val="0"/>
      <w:autoSpaceDN w:val="0"/>
      <w:spacing w:after="0" w:line="240" w:lineRule="auto"/>
      <w:ind w:left="107"/>
    </w:pPr>
    <w:rPr>
      <w:rFonts w:ascii="Arial MT" w:eastAsia="Arial MT" w:hAnsi="Arial MT" w:cs="Arial MT"/>
    </w:rPr>
  </w:style>
  <w:style w:type="paragraph" w:styleId="TOCHeading">
    <w:name w:val="TOC Heading"/>
    <w:basedOn w:val="Heading1"/>
    <w:next w:val="Normal"/>
    <w:uiPriority w:val="39"/>
    <w:semiHidden/>
    <w:unhideWhenUsed/>
    <w:qFormat/>
    <w:rsid w:val="00DF0991"/>
    <w:pPr>
      <w:outlineLvl w:val="9"/>
    </w:pPr>
    <w:rPr>
      <w:lang w:eastAsia="ja-JP"/>
    </w:rPr>
  </w:style>
  <w:style w:type="paragraph" w:styleId="TOC1">
    <w:name w:val="toc 1"/>
    <w:basedOn w:val="Normal"/>
    <w:next w:val="Normal"/>
    <w:autoRedefine/>
    <w:uiPriority w:val="39"/>
    <w:unhideWhenUsed/>
    <w:rsid w:val="00DF0991"/>
    <w:pPr>
      <w:spacing w:after="100"/>
    </w:pPr>
  </w:style>
  <w:style w:type="paragraph" w:styleId="TOC2">
    <w:name w:val="toc 2"/>
    <w:basedOn w:val="Normal"/>
    <w:next w:val="Normal"/>
    <w:autoRedefine/>
    <w:uiPriority w:val="39"/>
    <w:unhideWhenUsed/>
    <w:rsid w:val="00DF0991"/>
    <w:pPr>
      <w:spacing w:after="100"/>
      <w:ind w:left="220"/>
    </w:pPr>
  </w:style>
  <w:style w:type="paragraph" w:styleId="TOC3">
    <w:name w:val="toc 3"/>
    <w:basedOn w:val="Normal"/>
    <w:next w:val="Normal"/>
    <w:autoRedefine/>
    <w:uiPriority w:val="39"/>
    <w:unhideWhenUsed/>
    <w:rsid w:val="00DF0991"/>
    <w:pPr>
      <w:spacing w:after="100"/>
      <w:ind w:left="440"/>
    </w:pPr>
  </w:style>
  <w:style w:type="paragraph" w:styleId="BalloonText">
    <w:name w:val="Balloon Text"/>
    <w:basedOn w:val="Normal"/>
    <w:link w:val="BalloonTextChar"/>
    <w:uiPriority w:val="99"/>
    <w:semiHidden/>
    <w:unhideWhenUsed/>
    <w:rsid w:val="00DF09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991"/>
    <w:rPr>
      <w:rFonts w:ascii="Tahoma" w:hAnsi="Tahoma" w:cs="Tahoma"/>
      <w:sz w:val="16"/>
      <w:szCs w:val="16"/>
    </w:rPr>
  </w:style>
  <w:style w:type="table" w:styleId="TableGrid">
    <w:name w:val="Table Grid"/>
    <w:basedOn w:val="TableNormal"/>
    <w:uiPriority w:val="59"/>
    <w:rsid w:val="00DF09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F09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0991"/>
  </w:style>
  <w:style w:type="paragraph" w:styleId="Footer">
    <w:name w:val="footer"/>
    <w:basedOn w:val="Normal"/>
    <w:link w:val="FooterChar"/>
    <w:uiPriority w:val="99"/>
    <w:unhideWhenUsed/>
    <w:rsid w:val="00DF09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09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mcpsychiatry.biomedcentral.com/articles/10.1186/s12888-022-04290-7" TargetMode="External"/><Relationship Id="rId18" Type="http://schemas.openxmlformats.org/officeDocument/2006/relationships/hyperlink" Target="https://pmc.ncbi.nlm.nih.gov/articles/PMC11839380/" TargetMode="External"/><Relationship Id="rId26" Type="http://schemas.openxmlformats.org/officeDocument/2006/relationships/hyperlink" Target="https://doi.org/10.1192/bjo.2023.512" TargetMode="External"/><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frontiersin.org/journals/global-womens-health/articles/10.3389/fgwh.2025.1613628/full?utm_source=chatgpt.com" TargetMode="External"/><Relationship Id="rId34" Type="http://schemas.openxmlformats.org/officeDocument/2006/relationships/hyperlink" Target="https://www.mdpi.com/2227-9032/14/2/209"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uhra.herts.ac.uk/id/eprint/26229/1/20001043%20ARMSTRONG%20James%20Final%20submission%20October%202025.pdf" TargetMode="External"/><Relationship Id="rId17" Type="http://schemas.openxmlformats.org/officeDocument/2006/relationships/hyperlink" Target="https://journals.lww.com/intclinpsychopharm/_layouts/15/oaks.journals/downloadpdf.aspx?an=00004850-202507000-00008&amp;casa_token=YSBxuLdlMxMAAAAA:0S6P4lDUT8d3DGRrIV7G12KQ2oLnmXIa6FQPSDIldt2jDwPrVgE5L4MOaN-3ZIg5BxxMz6xMAGnJ8B7Mo5sU3U-KoUTwK1RhMg" TargetMode="External"/><Relationship Id="rId25" Type="http://schemas.openxmlformats.org/officeDocument/2006/relationships/hyperlink" Target="https://journals.sagepub.com/doi/pdf/10.1177/00048674231166329" TargetMode="External"/><Relationship Id="rId33" Type="http://schemas.openxmlformats.org/officeDocument/2006/relationships/hyperlink" Target="https://bjgpopen.org/content/bjgpoa/9/3/BJGPO.2024.0179.full.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onlinelibrary.wiley.com/doi/pdf/10.1002/wps.21374" TargetMode="External"/><Relationship Id="rId20" Type="http://schemas.openxmlformats.org/officeDocument/2006/relationships/hyperlink" Target="https://www.frontiersin.org/journals/public-health/articles/10.3389/fpubh.2025.1679269/pdf" TargetMode="External"/><Relationship Id="rId29" Type="http://schemas.openxmlformats.org/officeDocument/2006/relationships/hyperlink" Target="https://journals.sagepub.com/doi/pdf/10.1177/15245004251376014?casa_token=Stw0SLdN9EwAAAAA:ocTkiI9XIidDDDZhTf7s26gj9Oq5XJiUsVKvOf56Zua04EaABTHy5-n0HryRBFzLxm4mal_CR8GV"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prints.whiterose.ac.uk/id/eprint/1618/1/Scopingstudies.pdf" TargetMode="External"/><Relationship Id="rId24" Type="http://schemas.openxmlformats.org/officeDocument/2006/relationships/hyperlink" Target="https://onlinelibrary.wiley.com/doi/pdf/10.1002/aur.70011" TargetMode="External"/><Relationship Id="rId32" Type="http://schemas.openxmlformats.org/officeDocument/2006/relationships/hyperlink" Target="https://bmchealthservres.biomedcentral.com/articles/10.1186/s12913-024-11188-5"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journals.sagepub.com/doi/pdf/10.1177/16094069231180160" TargetMode="External"/><Relationship Id="rId23" Type="http://schemas.openxmlformats.org/officeDocument/2006/relationships/hyperlink" Target="https://www.frontiersin.org/journals/psychiatry/articles/10.3389/fpsyt.2022.1015616/pdf" TargetMode="External"/><Relationship Id="rId28" Type="http://schemas.openxmlformats.org/officeDocument/2006/relationships/hyperlink" Target="https://www.tandfonline.com/doi/full/10.1080/18387357.2023.2268756" TargetMode="External"/><Relationship Id="rId36" Type="http://schemas.openxmlformats.org/officeDocument/2006/relationships/header" Target="header1.xml"/><Relationship Id="rId10" Type="http://schemas.openxmlformats.org/officeDocument/2006/relationships/hyperlink" Target="https://pmc.ncbi.nlm.nih.gov/articles/PMC12620849/" TargetMode="External"/><Relationship Id="rId19" Type="http://schemas.openxmlformats.org/officeDocument/2006/relationships/hyperlink" Target="https://link.springer.com/content/pdf/10.1186/s12875-022-01919-0.pdf" TargetMode="External"/><Relationship Id="rId31" Type="http://schemas.openxmlformats.org/officeDocument/2006/relationships/hyperlink" Target="https://www.cambridge.org/core/services/aop-cambridge-core/content/view/937AED1FBA8B93362D5A6B15BC1BC960/S2056469423000888a.pdf/uk_adult_adhd_services_in_crisis.pdf" TargetMode="External"/><Relationship Id="rId4" Type="http://schemas.openxmlformats.org/officeDocument/2006/relationships/settings" Target="settings.xml"/><Relationship Id="rId9" Type="http://schemas.openxmlformats.org/officeDocument/2006/relationships/hyperlink" Target="https://pmc.ncbi.nlm.nih.gov/articles/PMC9616454/pdf/ms119_p0467.pdf" TargetMode="External"/><Relationship Id="rId14" Type="http://schemas.openxmlformats.org/officeDocument/2006/relationships/hyperlink" Target="https://www.google.co.in/books/edition/_/LlKLBgAAQBAJ?hl=en&amp;sa=X&amp;ved=2ahUKEwjk1c2Up5eTAxVZfGwGHX2eLp8Qre8FegQIBRAj" TargetMode="External"/><Relationship Id="rId22" Type="http://schemas.openxmlformats.org/officeDocument/2006/relationships/hyperlink" Target="https://www.frontiersin.org/journals/psychology/articles/10.3389/fpsyg.2022.893469/full" TargetMode="External"/><Relationship Id="rId27" Type="http://schemas.openxmlformats.org/officeDocument/2006/relationships/hyperlink" Target="https://journals.sagepub.com/doi/pdf/10.1177/10870547231214002" TargetMode="External"/><Relationship Id="rId30" Type="http://schemas.openxmlformats.org/officeDocument/2006/relationships/hyperlink" Target="https://link.springer.com/content/pdf/10.1186/s12888-022-03898-z.pdf" TargetMode="External"/><Relationship Id="rId35" Type="http://schemas.openxmlformats.org/officeDocument/2006/relationships/hyperlink" Target="https://www.frontiersin.org/articles/10.3389/fpsyt.2021.649399/full?utm_source=chatgpt.com"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A9B9EC-E384-44F5-B235-3DE6F7669A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5982</Words>
  <Characters>34101</Characters>
  <Application>Microsoft Office Word</Application>
  <DocSecurity>0</DocSecurity>
  <Lines>284</Lines>
  <Paragraphs>80</Paragraphs>
  <ScaleCrop>false</ScaleCrop>
  <Company/>
  <LinksUpToDate>false</LinksUpToDate>
  <CharactersWithSpaces>40003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2026-03-27T19:57:00Z</dcterms:created>
  <dcterms:modified xsi:type="dcterms:W3CDTF">2026-03-27T19:57:00Z</dcterms:modified>
</cp:coreProperties>
</file>