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7E787" w14:textId="77777777" w:rsidR="00B02FE5" w:rsidRDefault="00B02FE5" w:rsidP="00B02FE5">
      <w:pPr>
        <w:jc w:val="both"/>
        <w:rPr>
          <w:rFonts w:ascii="Times New Roman" w:hAnsi="Times New Roman" w:cs="Times New Roman"/>
          <w:color w:val="4472C4" w:themeColor="accent1"/>
          <w:sz w:val="56"/>
          <w:szCs w:val="56"/>
          <w:u w:val="single"/>
          <w:lang w:val="en-US"/>
        </w:rPr>
      </w:pPr>
    </w:p>
    <w:p w14:paraId="0470C08F" w14:textId="77777777" w:rsidR="00B02FE5" w:rsidRDefault="00B02FE5" w:rsidP="00B02FE5">
      <w:pPr>
        <w:jc w:val="both"/>
        <w:rPr>
          <w:rFonts w:ascii="Times New Roman" w:hAnsi="Times New Roman" w:cs="Times New Roman"/>
          <w:color w:val="4472C4" w:themeColor="accent1"/>
          <w:sz w:val="56"/>
          <w:szCs w:val="56"/>
          <w:u w:val="single"/>
          <w:lang w:val="en-US"/>
        </w:rPr>
      </w:pPr>
    </w:p>
    <w:p w14:paraId="01C6E33D" w14:textId="77777777" w:rsidR="00B02FE5" w:rsidRDefault="00B02FE5" w:rsidP="00B02FE5">
      <w:pPr>
        <w:jc w:val="both"/>
        <w:rPr>
          <w:rFonts w:ascii="Times New Roman" w:hAnsi="Times New Roman" w:cs="Times New Roman"/>
          <w:color w:val="4472C4" w:themeColor="accent1"/>
          <w:sz w:val="56"/>
          <w:szCs w:val="56"/>
          <w:u w:val="single"/>
          <w:lang w:val="en-US"/>
        </w:rPr>
      </w:pPr>
    </w:p>
    <w:p w14:paraId="48810C18" w14:textId="77777777" w:rsidR="00B02FE5" w:rsidRDefault="00B02FE5" w:rsidP="00B02FE5">
      <w:pPr>
        <w:jc w:val="both"/>
        <w:rPr>
          <w:rFonts w:ascii="Times New Roman" w:hAnsi="Times New Roman" w:cs="Times New Roman"/>
          <w:color w:val="4472C4" w:themeColor="accent1"/>
          <w:sz w:val="56"/>
          <w:szCs w:val="56"/>
          <w:u w:val="single"/>
          <w:lang w:val="en-US"/>
        </w:rPr>
      </w:pPr>
    </w:p>
    <w:p w14:paraId="09D6E2DF" w14:textId="77777777" w:rsidR="00B02FE5" w:rsidRDefault="00B02FE5" w:rsidP="00B02FE5">
      <w:pPr>
        <w:jc w:val="both"/>
        <w:rPr>
          <w:rFonts w:ascii="Times New Roman" w:hAnsi="Times New Roman" w:cs="Times New Roman"/>
          <w:color w:val="4472C4" w:themeColor="accent1"/>
          <w:sz w:val="56"/>
          <w:szCs w:val="56"/>
          <w:u w:val="single"/>
          <w:lang w:val="en-US"/>
        </w:rPr>
      </w:pPr>
    </w:p>
    <w:p w14:paraId="524469CB" w14:textId="77777777" w:rsidR="00B02FE5" w:rsidRDefault="00B02FE5" w:rsidP="00B02FE5">
      <w:pPr>
        <w:jc w:val="both"/>
        <w:rPr>
          <w:rFonts w:ascii="Times New Roman" w:hAnsi="Times New Roman" w:cs="Times New Roman"/>
          <w:color w:val="4472C4" w:themeColor="accent1"/>
          <w:sz w:val="56"/>
          <w:szCs w:val="56"/>
          <w:u w:val="single"/>
          <w:lang w:val="en-US"/>
        </w:rPr>
      </w:pPr>
    </w:p>
    <w:p w14:paraId="1ABC48DE" w14:textId="13CA484D" w:rsidR="006E4E6F" w:rsidRPr="00857608" w:rsidRDefault="00B02FE5" w:rsidP="00D027A5">
      <w:pPr>
        <w:spacing w:line="360" w:lineRule="auto"/>
        <w:jc w:val="both"/>
        <w:rPr>
          <w:rFonts w:cstheme="minorHAnsi"/>
          <w:color w:val="4472C4" w:themeColor="accent1"/>
          <w:sz w:val="56"/>
          <w:szCs w:val="56"/>
          <w:u w:val="single"/>
          <w:lang w:val="en-US"/>
        </w:rPr>
      </w:pPr>
      <w:r w:rsidRPr="00857608">
        <w:rPr>
          <w:rFonts w:cstheme="minorHAnsi"/>
          <w:color w:val="4472C4" w:themeColor="accent1"/>
          <w:sz w:val="56"/>
          <w:szCs w:val="56"/>
          <w:u w:val="single"/>
          <w:lang w:val="en-US"/>
        </w:rPr>
        <w:t>The Supply Chain Management of Imported Slab to Tata Steel Port Talbot</w:t>
      </w:r>
    </w:p>
    <w:p w14:paraId="5FC36D56" w14:textId="77777777" w:rsidR="00B02FE5" w:rsidRDefault="00B02FE5" w:rsidP="00D027A5">
      <w:pPr>
        <w:spacing w:line="360" w:lineRule="auto"/>
        <w:rPr>
          <w:rFonts w:ascii="Arial" w:hAnsi="Arial" w:cs="Arial"/>
          <w:bCs/>
        </w:rPr>
      </w:pPr>
    </w:p>
    <w:p w14:paraId="15495CCA" w14:textId="77777777" w:rsidR="00B02FE5" w:rsidRDefault="00B02FE5">
      <w:pPr>
        <w:rPr>
          <w:rFonts w:ascii="Arial" w:hAnsi="Arial" w:cs="Arial"/>
          <w:bCs/>
        </w:rPr>
      </w:pPr>
    </w:p>
    <w:p w14:paraId="5E613A9E" w14:textId="77777777" w:rsidR="00B02FE5" w:rsidRDefault="00B02FE5">
      <w:pPr>
        <w:rPr>
          <w:rFonts w:ascii="Arial" w:hAnsi="Arial" w:cs="Arial"/>
          <w:bCs/>
        </w:rPr>
      </w:pPr>
    </w:p>
    <w:p w14:paraId="0E874890" w14:textId="77777777" w:rsidR="00B02FE5" w:rsidRDefault="00B02FE5">
      <w:pPr>
        <w:rPr>
          <w:rFonts w:ascii="Arial" w:hAnsi="Arial" w:cs="Arial"/>
          <w:bCs/>
        </w:rPr>
      </w:pPr>
    </w:p>
    <w:p w14:paraId="582F18D3" w14:textId="77777777" w:rsidR="00B02FE5" w:rsidRDefault="00B02FE5">
      <w:pPr>
        <w:rPr>
          <w:rFonts w:ascii="Arial" w:hAnsi="Arial" w:cs="Arial"/>
          <w:bCs/>
        </w:rPr>
      </w:pPr>
    </w:p>
    <w:p w14:paraId="7F4D31FC" w14:textId="77777777" w:rsidR="00B02FE5" w:rsidRDefault="00B02FE5">
      <w:pPr>
        <w:rPr>
          <w:rFonts w:ascii="Arial" w:hAnsi="Arial" w:cs="Arial"/>
          <w:bCs/>
        </w:rPr>
      </w:pPr>
    </w:p>
    <w:p w14:paraId="0260E970" w14:textId="77777777" w:rsidR="00B02FE5" w:rsidRDefault="00B02FE5">
      <w:pPr>
        <w:rPr>
          <w:rFonts w:ascii="Arial" w:hAnsi="Arial" w:cs="Arial"/>
          <w:bCs/>
        </w:rPr>
      </w:pPr>
    </w:p>
    <w:p w14:paraId="17AEAA07" w14:textId="77777777" w:rsidR="00B02FE5" w:rsidRDefault="00B02FE5">
      <w:pPr>
        <w:rPr>
          <w:rFonts w:ascii="Arial" w:hAnsi="Arial" w:cs="Arial"/>
          <w:bCs/>
        </w:rPr>
      </w:pPr>
    </w:p>
    <w:p w14:paraId="5D59B2A8" w14:textId="77777777" w:rsidR="00B02FE5" w:rsidRDefault="00B02FE5">
      <w:pPr>
        <w:rPr>
          <w:rFonts w:ascii="Arial" w:hAnsi="Arial" w:cs="Arial"/>
          <w:bCs/>
        </w:rPr>
      </w:pPr>
    </w:p>
    <w:p w14:paraId="70CFD4A0" w14:textId="77777777" w:rsidR="00B02FE5" w:rsidRDefault="00B02FE5">
      <w:pPr>
        <w:rPr>
          <w:rFonts w:ascii="Arial" w:hAnsi="Arial" w:cs="Arial"/>
          <w:bCs/>
        </w:rPr>
      </w:pPr>
    </w:p>
    <w:p w14:paraId="23612DBF" w14:textId="77777777" w:rsidR="00B02FE5" w:rsidRDefault="00B02FE5">
      <w:pPr>
        <w:rPr>
          <w:rFonts w:ascii="Arial" w:hAnsi="Arial" w:cs="Arial"/>
          <w:bCs/>
        </w:rPr>
      </w:pPr>
    </w:p>
    <w:p w14:paraId="38265DD0" w14:textId="77777777" w:rsidR="00B02FE5" w:rsidRDefault="00B02FE5">
      <w:pPr>
        <w:rPr>
          <w:rFonts w:ascii="Arial" w:hAnsi="Arial" w:cs="Arial"/>
          <w:bCs/>
        </w:rPr>
      </w:pPr>
    </w:p>
    <w:p w14:paraId="7A3205BA" w14:textId="2164415F" w:rsidR="00B02FE5" w:rsidRPr="00857608" w:rsidRDefault="00B02FE5" w:rsidP="00D027A5">
      <w:pPr>
        <w:spacing w:line="360" w:lineRule="auto"/>
        <w:jc w:val="both"/>
        <w:rPr>
          <w:rFonts w:cstheme="minorHAnsi"/>
          <w:bCs/>
          <w:sz w:val="24"/>
          <w:szCs w:val="24"/>
        </w:rPr>
      </w:pPr>
      <w:r w:rsidRPr="00857608">
        <w:rPr>
          <w:rFonts w:cstheme="minorHAnsi"/>
          <w:bCs/>
          <w:sz w:val="24"/>
          <w:szCs w:val="24"/>
        </w:rPr>
        <w:t>ACHA7024 – Procurement and Supply Chain Management</w:t>
      </w:r>
    </w:p>
    <w:p w14:paraId="068DF6C6" w14:textId="283B95F4" w:rsidR="002923D4" w:rsidRDefault="00B02FE5" w:rsidP="00D027A5">
      <w:pPr>
        <w:spacing w:line="360" w:lineRule="auto"/>
        <w:jc w:val="both"/>
        <w:rPr>
          <w:rFonts w:cstheme="minorHAnsi"/>
          <w:bCs/>
          <w:sz w:val="24"/>
          <w:szCs w:val="24"/>
        </w:rPr>
      </w:pPr>
      <w:r w:rsidRPr="00857608">
        <w:rPr>
          <w:rFonts w:cstheme="minorHAnsi"/>
          <w:bCs/>
          <w:sz w:val="24"/>
          <w:szCs w:val="24"/>
        </w:rPr>
        <w:t>Alex Greenslade (2216245)</w:t>
      </w:r>
    </w:p>
    <w:sdt>
      <w:sdtPr>
        <w:rPr>
          <w:rFonts w:asciiTheme="minorHAnsi" w:eastAsiaTheme="minorHAnsi" w:hAnsiTheme="minorHAnsi" w:cstheme="minorBidi"/>
          <w:color w:val="auto"/>
          <w:kern w:val="2"/>
          <w:sz w:val="22"/>
          <w:szCs w:val="22"/>
          <w:lang w:eastAsia="en-US"/>
          <w14:ligatures w14:val="standardContextual"/>
        </w:rPr>
        <w:id w:val="-717589222"/>
        <w:docPartObj>
          <w:docPartGallery w:val="Table of Contents"/>
          <w:docPartUnique/>
        </w:docPartObj>
      </w:sdtPr>
      <w:sdtEndPr>
        <w:rPr>
          <w:b/>
          <w:bCs/>
        </w:rPr>
      </w:sdtEndPr>
      <w:sdtContent>
        <w:p w14:paraId="1386F1C8" w14:textId="26DF9681" w:rsidR="002923D4" w:rsidRDefault="002923D4" w:rsidP="00A76EFE">
          <w:pPr>
            <w:pStyle w:val="TOCHeading"/>
            <w:spacing w:line="360" w:lineRule="auto"/>
          </w:pPr>
          <w:r>
            <w:t>Contents</w:t>
          </w:r>
        </w:p>
        <w:p w14:paraId="4797F880" w14:textId="0DB2F0AB" w:rsidR="002D5C82" w:rsidRDefault="002923D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299342" w:history="1">
            <w:r w:rsidR="002D5C82" w:rsidRPr="005E2EE3">
              <w:rPr>
                <w:rStyle w:val="Hyperlink"/>
                <w:noProof/>
              </w:rPr>
              <w:t>Table of Figures</w:t>
            </w:r>
            <w:r w:rsidR="002D5C82">
              <w:rPr>
                <w:noProof/>
                <w:webHidden/>
              </w:rPr>
              <w:tab/>
            </w:r>
            <w:r w:rsidR="002D5C82">
              <w:rPr>
                <w:noProof/>
                <w:webHidden/>
              </w:rPr>
              <w:fldChar w:fldCharType="begin"/>
            </w:r>
            <w:r w:rsidR="002D5C82">
              <w:rPr>
                <w:noProof/>
                <w:webHidden/>
              </w:rPr>
              <w:instrText xml:space="preserve"> PAGEREF _Toc214299342 \h </w:instrText>
            </w:r>
            <w:r w:rsidR="002D5C82">
              <w:rPr>
                <w:noProof/>
                <w:webHidden/>
              </w:rPr>
            </w:r>
            <w:r w:rsidR="002D5C82">
              <w:rPr>
                <w:noProof/>
                <w:webHidden/>
              </w:rPr>
              <w:fldChar w:fldCharType="separate"/>
            </w:r>
            <w:r w:rsidR="000A7B00">
              <w:rPr>
                <w:noProof/>
                <w:webHidden/>
              </w:rPr>
              <w:t>2</w:t>
            </w:r>
            <w:r w:rsidR="002D5C82">
              <w:rPr>
                <w:noProof/>
                <w:webHidden/>
              </w:rPr>
              <w:fldChar w:fldCharType="end"/>
            </w:r>
          </w:hyperlink>
        </w:p>
        <w:p w14:paraId="2C251181" w14:textId="610BD6B8" w:rsidR="002D5C82" w:rsidRDefault="002D5C82">
          <w:pPr>
            <w:pStyle w:val="TOC1"/>
            <w:tabs>
              <w:tab w:val="right" w:leader="dot" w:pos="9016"/>
            </w:tabs>
            <w:rPr>
              <w:rFonts w:eastAsiaTheme="minorEastAsia"/>
              <w:noProof/>
              <w:sz w:val="24"/>
              <w:szCs w:val="24"/>
              <w:lang w:eastAsia="en-GB"/>
            </w:rPr>
          </w:pPr>
          <w:hyperlink w:anchor="_Toc214299343" w:history="1">
            <w:r w:rsidRPr="005E2EE3">
              <w:rPr>
                <w:rStyle w:val="Hyperlink"/>
                <w:noProof/>
              </w:rPr>
              <w:t>Table of Tables</w:t>
            </w:r>
            <w:r>
              <w:rPr>
                <w:noProof/>
                <w:webHidden/>
              </w:rPr>
              <w:tab/>
            </w:r>
            <w:r>
              <w:rPr>
                <w:noProof/>
                <w:webHidden/>
              </w:rPr>
              <w:fldChar w:fldCharType="begin"/>
            </w:r>
            <w:r>
              <w:rPr>
                <w:noProof/>
                <w:webHidden/>
              </w:rPr>
              <w:instrText xml:space="preserve"> PAGEREF _Toc214299343 \h </w:instrText>
            </w:r>
            <w:r>
              <w:rPr>
                <w:noProof/>
                <w:webHidden/>
              </w:rPr>
            </w:r>
            <w:r>
              <w:rPr>
                <w:noProof/>
                <w:webHidden/>
              </w:rPr>
              <w:fldChar w:fldCharType="separate"/>
            </w:r>
            <w:r w:rsidR="000A7B00">
              <w:rPr>
                <w:noProof/>
                <w:webHidden/>
              </w:rPr>
              <w:t>3</w:t>
            </w:r>
            <w:r>
              <w:rPr>
                <w:noProof/>
                <w:webHidden/>
              </w:rPr>
              <w:fldChar w:fldCharType="end"/>
            </w:r>
          </w:hyperlink>
        </w:p>
        <w:p w14:paraId="251D54E3" w14:textId="16A239A6" w:rsidR="002D5C82" w:rsidRDefault="002D5C82">
          <w:pPr>
            <w:pStyle w:val="TOC1"/>
            <w:tabs>
              <w:tab w:val="right" w:leader="dot" w:pos="9016"/>
            </w:tabs>
            <w:rPr>
              <w:rFonts w:eastAsiaTheme="minorEastAsia"/>
              <w:noProof/>
              <w:sz w:val="24"/>
              <w:szCs w:val="24"/>
              <w:lang w:eastAsia="en-GB"/>
            </w:rPr>
          </w:pPr>
          <w:hyperlink w:anchor="_Toc214299344" w:history="1">
            <w:r w:rsidRPr="005E2EE3">
              <w:rPr>
                <w:rStyle w:val="Hyperlink"/>
                <w:noProof/>
              </w:rPr>
              <w:t>Table of Equations</w:t>
            </w:r>
            <w:r>
              <w:rPr>
                <w:noProof/>
                <w:webHidden/>
              </w:rPr>
              <w:tab/>
            </w:r>
            <w:r>
              <w:rPr>
                <w:noProof/>
                <w:webHidden/>
              </w:rPr>
              <w:fldChar w:fldCharType="begin"/>
            </w:r>
            <w:r>
              <w:rPr>
                <w:noProof/>
                <w:webHidden/>
              </w:rPr>
              <w:instrText xml:space="preserve"> PAGEREF _Toc214299344 \h </w:instrText>
            </w:r>
            <w:r>
              <w:rPr>
                <w:noProof/>
                <w:webHidden/>
              </w:rPr>
            </w:r>
            <w:r>
              <w:rPr>
                <w:noProof/>
                <w:webHidden/>
              </w:rPr>
              <w:fldChar w:fldCharType="separate"/>
            </w:r>
            <w:r w:rsidR="000A7B00">
              <w:rPr>
                <w:noProof/>
                <w:webHidden/>
              </w:rPr>
              <w:t>3</w:t>
            </w:r>
            <w:r>
              <w:rPr>
                <w:noProof/>
                <w:webHidden/>
              </w:rPr>
              <w:fldChar w:fldCharType="end"/>
            </w:r>
          </w:hyperlink>
        </w:p>
        <w:p w14:paraId="714E45D4" w14:textId="1CD1C9ED" w:rsidR="002D5C82" w:rsidRDefault="002D5C82">
          <w:pPr>
            <w:pStyle w:val="TOC1"/>
            <w:tabs>
              <w:tab w:val="right" w:leader="dot" w:pos="9016"/>
            </w:tabs>
            <w:rPr>
              <w:rFonts w:eastAsiaTheme="minorEastAsia"/>
              <w:noProof/>
              <w:sz w:val="24"/>
              <w:szCs w:val="24"/>
              <w:lang w:eastAsia="en-GB"/>
            </w:rPr>
          </w:pPr>
          <w:hyperlink w:anchor="_Toc214299345" w:history="1">
            <w:r w:rsidRPr="005E2EE3">
              <w:rPr>
                <w:rStyle w:val="Hyperlink"/>
                <w:noProof/>
                <w:lang w:val="en-US"/>
              </w:rPr>
              <w:t>Abstract</w:t>
            </w:r>
            <w:r>
              <w:rPr>
                <w:noProof/>
                <w:webHidden/>
              </w:rPr>
              <w:tab/>
            </w:r>
            <w:r>
              <w:rPr>
                <w:noProof/>
                <w:webHidden/>
              </w:rPr>
              <w:fldChar w:fldCharType="begin"/>
            </w:r>
            <w:r>
              <w:rPr>
                <w:noProof/>
                <w:webHidden/>
              </w:rPr>
              <w:instrText xml:space="preserve"> PAGEREF _Toc214299345 \h </w:instrText>
            </w:r>
            <w:r>
              <w:rPr>
                <w:noProof/>
                <w:webHidden/>
              </w:rPr>
            </w:r>
            <w:r>
              <w:rPr>
                <w:noProof/>
                <w:webHidden/>
              </w:rPr>
              <w:fldChar w:fldCharType="separate"/>
            </w:r>
            <w:r w:rsidR="000A7B00">
              <w:rPr>
                <w:noProof/>
                <w:webHidden/>
              </w:rPr>
              <w:t>4</w:t>
            </w:r>
            <w:r>
              <w:rPr>
                <w:noProof/>
                <w:webHidden/>
              </w:rPr>
              <w:fldChar w:fldCharType="end"/>
            </w:r>
          </w:hyperlink>
        </w:p>
        <w:p w14:paraId="62D9CD26" w14:textId="1CF544B0" w:rsidR="002D5C82" w:rsidRDefault="002D5C82">
          <w:pPr>
            <w:pStyle w:val="TOC1"/>
            <w:tabs>
              <w:tab w:val="left" w:pos="480"/>
              <w:tab w:val="right" w:leader="dot" w:pos="9016"/>
            </w:tabs>
            <w:rPr>
              <w:rFonts w:eastAsiaTheme="minorEastAsia"/>
              <w:noProof/>
              <w:sz w:val="24"/>
              <w:szCs w:val="24"/>
              <w:lang w:eastAsia="en-GB"/>
            </w:rPr>
          </w:pPr>
          <w:hyperlink w:anchor="_Toc214299346" w:history="1">
            <w:r w:rsidRPr="005E2EE3">
              <w:rPr>
                <w:rStyle w:val="Hyperlink"/>
                <w:noProof/>
              </w:rPr>
              <w:t>1.</w:t>
            </w:r>
            <w:r>
              <w:rPr>
                <w:rFonts w:eastAsiaTheme="minorEastAsia"/>
                <w:noProof/>
                <w:sz w:val="24"/>
                <w:szCs w:val="24"/>
                <w:lang w:eastAsia="en-GB"/>
              </w:rPr>
              <w:tab/>
            </w:r>
            <w:r w:rsidRPr="005E2EE3">
              <w:rPr>
                <w:rStyle w:val="Hyperlink"/>
                <w:noProof/>
              </w:rPr>
              <w:t>Introduction</w:t>
            </w:r>
            <w:r>
              <w:rPr>
                <w:noProof/>
                <w:webHidden/>
              </w:rPr>
              <w:tab/>
            </w:r>
            <w:r>
              <w:rPr>
                <w:noProof/>
                <w:webHidden/>
              </w:rPr>
              <w:fldChar w:fldCharType="begin"/>
            </w:r>
            <w:r>
              <w:rPr>
                <w:noProof/>
                <w:webHidden/>
              </w:rPr>
              <w:instrText xml:space="preserve"> PAGEREF _Toc214299346 \h </w:instrText>
            </w:r>
            <w:r>
              <w:rPr>
                <w:noProof/>
                <w:webHidden/>
              </w:rPr>
            </w:r>
            <w:r>
              <w:rPr>
                <w:noProof/>
                <w:webHidden/>
              </w:rPr>
              <w:fldChar w:fldCharType="separate"/>
            </w:r>
            <w:r w:rsidR="000A7B00">
              <w:rPr>
                <w:noProof/>
                <w:webHidden/>
              </w:rPr>
              <w:t>5</w:t>
            </w:r>
            <w:r>
              <w:rPr>
                <w:noProof/>
                <w:webHidden/>
              </w:rPr>
              <w:fldChar w:fldCharType="end"/>
            </w:r>
          </w:hyperlink>
        </w:p>
        <w:p w14:paraId="58A023D0" w14:textId="54BB3314" w:rsidR="002D5C82" w:rsidRDefault="002D5C82">
          <w:pPr>
            <w:pStyle w:val="TOC1"/>
            <w:tabs>
              <w:tab w:val="left" w:pos="480"/>
              <w:tab w:val="right" w:leader="dot" w:pos="9016"/>
            </w:tabs>
            <w:rPr>
              <w:rFonts w:eastAsiaTheme="minorEastAsia"/>
              <w:noProof/>
              <w:sz w:val="24"/>
              <w:szCs w:val="24"/>
              <w:lang w:eastAsia="en-GB"/>
            </w:rPr>
          </w:pPr>
          <w:hyperlink w:anchor="_Toc214299347" w:history="1">
            <w:r w:rsidRPr="005E2EE3">
              <w:rPr>
                <w:rStyle w:val="Hyperlink"/>
                <w:noProof/>
              </w:rPr>
              <w:t>2.</w:t>
            </w:r>
            <w:r>
              <w:rPr>
                <w:rFonts w:eastAsiaTheme="minorEastAsia"/>
                <w:noProof/>
                <w:sz w:val="24"/>
                <w:szCs w:val="24"/>
                <w:lang w:eastAsia="en-GB"/>
              </w:rPr>
              <w:tab/>
            </w:r>
            <w:r w:rsidRPr="005E2EE3">
              <w:rPr>
                <w:rStyle w:val="Hyperlink"/>
                <w:noProof/>
              </w:rPr>
              <w:t>Supply Chain Mapping</w:t>
            </w:r>
            <w:r>
              <w:rPr>
                <w:noProof/>
                <w:webHidden/>
              </w:rPr>
              <w:tab/>
            </w:r>
            <w:r>
              <w:rPr>
                <w:noProof/>
                <w:webHidden/>
              </w:rPr>
              <w:fldChar w:fldCharType="begin"/>
            </w:r>
            <w:r>
              <w:rPr>
                <w:noProof/>
                <w:webHidden/>
              </w:rPr>
              <w:instrText xml:space="preserve"> PAGEREF _Toc214299347 \h </w:instrText>
            </w:r>
            <w:r>
              <w:rPr>
                <w:noProof/>
                <w:webHidden/>
              </w:rPr>
            </w:r>
            <w:r>
              <w:rPr>
                <w:noProof/>
                <w:webHidden/>
              </w:rPr>
              <w:fldChar w:fldCharType="separate"/>
            </w:r>
            <w:r w:rsidR="000A7B00">
              <w:rPr>
                <w:noProof/>
                <w:webHidden/>
              </w:rPr>
              <w:t>6</w:t>
            </w:r>
            <w:r>
              <w:rPr>
                <w:noProof/>
                <w:webHidden/>
              </w:rPr>
              <w:fldChar w:fldCharType="end"/>
            </w:r>
          </w:hyperlink>
        </w:p>
        <w:p w14:paraId="128AC9D1" w14:textId="14B8C5D1" w:rsidR="002D5C82" w:rsidRDefault="002D5C82">
          <w:pPr>
            <w:pStyle w:val="TOC1"/>
            <w:tabs>
              <w:tab w:val="left" w:pos="480"/>
              <w:tab w:val="right" w:leader="dot" w:pos="9016"/>
            </w:tabs>
            <w:rPr>
              <w:rFonts w:eastAsiaTheme="minorEastAsia"/>
              <w:noProof/>
              <w:sz w:val="24"/>
              <w:szCs w:val="24"/>
              <w:lang w:eastAsia="en-GB"/>
            </w:rPr>
          </w:pPr>
          <w:hyperlink w:anchor="_Toc214299348" w:history="1">
            <w:r w:rsidRPr="005E2EE3">
              <w:rPr>
                <w:rStyle w:val="Hyperlink"/>
                <w:noProof/>
              </w:rPr>
              <w:t>3.</w:t>
            </w:r>
            <w:r>
              <w:rPr>
                <w:rFonts w:eastAsiaTheme="minorEastAsia"/>
                <w:noProof/>
                <w:sz w:val="24"/>
                <w:szCs w:val="24"/>
                <w:lang w:eastAsia="en-GB"/>
              </w:rPr>
              <w:tab/>
            </w:r>
            <w:r w:rsidRPr="005E2EE3">
              <w:rPr>
                <w:rStyle w:val="Hyperlink"/>
                <w:noProof/>
              </w:rPr>
              <w:t>Failure Mode and Effects Analysis</w:t>
            </w:r>
            <w:r>
              <w:rPr>
                <w:noProof/>
                <w:webHidden/>
              </w:rPr>
              <w:tab/>
            </w:r>
            <w:r>
              <w:rPr>
                <w:noProof/>
                <w:webHidden/>
              </w:rPr>
              <w:fldChar w:fldCharType="begin"/>
            </w:r>
            <w:r>
              <w:rPr>
                <w:noProof/>
                <w:webHidden/>
              </w:rPr>
              <w:instrText xml:space="preserve"> PAGEREF _Toc214299348 \h </w:instrText>
            </w:r>
            <w:r>
              <w:rPr>
                <w:noProof/>
                <w:webHidden/>
              </w:rPr>
            </w:r>
            <w:r>
              <w:rPr>
                <w:noProof/>
                <w:webHidden/>
              </w:rPr>
              <w:fldChar w:fldCharType="separate"/>
            </w:r>
            <w:r w:rsidR="000A7B00">
              <w:rPr>
                <w:noProof/>
                <w:webHidden/>
              </w:rPr>
              <w:t>9</w:t>
            </w:r>
            <w:r>
              <w:rPr>
                <w:noProof/>
                <w:webHidden/>
              </w:rPr>
              <w:fldChar w:fldCharType="end"/>
            </w:r>
          </w:hyperlink>
        </w:p>
        <w:p w14:paraId="716D15F0" w14:textId="2E41893C" w:rsidR="002D5C82" w:rsidRDefault="002D5C82">
          <w:pPr>
            <w:pStyle w:val="TOC2"/>
            <w:tabs>
              <w:tab w:val="right" w:leader="dot" w:pos="9016"/>
            </w:tabs>
            <w:rPr>
              <w:rFonts w:eastAsiaTheme="minorEastAsia"/>
              <w:noProof/>
              <w:sz w:val="24"/>
              <w:szCs w:val="24"/>
              <w:lang w:eastAsia="en-GB"/>
            </w:rPr>
          </w:pPr>
          <w:hyperlink w:anchor="_Toc214299349" w:history="1">
            <w:r w:rsidRPr="005E2EE3">
              <w:rPr>
                <w:rStyle w:val="Hyperlink"/>
                <w:noProof/>
              </w:rPr>
              <w:t>3.1 FMEA Overview</w:t>
            </w:r>
            <w:r>
              <w:rPr>
                <w:noProof/>
                <w:webHidden/>
              </w:rPr>
              <w:tab/>
            </w:r>
            <w:r>
              <w:rPr>
                <w:noProof/>
                <w:webHidden/>
              </w:rPr>
              <w:fldChar w:fldCharType="begin"/>
            </w:r>
            <w:r>
              <w:rPr>
                <w:noProof/>
                <w:webHidden/>
              </w:rPr>
              <w:instrText xml:space="preserve"> PAGEREF _Toc214299349 \h </w:instrText>
            </w:r>
            <w:r>
              <w:rPr>
                <w:noProof/>
                <w:webHidden/>
              </w:rPr>
            </w:r>
            <w:r>
              <w:rPr>
                <w:noProof/>
                <w:webHidden/>
              </w:rPr>
              <w:fldChar w:fldCharType="separate"/>
            </w:r>
            <w:r w:rsidR="000A7B00">
              <w:rPr>
                <w:noProof/>
                <w:webHidden/>
              </w:rPr>
              <w:t>9</w:t>
            </w:r>
            <w:r>
              <w:rPr>
                <w:noProof/>
                <w:webHidden/>
              </w:rPr>
              <w:fldChar w:fldCharType="end"/>
            </w:r>
          </w:hyperlink>
        </w:p>
        <w:p w14:paraId="00EF8F2E" w14:textId="19A395E2" w:rsidR="002D5C82" w:rsidRDefault="002D5C82">
          <w:pPr>
            <w:pStyle w:val="TOC2"/>
            <w:tabs>
              <w:tab w:val="right" w:leader="dot" w:pos="9016"/>
            </w:tabs>
            <w:rPr>
              <w:rFonts w:eastAsiaTheme="minorEastAsia"/>
              <w:noProof/>
              <w:sz w:val="24"/>
              <w:szCs w:val="24"/>
              <w:lang w:eastAsia="en-GB"/>
            </w:rPr>
          </w:pPr>
          <w:hyperlink w:anchor="_Toc214299350" w:history="1">
            <w:r w:rsidRPr="005E2EE3">
              <w:rPr>
                <w:rStyle w:val="Hyperlink"/>
                <w:noProof/>
              </w:rPr>
              <w:t>3.2 FMEA Table</w:t>
            </w:r>
            <w:r>
              <w:rPr>
                <w:noProof/>
                <w:webHidden/>
              </w:rPr>
              <w:tab/>
            </w:r>
            <w:r>
              <w:rPr>
                <w:noProof/>
                <w:webHidden/>
              </w:rPr>
              <w:fldChar w:fldCharType="begin"/>
            </w:r>
            <w:r>
              <w:rPr>
                <w:noProof/>
                <w:webHidden/>
              </w:rPr>
              <w:instrText xml:space="preserve"> PAGEREF _Toc214299350 \h </w:instrText>
            </w:r>
            <w:r>
              <w:rPr>
                <w:noProof/>
                <w:webHidden/>
              </w:rPr>
            </w:r>
            <w:r>
              <w:rPr>
                <w:noProof/>
                <w:webHidden/>
              </w:rPr>
              <w:fldChar w:fldCharType="separate"/>
            </w:r>
            <w:r w:rsidR="000A7B00">
              <w:rPr>
                <w:noProof/>
                <w:webHidden/>
              </w:rPr>
              <w:t>10</w:t>
            </w:r>
            <w:r>
              <w:rPr>
                <w:noProof/>
                <w:webHidden/>
              </w:rPr>
              <w:fldChar w:fldCharType="end"/>
            </w:r>
          </w:hyperlink>
        </w:p>
        <w:p w14:paraId="015475E9" w14:textId="76B4018C" w:rsidR="002D5C82" w:rsidRDefault="002D5C82">
          <w:pPr>
            <w:pStyle w:val="TOC2"/>
            <w:tabs>
              <w:tab w:val="right" w:leader="dot" w:pos="9016"/>
            </w:tabs>
            <w:rPr>
              <w:rFonts w:eastAsiaTheme="minorEastAsia"/>
              <w:noProof/>
              <w:sz w:val="24"/>
              <w:szCs w:val="24"/>
              <w:lang w:eastAsia="en-GB"/>
            </w:rPr>
          </w:pPr>
          <w:hyperlink w:anchor="_Toc214299351" w:history="1">
            <w:r w:rsidRPr="005E2EE3">
              <w:rPr>
                <w:rStyle w:val="Hyperlink"/>
                <w:noProof/>
              </w:rPr>
              <w:t>3.3 Severity</w:t>
            </w:r>
            <w:r>
              <w:rPr>
                <w:noProof/>
                <w:webHidden/>
              </w:rPr>
              <w:tab/>
            </w:r>
            <w:r>
              <w:rPr>
                <w:noProof/>
                <w:webHidden/>
              </w:rPr>
              <w:fldChar w:fldCharType="begin"/>
            </w:r>
            <w:r>
              <w:rPr>
                <w:noProof/>
                <w:webHidden/>
              </w:rPr>
              <w:instrText xml:space="preserve"> PAGEREF _Toc214299351 \h </w:instrText>
            </w:r>
            <w:r>
              <w:rPr>
                <w:noProof/>
                <w:webHidden/>
              </w:rPr>
            </w:r>
            <w:r>
              <w:rPr>
                <w:noProof/>
                <w:webHidden/>
              </w:rPr>
              <w:fldChar w:fldCharType="separate"/>
            </w:r>
            <w:r w:rsidR="000A7B00">
              <w:rPr>
                <w:noProof/>
                <w:webHidden/>
              </w:rPr>
              <w:t>50</w:t>
            </w:r>
            <w:r>
              <w:rPr>
                <w:noProof/>
                <w:webHidden/>
              </w:rPr>
              <w:fldChar w:fldCharType="end"/>
            </w:r>
          </w:hyperlink>
        </w:p>
        <w:p w14:paraId="203C26D7" w14:textId="557C7502" w:rsidR="002D5C82" w:rsidRDefault="002D5C82">
          <w:pPr>
            <w:pStyle w:val="TOC2"/>
            <w:tabs>
              <w:tab w:val="right" w:leader="dot" w:pos="9016"/>
            </w:tabs>
            <w:rPr>
              <w:rFonts w:eastAsiaTheme="minorEastAsia"/>
              <w:noProof/>
              <w:sz w:val="24"/>
              <w:szCs w:val="24"/>
              <w:lang w:eastAsia="en-GB"/>
            </w:rPr>
          </w:pPr>
          <w:hyperlink w:anchor="_Toc214299352" w:history="1">
            <w:r w:rsidRPr="005E2EE3">
              <w:rPr>
                <w:rStyle w:val="Hyperlink"/>
                <w:noProof/>
              </w:rPr>
              <w:t>3.4 Occurrence</w:t>
            </w:r>
            <w:r>
              <w:rPr>
                <w:noProof/>
                <w:webHidden/>
              </w:rPr>
              <w:tab/>
            </w:r>
            <w:r>
              <w:rPr>
                <w:noProof/>
                <w:webHidden/>
              </w:rPr>
              <w:fldChar w:fldCharType="begin"/>
            </w:r>
            <w:r>
              <w:rPr>
                <w:noProof/>
                <w:webHidden/>
              </w:rPr>
              <w:instrText xml:space="preserve"> PAGEREF _Toc214299352 \h </w:instrText>
            </w:r>
            <w:r>
              <w:rPr>
                <w:noProof/>
                <w:webHidden/>
              </w:rPr>
            </w:r>
            <w:r>
              <w:rPr>
                <w:noProof/>
                <w:webHidden/>
              </w:rPr>
              <w:fldChar w:fldCharType="separate"/>
            </w:r>
            <w:r w:rsidR="000A7B00">
              <w:rPr>
                <w:noProof/>
                <w:webHidden/>
              </w:rPr>
              <w:t>51</w:t>
            </w:r>
            <w:r>
              <w:rPr>
                <w:noProof/>
                <w:webHidden/>
              </w:rPr>
              <w:fldChar w:fldCharType="end"/>
            </w:r>
          </w:hyperlink>
        </w:p>
        <w:p w14:paraId="3EAAD81D" w14:textId="30F09CF7" w:rsidR="002D5C82" w:rsidRDefault="002D5C82">
          <w:pPr>
            <w:pStyle w:val="TOC2"/>
            <w:tabs>
              <w:tab w:val="right" w:leader="dot" w:pos="9016"/>
            </w:tabs>
            <w:rPr>
              <w:rFonts w:eastAsiaTheme="minorEastAsia"/>
              <w:noProof/>
              <w:sz w:val="24"/>
              <w:szCs w:val="24"/>
              <w:lang w:eastAsia="en-GB"/>
            </w:rPr>
          </w:pPr>
          <w:hyperlink w:anchor="_Toc214299353" w:history="1">
            <w:r w:rsidRPr="005E2EE3">
              <w:rPr>
                <w:rStyle w:val="Hyperlink"/>
                <w:noProof/>
              </w:rPr>
              <w:t>3.5 Detection</w:t>
            </w:r>
            <w:r>
              <w:rPr>
                <w:noProof/>
                <w:webHidden/>
              </w:rPr>
              <w:tab/>
            </w:r>
            <w:r>
              <w:rPr>
                <w:noProof/>
                <w:webHidden/>
              </w:rPr>
              <w:fldChar w:fldCharType="begin"/>
            </w:r>
            <w:r>
              <w:rPr>
                <w:noProof/>
                <w:webHidden/>
              </w:rPr>
              <w:instrText xml:space="preserve"> PAGEREF _Toc214299353 \h </w:instrText>
            </w:r>
            <w:r>
              <w:rPr>
                <w:noProof/>
                <w:webHidden/>
              </w:rPr>
            </w:r>
            <w:r>
              <w:rPr>
                <w:noProof/>
                <w:webHidden/>
              </w:rPr>
              <w:fldChar w:fldCharType="separate"/>
            </w:r>
            <w:r w:rsidR="000A7B00">
              <w:rPr>
                <w:noProof/>
                <w:webHidden/>
              </w:rPr>
              <w:t>51</w:t>
            </w:r>
            <w:r>
              <w:rPr>
                <w:noProof/>
                <w:webHidden/>
              </w:rPr>
              <w:fldChar w:fldCharType="end"/>
            </w:r>
          </w:hyperlink>
        </w:p>
        <w:p w14:paraId="3B319F19" w14:textId="5791B2CC" w:rsidR="002D5C82" w:rsidRDefault="002D5C82">
          <w:pPr>
            <w:pStyle w:val="TOC2"/>
            <w:tabs>
              <w:tab w:val="right" w:leader="dot" w:pos="9016"/>
            </w:tabs>
            <w:rPr>
              <w:rFonts w:eastAsiaTheme="minorEastAsia"/>
              <w:noProof/>
              <w:sz w:val="24"/>
              <w:szCs w:val="24"/>
              <w:lang w:eastAsia="en-GB"/>
            </w:rPr>
          </w:pPr>
          <w:hyperlink w:anchor="_Toc214299354" w:history="1">
            <w:r w:rsidRPr="005E2EE3">
              <w:rPr>
                <w:rStyle w:val="Hyperlink"/>
                <w:noProof/>
              </w:rPr>
              <w:t>3.6 Failure Mode and Effects Analysis on Imported Slab Supply Chain</w:t>
            </w:r>
            <w:r>
              <w:rPr>
                <w:noProof/>
                <w:webHidden/>
              </w:rPr>
              <w:tab/>
            </w:r>
            <w:r>
              <w:rPr>
                <w:noProof/>
                <w:webHidden/>
              </w:rPr>
              <w:fldChar w:fldCharType="begin"/>
            </w:r>
            <w:r>
              <w:rPr>
                <w:noProof/>
                <w:webHidden/>
              </w:rPr>
              <w:instrText xml:space="preserve"> PAGEREF _Toc214299354 \h </w:instrText>
            </w:r>
            <w:r>
              <w:rPr>
                <w:noProof/>
                <w:webHidden/>
              </w:rPr>
            </w:r>
            <w:r>
              <w:rPr>
                <w:noProof/>
                <w:webHidden/>
              </w:rPr>
              <w:fldChar w:fldCharType="separate"/>
            </w:r>
            <w:r w:rsidR="000A7B00">
              <w:rPr>
                <w:noProof/>
                <w:webHidden/>
              </w:rPr>
              <w:t>53</w:t>
            </w:r>
            <w:r>
              <w:rPr>
                <w:noProof/>
                <w:webHidden/>
              </w:rPr>
              <w:fldChar w:fldCharType="end"/>
            </w:r>
          </w:hyperlink>
        </w:p>
        <w:p w14:paraId="79B15A0B" w14:textId="0B1DE329" w:rsidR="002D5C82" w:rsidRDefault="002D5C82">
          <w:pPr>
            <w:pStyle w:val="TOC2"/>
            <w:tabs>
              <w:tab w:val="right" w:leader="dot" w:pos="9016"/>
            </w:tabs>
            <w:rPr>
              <w:rFonts w:eastAsiaTheme="minorEastAsia"/>
              <w:noProof/>
              <w:sz w:val="24"/>
              <w:szCs w:val="24"/>
              <w:lang w:eastAsia="en-GB"/>
            </w:rPr>
          </w:pPr>
          <w:hyperlink w:anchor="_Toc214299355" w:history="1">
            <w:r w:rsidRPr="005E2EE3">
              <w:rPr>
                <w:rStyle w:val="Hyperlink"/>
                <w:noProof/>
              </w:rPr>
              <w:t>3.7 Limitations of FMEA</w:t>
            </w:r>
            <w:r>
              <w:rPr>
                <w:noProof/>
                <w:webHidden/>
              </w:rPr>
              <w:tab/>
            </w:r>
            <w:r>
              <w:rPr>
                <w:noProof/>
                <w:webHidden/>
              </w:rPr>
              <w:fldChar w:fldCharType="begin"/>
            </w:r>
            <w:r>
              <w:rPr>
                <w:noProof/>
                <w:webHidden/>
              </w:rPr>
              <w:instrText xml:space="preserve"> PAGEREF _Toc214299355 \h </w:instrText>
            </w:r>
            <w:r>
              <w:rPr>
                <w:noProof/>
                <w:webHidden/>
              </w:rPr>
            </w:r>
            <w:r>
              <w:rPr>
                <w:noProof/>
                <w:webHidden/>
              </w:rPr>
              <w:fldChar w:fldCharType="separate"/>
            </w:r>
            <w:r w:rsidR="000A7B00">
              <w:rPr>
                <w:noProof/>
                <w:webHidden/>
              </w:rPr>
              <w:t>54</w:t>
            </w:r>
            <w:r>
              <w:rPr>
                <w:noProof/>
                <w:webHidden/>
              </w:rPr>
              <w:fldChar w:fldCharType="end"/>
            </w:r>
          </w:hyperlink>
        </w:p>
        <w:p w14:paraId="23D861A4" w14:textId="65E6779D" w:rsidR="002D5C82" w:rsidRDefault="002D5C82">
          <w:pPr>
            <w:pStyle w:val="TOC1"/>
            <w:tabs>
              <w:tab w:val="left" w:pos="480"/>
              <w:tab w:val="right" w:leader="dot" w:pos="9016"/>
            </w:tabs>
            <w:rPr>
              <w:rFonts w:eastAsiaTheme="minorEastAsia"/>
              <w:noProof/>
              <w:sz w:val="24"/>
              <w:szCs w:val="24"/>
              <w:lang w:eastAsia="en-GB"/>
            </w:rPr>
          </w:pPr>
          <w:hyperlink w:anchor="_Toc214299356" w:history="1">
            <w:r w:rsidRPr="005E2EE3">
              <w:rPr>
                <w:rStyle w:val="Hyperlink"/>
                <w:noProof/>
                <w:lang w:val="en-US"/>
              </w:rPr>
              <w:t>4.</w:t>
            </w:r>
            <w:r>
              <w:rPr>
                <w:rFonts w:eastAsiaTheme="minorEastAsia"/>
                <w:noProof/>
                <w:sz w:val="24"/>
                <w:szCs w:val="24"/>
                <w:lang w:eastAsia="en-GB"/>
              </w:rPr>
              <w:tab/>
            </w:r>
            <w:r w:rsidRPr="005E2EE3">
              <w:rPr>
                <w:rStyle w:val="Hyperlink"/>
                <w:noProof/>
                <w:lang w:val="en-US"/>
              </w:rPr>
              <w:t>Improving Resilience of Imported Slab Supply Chain</w:t>
            </w:r>
            <w:r>
              <w:rPr>
                <w:noProof/>
                <w:webHidden/>
              </w:rPr>
              <w:tab/>
            </w:r>
            <w:r>
              <w:rPr>
                <w:noProof/>
                <w:webHidden/>
              </w:rPr>
              <w:fldChar w:fldCharType="begin"/>
            </w:r>
            <w:r>
              <w:rPr>
                <w:noProof/>
                <w:webHidden/>
              </w:rPr>
              <w:instrText xml:space="preserve"> PAGEREF _Toc214299356 \h </w:instrText>
            </w:r>
            <w:r>
              <w:rPr>
                <w:noProof/>
                <w:webHidden/>
              </w:rPr>
            </w:r>
            <w:r>
              <w:rPr>
                <w:noProof/>
                <w:webHidden/>
              </w:rPr>
              <w:fldChar w:fldCharType="separate"/>
            </w:r>
            <w:r w:rsidR="000A7B00">
              <w:rPr>
                <w:noProof/>
                <w:webHidden/>
              </w:rPr>
              <w:t>55</w:t>
            </w:r>
            <w:r>
              <w:rPr>
                <w:noProof/>
                <w:webHidden/>
              </w:rPr>
              <w:fldChar w:fldCharType="end"/>
            </w:r>
          </w:hyperlink>
        </w:p>
        <w:p w14:paraId="3F269DFB" w14:textId="4EAD2F76" w:rsidR="002D5C82" w:rsidRDefault="002D5C82">
          <w:pPr>
            <w:pStyle w:val="TOC2"/>
            <w:tabs>
              <w:tab w:val="right" w:leader="dot" w:pos="9016"/>
            </w:tabs>
            <w:rPr>
              <w:rFonts w:eastAsiaTheme="minorEastAsia"/>
              <w:noProof/>
              <w:sz w:val="24"/>
              <w:szCs w:val="24"/>
              <w:lang w:eastAsia="en-GB"/>
            </w:rPr>
          </w:pPr>
          <w:hyperlink w:anchor="_Toc214299357" w:history="1">
            <w:r w:rsidRPr="005E2EE3">
              <w:rPr>
                <w:rStyle w:val="Hyperlink"/>
                <w:noProof/>
                <w:lang w:val="en-US"/>
              </w:rPr>
              <w:t>4.1 Imported Slab</w:t>
            </w:r>
            <w:r>
              <w:rPr>
                <w:noProof/>
                <w:webHidden/>
              </w:rPr>
              <w:tab/>
            </w:r>
            <w:r>
              <w:rPr>
                <w:noProof/>
                <w:webHidden/>
              </w:rPr>
              <w:fldChar w:fldCharType="begin"/>
            </w:r>
            <w:r>
              <w:rPr>
                <w:noProof/>
                <w:webHidden/>
              </w:rPr>
              <w:instrText xml:space="preserve"> PAGEREF _Toc214299357 \h </w:instrText>
            </w:r>
            <w:r>
              <w:rPr>
                <w:noProof/>
                <w:webHidden/>
              </w:rPr>
            </w:r>
            <w:r>
              <w:rPr>
                <w:noProof/>
                <w:webHidden/>
              </w:rPr>
              <w:fldChar w:fldCharType="separate"/>
            </w:r>
            <w:r w:rsidR="000A7B00">
              <w:rPr>
                <w:noProof/>
                <w:webHidden/>
              </w:rPr>
              <w:t>55</w:t>
            </w:r>
            <w:r>
              <w:rPr>
                <w:noProof/>
                <w:webHidden/>
              </w:rPr>
              <w:fldChar w:fldCharType="end"/>
            </w:r>
          </w:hyperlink>
        </w:p>
        <w:p w14:paraId="47877203" w14:textId="2F308B08" w:rsidR="002D5C82" w:rsidRDefault="002D5C82">
          <w:pPr>
            <w:pStyle w:val="TOC2"/>
            <w:tabs>
              <w:tab w:val="left" w:pos="960"/>
              <w:tab w:val="right" w:leader="dot" w:pos="9016"/>
            </w:tabs>
            <w:rPr>
              <w:rFonts w:eastAsiaTheme="minorEastAsia"/>
              <w:noProof/>
              <w:sz w:val="24"/>
              <w:szCs w:val="24"/>
              <w:lang w:eastAsia="en-GB"/>
            </w:rPr>
          </w:pPr>
          <w:hyperlink w:anchor="_Toc214299358" w:history="1">
            <w:r w:rsidRPr="005E2EE3">
              <w:rPr>
                <w:rStyle w:val="Hyperlink"/>
                <w:noProof/>
              </w:rPr>
              <w:t>4.2</w:t>
            </w:r>
            <w:r>
              <w:rPr>
                <w:rFonts w:eastAsiaTheme="minorEastAsia"/>
                <w:noProof/>
                <w:sz w:val="24"/>
                <w:szCs w:val="24"/>
                <w:lang w:eastAsia="en-GB"/>
              </w:rPr>
              <w:tab/>
            </w:r>
            <w:r w:rsidRPr="005E2EE3">
              <w:rPr>
                <w:rStyle w:val="Hyperlink"/>
                <w:noProof/>
              </w:rPr>
              <w:t>Step One: Supplier Diversification</w:t>
            </w:r>
            <w:r>
              <w:rPr>
                <w:noProof/>
                <w:webHidden/>
              </w:rPr>
              <w:tab/>
            </w:r>
            <w:r>
              <w:rPr>
                <w:noProof/>
                <w:webHidden/>
              </w:rPr>
              <w:fldChar w:fldCharType="begin"/>
            </w:r>
            <w:r>
              <w:rPr>
                <w:noProof/>
                <w:webHidden/>
              </w:rPr>
              <w:instrText xml:space="preserve"> PAGEREF _Toc214299358 \h </w:instrText>
            </w:r>
            <w:r>
              <w:rPr>
                <w:noProof/>
                <w:webHidden/>
              </w:rPr>
            </w:r>
            <w:r>
              <w:rPr>
                <w:noProof/>
                <w:webHidden/>
              </w:rPr>
              <w:fldChar w:fldCharType="separate"/>
            </w:r>
            <w:r w:rsidR="000A7B00">
              <w:rPr>
                <w:noProof/>
                <w:webHidden/>
              </w:rPr>
              <w:t>57</w:t>
            </w:r>
            <w:r>
              <w:rPr>
                <w:noProof/>
                <w:webHidden/>
              </w:rPr>
              <w:fldChar w:fldCharType="end"/>
            </w:r>
          </w:hyperlink>
        </w:p>
        <w:p w14:paraId="322DB009" w14:textId="1C9CFD83" w:rsidR="002D5C82" w:rsidRDefault="002D5C82">
          <w:pPr>
            <w:pStyle w:val="TOC2"/>
            <w:tabs>
              <w:tab w:val="right" w:leader="dot" w:pos="9016"/>
            </w:tabs>
            <w:rPr>
              <w:rFonts w:eastAsiaTheme="minorEastAsia"/>
              <w:noProof/>
              <w:sz w:val="24"/>
              <w:szCs w:val="24"/>
              <w:lang w:eastAsia="en-GB"/>
            </w:rPr>
          </w:pPr>
          <w:hyperlink w:anchor="_Toc214299359" w:history="1">
            <w:r w:rsidRPr="005E2EE3">
              <w:rPr>
                <w:rStyle w:val="Hyperlink"/>
                <w:noProof/>
              </w:rPr>
              <w:t>4.3 Step Two: Strategic Stockholding and Buffer Inventory</w:t>
            </w:r>
            <w:r>
              <w:rPr>
                <w:noProof/>
                <w:webHidden/>
              </w:rPr>
              <w:tab/>
            </w:r>
            <w:r>
              <w:rPr>
                <w:noProof/>
                <w:webHidden/>
              </w:rPr>
              <w:fldChar w:fldCharType="begin"/>
            </w:r>
            <w:r>
              <w:rPr>
                <w:noProof/>
                <w:webHidden/>
              </w:rPr>
              <w:instrText xml:space="preserve"> PAGEREF _Toc214299359 \h </w:instrText>
            </w:r>
            <w:r>
              <w:rPr>
                <w:noProof/>
                <w:webHidden/>
              </w:rPr>
            </w:r>
            <w:r>
              <w:rPr>
                <w:noProof/>
                <w:webHidden/>
              </w:rPr>
              <w:fldChar w:fldCharType="separate"/>
            </w:r>
            <w:r w:rsidR="000A7B00">
              <w:rPr>
                <w:noProof/>
                <w:webHidden/>
              </w:rPr>
              <w:t>59</w:t>
            </w:r>
            <w:r>
              <w:rPr>
                <w:noProof/>
                <w:webHidden/>
              </w:rPr>
              <w:fldChar w:fldCharType="end"/>
            </w:r>
          </w:hyperlink>
        </w:p>
        <w:p w14:paraId="1DC72608" w14:textId="646958FB" w:rsidR="002D5C82" w:rsidRDefault="002D5C82">
          <w:pPr>
            <w:pStyle w:val="TOC2"/>
            <w:tabs>
              <w:tab w:val="right" w:leader="dot" w:pos="9016"/>
            </w:tabs>
            <w:rPr>
              <w:rFonts w:eastAsiaTheme="minorEastAsia"/>
              <w:noProof/>
              <w:sz w:val="24"/>
              <w:szCs w:val="24"/>
              <w:lang w:eastAsia="en-GB"/>
            </w:rPr>
          </w:pPr>
          <w:hyperlink w:anchor="_Toc214299360" w:history="1">
            <w:r w:rsidRPr="005E2EE3">
              <w:rPr>
                <w:rStyle w:val="Hyperlink"/>
                <w:noProof/>
              </w:rPr>
              <w:t>4.4 Step Three: Enhanced Visibility and Digital Tracking</w:t>
            </w:r>
            <w:r>
              <w:rPr>
                <w:noProof/>
                <w:webHidden/>
              </w:rPr>
              <w:tab/>
            </w:r>
            <w:r>
              <w:rPr>
                <w:noProof/>
                <w:webHidden/>
              </w:rPr>
              <w:fldChar w:fldCharType="begin"/>
            </w:r>
            <w:r>
              <w:rPr>
                <w:noProof/>
                <w:webHidden/>
              </w:rPr>
              <w:instrText xml:space="preserve"> PAGEREF _Toc214299360 \h </w:instrText>
            </w:r>
            <w:r>
              <w:rPr>
                <w:noProof/>
                <w:webHidden/>
              </w:rPr>
            </w:r>
            <w:r>
              <w:rPr>
                <w:noProof/>
                <w:webHidden/>
              </w:rPr>
              <w:fldChar w:fldCharType="separate"/>
            </w:r>
            <w:r w:rsidR="000A7B00">
              <w:rPr>
                <w:noProof/>
                <w:webHidden/>
              </w:rPr>
              <w:t>60</w:t>
            </w:r>
            <w:r>
              <w:rPr>
                <w:noProof/>
                <w:webHidden/>
              </w:rPr>
              <w:fldChar w:fldCharType="end"/>
            </w:r>
          </w:hyperlink>
        </w:p>
        <w:p w14:paraId="7C0AD5CC" w14:textId="44470AF7" w:rsidR="002D5C82" w:rsidRDefault="002D5C82">
          <w:pPr>
            <w:pStyle w:val="TOC2"/>
            <w:tabs>
              <w:tab w:val="right" w:leader="dot" w:pos="9016"/>
            </w:tabs>
            <w:rPr>
              <w:rFonts w:eastAsiaTheme="minorEastAsia"/>
              <w:noProof/>
              <w:sz w:val="24"/>
              <w:szCs w:val="24"/>
              <w:lang w:eastAsia="en-GB"/>
            </w:rPr>
          </w:pPr>
          <w:hyperlink w:anchor="_Toc214299361" w:history="1">
            <w:r w:rsidRPr="005E2EE3">
              <w:rPr>
                <w:rStyle w:val="Hyperlink"/>
                <w:noProof/>
              </w:rPr>
              <w:t>4.5 Step Four: Supplier Collaboration</w:t>
            </w:r>
            <w:r>
              <w:rPr>
                <w:noProof/>
                <w:webHidden/>
              </w:rPr>
              <w:tab/>
            </w:r>
            <w:r>
              <w:rPr>
                <w:noProof/>
                <w:webHidden/>
              </w:rPr>
              <w:fldChar w:fldCharType="begin"/>
            </w:r>
            <w:r>
              <w:rPr>
                <w:noProof/>
                <w:webHidden/>
              </w:rPr>
              <w:instrText xml:space="preserve"> PAGEREF _Toc214299361 \h </w:instrText>
            </w:r>
            <w:r>
              <w:rPr>
                <w:noProof/>
                <w:webHidden/>
              </w:rPr>
            </w:r>
            <w:r>
              <w:rPr>
                <w:noProof/>
                <w:webHidden/>
              </w:rPr>
              <w:fldChar w:fldCharType="separate"/>
            </w:r>
            <w:r w:rsidR="000A7B00">
              <w:rPr>
                <w:noProof/>
                <w:webHidden/>
              </w:rPr>
              <w:t>62</w:t>
            </w:r>
            <w:r>
              <w:rPr>
                <w:noProof/>
                <w:webHidden/>
              </w:rPr>
              <w:fldChar w:fldCharType="end"/>
            </w:r>
          </w:hyperlink>
        </w:p>
        <w:p w14:paraId="46B8EB98" w14:textId="66C3DAE2" w:rsidR="002D5C82" w:rsidRDefault="002D5C82">
          <w:pPr>
            <w:pStyle w:val="TOC2"/>
            <w:tabs>
              <w:tab w:val="right" w:leader="dot" w:pos="9016"/>
            </w:tabs>
            <w:rPr>
              <w:rFonts w:eastAsiaTheme="minorEastAsia"/>
              <w:noProof/>
              <w:sz w:val="24"/>
              <w:szCs w:val="24"/>
              <w:lang w:eastAsia="en-GB"/>
            </w:rPr>
          </w:pPr>
          <w:hyperlink w:anchor="_Toc214299362" w:history="1">
            <w:r w:rsidRPr="005E2EE3">
              <w:rPr>
                <w:rStyle w:val="Hyperlink"/>
                <w:noProof/>
              </w:rPr>
              <w:t>4.6 Step Five: Documentation and Customs Compliance</w:t>
            </w:r>
            <w:r>
              <w:rPr>
                <w:noProof/>
                <w:webHidden/>
              </w:rPr>
              <w:tab/>
            </w:r>
            <w:r>
              <w:rPr>
                <w:noProof/>
                <w:webHidden/>
              </w:rPr>
              <w:fldChar w:fldCharType="begin"/>
            </w:r>
            <w:r>
              <w:rPr>
                <w:noProof/>
                <w:webHidden/>
              </w:rPr>
              <w:instrText xml:space="preserve"> PAGEREF _Toc214299362 \h </w:instrText>
            </w:r>
            <w:r>
              <w:rPr>
                <w:noProof/>
                <w:webHidden/>
              </w:rPr>
            </w:r>
            <w:r>
              <w:rPr>
                <w:noProof/>
                <w:webHidden/>
              </w:rPr>
              <w:fldChar w:fldCharType="separate"/>
            </w:r>
            <w:r w:rsidR="000A7B00">
              <w:rPr>
                <w:noProof/>
                <w:webHidden/>
              </w:rPr>
              <w:t>64</w:t>
            </w:r>
            <w:r>
              <w:rPr>
                <w:noProof/>
                <w:webHidden/>
              </w:rPr>
              <w:fldChar w:fldCharType="end"/>
            </w:r>
          </w:hyperlink>
        </w:p>
        <w:p w14:paraId="3F33030E" w14:textId="59B50115" w:rsidR="002D5C82" w:rsidRDefault="002D5C82">
          <w:pPr>
            <w:pStyle w:val="TOC2"/>
            <w:tabs>
              <w:tab w:val="right" w:leader="dot" w:pos="9016"/>
            </w:tabs>
            <w:rPr>
              <w:rFonts w:eastAsiaTheme="minorEastAsia"/>
              <w:noProof/>
              <w:sz w:val="24"/>
              <w:szCs w:val="24"/>
              <w:lang w:eastAsia="en-GB"/>
            </w:rPr>
          </w:pPr>
          <w:hyperlink w:anchor="_Toc214299363" w:history="1">
            <w:r w:rsidRPr="005E2EE3">
              <w:rPr>
                <w:rStyle w:val="Hyperlink"/>
                <w:noProof/>
              </w:rPr>
              <w:t>4.7 Step Six: Sustainability Strategy</w:t>
            </w:r>
            <w:r>
              <w:rPr>
                <w:noProof/>
                <w:webHidden/>
              </w:rPr>
              <w:tab/>
            </w:r>
            <w:r>
              <w:rPr>
                <w:noProof/>
                <w:webHidden/>
              </w:rPr>
              <w:fldChar w:fldCharType="begin"/>
            </w:r>
            <w:r>
              <w:rPr>
                <w:noProof/>
                <w:webHidden/>
              </w:rPr>
              <w:instrText xml:space="preserve"> PAGEREF _Toc214299363 \h </w:instrText>
            </w:r>
            <w:r>
              <w:rPr>
                <w:noProof/>
                <w:webHidden/>
              </w:rPr>
            </w:r>
            <w:r>
              <w:rPr>
                <w:noProof/>
                <w:webHidden/>
              </w:rPr>
              <w:fldChar w:fldCharType="separate"/>
            </w:r>
            <w:r w:rsidR="000A7B00">
              <w:rPr>
                <w:noProof/>
                <w:webHidden/>
              </w:rPr>
              <w:t>66</w:t>
            </w:r>
            <w:r>
              <w:rPr>
                <w:noProof/>
                <w:webHidden/>
              </w:rPr>
              <w:fldChar w:fldCharType="end"/>
            </w:r>
          </w:hyperlink>
        </w:p>
        <w:p w14:paraId="23090BF3" w14:textId="20278A52" w:rsidR="002D5C82" w:rsidRDefault="002D5C82">
          <w:pPr>
            <w:pStyle w:val="TOC1"/>
            <w:tabs>
              <w:tab w:val="left" w:pos="480"/>
              <w:tab w:val="right" w:leader="dot" w:pos="9016"/>
            </w:tabs>
            <w:rPr>
              <w:rFonts w:eastAsiaTheme="minorEastAsia"/>
              <w:noProof/>
              <w:sz w:val="24"/>
              <w:szCs w:val="24"/>
              <w:lang w:eastAsia="en-GB"/>
            </w:rPr>
          </w:pPr>
          <w:hyperlink w:anchor="_Toc214299364" w:history="1">
            <w:r w:rsidRPr="005E2EE3">
              <w:rPr>
                <w:rStyle w:val="Hyperlink"/>
                <w:noProof/>
              </w:rPr>
              <w:t>5.</w:t>
            </w:r>
            <w:r>
              <w:rPr>
                <w:rFonts w:eastAsiaTheme="minorEastAsia"/>
                <w:noProof/>
                <w:sz w:val="24"/>
                <w:szCs w:val="24"/>
                <w:lang w:eastAsia="en-GB"/>
              </w:rPr>
              <w:tab/>
            </w:r>
            <w:r w:rsidRPr="005E2EE3">
              <w:rPr>
                <w:rStyle w:val="Hyperlink"/>
                <w:noProof/>
              </w:rPr>
              <w:t>Conclusion</w:t>
            </w:r>
            <w:r>
              <w:rPr>
                <w:noProof/>
                <w:webHidden/>
              </w:rPr>
              <w:tab/>
            </w:r>
            <w:r>
              <w:rPr>
                <w:noProof/>
                <w:webHidden/>
              </w:rPr>
              <w:fldChar w:fldCharType="begin"/>
            </w:r>
            <w:r>
              <w:rPr>
                <w:noProof/>
                <w:webHidden/>
              </w:rPr>
              <w:instrText xml:space="preserve"> PAGEREF _Toc214299364 \h </w:instrText>
            </w:r>
            <w:r>
              <w:rPr>
                <w:noProof/>
                <w:webHidden/>
              </w:rPr>
            </w:r>
            <w:r>
              <w:rPr>
                <w:noProof/>
                <w:webHidden/>
              </w:rPr>
              <w:fldChar w:fldCharType="separate"/>
            </w:r>
            <w:r w:rsidR="000A7B00">
              <w:rPr>
                <w:noProof/>
                <w:webHidden/>
              </w:rPr>
              <w:t>68</w:t>
            </w:r>
            <w:r>
              <w:rPr>
                <w:noProof/>
                <w:webHidden/>
              </w:rPr>
              <w:fldChar w:fldCharType="end"/>
            </w:r>
          </w:hyperlink>
        </w:p>
        <w:p w14:paraId="2D1C3747" w14:textId="134F2FB5" w:rsidR="002D5C82" w:rsidRDefault="002D5C82">
          <w:pPr>
            <w:pStyle w:val="TOC1"/>
            <w:tabs>
              <w:tab w:val="right" w:leader="dot" w:pos="9016"/>
            </w:tabs>
            <w:rPr>
              <w:rFonts w:eastAsiaTheme="minorEastAsia"/>
              <w:noProof/>
              <w:sz w:val="24"/>
              <w:szCs w:val="24"/>
              <w:lang w:eastAsia="en-GB"/>
            </w:rPr>
          </w:pPr>
          <w:hyperlink w:anchor="_Toc214299365" w:history="1">
            <w:r w:rsidRPr="005E2EE3">
              <w:rPr>
                <w:rStyle w:val="Hyperlink"/>
                <w:noProof/>
              </w:rPr>
              <w:t>References</w:t>
            </w:r>
            <w:r>
              <w:rPr>
                <w:noProof/>
                <w:webHidden/>
              </w:rPr>
              <w:tab/>
            </w:r>
            <w:r>
              <w:rPr>
                <w:noProof/>
                <w:webHidden/>
              </w:rPr>
              <w:fldChar w:fldCharType="begin"/>
            </w:r>
            <w:r>
              <w:rPr>
                <w:noProof/>
                <w:webHidden/>
              </w:rPr>
              <w:instrText xml:space="preserve"> PAGEREF _Toc214299365 \h </w:instrText>
            </w:r>
            <w:r>
              <w:rPr>
                <w:noProof/>
                <w:webHidden/>
              </w:rPr>
            </w:r>
            <w:r>
              <w:rPr>
                <w:noProof/>
                <w:webHidden/>
              </w:rPr>
              <w:fldChar w:fldCharType="separate"/>
            </w:r>
            <w:r w:rsidR="000A7B00">
              <w:rPr>
                <w:noProof/>
                <w:webHidden/>
              </w:rPr>
              <w:t>69</w:t>
            </w:r>
            <w:r>
              <w:rPr>
                <w:noProof/>
                <w:webHidden/>
              </w:rPr>
              <w:fldChar w:fldCharType="end"/>
            </w:r>
          </w:hyperlink>
        </w:p>
        <w:p w14:paraId="3AF637EF" w14:textId="2E817C01" w:rsidR="002923D4" w:rsidRDefault="002923D4" w:rsidP="00A76EFE">
          <w:pPr>
            <w:spacing w:line="360" w:lineRule="auto"/>
          </w:pPr>
          <w:r>
            <w:rPr>
              <w:b/>
              <w:bCs/>
            </w:rPr>
            <w:fldChar w:fldCharType="end"/>
          </w:r>
        </w:p>
      </w:sdtContent>
    </w:sdt>
    <w:p w14:paraId="45F4AB0A" w14:textId="77777777" w:rsidR="003B0E9C" w:rsidRDefault="003B0E9C" w:rsidP="003B0E9C">
      <w:pPr>
        <w:pStyle w:val="Heading1"/>
      </w:pPr>
      <w:bookmarkStart w:id="0" w:name="_Toc214299342"/>
      <w:r>
        <w:t>Table of Figures</w:t>
      </w:r>
      <w:bookmarkEnd w:id="0"/>
    </w:p>
    <w:p w14:paraId="73CEB3B6" w14:textId="7C5096B7" w:rsidR="00947C79" w:rsidRDefault="003B0E9C">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4254282" w:history="1">
        <w:r w:rsidR="00947C79" w:rsidRPr="00705A6E">
          <w:rPr>
            <w:rStyle w:val="Hyperlink"/>
            <w:noProof/>
          </w:rPr>
          <w:t>Figure 1 – Internal Supply Chain Map</w:t>
        </w:r>
        <w:r w:rsidR="00947C79">
          <w:rPr>
            <w:noProof/>
            <w:webHidden/>
          </w:rPr>
          <w:tab/>
        </w:r>
        <w:r w:rsidR="00947C79">
          <w:rPr>
            <w:noProof/>
            <w:webHidden/>
          </w:rPr>
          <w:fldChar w:fldCharType="begin"/>
        </w:r>
        <w:r w:rsidR="00947C79">
          <w:rPr>
            <w:noProof/>
            <w:webHidden/>
          </w:rPr>
          <w:instrText xml:space="preserve"> PAGEREF _Toc214254282 \h </w:instrText>
        </w:r>
        <w:r w:rsidR="00947C79">
          <w:rPr>
            <w:noProof/>
            <w:webHidden/>
          </w:rPr>
        </w:r>
        <w:r w:rsidR="00947C79">
          <w:rPr>
            <w:noProof/>
            <w:webHidden/>
          </w:rPr>
          <w:fldChar w:fldCharType="separate"/>
        </w:r>
        <w:r w:rsidR="000A7B00">
          <w:rPr>
            <w:noProof/>
            <w:webHidden/>
          </w:rPr>
          <w:t>7</w:t>
        </w:r>
        <w:r w:rsidR="00947C79">
          <w:rPr>
            <w:noProof/>
            <w:webHidden/>
          </w:rPr>
          <w:fldChar w:fldCharType="end"/>
        </w:r>
      </w:hyperlink>
    </w:p>
    <w:p w14:paraId="5BD13EC8" w14:textId="7C1036D5" w:rsidR="00947C79" w:rsidRDefault="00947C79">
      <w:pPr>
        <w:pStyle w:val="TableofFigures"/>
        <w:tabs>
          <w:tab w:val="right" w:leader="dot" w:pos="9016"/>
        </w:tabs>
        <w:rPr>
          <w:rFonts w:eastAsiaTheme="minorEastAsia"/>
          <w:noProof/>
          <w:sz w:val="24"/>
          <w:szCs w:val="24"/>
          <w:lang w:eastAsia="en-GB"/>
        </w:rPr>
      </w:pPr>
      <w:hyperlink w:anchor="_Toc214254283" w:history="1">
        <w:r w:rsidRPr="00705A6E">
          <w:rPr>
            <w:rStyle w:val="Hyperlink"/>
            <w:noProof/>
          </w:rPr>
          <w:t>Figure 2 - DB Cargo Rail (Cargo, 2025)</w:t>
        </w:r>
        <w:r>
          <w:rPr>
            <w:noProof/>
            <w:webHidden/>
          </w:rPr>
          <w:tab/>
        </w:r>
        <w:r>
          <w:rPr>
            <w:noProof/>
            <w:webHidden/>
          </w:rPr>
          <w:fldChar w:fldCharType="begin"/>
        </w:r>
        <w:r>
          <w:rPr>
            <w:noProof/>
            <w:webHidden/>
          </w:rPr>
          <w:instrText xml:space="preserve"> PAGEREF _Toc214254283 \h </w:instrText>
        </w:r>
        <w:r>
          <w:rPr>
            <w:noProof/>
            <w:webHidden/>
          </w:rPr>
        </w:r>
        <w:r>
          <w:rPr>
            <w:noProof/>
            <w:webHidden/>
          </w:rPr>
          <w:fldChar w:fldCharType="separate"/>
        </w:r>
        <w:r w:rsidR="000A7B00">
          <w:rPr>
            <w:noProof/>
            <w:webHidden/>
          </w:rPr>
          <w:t>55</w:t>
        </w:r>
        <w:r>
          <w:rPr>
            <w:noProof/>
            <w:webHidden/>
          </w:rPr>
          <w:fldChar w:fldCharType="end"/>
        </w:r>
      </w:hyperlink>
    </w:p>
    <w:p w14:paraId="05626DA1" w14:textId="510B7E26" w:rsidR="00947C79" w:rsidRDefault="00947C79">
      <w:pPr>
        <w:pStyle w:val="TableofFigures"/>
        <w:tabs>
          <w:tab w:val="right" w:leader="dot" w:pos="9016"/>
        </w:tabs>
        <w:rPr>
          <w:rFonts w:eastAsiaTheme="minorEastAsia"/>
          <w:noProof/>
          <w:sz w:val="24"/>
          <w:szCs w:val="24"/>
          <w:lang w:eastAsia="en-GB"/>
        </w:rPr>
      </w:pPr>
      <w:hyperlink w:anchor="_Toc214254284" w:history="1">
        <w:r w:rsidRPr="00705A6E">
          <w:rPr>
            <w:rStyle w:val="Hyperlink"/>
            <w:noProof/>
          </w:rPr>
          <w:t>Figure 3 - Renseas Factory after fire damage (Kelion, 2021)</w:t>
        </w:r>
        <w:r>
          <w:rPr>
            <w:noProof/>
            <w:webHidden/>
          </w:rPr>
          <w:tab/>
        </w:r>
        <w:r>
          <w:rPr>
            <w:noProof/>
            <w:webHidden/>
          </w:rPr>
          <w:fldChar w:fldCharType="begin"/>
        </w:r>
        <w:r>
          <w:rPr>
            <w:noProof/>
            <w:webHidden/>
          </w:rPr>
          <w:instrText xml:space="preserve"> PAGEREF _Toc214254284 \h </w:instrText>
        </w:r>
        <w:r>
          <w:rPr>
            <w:noProof/>
            <w:webHidden/>
          </w:rPr>
        </w:r>
        <w:r>
          <w:rPr>
            <w:noProof/>
            <w:webHidden/>
          </w:rPr>
          <w:fldChar w:fldCharType="separate"/>
        </w:r>
        <w:r w:rsidR="000A7B00">
          <w:rPr>
            <w:noProof/>
            <w:webHidden/>
          </w:rPr>
          <w:t>57</w:t>
        </w:r>
        <w:r>
          <w:rPr>
            <w:noProof/>
            <w:webHidden/>
          </w:rPr>
          <w:fldChar w:fldCharType="end"/>
        </w:r>
      </w:hyperlink>
    </w:p>
    <w:p w14:paraId="2C146D57" w14:textId="4FEF2B5D" w:rsidR="00947C79" w:rsidRDefault="00947C79">
      <w:pPr>
        <w:pStyle w:val="TableofFigures"/>
        <w:tabs>
          <w:tab w:val="right" w:leader="dot" w:pos="9016"/>
        </w:tabs>
        <w:rPr>
          <w:rFonts w:eastAsiaTheme="minorEastAsia"/>
          <w:noProof/>
          <w:sz w:val="24"/>
          <w:szCs w:val="24"/>
          <w:lang w:eastAsia="en-GB"/>
        </w:rPr>
      </w:pPr>
      <w:hyperlink w:anchor="_Toc214254285" w:history="1">
        <w:r w:rsidRPr="00705A6E">
          <w:rPr>
            <w:rStyle w:val="Hyperlink"/>
            <w:noProof/>
          </w:rPr>
          <w:t>Figure 4 - Supply Chain Visibility (Verma, 2025)</w:t>
        </w:r>
        <w:r>
          <w:rPr>
            <w:noProof/>
            <w:webHidden/>
          </w:rPr>
          <w:tab/>
        </w:r>
        <w:r>
          <w:rPr>
            <w:noProof/>
            <w:webHidden/>
          </w:rPr>
          <w:fldChar w:fldCharType="begin"/>
        </w:r>
        <w:r>
          <w:rPr>
            <w:noProof/>
            <w:webHidden/>
          </w:rPr>
          <w:instrText xml:space="preserve"> PAGEREF _Toc214254285 \h </w:instrText>
        </w:r>
        <w:r>
          <w:rPr>
            <w:noProof/>
            <w:webHidden/>
          </w:rPr>
        </w:r>
        <w:r>
          <w:rPr>
            <w:noProof/>
            <w:webHidden/>
          </w:rPr>
          <w:fldChar w:fldCharType="separate"/>
        </w:r>
        <w:r w:rsidR="000A7B00">
          <w:rPr>
            <w:noProof/>
            <w:webHidden/>
          </w:rPr>
          <w:t>60</w:t>
        </w:r>
        <w:r>
          <w:rPr>
            <w:noProof/>
            <w:webHidden/>
          </w:rPr>
          <w:fldChar w:fldCharType="end"/>
        </w:r>
      </w:hyperlink>
    </w:p>
    <w:p w14:paraId="26B370C2" w14:textId="5B7C4E6C" w:rsidR="00947C79" w:rsidRDefault="00947C79">
      <w:pPr>
        <w:pStyle w:val="TableofFigures"/>
        <w:tabs>
          <w:tab w:val="right" w:leader="dot" w:pos="9016"/>
        </w:tabs>
        <w:rPr>
          <w:rFonts w:eastAsiaTheme="minorEastAsia"/>
          <w:noProof/>
          <w:sz w:val="24"/>
          <w:szCs w:val="24"/>
          <w:lang w:eastAsia="en-GB"/>
        </w:rPr>
      </w:pPr>
      <w:hyperlink w:anchor="_Toc214254286" w:history="1">
        <w:r w:rsidRPr="00705A6E">
          <w:rPr>
            <w:rStyle w:val="Hyperlink"/>
            <w:noProof/>
          </w:rPr>
          <w:t>Figure 5 - Advantages of Digital Customs (Embracing Digital Transformation: The Role of Technology in Modernising Customs Clearance Processes, 2025)</w:t>
        </w:r>
        <w:r>
          <w:rPr>
            <w:noProof/>
            <w:webHidden/>
          </w:rPr>
          <w:tab/>
        </w:r>
        <w:r>
          <w:rPr>
            <w:noProof/>
            <w:webHidden/>
          </w:rPr>
          <w:fldChar w:fldCharType="begin"/>
        </w:r>
        <w:r>
          <w:rPr>
            <w:noProof/>
            <w:webHidden/>
          </w:rPr>
          <w:instrText xml:space="preserve"> PAGEREF _Toc214254286 \h </w:instrText>
        </w:r>
        <w:r>
          <w:rPr>
            <w:noProof/>
            <w:webHidden/>
          </w:rPr>
        </w:r>
        <w:r>
          <w:rPr>
            <w:noProof/>
            <w:webHidden/>
          </w:rPr>
          <w:fldChar w:fldCharType="separate"/>
        </w:r>
        <w:r w:rsidR="000A7B00">
          <w:rPr>
            <w:noProof/>
            <w:webHidden/>
          </w:rPr>
          <w:t>64</w:t>
        </w:r>
        <w:r>
          <w:rPr>
            <w:noProof/>
            <w:webHidden/>
          </w:rPr>
          <w:fldChar w:fldCharType="end"/>
        </w:r>
      </w:hyperlink>
    </w:p>
    <w:p w14:paraId="4CF98743" w14:textId="0FCDD154" w:rsidR="00947C79" w:rsidRDefault="00947C79">
      <w:pPr>
        <w:pStyle w:val="TableofFigures"/>
        <w:tabs>
          <w:tab w:val="right" w:leader="dot" w:pos="9016"/>
        </w:tabs>
        <w:rPr>
          <w:rFonts w:eastAsiaTheme="minorEastAsia"/>
          <w:noProof/>
          <w:sz w:val="24"/>
          <w:szCs w:val="24"/>
          <w:lang w:eastAsia="en-GB"/>
        </w:rPr>
      </w:pPr>
      <w:hyperlink w:anchor="_Toc214254287" w:history="1">
        <w:r w:rsidRPr="00705A6E">
          <w:rPr>
            <w:rStyle w:val="Hyperlink"/>
            <w:noProof/>
          </w:rPr>
          <w:t>Figure 6 – Percentages of Green Steel from various business’s (Jaber, 2025)</w:t>
        </w:r>
        <w:r>
          <w:rPr>
            <w:noProof/>
            <w:webHidden/>
          </w:rPr>
          <w:tab/>
        </w:r>
        <w:r>
          <w:rPr>
            <w:noProof/>
            <w:webHidden/>
          </w:rPr>
          <w:fldChar w:fldCharType="begin"/>
        </w:r>
        <w:r>
          <w:rPr>
            <w:noProof/>
            <w:webHidden/>
          </w:rPr>
          <w:instrText xml:space="preserve"> PAGEREF _Toc214254287 \h </w:instrText>
        </w:r>
        <w:r>
          <w:rPr>
            <w:noProof/>
            <w:webHidden/>
          </w:rPr>
        </w:r>
        <w:r>
          <w:rPr>
            <w:noProof/>
            <w:webHidden/>
          </w:rPr>
          <w:fldChar w:fldCharType="separate"/>
        </w:r>
        <w:r w:rsidR="000A7B00">
          <w:rPr>
            <w:noProof/>
            <w:webHidden/>
          </w:rPr>
          <w:t>66</w:t>
        </w:r>
        <w:r>
          <w:rPr>
            <w:noProof/>
            <w:webHidden/>
          </w:rPr>
          <w:fldChar w:fldCharType="end"/>
        </w:r>
      </w:hyperlink>
    </w:p>
    <w:p w14:paraId="6E49C311" w14:textId="1BC6E571" w:rsidR="003B0E9C" w:rsidRDefault="003B0E9C" w:rsidP="003B0E9C">
      <w:r>
        <w:fldChar w:fldCharType="end"/>
      </w:r>
      <w:r>
        <w:br w:type="page"/>
      </w:r>
    </w:p>
    <w:p w14:paraId="733CA06E" w14:textId="7711507D" w:rsidR="007F0FD6" w:rsidRDefault="007F0FD6" w:rsidP="007F0FD6">
      <w:pPr>
        <w:pStyle w:val="Heading1"/>
      </w:pPr>
      <w:bookmarkStart w:id="1" w:name="_Toc214299343"/>
      <w:r>
        <w:lastRenderedPageBreak/>
        <w:t>Table of Tables</w:t>
      </w:r>
      <w:bookmarkEnd w:id="1"/>
    </w:p>
    <w:p w14:paraId="06E8260C" w14:textId="7FB6D916" w:rsidR="002D5C82" w:rsidRDefault="007F0FD6">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14299333" w:history="1">
        <w:r w:rsidR="002D5C82" w:rsidRPr="00B75048">
          <w:rPr>
            <w:rStyle w:val="Hyperlink"/>
            <w:noProof/>
          </w:rPr>
          <w:t>Table 1 - Failure Mode &amp; Effects Analysis on Imported Slab</w:t>
        </w:r>
        <w:r w:rsidR="002D5C82">
          <w:rPr>
            <w:noProof/>
            <w:webHidden/>
          </w:rPr>
          <w:tab/>
        </w:r>
        <w:r w:rsidR="002D5C82">
          <w:rPr>
            <w:noProof/>
            <w:webHidden/>
          </w:rPr>
          <w:fldChar w:fldCharType="begin"/>
        </w:r>
        <w:r w:rsidR="002D5C82">
          <w:rPr>
            <w:noProof/>
            <w:webHidden/>
          </w:rPr>
          <w:instrText xml:space="preserve"> PAGEREF _Toc214299333 \h </w:instrText>
        </w:r>
        <w:r w:rsidR="002D5C82">
          <w:rPr>
            <w:noProof/>
            <w:webHidden/>
          </w:rPr>
        </w:r>
        <w:r w:rsidR="002D5C82">
          <w:rPr>
            <w:noProof/>
            <w:webHidden/>
          </w:rPr>
          <w:fldChar w:fldCharType="separate"/>
        </w:r>
        <w:r w:rsidR="000A7B00">
          <w:rPr>
            <w:noProof/>
            <w:webHidden/>
          </w:rPr>
          <w:t>49</w:t>
        </w:r>
        <w:r w:rsidR="002D5C82">
          <w:rPr>
            <w:noProof/>
            <w:webHidden/>
          </w:rPr>
          <w:fldChar w:fldCharType="end"/>
        </w:r>
      </w:hyperlink>
    </w:p>
    <w:p w14:paraId="13084020" w14:textId="08BF5976" w:rsidR="002D5C82" w:rsidRDefault="002D5C82">
      <w:pPr>
        <w:pStyle w:val="TableofFigures"/>
        <w:tabs>
          <w:tab w:val="right" w:leader="dot" w:pos="9016"/>
        </w:tabs>
        <w:rPr>
          <w:rFonts w:eastAsiaTheme="minorEastAsia"/>
          <w:noProof/>
          <w:sz w:val="24"/>
          <w:szCs w:val="24"/>
          <w:lang w:eastAsia="en-GB"/>
        </w:rPr>
      </w:pPr>
      <w:hyperlink w:anchor="_Toc214299334" w:history="1">
        <w:r w:rsidRPr="00B75048">
          <w:rPr>
            <w:rStyle w:val="Hyperlink"/>
            <w:noProof/>
          </w:rPr>
          <w:t>Table 2 - Severity Matrix for the FMEA</w:t>
        </w:r>
        <w:r>
          <w:rPr>
            <w:noProof/>
            <w:webHidden/>
          </w:rPr>
          <w:tab/>
        </w:r>
        <w:r>
          <w:rPr>
            <w:noProof/>
            <w:webHidden/>
          </w:rPr>
          <w:fldChar w:fldCharType="begin"/>
        </w:r>
        <w:r>
          <w:rPr>
            <w:noProof/>
            <w:webHidden/>
          </w:rPr>
          <w:instrText xml:space="preserve"> PAGEREF _Toc214299334 \h </w:instrText>
        </w:r>
        <w:r>
          <w:rPr>
            <w:noProof/>
            <w:webHidden/>
          </w:rPr>
        </w:r>
        <w:r>
          <w:rPr>
            <w:noProof/>
            <w:webHidden/>
          </w:rPr>
          <w:fldChar w:fldCharType="separate"/>
        </w:r>
        <w:r w:rsidR="000A7B00">
          <w:rPr>
            <w:noProof/>
            <w:webHidden/>
          </w:rPr>
          <w:t>51</w:t>
        </w:r>
        <w:r>
          <w:rPr>
            <w:noProof/>
            <w:webHidden/>
          </w:rPr>
          <w:fldChar w:fldCharType="end"/>
        </w:r>
      </w:hyperlink>
    </w:p>
    <w:p w14:paraId="3E90D415" w14:textId="026213FB" w:rsidR="002D5C82" w:rsidRDefault="002D5C82">
      <w:pPr>
        <w:pStyle w:val="TableofFigures"/>
        <w:tabs>
          <w:tab w:val="right" w:leader="dot" w:pos="9016"/>
        </w:tabs>
        <w:rPr>
          <w:rFonts w:eastAsiaTheme="minorEastAsia"/>
          <w:noProof/>
          <w:sz w:val="24"/>
          <w:szCs w:val="24"/>
          <w:lang w:eastAsia="en-GB"/>
        </w:rPr>
      </w:pPr>
      <w:hyperlink w:anchor="_Toc214299335" w:history="1">
        <w:r w:rsidRPr="00B75048">
          <w:rPr>
            <w:rStyle w:val="Hyperlink"/>
            <w:noProof/>
          </w:rPr>
          <w:t>Table 3 - Occurrence Matrix for FMEA</w:t>
        </w:r>
        <w:r>
          <w:rPr>
            <w:noProof/>
            <w:webHidden/>
          </w:rPr>
          <w:tab/>
        </w:r>
        <w:r>
          <w:rPr>
            <w:noProof/>
            <w:webHidden/>
          </w:rPr>
          <w:fldChar w:fldCharType="begin"/>
        </w:r>
        <w:r>
          <w:rPr>
            <w:noProof/>
            <w:webHidden/>
          </w:rPr>
          <w:instrText xml:space="preserve"> PAGEREF _Toc214299335 \h </w:instrText>
        </w:r>
        <w:r>
          <w:rPr>
            <w:noProof/>
            <w:webHidden/>
          </w:rPr>
        </w:r>
        <w:r>
          <w:rPr>
            <w:noProof/>
            <w:webHidden/>
          </w:rPr>
          <w:fldChar w:fldCharType="separate"/>
        </w:r>
        <w:r w:rsidR="000A7B00">
          <w:rPr>
            <w:noProof/>
            <w:webHidden/>
          </w:rPr>
          <w:t>51</w:t>
        </w:r>
        <w:r>
          <w:rPr>
            <w:noProof/>
            <w:webHidden/>
          </w:rPr>
          <w:fldChar w:fldCharType="end"/>
        </w:r>
      </w:hyperlink>
    </w:p>
    <w:p w14:paraId="5524F5E8" w14:textId="67218DE8" w:rsidR="002D5C82" w:rsidRDefault="002D5C82">
      <w:pPr>
        <w:pStyle w:val="TableofFigures"/>
        <w:tabs>
          <w:tab w:val="right" w:leader="dot" w:pos="9016"/>
        </w:tabs>
        <w:rPr>
          <w:rFonts w:eastAsiaTheme="minorEastAsia"/>
          <w:noProof/>
          <w:sz w:val="24"/>
          <w:szCs w:val="24"/>
          <w:lang w:eastAsia="en-GB"/>
        </w:rPr>
      </w:pPr>
      <w:hyperlink w:anchor="_Toc214299336" w:history="1">
        <w:r w:rsidRPr="00B75048">
          <w:rPr>
            <w:rStyle w:val="Hyperlink"/>
            <w:noProof/>
          </w:rPr>
          <w:t>Table 4 - Detection Matrix for FMEA</w:t>
        </w:r>
        <w:r>
          <w:rPr>
            <w:noProof/>
            <w:webHidden/>
          </w:rPr>
          <w:tab/>
        </w:r>
        <w:r>
          <w:rPr>
            <w:noProof/>
            <w:webHidden/>
          </w:rPr>
          <w:fldChar w:fldCharType="begin"/>
        </w:r>
        <w:r>
          <w:rPr>
            <w:noProof/>
            <w:webHidden/>
          </w:rPr>
          <w:instrText xml:space="preserve"> PAGEREF _Toc214299336 \h </w:instrText>
        </w:r>
        <w:r>
          <w:rPr>
            <w:noProof/>
            <w:webHidden/>
          </w:rPr>
        </w:r>
        <w:r>
          <w:rPr>
            <w:noProof/>
            <w:webHidden/>
          </w:rPr>
          <w:fldChar w:fldCharType="separate"/>
        </w:r>
        <w:r w:rsidR="000A7B00">
          <w:rPr>
            <w:noProof/>
            <w:webHidden/>
          </w:rPr>
          <w:t>52</w:t>
        </w:r>
        <w:r>
          <w:rPr>
            <w:noProof/>
            <w:webHidden/>
          </w:rPr>
          <w:fldChar w:fldCharType="end"/>
        </w:r>
      </w:hyperlink>
    </w:p>
    <w:p w14:paraId="38DFDE97" w14:textId="05FA9BAD" w:rsidR="007F0FD6" w:rsidRDefault="007F0FD6" w:rsidP="007F0FD6">
      <w:r>
        <w:fldChar w:fldCharType="end"/>
      </w:r>
    </w:p>
    <w:p w14:paraId="6F4E27BC" w14:textId="48398B63" w:rsidR="007F0FD6" w:rsidRDefault="007F0FD6" w:rsidP="007F0FD6">
      <w:pPr>
        <w:pStyle w:val="Heading1"/>
      </w:pPr>
      <w:bookmarkStart w:id="2" w:name="_Toc214299344"/>
      <w:r>
        <w:t>Table of Equations</w:t>
      </w:r>
      <w:bookmarkEnd w:id="2"/>
    </w:p>
    <w:p w14:paraId="482D6BFC" w14:textId="7EBAF07D" w:rsidR="007F0FD6" w:rsidRDefault="007F0FD6">
      <w:pPr>
        <w:pStyle w:val="TableofFigures"/>
        <w:tabs>
          <w:tab w:val="right" w:leader="dot" w:pos="9016"/>
        </w:tabs>
        <w:rPr>
          <w:rFonts w:eastAsiaTheme="minorEastAsia"/>
          <w:noProof/>
          <w:sz w:val="24"/>
          <w:szCs w:val="24"/>
          <w:lang w:eastAsia="en-GB"/>
        </w:rPr>
      </w:pPr>
      <w:r>
        <w:fldChar w:fldCharType="begin"/>
      </w:r>
      <w:r>
        <w:instrText xml:space="preserve"> TOC \h \z \c "Equation" </w:instrText>
      </w:r>
      <w:r>
        <w:fldChar w:fldCharType="separate"/>
      </w:r>
      <w:hyperlink w:anchor="_Toc213483612" w:history="1">
        <w:r w:rsidRPr="00D90349">
          <w:rPr>
            <w:rStyle w:val="Hyperlink"/>
            <w:noProof/>
          </w:rPr>
          <w:t>Equation 1 - RPN Calculation</w:t>
        </w:r>
        <w:r>
          <w:rPr>
            <w:noProof/>
            <w:webHidden/>
          </w:rPr>
          <w:tab/>
        </w:r>
        <w:r>
          <w:rPr>
            <w:noProof/>
            <w:webHidden/>
          </w:rPr>
          <w:fldChar w:fldCharType="begin"/>
        </w:r>
        <w:r>
          <w:rPr>
            <w:noProof/>
            <w:webHidden/>
          </w:rPr>
          <w:instrText xml:space="preserve"> PAGEREF _Toc213483612 \h </w:instrText>
        </w:r>
        <w:r>
          <w:rPr>
            <w:noProof/>
            <w:webHidden/>
          </w:rPr>
        </w:r>
        <w:r>
          <w:rPr>
            <w:noProof/>
            <w:webHidden/>
          </w:rPr>
          <w:fldChar w:fldCharType="separate"/>
        </w:r>
        <w:r w:rsidR="000A7B00">
          <w:rPr>
            <w:noProof/>
            <w:webHidden/>
          </w:rPr>
          <w:t>9</w:t>
        </w:r>
        <w:r>
          <w:rPr>
            <w:noProof/>
            <w:webHidden/>
          </w:rPr>
          <w:fldChar w:fldCharType="end"/>
        </w:r>
      </w:hyperlink>
    </w:p>
    <w:p w14:paraId="10F46E09" w14:textId="11947FB0" w:rsidR="002923D4" w:rsidRDefault="007F0FD6" w:rsidP="007F0FD6">
      <w:r>
        <w:fldChar w:fldCharType="end"/>
      </w:r>
      <w:r w:rsidR="002923D4">
        <w:br w:type="page"/>
      </w:r>
    </w:p>
    <w:p w14:paraId="026BE590" w14:textId="5560E00B" w:rsidR="00B02FE5" w:rsidRPr="00857608" w:rsidRDefault="00B02FE5" w:rsidP="00A92003">
      <w:pPr>
        <w:pStyle w:val="Heading1"/>
        <w:spacing w:line="360" w:lineRule="auto"/>
        <w:rPr>
          <w:lang w:val="en-US"/>
        </w:rPr>
      </w:pPr>
      <w:bookmarkStart w:id="3" w:name="_Toc214299345"/>
      <w:r w:rsidRPr="00857608">
        <w:rPr>
          <w:lang w:val="en-US"/>
        </w:rPr>
        <w:lastRenderedPageBreak/>
        <w:t>Abstract</w:t>
      </w:r>
      <w:bookmarkEnd w:id="3"/>
    </w:p>
    <w:p w14:paraId="6A692C96" w14:textId="3FC5FFF4" w:rsidR="00A86F1F" w:rsidRPr="00936C4E" w:rsidRDefault="00A86F1F" w:rsidP="001755A2">
      <w:pPr>
        <w:spacing w:line="360" w:lineRule="auto"/>
        <w:jc w:val="both"/>
        <w:rPr>
          <w:rFonts w:cstheme="minorHAnsi"/>
          <w:bCs/>
          <w:sz w:val="24"/>
          <w:szCs w:val="24"/>
        </w:rPr>
      </w:pPr>
      <w:r w:rsidRPr="00936C4E">
        <w:rPr>
          <w:rFonts w:cstheme="minorHAnsi"/>
          <w:bCs/>
          <w:sz w:val="24"/>
          <w:szCs w:val="24"/>
        </w:rPr>
        <w:t>The study investigates the international supply chain for steel slab imports to Tata Steel Port Talbot during the company’s transition to Electric Arc Furnace (EAF) steelmaking. Employing Failure Mode and Effects Analysis (FMEA), the research identified and prioritised critical risks such as supplier shortages, shipping delays, and documentation errors, through the calculation of Risk Priority Numbers (RPNs). The findings indicate that several significant threats to production continuity exist. To strengthen resilience, six mitigation strategies were proposed, including supplier diversification, digital tracking, and strategic stockholding. Overall, the analysis underscores the importance of proactive risk management in ensuring a stable and sustainable slab supply throughout Tata Steel’s decarbonisation process.</w:t>
      </w:r>
    </w:p>
    <w:p w14:paraId="051BF242" w14:textId="77777777" w:rsidR="008B6EB8" w:rsidRDefault="008B6EB8" w:rsidP="00AF0188">
      <w:pPr>
        <w:jc w:val="both"/>
        <w:rPr>
          <w:rFonts w:cstheme="minorHAnsi"/>
          <w:bCs/>
          <w:sz w:val="24"/>
          <w:szCs w:val="24"/>
          <w:u w:val="single"/>
        </w:rPr>
      </w:pPr>
    </w:p>
    <w:p w14:paraId="7CBA4EF1" w14:textId="77777777" w:rsidR="008B6EB8" w:rsidRDefault="008B6EB8" w:rsidP="00AF0188">
      <w:pPr>
        <w:jc w:val="both"/>
        <w:rPr>
          <w:rFonts w:cstheme="minorHAnsi"/>
          <w:bCs/>
          <w:sz w:val="24"/>
          <w:szCs w:val="24"/>
          <w:u w:val="single"/>
        </w:rPr>
      </w:pPr>
    </w:p>
    <w:p w14:paraId="7246639E" w14:textId="77777777" w:rsidR="008B6EB8" w:rsidRDefault="008B6EB8" w:rsidP="00AF0188">
      <w:pPr>
        <w:jc w:val="both"/>
        <w:rPr>
          <w:rFonts w:cstheme="minorHAnsi"/>
          <w:bCs/>
          <w:sz w:val="24"/>
          <w:szCs w:val="24"/>
          <w:u w:val="single"/>
        </w:rPr>
      </w:pPr>
    </w:p>
    <w:p w14:paraId="769F1857" w14:textId="77777777" w:rsidR="008B6EB8" w:rsidRDefault="008B6EB8" w:rsidP="00AF0188">
      <w:pPr>
        <w:jc w:val="both"/>
        <w:rPr>
          <w:rFonts w:cstheme="minorHAnsi"/>
          <w:bCs/>
          <w:sz w:val="24"/>
          <w:szCs w:val="24"/>
          <w:u w:val="single"/>
        </w:rPr>
      </w:pPr>
    </w:p>
    <w:p w14:paraId="519308C5" w14:textId="77777777" w:rsidR="008B6EB8" w:rsidRDefault="008B6EB8" w:rsidP="00AF0188">
      <w:pPr>
        <w:jc w:val="both"/>
        <w:rPr>
          <w:rFonts w:cstheme="minorHAnsi"/>
          <w:bCs/>
          <w:sz w:val="24"/>
          <w:szCs w:val="24"/>
          <w:u w:val="single"/>
        </w:rPr>
      </w:pPr>
    </w:p>
    <w:p w14:paraId="54FCD210" w14:textId="77777777" w:rsidR="008B6EB8" w:rsidRDefault="008B6EB8" w:rsidP="00AF0188">
      <w:pPr>
        <w:jc w:val="both"/>
        <w:rPr>
          <w:rFonts w:cstheme="minorHAnsi"/>
          <w:bCs/>
          <w:sz w:val="24"/>
          <w:szCs w:val="24"/>
          <w:u w:val="single"/>
        </w:rPr>
      </w:pPr>
    </w:p>
    <w:p w14:paraId="4668D13D" w14:textId="77777777" w:rsidR="008B6EB8" w:rsidRDefault="008B6EB8" w:rsidP="00AF0188">
      <w:pPr>
        <w:jc w:val="both"/>
        <w:rPr>
          <w:rFonts w:cstheme="minorHAnsi"/>
          <w:bCs/>
          <w:sz w:val="24"/>
          <w:szCs w:val="24"/>
          <w:u w:val="single"/>
        </w:rPr>
      </w:pPr>
    </w:p>
    <w:p w14:paraId="34D36DA1" w14:textId="77777777" w:rsidR="008B6EB8" w:rsidRDefault="008B6EB8" w:rsidP="00AF0188">
      <w:pPr>
        <w:jc w:val="both"/>
        <w:rPr>
          <w:rFonts w:cstheme="minorHAnsi"/>
          <w:bCs/>
          <w:sz w:val="24"/>
          <w:szCs w:val="24"/>
          <w:u w:val="single"/>
        </w:rPr>
      </w:pPr>
    </w:p>
    <w:p w14:paraId="1E0989C7" w14:textId="77777777" w:rsidR="00A92003" w:rsidRDefault="00A92003" w:rsidP="00AF0188">
      <w:pPr>
        <w:jc w:val="both"/>
        <w:rPr>
          <w:rFonts w:cstheme="minorHAnsi"/>
          <w:bCs/>
          <w:sz w:val="24"/>
          <w:szCs w:val="24"/>
          <w:u w:val="single"/>
        </w:rPr>
      </w:pPr>
    </w:p>
    <w:p w14:paraId="1FABBCDD" w14:textId="77777777" w:rsidR="00A92003" w:rsidRDefault="00A92003" w:rsidP="00AF0188">
      <w:pPr>
        <w:jc w:val="both"/>
        <w:rPr>
          <w:rFonts w:cstheme="minorHAnsi"/>
          <w:bCs/>
          <w:sz w:val="24"/>
          <w:szCs w:val="24"/>
          <w:u w:val="single"/>
        </w:rPr>
      </w:pPr>
    </w:p>
    <w:p w14:paraId="028ECB68" w14:textId="77777777" w:rsidR="00A92003" w:rsidRDefault="00A92003" w:rsidP="00AF0188">
      <w:pPr>
        <w:jc w:val="both"/>
        <w:rPr>
          <w:rFonts w:cstheme="minorHAnsi"/>
          <w:bCs/>
          <w:sz w:val="24"/>
          <w:szCs w:val="24"/>
          <w:u w:val="single"/>
        </w:rPr>
      </w:pPr>
    </w:p>
    <w:p w14:paraId="1227A168" w14:textId="77777777" w:rsidR="00A92003" w:rsidRDefault="00A92003" w:rsidP="00AF0188">
      <w:pPr>
        <w:jc w:val="both"/>
        <w:rPr>
          <w:rFonts w:cstheme="minorHAnsi"/>
          <w:bCs/>
          <w:sz w:val="24"/>
          <w:szCs w:val="24"/>
          <w:u w:val="single"/>
        </w:rPr>
      </w:pPr>
    </w:p>
    <w:p w14:paraId="1624B322" w14:textId="77777777" w:rsidR="00A92003" w:rsidRDefault="00A92003" w:rsidP="00AF0188">
      <w:pPr>
        <w:jc w:val="both"/>
        <w:rPr>
          <w:rFonts w:cstheme="minorHAnsi"/>
          <w:bCs/>
          <w:sz w:val="24"/>
          <w:szCs w:val="24"/>
          <w:u w:val="single"/>
        </w:rPr>
      </w:pPr>
    </w:p>
    <w:p w14:paraId="21F76B0B" w14:textId="77777777" w:rsidR="00A92003" w:rsidRDefault="00A92003" w:rsidP="00AF0188">
      <w:pPr>
        <w:jc w:val="both"/>
        <w:rPr>
          <w:rFonts w:cstheme="minorHAnsi"/>
          <w:bCs/>
          <w:sz w:val="24"/>
          <w:szCs w:val="24"/>
          <w:u w:val="single"/>
        </w:rPr>
      </w:pPr>
    </w:p>
    <w:p w14:paraId="2F821C89" w14:textId="77777777" w:rsidR="00A92003" w:rsidRDefault="00A92003" w:rsidP="00AF0188">
      <w:pPr>
        <w:jc w:val="both"/>
        <w:rPr>
          <w:rFonts w:cstheme="minorHAnsi"/>
          <w:bCs/>
          <w:sz w:val="24"/>
          <w:szCs w:val="24"/>
          <w:u w:val="single"/>
        </w:rPr>
      </w:pPr>
    </w:p>
    <w:p w14:paraId="74F6941D" w14:textId="77777777" w:rsidR="00A92003" w:rsidRDefault="00A92003" w:rsidP="00AF0188">
      <w:pPr>
        <w:jc w:val="both"/>
        <w:rPr>
          <w:rFonts w:cstheme="minorHAnsi"/>
          <w:bCs/>
          <w:sz w:val="24"/>
          <w:szCs w:val="24"/>
          <w:u w:val="single"/>
        </w:rPr>
      </w:pPr>
    </w:p>
    <w:p w14:paraId="4EBFE391" w14:textId="77777777" w:rsidR="003103CA" w:rsidRDefault="003103CA" w:rsidP="00AF0188">
      <w:pPr>
        <w:jc w:val="both"/>
        <w:rPr>
          <w:rFonts w:cstheme="minorHAnsi"/>
          <w:bCs/>
          <w:sz w:val="24"/>
          <w:szCs w:val="24"/>
          <w:u w:val="single"/>
        </w:rPr>
      </w:pPr>
    </w:p>
    <w:p w14:paraId="099A534E" w14:textId="7E519ADA" w:rsidR="00AF0188" w:rsidRDefault="00A75DD4" w:rsidP="00A92003">
      <w:pPr>
        <w:pStyle w:val="Heading1"/>
        <w:numPr>
          <w:ilvl w:val="0"/>
          <w:numId w:val="2"/>
        </w:numPr>
        <w:spacing w:line="360" w:lineRule="auto"/>
      </w:pPr>
      <w:bookmarkStart w:id="4" w:name="_Toc214299346"/>
      <w:r w:rsidRPr="00A75DD4">
        <w:lastRenderedPageBreak/>
        <w:t>Introduction</w:t>
      </w:r>
      <w:bookmarkEnd w:id="4"/>
    </w:p>
    <w:p w14:paraId="6D55223A" w14:textId="77777777" w:rsidR="003103CA" w:rsidRPr="00936C4E" w:rsidRDefault="003103CA" w:rsidP="00A92003">
      <w:pPr>
        <w:spacing w:line="360" w:lineRule="auto"/>
        <w:jc w:val="both"/>
        <w:rPr>
          <w:rFonts w:cstheme="minorHAnsi"/>
          <w:bCs/>
          <w:sz w:val="24"/>
          <w:szCs w:val="24"/>
        </w:rPr>
      </w:pPr>
      <w:r w:rsidRPr="00936C4E">
        <w:rPr>
          <w:rFonts w:cstheme="minorHAnsi"/>
          <w:bCs/>
          <w:sz w:val="24"/>
          <w:szCs w:val="24"/>
        </w:rPr>
        <w:t>Global steel supply chains are characterised by a high degree of complexity and are exposed to multiple risks arising from geopolitical tensions, transportation disruptions, and variability in the availability of raw materials.</w:t>
      </w:r>
    </w:p>
    <w:p w14:paraId="5C778223" w14:textId="77777777" w:rsidR="003103CA" w:rsidRPr="00936C4E" w:rsidRDefault="003103CA" w:rsidP="00A92003">
      <w:pPr>
        <w:spacing w:line="360" w:lineRule="auto"/>
        <w:jc w:val="both"/>
        <w:rPr>
          <w:rFonts w:cstheme="minorHAnsi"/>
          <w:bCs/>
          <w:sz w:val="24"/>
          <w:szCs w:val="24"/>
        </w:rPr>
      </w:pPr>
      <w:r w:rsidRPr="00936C4E">
        <w:rPr>
          <w:rFonts w:cstheme="minorHAnsi"/>
          <w:bCs/>
          <w:sz w:val="24"/>
          <w:szCs w:val="24"/>
        </w:rPr>
        <w:t>Tata Steel Port Talbot is undergoing a major transformation from conventional blast furnace operations to Electric Arc Furnace (EAF) technology as part of its wider decarbonisation strategy. Throughout this transitional phase, the importation of steel slabs remains critical for sustaining production levels and ensuring the uninterrupted supply of material to downstream customers.</w:t>
      </w:r>
    </w:p>
    <w:p w14:paraId="0E0B654C" w14:textId="21BB9F13" w:rsidR="003103CA" w:rsidRPr="00936C4E" w:rsidRDefault="003103CA" w:rsidP="00A92003">
      <w:pPr>
        <w:spacing w:line="360" w:lineRule="auto"/>
        <w:jc w:val="both"/>
        <w:rPr>
          <w:rFonts w:cstheme="minorHAnsi"/>
          <w:bCs/>
          <w:sz w:val="24"/>
          <w:szCs w:val="24"/>
        </w:rPr>
      </w:pPr>
      <w:r w:rsidRPr="00936C4E">
        <w:rPr>
          <w:rFonts w:cstheme="minorHAnsi"/>
          <w:bCs/>
          <w:sz w:val="24"/>
          <w:szCs w:val="24"/>
        </w:rPr>
        <w:t>This investigation examines the international supply chain for steel slab imports to Port Talbot, with a focus on how potential disruptions may influence operational continuity and customer delivery performance. A Failure Mode and Effects Analysis (FMEA) is applied to identify and prioritise supply chain risks through the evaluation of their causes, consequences, and severity.</w:t>
      </w:r>
    </w:p>
    <w:p w14:paraId="57F2DCA3" w14:textId="009EA742" w:rsidR="008B6EB8" w:rsidRPr="00936C4E" w:rsidRDefault="00786E22" w:rsidP="00786E22">
      <w:pPr>
        <w:spacing w:line="360" w:lineRule="auto"/>
        <w:jc w:val="both"/>
        <w:rPr>
          <w:rFonts w:cstheme="minorHAnsi"/>
          <w:bCs/>
          <w:sz w:val="24"/>
          <w:szCs w:val="24"/>
          <w:u w:val="single"/>
        </w:rPr>
      </w:pPr>
      <w:r w:rsidRPr="00936C4E">
        <w:rPr>
          <w:rFonts w:cstheme="minorHAnsi"/>
          <w:bCs/>
          <w:sz w:val="24"/>
          <w:szCs w:val="24"/>
        </w:rPr>
        <w:t>The research sets out six strategic measures designed to enhance supply chain resilience, thereby ensuring the consistent delivery of high-quality slabs and reinforcing Tata Steel’s long-term sustainability and competitiveness within the global steel industry.</w:t>
      </w:r>
    </w:p>
    <w:p w14:paraId="7F2A2726" w14:textId="77777777" w:rsidR="008B6EB8" w:rsidRDefault="008B6EB8" w:rsidP="00A75DD4">
      <w:pPr>
        <w:jc w:val="both"/>
        <w:rPr>
          <w:rFonts w:cstheme="minorHAnsi"/>
          <w:bCs/>
          <w:sz w:val="24"/>
          <w:szCs w:val="24"/>
          <w:u w:val="single"/>
        </w:rPr>
      </w:pPr>
    </w:p>
    <w:p w14:paraId="482FDB93" w14:textId="77777777" w:rsidR="008B6EB8" w:rsidRDefault="008B6EB8" w:rsidP="00A75DD4">
      <w:pPr>
        <w:jc w:val="both"/>
        <w:rPr>
          <w:rFonts w:cstheme="minorHAnsi"/>
          <w:bCs/>
          <w:sz w:val="24"/>
          <w:szCs w:val="24"/>
          <w:u w:val="single"/>
        </w:rPr>
      </w:pPr>
    </w:p>
    <w:p w14:paraId="0D105930" w14:textId="77777777" w:rsidR="008B6EB8" w:rsidRDefault="008B6EB8" w:rsidP="00A75DD4">
      <w:pPr>
        <w:jc w:val="both"/>
        <w:rPr>
          <w:rFonts w:cstheme="minorHAnsi"/>
          <w:bCs/>
          <w:sz w:val="24"/>
          <w:szCs w:val="24"/>
          <w:u w:val="single"/>
        </w:rPr>
      </w:pPr>
    </w:p>
    <w:p w14:paraId="20F1CA7E" w14:textId="77777777" w:rsidR="008B6EB8" w:rsidRDefault="008B6EB8" w:rsidP="00A75DD4">
      <w:pPr>
        <w:jc w:val="both"/>
        <w:rPr>
          <w:rFonts w:cstheme="minorHAnsi"/>
          <w:bCs/>
          <w:sz w:val="24"/>
          <w:szCs w:val="24"/>
          <w:u w:val="single"/>
        </w:rPr>
      </w:pPr>
    </w:p>
    <w:p w14:paraId="3BD521DA" w14:textId="77777777" w:rsidR="008B6EB8" w:rsidRDefault="008B6EB8" w:rsidP="00A75DD4">
      <w:pPr>
        <w:jc w:val="both"/>
        <w:rPr>
          <w:rFonts w:cstheme="minorHAnsi"/>
          <w:bCs/>
          <w:sz w:val="24"/>
          <w:szCs w:val="24"/>
          <w:u w:val="single"/>
        </w:rPr>
      </w:pPr>
    </w:p>
    <w:p w14:paraId="309BD2D6" w14:textId="77777777" w:rsidR="008B6EB8" w:rsidRDefault="008B6EB8" w:rsidP="00A75DD4">
      <w:pPr>
        <w:jc w:val="both"/>
        <w:rPr>
          <w:rFonts w:cstheme="minorHAnsi"/>
          <w:bCs/>
          <w:sz w:val="24"/>
          <w:szCs w:val="24"/>
          <w:u w:val="single"/>
        </w:rPr>
      </w:pPr>
    </w:p>
    <w:p w14:paraId="077369E9" w14:textId="77777777" w:rsidR="008B6EB8" w:rsidRDefault="008B6EB8" w:rsidP="00A75DD4">
      <w:pPr>
        <w:jc w:val="both"/>
        <w:rPr>
          <w:rFonts w:cstheme="minorHAnsi"/>
          <w:bCs/>
          <w:sz w:val="24"/>
          <w:szCs w:val="24"/>
          <w:u w:val="single"/>
        </w:rPr>
      </w:pPr>
    </w:p>
    <w:p w14:paraId="6F762AA4" w14:textId="77777777" w:rsidR="008B6EB8" w:rsidRDefault="008B6EB8" w:rsidP="00A75DD4">
      <w:pPr>
        <w:jc w:val="both"/>
        <w:rPr>
          <w:rFonts w:cstheme="minorHAnsi"/>
          <w:bCs/>
          <w:sz w:val="24"/>
          <w:szCs w:val="24"/>
          <w:u w:val="single"/>
        </w:rPr>
      </w:pPr>
    </w:p>
    <w:p w14:paraId="1E42D524" w14:textId="77777777" w:rsidR="008B6EB8" w:rsidRDefault="008B6EB8" w:rsidP="00A75DD4">
      <w:pPr>
        <w:jc w:val="both"/>
        <w:rPr>
          <w:rFonts w:cstheme="minorHAnsi"/>
          <w:bCs/>
          <w:sz w:val="24"/>
          <w:szCs w:val="24"/>
          <w:u w:val="single"/>
        </w:rPr>
      </w:pPr>
    </w:p>
    <w:p w14:paraId="0C734D60" w14:textId="77777777" w:rsidR="00AC7586" w:rsidRDefault="00AC7586" w:rsidP="00A75DD4">
      <w:pPr>
        <w:jc w:val="both"/>
        <w:rPr>
          <w:rFonts w:cstheme="minorHAnsi"/>
          <w:bCs/>
          <w:sz w:val="24"/>
          <w:szCs w:val="24"/>
          <w:u w:val="single"/>
        </w:rPr>
      </w:pPr>
    </w:p>
    <w:p w14:paraId="5AC8BCE0" w14:textId="36133FB2" w:rsidR="00AC7586" w:rsidRDefault="00AC7586" w:rsidP="00AC7586">
      <w:pPr>
        <w:rPr>
          <w:rFonts w:cstheme="minorHAnsi"/>
          <w:bCs/>
          <w:sz w:val="24"/>
          <w:szCs w:val="24"/>
          <w:u w:val="single"/>
        </w:rPr>
      </w:pPr>
    </w:p>
    <w:p w14:paraId="622DDE4D" w14:textId="2E1D94C1" w:rsidR="00AC7586" w:rsidRDefault="00AC7586" w:rsidP="00AC7586">
      <w:pPr>
        <w:pStyle w:val="Heading1"/>
        <w:numPr>
          <w:ilvl w:val="0"/>
          <w:numId w:val="5"/>
        </w:numPr>
      </w:pPr>
      <w:bookmarkStart w:id="5" w:name="_Toc214299347"/>
      <w:r>
        <w:lastRenderedPageBreak/>
        <w:t>Supply Chain Mapping</w:t>
      </w:r>
      <w:bookmarkEnd w:id="5"/>
    </w:p>
    <w:p w14:paraId="2D31F2A5" w14:textId="7EB7A40C" w:rsidR="00497D81" w:rsidRPr="00936C4E" w:rsidRDefault="00D56A55" w:rsidP="00D56A55">
      <w:pPr>
        <w:spacing w:before="100" w:beforeAutospacing="1" w:after="100" w:afterAutospacing="1" w:line="360" w:lineRule="auto"/>
        <w:jc w:val="both"/>
        <w:rPr>
          <w:rFonts w:eastAsia="Times New Roman" w:cstheme="minorHAnsi"/>
          <w:kern w:val="0"/>
          <w:sz w:val="24"/>
          <w:szCs w:val="24"/>
          <w:lang w:eastAsia="en-GB"/>
          <w14:ligatures w14:val="none"/>
        </w:rPr>
      </w:pPr>
      <w:r w:rsidRPr="00936C4E">
        <w:rPr>
          <w:rFonts w:eastAsia="Times New Roman" w:cstheme="minorHAnsi"/>
          <w:kern w:val="0"/>
          <w:sz w:val="24"/>
          <w:szCs w:val="24"/>
          <w:lang w:eastAsia="en-GB"/>
          <w14:ligatures w14:val="none"/>
        </w:rPr>
        <w:t>Supply chain mapping is a systematic process used to visually illustrate the key stages, entities, and flows involved in the movement of goods and services, from the sourcing of raw materials to the delivery of the final product to the customer</w:t>
      </w:r>
      <w:r w:rsidR="00497D81" w:rsidRPr="00936C4E">
        <w:rPr>
          <w:rFonts w:eastAsia="Times New Roman" w:cstheme="minorHAnsi"/>
          <w:kern w:val="0"/>
          <w:sz w:val="24"/>
          <w:szCs w:val="24"/>
          <w:lang w:eastAsia="en-GB"/>
          <w14:ligatures w14:val="none"/>
        </w:rPr>
        <w:t xml:space="preserve"> </w:t>
      </w:r>
      <w:sdt>
        <w:sdtPr>
          <w:rPr>
            <w:rFonts w:eastAsia="Times New Roman" w:cstheme="minorHAnsi"/>
            <w:kern w:val="0"/>
            <w:sz w:val="24"/>
            <w:szCs w:val="24"/>
            <w:lang w:eastAsia="en-GB"/>
            <w14:ligatures w14:val="none"/>
          </w:rPr>
          <w:id w:val="-409233915"/>
          <w:citation/>
        </w:sdtPr>
        <w:sdtContent>
          <w:r w:rsidR="00497D81" w:rsidRPr="00936C4E">
            <w:rPr>
              <w:rFonts w:eastAsia="Times New Roman" w:cstheme="minorHAnsi"/>
              <w:kern w:val="0"/>
              <w:sz w:val="24"/>
              <w:szCs w:val="24"/>
              <w:lang w:eastAsia="en-GB"/>
              <w14:ligatures w14:val="none"/>
            </w:rPr>
            <w:fldChar w:fldCharType="begin"/>
          </w:r>
          <w:r w:rsidR="00497D81" w:rsidRPr="00936C4E">
            <w:rPr>
              <w:rFonts w:eastAsia="Times New Roman" w:cstheme="minorHAnsi"/>
              <w:kern w:val="0"/>
              <w:sz w:val="24"/>
              <w:szCs w:val="24"/>
              <w:lang w:val="en-US" w:eastAsia="en-GB"/>
              <w14:ligatures w14:val="none"/>
            </w:rPr>
            <w:instrText xml:space="preserve"> CITATION Doy23 \l 1033 </w:instrText>
          </w:r>
          <w:r w:rsidR="00497D81" w:rsidRPr="00936C4E">
            <w:rPr>
              <w:rFonts w:eastAsia="Times New Roman" w:cstheme="minorHAnsi"/>
              <w:kern w:val="0"/>
              <w:sz w:val="24"/>
              <w:szCs w:val="24"/>
              <w:lang w:eastAsia="en-GB"/>
              <w14:ligatures w14:val="none"/>
            </w:rPr>
            <w:fldChar w:fldCharType="separate"/>
          </w:r>
          <w:r w:rsidR="00497D81" w:rsidRPr="00936C4E">
            <w:rPr>
              <w:rFonts w:eastAsia="Times New Roman" w:cstheme="minorHAnsi"/>
              <w:noProof/>
              <w:kern w:val="0"/>
              <w:sz w:val="24"/>
              <w:szCs w:val="24"/>
              <w:lang w:val="en-US" w:eastAsia="en-GB"/>
              <w14:ligatures w14:val="none"/>
            </w:rPr>
            <w:t>(Doyle, 2023)</w:t>
          </w:r>
          <w:r w:rsidR="00497D81" w:rsidRPr="00936C4E">
            <w:rPr>
              <w:rFonts w:eastAsia="Times New Roman" w:cstheme="minorHAnsi"/>
              <w:kern w:val="0"/>
              <w:sz w:val="24"/>
              <w:szCs w:val="24"/>
              <w:lang w:eastAsia="en-GB"/>
              <w14:ligatures w14:val="none"/>
            </w:rPr>
            <w:fldChar w:fldCharType="end"/>
          </w:r>
        </w:sdtContent>
      </w:sdt>
      <w:r w:rsidRPr="00936C4E">
        <w:rPr>
          <w:rFonts w:eastAsia="Times New Roman" w:cstheme="minorHAnsi"/>
          <w:kern w:val="0"/>
          <w:sz w:val="24"/>
          <w:szCs w:val="24"/>
          <w:lang w:eastAsia="en-GB"/>
          <w14:ligatures w14:val="none"/>
        </w:rPr>
        <w:t>. It provides a comprehensive overview of the interconnections between suppliers, manufacturers, logistics providers, and distributors, as well as the flow of information and finances throughout the network</w:t>
      </w:r>
      <w:r w:rsidR="00143818" w:rsidRPr="00936C4E">
        <w:rPr>
          <w:rFonts w:eastAsia="Times New Roman" w:cstheme="minorHAnsi"/>
          <w:kern w:val="0"/>
          <w:sz w:val="24"/>
          <w:szCs w:val="24"/>
          <w:lang w:eastAsia="en-GB"/>
          <w14:ligatures w14:val="none"/>
        </w:rPr>
        <w:t xml:space="preserve"> </w:t>
      </w:r>
      <w:sdt>
        <w:sdtPr>
          <w:rPr>
            <w:rFonts w:eastAsia="Times New Roman" w:cstheme="minorHAnsi"/>
            <w:kern w:val="0"/>
            <w:sz w:val="24"/>
            <w:szCs w:val="24"/>
            <w:lang w:eastAsia="en-GB"/>
            <w14:ligatures w14:val="none"/>
          </w:rPr>
          <w:id w:val="-1551756822"/>
          <w:citation/>
        </w:sdtPr>
        <w:sdtContent>
          <w:r w:rsidR="00143818" w:rsidRPr="00936C4E">
            <w:rPr>
              <w:rFonts w:eastAsia="Times New Roman" w:cstheme="minorHAnsi"/>
              <w:kern w:val="0"/>
              <w:sz w:val="24"/>
              <w:szCs w:val="24"/>
              <w:lang w:eastAsia="en-GB"/>
              <w14:ligatures w14:val="none"/>
            </w:rPr>
            <w:fldChar w:fldCharType="begin"/>
          </w:r>
          <w:r w:rsidR="00143818" w:rsidRPr="00936C4E">
            <w:rPr>
              <w:rFonts w:eastAsia="Times New Roman" w:cstheme="minorHAnsi"/>
              <w:kern w:val="0"/>
              <w:sz w:val="24"/>
              <w:szCs w:val="24"/>
              <w:lang w:val="en-US" w:eastAsia="en-GB"/>
              <w14:ligatures w14:val="none"/>
            </w:rPr>
            <w:instrText xml:space="preserve"> CITATION Tom24 \l 1033 </w:instrText>
          </w:r>
          <w:r w:rsidR="00143818" w:rsidRPr="00936C4E">
            <w:rPr>
              <w:rFonts w:eastAsia="Times New Roman" w:cstheme="minorHAnsi"/>
              <w:kern w:val="0"/>
              <w:sz w:val="24"/>
              <w:szCs w:val="24"/>
              <w:lang w:eastAsia="en-GB"/>
              <w14:ligatures w14:val="none"/>
            </w:rPr>
            <w:fldChar w:fldCharType="separate"/>
          </w:r>
          <w:r w:rsidR="00143818" w:rsidRPr="00936C4E">
            <w:rPr>
              <w:rFonts w:eastAsia="Times New Roman" w:cstheme="minorHAnsi"/>
              <w:noProof/>
              <w:kern w:val="0"/>
              <w:sz w:val="24"/>
              <w:szCs w:val="24"/>
              <w:lang w:val="en-US" w:eastAsia="en-GB"/>
              <w14:ligatures w14:val="none"/>
            </w:rPr>
            <w:t>(K, 2024)</w:t>
          </w:r>
          <w:r w:rsidR="00143818" w:rsidRPr="00936C4E">
            <w:rPr>
              <w:rFonts w:eastAsia="Times New Roman" w:cstheme="minorHAnsi"/>
              <w:kern w:val="0"/>
              <w:sz w:val="24"/>
              <w:szCs w:val="24"/>
              <w:lang w:eastAsia="en-GB"/>
              <w14:ligatures w14:val="none"/>
            </w:rPr>
            <w:fldChar w:fldCharType="end"/>
          </w:r>
        </w:sdtContent>
      </w:sdt>
      <w:r w:rsidRPr="00936C4E">
        <w:rPr>
          <w:rFonts w:eastAsia="Times New Roman" w:cstheme="minorHAnsi"/>
          <w:kern w:val="0"/>
          <w:sz w:val="24"/>
          <w:szCs w:val="24"/>
          <w:lang w:eastAsia="en-GB"/>
          <w14:ligatures w14:val="none"/>
        </w:rPr>
        <w:t xml:space="preserve">. </w:t>
      </w:r>
    </w:p>
    <w:p w14:paraId="2B638137" w14:textId="056EDF6F" w:rsidR="00143818" w:rsidRPr="00936C4E" w:rsidRDefault="00D56A55" w:rsidP="00D56A55">
      <w:pPr>
        <w:spacing w:before="100" w:beforeAutospacing="1" w:after="100" w:afterAutospacing="1" w:line="360" w:lineRule="auto"/>
        <w:jc w:val="both"/>
        <w:rPr>
          <w:rFonts w:eastAsia="Times New Roman" w:cstheme="minorHAnsi"/>
          <w:kern w:val="0"/>
          <w:sz w:val="24"/>
          <w:szCs w:val="24"/>
          <w:lang w:eastAsia="en-GB"/>
          <w14:ligatures w14:val="none"/>
        </w:rPr>
      </w:pPr>
      <w:r w:rsidRPr="00936C4E">
        <w:rPr>
          <w:rFonts w:eastAsia="Times New Roman" w:cstheme="minorHAnsi"/>
          <w:kern w:val="0"/>
          <w:sz w:val="24"/>
          <w:szCs w:val="24"/>
          <w:lang w:eastAsia="en-GB"/>
          <w14:ligatures w14:val="none"/>
        </w:rPr>
        <w:t>The use of supply chain mapping offers several advantages, including enhanced visibility across the entire supply chain, enabling the identification of potential vulnerabilities, inefficiencies, and critical dependencies</w:t>
      </w:r>
      <w:r w:rsidR="00143818" w:rsidRPr="00936C4E">
        <w:rPr>
          <w:rFonts w:eastAsia="Times New Roman" w:cstheme="minorHAnsi"/>
          <w:kern w:val="0"/>
          <w:sz w:val="24"/>
          <w:szCs w:val="24"/>
          <w:lang w:eastAsia="en-GB"/>
          <w14:ligatures w14:val="none"/>
        </w:rPr>
        <w:t xml:space="preserve"> </w:t>
      </w:r>
      <w:sdt>
        <w:sdtPr>
          <w:rPr>
            <w:rFonts w:eastAsia="Times New Roman" w:cstheme="minorHAnsi"/>
            <w:kern w:val="0"/>
            <w:sz w:val="24"/>
            <w:szCs w:val="24"/>
            <w:lang w:eastAsia="en-GB"/>
            <w14:ligatures w14:val="none"/>
          </w:rPr>
          <w:id w:val="-2057685925"/>
          <w:citation/>
        </w:sdtPr>
        <w:sdtContent>
          <w:r w:rsidR="00143818" w:rsidRPr="00936C4E">
            <w:rPr>
              <w:rFonts w:eastAsia="Times New Roman" w:cstheme="minorHAnsi"/>
              <w:kern w:val="0"/>
              <w:sz w:val="24"/>
              <w:szCs w:val="24"/>
              <w:lang w:eastAsia="en-GB"/>
              <w14:ligatures w14:val="none"/>
            </w:rPr>
            <w:fldChar w:fldCharType="begin"/>
          </w:r>
          <w:r w:rsidR="00143818" w:rsidRPr="00936C4E">
            <w:rPr>
              <w:rFonts w:eastAsia="Times New Roman" w:cstheme="minorHAnsi"/>
              <w:kern w:val="0"/>
              <w:sz w:val="24"/>
              <w:szCs w:val="24"/>
              <w:lang w:val="en-US" w:eastAsia="en-GB"/>
              <w14:ligatures w14:val="none"/>
            </w:rPr>
            <w:instrText xml:space="preserve"> CITATION Mub25 \l 1033 </w:instrText>
          </w:r>
          <w:r w:rsidR="00143818" w:rsidRPr="00936C4E">
            <w:rPr>
              <w:rFonts w:eastAsia="Times New Roman" w:cstheme="minorHAnsi"/>
              <w:kern w:val="0"/>
              <w:sz w:val="24"/>
              <w:szCs w:val="24"/>
              <w:lang w:eastAsia="en-GB"/>
              <w14:ligatures w14:val="none"/>
            </w:rPr>
            <w:fldChar w:fldCharType="separate"/>
          </w:r>
          <w:r w:rsidR="00143818" w:rsidRPr="00936C4E">
            <w:rPr>
              <w:rFonts w:eastAsia="Times New Roman" w:cstheme="minorHAnsi"/>
              <w:noProof/>
              <w:kern w:val="0"/>
              <w:sz w:val="24"/>
              <w:szCs w:val="24"/>
              <w:lang w:val="en-US" w:eastAsia="en-GB"/>
              <w14:ligatures w14:val="none"/>
            </w:rPr>
            <w:t>(Mubarik, Ahmed, &amp; Wasim, 2025)</w:t>
          </w:r>
          <w:r w:rsidR="00143818" w:rsidRPr="00936C4E">
            <w:rPr>
              <w:rFonts w:eastAsia="Times New Roman" w:cstheme="minorHAnsi"/>
              <w:kern w:val="0"/>
              <w:sz w:val="24"/>
              <w:szCs w:val="24"/>
              <w:lang w:eastAsia="en-GB"/>
              <w14:ligatures w14:val="none"/>
            </w:rPr>
            <w:fldChar w:fldCharType="end"/>
          </w:r>
        </w:sdtContent>
      </w:sdt>
      <w:r w:rsidRPr="00936C4E">
        <w:rPr>
          <w:rFonts w:eastAsia="Times New Roman" w:cstheme="minorHAnsi"/>
          <w:kern w:val="0"/>
          <w:sz w:val="24"/>
          <w:szCs w:val="24"/>
          <w:lang w:eastAsia="en-GB"/>
          <w14:ligatures w14:val="none"/>
        </w:rPr>
        <w:t xml:space="preserve">. </w:t>
      </w:r>
    </w:p>
    <w:p w14:paraId="147C20C4" w14:textId="5102B02A" w:rsidR="00D5341A" w:rsidRPr="00936C4E" w:rsidRDefault="003476AB" w:rsidP="007E6119">
      <w:pPr>
        <w:spacing w:before="100" w:beforeAutospacing="1" w:after="100" w:afterAutospacing="1" w:line="360" w:lineRule="auto"/>
        <w:jc w:val="both"/>
        <w:rPr>
          <w:rFonts w:eastAsia="Times New Roman" w:cstheme="minorHAnsi"/>
          <w:kern w:val="0"/>
          <w:sz w:val="24"/>
          <w:szCs w:val="24"/>
          <w:lang w:eastAsia="en-GB"/>
          <w14:ligatures w14:val="none"/>
        </w:rPr>
        <w:sectPr w:rsidR="00D5341A" w:rsidRPr="00936C4E">
          <w:headerReference w:type="default" r:id="rId8"/>
          <w:footerReference w:type="default" r:id="rId9"/>
          <w:pgSz w:w="11906" w:h="16838"/>
          <w:pgMar w:top="1440" w:right="1440" w:bottom="1440" w:left="1440" w:header="720" w:footer="720" w:gutter="0"/>
          <w:cols w:space="720"/>
          <w:docGrid w:linePitch="360"/>
        </w:sectPr>
      </w:pPr>
      <w:r w:rsidRPr="00936C4E">
        <w:rPr>
          <w:rFonts w:eastAsia="Times New Roman" w:cstheme="minorHAnsi"/>
          <w:kern w:val="0"/>
          <w:sz w:val="24"/>
          <w:szCs w:val="24"/>
          <w:lang w:eastAsia="en-GB"/>
          <w14:ligatures w14:val="none"/>
        </w:rPr>
        <w:t xml:space="preserve">Supply chain mapping also </w:t>
      </w:r>
      <w:r w:rsidR="00D56A55" w:rsidRPr="00936C4E">
        <w:rPr>
          <w:rFonts w:eastAsia="Times New Roman" w:cstheme="minorHAnsi"/>
          <w:kern w:val="0"/>
          <w:sz w:val="24"/>
          <w:szCs w:val="24"/>
          <w:lang w:eastAsia="en-GB"/>
          <w14:ligatures w14:val="none"/>
        </w:rPr>
        <w:t xml:space="preserve">supports informed decision-making, strengthens risk management and resilience strategies, and facilitates effective responses to disruptions. </w:t>
      </w:r>
      <w:r w:rsidRPr="00936C4E">
        <w:rPr>
          <w:rFonts w:eastAsia="Times New Roman" w:cstheme="minorHAnsi"/>
          <w:kern w:val="0"/>
          <w:sz w:val="24"/>
          <w:szCs w:val="24"/>
          <w:lang w:eastAsia="en-GB"/>
          <w14:ligatures w14:val="none"/>
        </w:rPr>
        <w:t>S</w:t>
      </w:r>
      <w:r w:rsidR="00D56A55" w:rsidRPr="00936C4E">
        <w:rPr>
          <w:rFonts w:eastAsia="Times New Roman" w:cstheme="minorHAnsi"/>
          <w:kern w:val="0"/>
          <w:sz w:val="24"/>
          <w:szCs w:val="24"/>
          <w:lang w:eastAsia="en-GB"/>
          <w14:ligatures w14:val="none"/>
        </w:rPr>
        <w:t xml:space="preserve">upply chain mapping </w:t>
      </w:r>
      <w:r w:rsidRPr="00936C4E">
        <w:rPr>
          <w:rFonts w:eastAsia="Times New Roman" w:cstheme="minorHAnsi"/>
          <w:kern w:val="0"/>
          <w:sz w:val="24"/>
          <w:szCs w:val="24"/>
          <w:lang w:eastAsia="en-GB"/>
          <w14:ligatures w14:val="none"/>
        </w:rPr>
        <w:t xml:space="preserve">also </w:t>
      </w:r>
      <w:r w:rsidR="00D56A55" w:rsidRPr="00936C4E">
        <w:rPr>
          <w:rFonts w:eastAsia="Times New Roman" w:cstheme="minorHAnsi"/>
          <w:kern w:val="0"/>
          <w:sz w:val="24"/>
          <w:szCs w:val="24"/>
          <w:lang w:eastAsia="en-GB"/>
          <w14:ligatures w14:val="none"/>
        </w:rPr>
        <w:t>promotes transparency, highlights opportunities for cost reduction and sustainability improvements, and fosters stronger collaboration between supply chain partners and stakeholders</w:t>
      </w:r>
      <w:r w:rsidRPr="00936C4E">
        <w:rPr>
          <w:rFonts w:eastAsia="Times New Roman" w:cstheme="minorHAnsi"/>
          <w:kern w:val="0"/>
          <w:sz w:val="24"/>
          <w:szCs w:val="24"/>
          <w:lang w:eastAsia="en-GB"/>
          <w14:ligatures w14:val="none"/>
        </w:rPr>
        <w:t xml:space="preserve"> </w:t>
      </w:r>
      <w:sdt>
        <w:sdtPr>
          <w:rPr>
            <w:rFonts w:eastAsia="Times New Roman" w:cstheme="minorHAnsi"/>
            <w:kern w:val="0"/>
            <w:sz w:val="24"/>
            <w:szCs w:val="24"/>
            <w:lang w:eastAsia="en-GB"/>
            <w14:ligatures w14:val="none"/>
          </w:rPr>
          <w:id w:val="-2032868550"/>
          <w:citation/>
        </w:sdtPr>
        <w:sdtContent>
          <w:r w:rsidRPr="00936C4E">
            <w:rPr>
              <w:rFonts w:eastAsia="Times New Roman" w:cstheme="minorHAnsi"/>
              <w:kern w:val="0"/>
              <w:sz w:val="24"/>
              <w:szCs w:val="24"/>
              <w:lang w:eastAsia="en-GB"/>
              <w14:ligatures w14:val="none"/>
            </w:rPr>
            <w:fldChar w:fldCharType="begin"/>
          </w:r>
          <w:r w:rsidRPr="00936C4E">
            <w:rPr>
              <w:rFonts w:eastAsia="Times New Roman" w:cstheme="minorHAnsi"/>
              <w:kern w:val="0"/>
              <w:sz w:val="24"/>
              <w:szCs w:val="24"/>
              <w:lang w:val="en-US" w:eastAsia="en-GB"/>
              <w14:ligatures w14:val="none"/>
            </w:rPr>
            <w:instrText xml:space="preserve"> CITATION Dix25 \l 1033 </w:instrText>
          </w:r>
          <w:r w:rsidRPr="00936C4E">
            <w:rPr>
              <w:rFonts w:eastAsia="Times New Roman" w:cstheme="minorHAnsi"/>
              <w:kern w:val="0"/>
              <w:sz w:val="24"/>
              <w:szCs w:val="24"/>
              <w:lang w:eastAsia="en-GB"/>
              <w14:ligatures w14:val="none"/>
            </w:rPr>
            <w:fldChar w:fldCharType="separate"/>
          </w:r>
          <w:r w:rsidRPr="00936C4E">
            <w:rPr>
              <w:rFonts w:eastAsia="Times New Roman" w:cstheme="minorHAnsi"/>
              <w:noProof/>
              <w:kern w:val="0"/>
              <w:sz w:val="24"/>
              <w:szCs w:val="24"/>
              <w:lang w:val="en-US" w:eastAsia="en-GB"/>
              <w14:ligatures w14:val="none"/>
            </w:rPr>
            <w:t>(Dixon, 2025)</w:t>
          </w:r>
          <w:r w:rsidRPr="00936C4E">
            <w:rPr>
              <w:rFonts w:eastAsia="Times New Roman" w:cstheme="minorHAnsi"/>
              <w:kern w:val="0"/>
              <w:sz w:val="24"/>
              <w:szCs w:val="24"/>
              <w:lang w:eastAsia="en-GB"/>
              <w14:ligatures w14:val="none"/>
            </w:rPr>
            <w:fldChar w:fldCharType="end"/>
          </w:r>
        </w:sdtContent>
      </w:sdt>
      <w:r w:rsidR="00D56A55" w:rsidRPr="00936C4E">
        <w:rPr>
          <w:rFonts w:eastAsia="Times New Roman" w:cstheme="minorHAnsi"/>
          <w:kern w:val="0"/>
          <w:sz w:val="24"/>
          <w:szCs w:val="24"/>
          <w:lang w:eastAsia="en-GB"/>
          <w14:ligatures w14:val="none"/>
        </w:rPr>
        <w:t>.</w:t>
      </w:r>
    </w:p>
    <w:p w14:paraId="5A24DB0B" w14:textId="1CADDBC6" w:rsidR="00D5341A" w:rsidRDefault="006E62BC" w:rsidP="005E5919">
      <w:pPr>
        <w:rPr>
          <w:color w:val="000000" w:themeColor="text1"/>
          <w:sz w:val="24"/>
          <w:szCs w:val="24"/>
        </w:rPr>
        <w:sectPr w:rsidR="00D5341A" w:rsidSect="00D5341A">
          <w:pgSz w:w="16838" w:h="11906" w:orient="landscape"/>
          <w:pgMar w:top="1440" w:right="1440" w:bottom="1440" w:left="1440" w:header="720" w:footer="720" w:gutter="0"/>
          <w:cols w:space="720"/>
          <w:docGrid w:linePitch="360"/>
        </w:sectPr>
      </w:pPr>
      <w:r>
        <w:rPr>
          <w:noProof/>
        </w:rPr>
        <w:lastRenderedPageBreak/>
        <mc:AlternateContent>
          <mc:Choice Requires="wps">
            <w:drawing>
              <wp:anchor distT="0" distB="0" distL="114300" distR="114300" simplePos="0" relativeHeight="251679744" behindDoc="0" locked="0" layoutInCell="1" allowOverlap="1" wp14:anchorId="26FAA875" wp14:editId="56C1E464">
                <wp:simplePos x="0" y="0"/>
                <wp:positionH relativeFrom="column">
                  <wp:posOffset>-567853</wp:posOffset>
                </wp:positionH>
                <wp:positionV relativeFrom="paragraph">
                  <wp:posOffset>5404603</wp:posOffset>
                </wp:positionV>
                <wp:extent cx="10284460" cy="635"/>
                <wp:effectExtent l="0" t="0" r="0" b="0"/>
                <wp:wrapSquare wrapText="bothSides"/>
                <wp:docPr id="1992987609" name="Text Box 1"/>
                <wp:cNvGraphicFramePr/>
                <a:graphic xmlns:a="http://schemas.openxmlformats.org/drawingml/2006/main">
                  <a:graphicData uri="http://schemas.microsoft.com/office/word/2010/wordprocessingShape">
                    <wps:wsp>
                      <wps:cNvSpPr txBox="1"/>
                      <wps:spPr>
                        <a:xfrm>
                          <a:off x="0" y="0"/>
                          <a:ext cx="10284460" cy="635"/>
                        </a:xfrm>
                        <a:prstGeom prst="rect">
                          <a:avLst/>
                        </a:prstGeom>
                        <a:solidFill>
                          <a:prstClr val="white"/>
                        </a:solidFill>
                        <a:ln>
                          <a:noFill/>
                        </a:ln>
                      </wps:spPr>
                      <wps:txbx>
                        <w:txbxContent>
                          <w:p w14:paraId="6AF81F6A" w14:textId="51656706" w:rsidR="003B0E9C" w:rsidRPr="003B299B" w:rsidRDefault="003B0E9C" w:rsidP="003B0E9C">
                            <w:pPr>
                              <w:pStyle w:val="Caption"/>
                              <w:rPr>
                                <w:noProof/>
                                <w:sz w:val="22"/>
                                <w:szCs w:val="22"/>
                              </w:rPr>
                            </w:pPr>
                            <w:bookmarkStart w:id="6" w:name="_Toc214254282"/>
                            <w:r>
                              <w:t xml:space="preserve">Figure </w:t>
                            </w:r>
                            <w:fldSimple w:instr=" SEQ Figure \* ARABIC ">
                              <w:r w:rsidR="000A7B00">
                                <w:rPr>
                                  <w:noProof/>
                                </w:rPr>
                                <w:t>1</w:t>
                              </w:r>
                            </w:fldSimple>
                            <w:r>
                              <w:t xml:space="preserve"> </w:t>
                            </w:r>
                            <w:r w:rsidR="005A6CAC">
                              <w:t>–</w:t>
                            </w:r>
                            <w:r>
                              <w:t xml:space="preserve"> </w:t>
                            </w:r>
                            <w:r w:rsidR="005A6CAC">
                              <w:t xml:space="preserve">Internal </w:t>
                            </w:r>
                            <w:r>
                              <w:t>Supply Chain Map</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6FAA875" id="_x0000_t202" coordsize="21600,21600" o:spt="202" path="m,l,21600r21600,l21600,xe">
                <v:stroke joinstyle="miter"/>
                <v:path gradientshapeok="t" o:connecttype="rect"/>
              </v:shapetype>
              <v:shape id="Text Box 1" o:spid="_x0000_s1026" type="#_x0000_t202" style="position:absolute;margin-left:-44.7pt;margin-top:425.55pt;width:809.8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" stroked="f">
                <v:textbox style="mso-fit-shape-to-text:t" inset="0,0,0,0">
                  <w:txbxContent>
                    <w:p w14:paraId="6AF81F6A" w14:textId="51656706" w:rsidR="003B0E9C" w:rsidRPr="003B299B" w:rsidRDefault="003B0E9C" w:rsidP="003B0E9C">
                      <w:pPr>
                        <w:pStyle w:val="Caption"/>
                        <w:rPr>
                          <w:noProof/>
                          <w:sz w:val="22"/>
                          <w:szCs w:val="22"/>
                        </w:rPr>
                      </w:pPr>
                      <w:bookmarkStart w:id="7" w:name="_Toc214254282"/>
                      <w:r>
                        <w:t xml:space="preserve">Figure </w:t>
                      </w:r>
                      <w:fldSimple w:instr=" SEQ Figure \* ARABIC ">
                        <w:r w:rsidR="000A7B00">
                          <w:rPr>
                            <w:noProof/>
                          </w:rPr>
                          <w:t>1</w:t>
                        </w:r>
                      </w:fldSimple>
                      <w:r>
                        <w:t xml:space="preserve"> </w:t>
                      </w:r>
                      <w:r w:rsidR="005A6CAC">
                        <w:t>–</w:t>
                      </w:r>
                      <w:r>
                        <w:t xml:space="preserve"> </w:t>
                      </w:r>
                      <w:r w:rsidR="005A6CAC">
                        <w:t xml:space="preserve">Internal </w:t>
                      </w:r>
                      <w:r>
                        <w:t>Supply Chain Map</w:t>
                      </w:r>
                      <w:bookmarkEnd w:id="7"/>
                    </w:p>
                  </w:txbxContent>
                </v:textbox>
                <w10:wrap type="square"/>
              </v:shape>
            </w:pict>
          </mc:Fallback>
        </mc:AlternateContent>
      </w:r>
      <w:r>
        <w:rPr>
          <w:noProof/>
        </w:rPr>
        <w:drawing>
          <wp:anchor distT="0" distB="0" distL="114300" distR="114300" simplePos="0" relativeHeight="251682816" behindDoc="0" locked="0" layoutInCell="1" allowOverlap="1" wp14:anchorId="04EEF5DC" wp14:editId="5112A6B0">
            <wp:simplePos x="0" y="0"/>
            <wp:positionH relativeFrom="margin">
              <wp:align>center</wp:align>
            </wp:positionH>
            <wp:positionV relativeFrom="paragraph">
              <wp:posOffset>366498</wp:posOffset>
            </wp:positionV>
            <wp:extent cx="10005060" cy="4978400"/>
            <wp:effectExtent l="19050" t="19050" r="15240" b="12700"/>
            <wp:wrapSquare wrapText="bothSides"/>
            <wp:docPr id="1800852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85272" name="Picture 180085272"/>
                    <pic:cNvPicPr/>
                  </pic:nvPicPr>
                  <pic:blipFill>
                    <a:blip r:embed="rId10">
                      <a:extLst>
                        <a:ext uri="{28A0092B-C50C-407E-A947-70E740481C1C}">
                          <a14:useLocalDpi xmlns:a14="http://schemas.microsoft.com/office/drawing/2010/main" val="0"/>
                        </a:ext>
                      </a:extLst>
                    </a:blip>
                    <a:stretch>
                      <a:fillRect/>
                    </a:stretch>
                  </pic:blipFill>
                  <pic:spPr>
                    <a:xfrm>
                      <a:off x="0" y="0"/>
                      <a:ext cx="10005060" cy="49784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76FFA2E" w14:textId="013DA310" w:rsidR="00313E2D" w:rsidRPr="00936C4E" w:rsidRDefault="007E6119" w:rsidP="001C2541">
      <w:pPr>
        <w:spacing w:line="360" w:lineRule="auto"/>
        <w:jc w:val="both"/>
        <w:rPr>
          <w:sz w:val="24"/>
          <w:szCs w:val="24"/>
        </w:rPr>
      </w:pPr>
      <w:r w:rsidRPr="00936C4E">
        <w:rPr>
          <w:sz w:val="24"/>
          <w:szCs w:val="24"/>
        </w:rPr>
        <w:lastRenderedPageBreak/>
        <w:t xml:space="preserve">The supply chain process at Tata Steel Port Talbot is structured to coordinate the efficient flow of materials and information from suppliers through to end customers. The process </w:t>
      </w:r>
      <w:r w:rsidR="00313E2D" w:rsidRPr="00936C4E">
        <w:rPr>
          <w:sz w:val="24"/>
          <w:szCs w:val="24"/>
        </w:rPr>
        <w:t xml:space="preserve">begins with strategic master planning, which establishes production capacities and aligns customer demand with operational capabilities. </w:t>
      </w:r>
    </w:p>
    <w:p w14:paraId="3AA8843F" w14:textId="77777777" w:rsidR="00313E2D" w:rsidRPr="00936C4E" w:rsidRDefault="00313E2D" w:rsidP="001C2541">
      <w:pPr>
        <w:spacing w:line="360" w:lineRule="auto"/>
        <w:jc w:val="both"/>
        <w:rPr>
          <w:sz w:val="24"/>
          <w:szCs w:val="24"/>
        </w:rPr>
      </w:pPr>
      <w:r w:rsidRPr="00936C4E">
        <w:rPr>
          <w:sz w:val="24"/>
          <w:szCs w:val="24"/>
        </w:rPr>
        <w:t xml:space="preserve">This is followed by the design of substrate ordering and fulfilment systems, ensuring effective supplier engagement and the timely generation of replenishment orders. Once these orders are validated, purchase orders are created in SAP and translated into stock transfer orders, initiating the inbound logistics phase. </w:t>
      </w:r>
    </w:p>
    <w:p w14:paraId="53684E6D" w14:textId="77777777" w:rsidR="00313E2D" w:rsidRPr="00936C4E" w:rsidRDefault="00313E2D" w:rsidP="001C2541">
      <w:pPr>
        <w:spacing w:line="360" w:lineRule="auto"/>
        <w:jc w:val="both"/>
        <w:rPr>
          <w:sz w:val="24"/>
          <w:szCs w:val="24"/>
        </w:rPr>
      </w:pPr>
      <w:r w:rsidRPr="00936C4E">
        <w:rPr>
          <w:sz w:val="24"/>
          <w:szCs w:val="24"/>
        </w:rPr>
        <w:t xml:space="preserve">Materials are then received through port and warehouse operations, where key activities such as data uploads, concession management, and the verification of accompanying documentation, including packing lists and test certificates are completed. </w:t>
      </w:r>
    </w:p>
    <w:p w14:paraId="7AC264A2" w14:textId="77777777" w:rsidR="00313E2D" w:rsidRPr="00936C4E" w:rsidRDefault="00313E2D" w:rsidP="001C2541">
      <w:pPr>
        <w:spacing w:line="360" w:lineRule="auto"/>
        <w:jc w:val="both"/>
        <w:rPr>
          <w:sz w:val="24"/>
          <w:szCs w:val="24"/>
        </w:rPr>
      </w:pPr>
      <w:r w:rsidRPr="00936C4E">
        <w:rPr>
          <w:sz w:val="24"/>
          <w:szCs w:val="24"/>
        </w:rPr>
        <w:t>The materials are then transferred from port facilities to the production site, where factory planning allocates them to specific manufacturing schedules. The resulting finished coils are processed through outbound warehousing and port operations to facilitate accurate and timely customer delivery.</w:t>
      </w:r>
    </w:p>
    <w:p w14:paraId="7F28A167" w14:textId="77777777" w:rsidR="00313E2D" w:rsidRPr="00936C4E" w:rsidRDefault="00313E2D" w:rsidP="001C2541">
      <w:pPr>
        <w:spacing w:line="360" w:lineRule="auto"/>
        <w:jc w:val="both"/>
        <w:rPr>
          <w:sz w:val="24"/>
          <w:szCs w:val="24"/>
        </w:rPr>
      </w:pPr>
      <w:r w:rsidRPr="00936C4E">
        <w:rPr>
          <w:sz w:val="24"/>
          <w:szCs w:val="24"/>
        </w:rPr>
        <w:t xml:space="preserve"> Supporting functions, including sales order management, product policy oversight, and material master data maintenance, ensure system consistency and operational accuracy. Throughout the process, health, safety, and compliance activities uphold regulatory and organisational standards. </w:t>
      </w:r>
    </w:p>
    <w:p w14:paraId="1D62DBE6" w14:textId="0E9B8421" w:rsidR="00463091" w:rsidRPr="00936C4E" w:rsidRDefault="00313E2D" w:rsidP="001C2541">
      <w:pPr>
        <w:spacing w:line="360" w:lineRule="auto"/>
        <w:jc w:val="both"/>
        <w:rPr>
          <w:sz w:val="24"/>
          <w:szCs w:val="24"/>
        </w:rPr>
      </w:pPr>
      <w:r w:rsidRPr="00936C4E">
        <w:rPr>
          <w:sz w:val="24"/>
          <w:szCs w:val="24"/>
        </w:rPr>
        <w:t>Collectively, this supply chain model reflects an integrated framework that aligns planning, procurement, logistics, production, and compliance to achieve a transparent and efficient operational flow.</w:t>
      </w:r>
    </w:p>
    <w:p w14:paraId="5F415648" w14:textId="77777777" w:rsidR="00E42C97" w:rsidRDefault="00E42C97" w:rsidP="00313E2D">
      <w:pPr>
        <w:spacing w:line="360" w:lineRule="auto"/>
        <w:rPr>
          <w:color w:val="000000" w:themeColor="text1"/>
          <w:sz w:val="24"/>
          <w:szCs w:val="24"/>
        </w:rPr>
      </w:pPr>
    </w:p>
    <w:p w14:paraId="28F060D7" w14:textId="77777777" w:rsidR="00E42C97" w:rsidRDefault="00E42C97" w:rsidP="00313E2D">
      <w:pPr>
        <w:spacing w:line="360" w:lineRule="auto"/>
        <w:rPr>
          <w:color w:val="000000" w:themeColor="text1"/>
          <w:sz w:val="24"/>
          <w:szCs w:val="24"/>
        </w:rPr>
      </w:pPr>
    </w:p>
    <w:p w14:paraId="6AD113FE" w14:textId="77777777" w:rsidR="00E42C97" w:rsidRPr="00313E2D" w:rsidRDefault="00E42C97" w:rsidP="00313E2D">
      <w:pPr>
        <w:spacing w:line="360" w:lineRule="auto"/>
        <w:rPr>
          <w:color w:val="000000" w:themeColor="text1"/>
          <w:sz w:val="24"/>
          <w:szCs w:val="24"/>
        </w:rPr>
      </w:pPr>
    </w:p>
    <w:p w14:paraId="2A09873A" w14:textId="203DABB9" w:rsidR="00CB7A31" w:rsidRDefault="00CB7A31" w:rsidP="00AC7586">
      <w:pPr>
        <w:pStyle w:val="Heading1"/>
        <w:numPr>
          <w:ilvl w:val="0"/>
          <w:numId w:val="5"/>
        </w:numPr>
        <w:spacing w:line="360" w:lineRule="auto"/>
      </w:pPr>
      <w:bookmarkStart w:id="8" w:name="_Toc214299348"/>
      <w:r>
        <w:lastRenderedPageBreak/>
        <w:t xml:space="preserve">Failure Mode </w:t>
      </w:r>
      <w:r w:rsidR="005877F8">
        <w:t xml:space="preserve">and </w:t>
      </w:r>
      <w:r>
        <w:t>Effects Analysis</w:t>
      </w:r>
      <w:bookmarkEnd w:id="8"/>
    </w:p>
    <w:p w14:paraId="37D7F7B2" w14:textId="5F9D802E" w:rsidR="00EA29A3" w:rsidRDefault="002A14C0" w:rsidP="00206FAD">
      <w:pPr>
        <w:pStyle w:val="Heading2"/>
        <w:spacing w:line="360" w:lineRule="auto"/>
      </w:pPr>
      <w:bookmarkStart w:id="9" w:name="_Toc214299349"/>
      <w:r>
        <w:t>3</w:t>
      </w:r>
      <w:r w:rsidR="0067768F">
        <w:t xml:space="preserve">.1 </w:t>
      </w:r>
      <w:r w:rsidR="005E5F18" w:rsidRPr="005E5F18">
        <w:t>FMEA Overview</w:t>
      </w:r>
      <w:bookmarkEnd w:id="9"/>
    </w:p>
    <w:p w14:paraId="5FB20C64" w14:textId="4981310E" w:rsidR="00627A1F" w:rsidRPr="00936C4E" w:rsidRDefault="00AF4C5B" w:rsidP="00206FAD">
      <w:pPr>
        <w:spacing w:line="360" w:lineRule="auto"/>
        <w:jc w:val="both"/>
        <w:rPr>
          <w:rFonts w:cstheme="minorHAnsi"/>
          <w:bCs/>
          <w:sz w:val="24"/>
          <w:szCs w:val="24"/>
        </w:rPr>
      </w:pPr>
      <w:r w:rsidRPr="00936C4E">
        <w:rPr>
          <w:rFonts w:cstheme="minorHAnsi"/>
          <w:bCs/>
          <w:sz w:val="24"/>
          <w:szCs w:val="24"/>
        </w:rPr>
        <w:t>Th</w:t>
      </w:r>
      <w:r w:rsidR="00E946E2" w:rsidRPr="00936C4E">
        <w:rPr>
          <w:rFonts w:cstheme="minorHAnsi"/>
          <w:bCs/>
          <w:sz w:val="24"/>
          <w:szCs w:val="24"/>
        </w:rPr>
        <w:t>is</w:t>
      </w:r>
      <w:r w:rsidRPr="00936C4E">
        <w:rPr>
          <w:rFonts w:cstheme="minorHAnsi"/>
          <w:bCs/>
          <w:sz w:val="24"/>
          <w:szCs w:val="24"/>
        </w:rPr>
        <w:t xml:space="preserve"> study employs the Failure Mode and Effects Analysis (FMEA) framework to evaluate potential risks within the international supply chain for steel slab imports to Tata Steel Port Talbot. FMEA provides a structured and quantitative approach to risk assessment, enabling the identification of potential failure modes, the evaluation of their impact on system performance, and the prioritisation of corrective actions according to risk severity </w:t>
      </w:r>
      <w:sdt>
        <w:sdtPr>
          <w:rPr>
            <w:rFonts w:cstheme="minorHAnsi"/>
            <w:bCs/>
            <w:sz w:val="24"/>
            <w:szCs w:val="24"/>
          </w:rPr>
          <w:id w:val="297353477"/>
          <w:citation/>
        </w:sdtPr>
        <w:sdtContent>
          <w:r w:rsidR="0050146B" w:rsidRPr="00936C4E">
            <w:rPr>
              <w:rFonts w:cstheme="minorHAnsi"/>
              <w:bCs/>
              <w:sz w:val="24"/>
              <w:szCs w:val="24"/>
            </w:rPr>
            <w:fldChar w:fldCharType="begin"/>
          </w:r>
          <w:r w:rsidR="0050146B" w:rsidRPr="00936C4E">
            <w:rPr>
              <w:rFonts w:cstheme="minorHAnsi"/>
              <w:bCs/>
              <w:sz w:val="24"/>
              <w:szCs w:val="24"/>
              <w:lang w:val="en-US"/>
            </w:rPr>
            <w:instrText xml:space="preserve"> CITATION Cur13 \l 1033 </w:instrText>
          </w:r>
          <w:r w:rsidR="0050146B" w:rsidRPr="00936C4E">
            <w:rPr>
              <w:rFonts w:cstheme="minorHAnsi"/>
              <w:bCs/>
              <w:sz w:val="24"/>
              <w:szCs w:val="24"/>
            </w:rPr>
            <w:fldChar w:fldCharType="separate"/>
          </w:r>
          <w:r w:rsidR="008327FB" w:rsidRPr="00936C4E">
            <w:rPr>
              <w:rFonts w:cstheme="minorHAnsi"/>
              <w:noProof/>
              <w:sz w:val="24"/>
              <w:szCs w:val="24"/>
              <w:lang w:val="en-US"/>
            </w:rPr>
            <w:t>(Curkovic, Scannell, &amp; Wagner, 2013)</w:t>
          </w:r>
          <w:r w:rsidR="0050146B" w:rsidRPr="00936C4E">
            <w:rPr>
              <w:rFonts w:cstheme="minorHAnsi"/>
              <w:bCs/>
              <w:sz w:val="24"/>
              <w:szCs w:val="24"/>
            </w:rPr>
            <w:fldChar w:fldCharType="end"/>
          </w:r>
        </w:sdtContent>
      </w:sdt>
      <w:r w:rsidR="00627A1F" w:rsidRPr="00936C4E">
        <w:rPr>
          <w:rFonts w:cstheme="minorHAnsi"/>
          <w:bCs/>
          <w:sz w:val="24"/>
          <w:szCs w:val="24"/>
        </w:rPr>
        <w:t>.</w:t>
      </w:r>
    </w:p>
    <w:p w14:paraId="4C9246B2" w14:textId="25F7C370" w:rsidR="00627A1F" w:rsidRPr="00936C4E" w:rsidRDefault="00250658" w:rsidP="00206FAD">
      <w:pPr>
        <w:spacing w:line="360" w:lineRule="auto"/>
        <w:jc w:val="both"/>
        <w:rPr>
          <w:rFonts w:cstheme="minorHAnsi"/>
          <w:bCs/>
          <w:sz w:val="24"/>
          <w:szCs w:val="24"/>
        </w:rPr>
      </w:pPr>
      <w:r w:rsidRPr="00936C4E">
        <w:rPr>
          <w:rFonts w:cstheme="minorHAnsi"/>
          <w:bCs/>
          <w:sz w:val="24"/>
          <w:szCs w:val="24"/>
        </w:rPr>
        <w:t>The analysis considers the key stages of the slab import process, including supplier production, international transportation, port handling, customs clearance, and quality assurance. Each stage is assessed to identify potential failure modes, their underlying causes, and the consequent effects on operational performance. Risk evaluation is undertaken using three core parameters</w:t>
      </w:r>
      <w:r w:rsidR="006D4289" w:rsidRPr="00936C4E">
        <w:rPr>
          <w:rFonts w:cstheme="minorHAnsi"/>
          <w:bCs/>
          <w:sz w:val="24"/>
          <w:szCs w:val="24"/>
        </w:rPr>
        <w:t>,</w:t>
      </w:r>
      <w:r w:rsidRPr="00936C4E">
        <w:rPr>
          <w:rFonts w:cstheme="minorHAnsi"/>
          <w:bCs/>
          <w:sz w:val="24"/>
          <w:szCs w:val="24"/>
        </w:rPr>
        <w:t xml:space="preserve"> Severity (S), </w:t>
      </w:r>
      <w:r w:rsidR="006D4289" w:rsidRPr="00936C4E">
        <w:rPr>
          <w:rFonts w:cstheme="minorHAnsi"/>
          <w:bCs/>
          <w:sz w:val="24"/>
          <w:szCs w:val="24"/>
        </w:rPr>
        <w:t>representing</w:t>
      </w:r>
      <w:r w:rsidRPr="00936C4E">
        <w:rPr>
          <w:rFonts w:cstheme="minorHAnsi"/>
          <w:bCs/>
          <w:sz w:val="24"/>
          <w:szCs w:val="24"/>
        </w:rPr>
        <w:t xml:space="preserve"> the impact of a failure on operations or customers</w:t>
      </w:r>
      <w:r w:rsidR="006D4289" w:rsidRPr="00936C4E">
        <w:rPr>
          <w:rFonts w:cstheme="minorHAnsi"/>
          <w:bCs/>
          <w:sz w:val="24"/>
          <w:szCs w:val="24"/>
        </w:rPr>
        <w:t xml:space="preserve">. </w:t>
      </w:r>
      <w:r w:rsidRPr="00936C4E">
        <w:rPr>
          <w:rFonts w:cstheme="minorHAnsi"/>
          <w:bCs/>
          <w:sz w:val="24"/>
          <w:szCs w:val="24"/>
        </w:rPr>
        <w:t xml:space="preserve">Occurrence (O), indicating the likelihood of the failure arising and Detection (D), reflecting the probability of identifying the failure before it results in disruption. </w:t>
      </w:r>
      <w:sdt>
        <w:sdtPr>
          <w:rPr>
            <w:rFonts w:cstheme="minorHAnsi"/>
            <w:bCs/>
            <w:sz w:val="24"/>
            <w:szCs w:val="24"/>
          </w:rPr>
          <w:id w:val="-2033262462"/>
          <w:citation/>
        </w:sdtPr>
        <w:sdtContent>
          <w:r w:rsidR="000A6F80" w:rsidRPr="00936C4E">
            <w:rPr>
              <w:rFonts w:cstheme="minorHAnsi"/>
              <w:bCs/>
              <w:sz w:val="24"/>
              <w:szCs w:val="24"/>
            </w:rPr>
            <w:fldChar w:fldCharType="begin"/>
          </w:r>
          <w:r w:rsidR="00C42ED3" w:rsidRPr="00936C4E">
            <w:rPr>
              <w:rFonts w:cstheme="minorHAnsi"/>
              <w:bCs/>
              <w:sz w:val="24"/>
              <w:szCs w:val="24"/>
              <w:lang w:val="en-US"/>
            </w:rPr>
            <w:instrText xml:space="preserve">CITATION Liu13 \l 1033 </w:instrText>
          </w:r>
          <w:r w:rsidR="000A6F80" w:rsidRPr="00936C4E">
            <w:rPr>
              <w:rFonts w:cstheme="minorHAnsi"/>
              <w:bCs/>
              <w:sz w:val="24"/>
              <w:szCs w:val="24"/>
            </w:rPr>
            <w:fldChar w:fldCharType="separate"/>
          </w:r>
          <w:r w:rsidR="008327FB" w:rsidRPr="00936C4E">
            <w:rPr>
              <w:rFonts w:cstheme="minorHAnsi"/>
              <w:noProof/>
              <w:sz w:val="24"/>
              <w:szCs w:val="24"/>
              <w:lang w:val="en-US"/>
            </w:rPr>
            <w:t>(Forrest, 2025)</w:t>
          </w:r>
          <w:r w:rsidR="000A6F80" w:rsidRPr="00936C4E">
            <w:rPr>
              <w:rFonts w:cstheme="minorHAnsi"/>
              <w:bCs/>
              <w:sz w:val="24"/>
              <w:szCs w:val="24"/>
            </w:rPr>
            <w:fldChar w:fldCharType="end"/>
          </w:r>
        </w:sdtContent>
      </w:sdt>
      <w:r w:rsidR="00627A1F" w:rsidRPr="00936C4E">
        <w:rPr>
          <w:rFonts w:cstheme="minorHAnsi"/>
          <w:bCs/>
          <w:sz w:val="24"/>
          <w:szCs w:val="24"/>
        </w:rPr>
        <w:t>.</w:t>
      </w:r>
    </w:p>
    <w:p w14:paraId="0E6405FF" w14:textId="58BABD85" w:rsidR="00275EBA" w:rsidRPr="00936C4E" w:rsidRDefault="000A2966" w:rsidP="00206FAD">
      <w:pPr>
        <w:spacing w:line="360" w:lineRule="auto"/>
        <w:jc w:val="both"/>
        <w:rPr>
          <w:rFonts w:cstheme="minorHAnsi"/>
          <w:bCs/>
          <w:sz w:val="24"/>
          <w:szCs w:val="24"/>
        </w:rPr>
      </w:pPr>
      <w:r w:rsidRPr="00936C4E">
        <w:rPr>
          <w:rFonts w:cstheme="minorHAnsi"/>
          <w:bCs/>
          <w:sz w:val="24"/>
          <w:szCs w:val="24"/>
        </w:rPr>
        <w:t>The parameters are combined to calculate</w:t>
      </w:r>
      <w:r w:rsidR="00275EBA" w:rsidRPr="00936C4E">
        <w:rPr>
          <w:rFonts w:cstheme="minorHAnsi"/>
          <w:bCs/>
          <w:sz w:val="24"/>
          <w:szCs w:val="24"/>
        </w:rPr>
        <w:t xml:space="preserve"> the risk priority number as shown in </w:t>
      </w:r>
      <w:r w:rsidR="00275EBA" w:rsidRPr="00936C4E">
        <w:rPr>
          <w:rFonts w:cstheme="minorHAnsi"/>
          <w:bCs/>
          <w:sz w:val="24"/>
          <w:szCs w:val="24"/>
        </w:rPr>
        <w:fldChar w:fldCharType="begin"/>
      </w:r>
      <w:r w:rsidR="00275EBA" w:rsidRPr="00936C4E">
        <w:rPr>
          <w:rFonts w:cstheme="minorHAnsi"/>
          <w:bCs/>
          <w:sz w:val="24"/>
          <w:szCs w:val="24"/>
        </w:rPr>
        <w:instrText xml:space="preserve"> REF _Ref213482961 \h </w:instrText>
      </w:r>
      <w:r w:rsidR="00275EBA" w:rsidRPr="00936C4E">
        <w:rPr>
          <w:rFonts w:cstheme="minorHAnsi"/>
          <w:bCs/>
          <w:sz w:val="24"/>
          <w:szCs w:val="24"/>
        </w:rPr>
      </w:r>
      <w:r w:rsidR="00936C4E">
        <w:rPr>
          <w:rFonts w:cstheme="minorHAnsi"/>
          <w:bCs/>
          <w:sz w:val="24"/>
          <w:szCs w:val="24"/>
        </w:rPr>
        <w:instrText xml:space="preserve"> \* MERGEFORMAT </w:instrText>
      </w:r>
      <w:r w:rsidR="00275EBA" w:rsidRPr="00936C4E">
        <w:rPr>
          <w:rFonts w:cstheme="minorHAnsi"/>
          <w:bCs/>
          <w:sz w:val="24"/>
          <w:szCs w:val="24"/>
        </w:rPr>
        <w:fldChar w:fldCharType="separate"/>
      </w:r>
      <w:r w:rsidR="000A7B00" w:rsidRPr="000A7B00">
        <w:rPr>
          <w:sz w:val="24"/>
          <w:szCs w:val="24"/>
        </w:rPr>
        <w:t xml:space="preserve">Equation </w:t>
      </w:r>
      <w:r w:rsidR="000A7B00" w:rsidRPr="000A7B00">
        <w:rPr>
          <w:noProof/>
          <w:sz w:val="24"/>
          <w:szCs w:val="24"/>
        </w:rPr>
        <w:t>1</w:t>
      </w:r>
      <w:r w:rsidR="00275EBA" w:rsidRPr="00936C4E">
        <w:rPr>
          <w:rFonts w:cstheme="minorHAnsi"/>
          <w:bCs/>
          <w:sz w:val="24"/>
          <w:szCs w:val="24"/>
        </w:rPr>
        <w:fldChar w:fldCharType="end"/>
      </w:r>
      <w:r w:rsidR="00C148C6" w:rsidRPr="00936C4E">
        <w:rPr>
          <w:rFonts w:cstheme="minorHAnsi"/>
          <w:bCs/>
          <w:sz w:val="24"/>
          <w:szCs w:val="24"/>
        </w:rPr>
        <w:t xml:space="preserve">, provides a quantitative measure of risk significance. Higher RPN values indicate greater levels of concern and guide the prioritisation of mitigation strategies. The resulting data are presented in an FMEA table, which serves as the basis for the subsequent evaluation of resilience enhancement measures </w:t>
      </w:r>
      <w:sdt>
        <w:sdtPr>
          <w:rPr>
            <w:rFonts w:cstheme="minorHAnsi"/>
            <w:bCs/>
            <w:sz w:val="24"/>
            <w:szCs w:val="24"/>
          </w:rPr>
          <w:id w:val="-958640181"/>
          <w:citation/>
        </w:sdtPr>
        <w:sdtContent>
          <w:r w:rsidR="00C148C6" w:rsidRPr="00936C4E">
            <w:rPr>
              <w:rFonts w:cstheme="minorHAnsi"/>
              <w:bCs/>
              <w:sz w:val="24"/>
              <w:szCs w:val="24"/>
            </w:rPr>
            <w:fldChar w:fldCharType="begin"/>
          </w:r>
          <w:r w:rsidR="00C148C6" w:rsidRPr="00936C4E">
            <w:rPr>
              <w:rFonts w:cstheme="minorHAnsi"/>
              <w:bCs/>
              <w:sz w:val="24"/>
              <w:szCs w:val="24"/>
              <w:lang w:val="en-US"/>
            </w:rPr>
            <w:instrText xml:space="preserve"> CITATION Sne07 \l 1033 </w:instrText>
          </w:r>
          <w:r w:rsidR="00C148C6" w:rsidRPr="00936C4E">
            <w:rPr>
              <w:rFonts w:cstheme="minorHAnsi"/>
              <w:bCs/>
              <w:sz w:val="24"/>
              <w:szCs w:val="24"/>
            </w:rPr>
            <w:fldChar w:fldCharType="separate"/>
          </w:r>
          <w:r w:rsidR="00C148C6" w:rsidRPr="00936C4E">
            <w:rPr>
              <w:rFonts w:cstheme="minorHAnsi"/>
              <w:noProof/>
              <w:sz w:val="24"/>
              <w:szCs w:val="24"/>
              <w:lang w:val="en-US"/>
            </w:rPr>
            <w:t>(Snee, 2007)</w:t>
          </w:r>
          <w:r w:rsidR="00C148C6" w:rsidRPr="00936C4E">
            <w:rPr>
              <w:rFonts w:cstheme="minorHAnsi"/>
              <w:bCs/>
              <w:sz w:val="24"/>
              <w:szCs w:val="24"/>
            </w:rPr>
            <w:fldChar w:fldCharType="end"/>
          </w:r>
        </w:sdtContent>
      </w:sdt>
      <w:r w:rsidR="00C148C6" w:rsidRPr="00936C4E">
        <w:rPr>
          <w:rFonts w:cstheme="minorHAnsi"/>
          <w:bCs/>
          <w:sz w:val="24"/>
          <w:szCs w:val="24"/>
        </w:rPr>
        <w:t>.</w:t>
      </w:r>
    </w:p>
    <w:p w14:paraId="06DA10FD" w14:textId="77777777" w:rsidR="00275EBA" w:rsidRDefault="00275EBA" w:rsidP="00275EBA">
      <w:pPr>
        <w:keepNext/>
        <w:spacing w:line="360" w:lineRule="auto"/>
        <w:jc w:val="both"/>
      </w:pPr>
      <m:oMathPara>
        <m:oMath>
          <m:r>
            <w:rPr>
              <w:rFonts w:ascii="Cambria Math" w:hAnsi="Cambria Math" w:cstheme="minorHAnsi"/>
              <w:sz w:val="24"/>
              <w:szCs w:val="24"/>
            </w:rPr>
            <m:t xml:space="preserve">Risk Priority Number </m:t>
          </m:r>
          <m:d>
            <m:dPr>
              <m:ctrlPr>
                <w:rPr>
                  <w:rFonts w:ascii="Cambria Math" w:hAnsi="Cambria Math" w:cstheme="minorHAnsi"/>
                  <w:bCs/>
                  <w:i/>
                  <w:sz w:val="24"/>
                  <w:szCs w:val="24"/>
                </w:rPr>
              </m:ctrlPr>
            </m:dPr>
            <m:e>
              <m:r>
                <w:rPr>
                  <w:rFonts w:ascii="Cambria Math" w:hAnsi="Cambria Math" w:cstheme="minorHAnsi"/>
                  <w:sz w:val="24"/>
                  <w:szCs w:val="24"/>
                </w:rPr>
                <m:t>RPN</m:t>
              </m:r>
            </m:e>
          </m:d>
          <m:r>
            <w:rPr>
              <w:rFonts w:ascii="Cambria Math" w:hAnsi="Cambria Math" w:cstheme="minorHAnsi"/>
              <w:sz w:val="24"/>
              <w:szCs w:val="24"/>
            </w:rPr>
            <m:t xml:space="preserve">=Severity </m:t>
          </m:r>
          <m:d>
            <m:dPr>
              <m:ctrlPr>
                <w:rPr>
                  <w:rFonts w:ascii="Cambria Math" w:hAnsi="Cambria Math" w:cstheme="minorHAnsi"/>
                  <w:bCs/>
                  <w:i/>
                  <w:sz w:val="24"/>
                  <w:szCs w:val="24"/>
                </w:rPr>
              </m:ctrlPr>
            </m:dPr>
            <m:e>
              <m:r>
                <w:rPr>
                  <w:rFonts w:ascii="Cambria Math" w:hAnsi="Cambria Math" w:cstheme="minorHAnsi"/>
                  <w:sz w:val="24"/>
                  <w:szCs w:val="24"/>
                </w:rPr>
                <m:t>S</m:t>
              </m:r>
            </m:e>
          </m:d>
          <m:r>
            <w:rPr>
              <w:rFonts w:ascii="Cambria Math" w:hAnsi="Cambria Math" w:cstheme="minorHAnsi"/>
              <w:sz w:val="24"/>
              <w:szCs w:val="24"/>
            </w:rPr>
            <m:t xml:space="preserve"> x Occurance </m:t>
          </m:r>
          <m:d>
            <m:dPr>
              <m:ctrlPr>
                <w:rPr>
                  <w:rFonts w:ascii="Cambria Math" w:hAnsi="Cambria Math" w:cstheme="minorHAnsi"/>
                  <w:bCs/>
                  <w:i/>
                  <w:sz w:val="24"/>
                  <w:szCs w:val="24"/>
                </w:rPr>
              </m:ctrlPr>
            </m:dPr>
            <m:e>
              <m:r>
                <w:rPr>
                  <w:rFonts w:ascii="Cambria Math" w:hAnsi="Cambria Math" w:cstheme="minorHAnsi"/>
                  <w:sz w:val="24"/>
                  <w:szCs w:val="24"/>
                </w:rPr>
                <m:t>O</m:t>
              </m:r>
            </m:e>
          </m:d>
          <m:r>
            <w:rPr>
              <w:rFonts w:ascii="Cambria Math" w:hAnsi="Cambria Math" w:cstheme="minorHAnsi"/>
              <w:sz w:val="24"/>
              <w:szCs w:val="24"/>
            </w:rPr>
            <m:t xml:space="preserve"> x Detection (D)</m:t>
          </m:r>
        </m:oMath>
      </m:oMathPara>
    </w:p>
    <w:p w14:paraId="6D67D7F8" w14:textId="1144A43E" w:rsidR="00275EBA" w:rsidRDefault="005E5919" w:rsidP="00275EBA">
      <w:pPr>
        <w:pStyle w:val="Caption"/>
        <w:jc w:val="both"/>
        <w:rPr>
          <w:rFonts w:cstheme="minorHAnsi"/>
          <w:bCs/>
          <w:sz w:val="24"/>
          <w:szCs w:val="24"/>
        </w:rPr>
      </w:pPr>
      <w:bookmarkStart w:id="10" w:name="_Ref213482961"/>
      <w:bookmarkStart w:id="11" w:name="_Toc213483612"/>
      <w:r>
        <w:t>Equation</w:t>
      </w:r>
      <w:r w:rsidR="00275EBA">
        <w:t xml:space="preserve"> </w:t>
      </w:r>
      <w:fldSimple w:instr=" SEQ Equation \* ARABIC ">
        <w:r w:rsidR="000A7B00">
          <w:rPr>
            <w:noProof/>
          </w:rPr>
          <w:t>1</w:t>
        </w:r>
      </w:fldSimple>
      <w:bookmarkEnd w:id="10"/>
      <w:r w:rsidR="00275EBA">
        <w:t xml:space="preserve"> - RPN Calculation</w:t>
      </w:r>
      <w:bookmarkEnd w:id="11"/>
    </w:p>
    <w:p w14:paraId="30235F72" w14:textId="77777777" w:rsidR="002C56B8" w:rsidRDefault="002C56B8" w:rsidP="005E5F18">
      <w:pPr>
        <w:jc w:val="both"/>
        <w:rPr>
          <w:rFonts w:cstheme="minorHAnsi"/>
          <w:bCs/>
          <w:sz w:val="24"/>
          <w:szCs w:val="24"/>
          <w:u w:val="single"/>
        </w:rPr>
      </w:pPr>
    </w:p>
    <w:p w14:paraId="2DB8578C" w14:textId="77777777" w:rsidR="002C56B8" w:rsidRDefault="002C56B8" w:rsidP="005E5F18">
      <w:pPr>
        <w:jc w:val="both"/>
        <w:rPr>
          <w:rFonts w:cstheme="minorHAnsi"/>
          <w:bCs/>
          <w:sz w:val="24"/>
          <w:szCs w:val="24"/>
          <w:u w:val="single"/>
        </w:rPr>
      </w:pPr>
    </w:p>
    <w:p w14:paraId="5A2B5228" w14:textId="77777777" w:rsidR="00947C79" w:rsidRDefault="00947C79" w:rsidP="005E5F18">
      <w:pPr>
        <w:jc w:val="both"/>
        <w:rPr>
          <w:rFonts w:cstheme="minorHAnsi"/>
          <w:bCs/>
          <w:sz w:val="24"/>
          <w:szCs w:val="24"/>
          <w:u w:val="single"/>
        </w:rPr>
        <w:sectPr w:rsidR="00947C79" w:rsidSect="00947C79">
          <w:pgSz w:w="11906" w:h="16838"/>
          <w:pgMar w:top="1440" w:right="1440" w:bottom="1440" w:left="1440" w:header="720" w:footer="720" w:gutter="0"/>
          <w:cols w:space="720"/>
          <w:docGrid w:linePitch="360"/>
        </w:sectPr>
      </w:pPr>
    </w:p>
    <w:p w14:paraId="72EEC86E" w14:textId="2E1EDB50" w:rsidR="00207F00" w:rsidRDefault="00936C4E" w:rsidP="00947C79">
      <w:pPr>
        <w:pStyle w:val="Heading2"/>
      </w:pPr>
      <w:bookmarkStart w:id="12" w:name="_Toc214299350"/>
      <w:r>
        <w:lastRenderedPageBreak/>
        <w:t xml:space="preserve">3.2 </w:t>
      </w:r>
      <w:r w:rsidR="00947C79" w:rsidRPr="00947C79">
        <w:t>F</w:t>
      </w:r>
      <w:r w:rsidR="00D9467D">
        <w:t>MEA</w:t>
      </w:r>
      <w:r w:rsidR="00947C79" w:rsidRPr="00947C79">
        <w:t xml:space="preserve"> Table</w:t>
      </w:r>
      <w:bookmarkEnd w:id="12"/>
    </w:p>
    <w:tbl>
      <w:tblPr>
        <w:tblW w:w="5000" w:type="pct"/>
        <w:tblLayout w:type="fixed"/>
        <w:tblLook w:val="04A0" w:firstRow="1" w:lastRow="0" w:firstColumn="1" w:lastColumn="0" w:noHBand="0" w:noVBand="1"/>
      </w:tblPr>
      <w:tblGrid>
        <w:gridCol w:w="582"/>
        <w:gridCol w:w="1206"/>
        <w:gridCol w:w="1351"/>
        <w:gridCol w:w="1441"/>
        <w:gridCol w:w="449"/>
        <w:gridCol w:w="1712"/>
        <w:gridCol w:w="630"/>
        <w:gridCol w:w="1979"/>
        <w:gridCol w:w="449"/>
        <w:gridCol w:w="630"/>
        <w:gridCol w:w="1801"/>
        <w:gridCol w:w="1472"/>
        <w:gridCol w:w="236"/>
      </w:tblGrid>
      <w:tr w:rsidR="002D5C82" w:rsidRPr="003D1BBB" w14:paraId="7134F2E4" w14:textId="77777777" w:rsidTr="00AA4D71">
        <w:trPr>
          <w:gridAfter w:val="1"/>
          <w:wAfter w:w="85" w:type="pct"/>
          <w:trHeight w:val="450"/>
        </w:trPr>
        <w:tc>
          <w:tcPr>
            <w:tcW w:w="209" w:type="pct"/>
            <w:vMerge w:val="restart"/>
            <w:tcBorders>
              <w:top w:val="single" w:sz="8" w:space="0" w:color="auto"/>
              <w:left w:val="single" w:sz="8" w:space="0" w:color="auto"/>
              <w:bottom w:val="single" w:sz="8" w:space="0" w:color="000000"/>
              <w:right w:val="single" w:sz="8" w:space="0" w:color="auto"/>
            </w:tcBorders>
            <w:noWrap/>
            <w:vAlign w:val="center"/>
            <w:hideMark/>
          </w:tcPr>
          <w:p w14:paraId="2977F6E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val="restart"/>
            <w:tcBorders>
              <w:top w:val="nil"/>
              <w:left w:val="nil"/>
              <w:bottom w:val="single" w:sz="8" w:space="0" w:color="000000"/>
              <w:right w:val="nil"/>
            </w:tcBorders>
            <w:noWrap/>
            <w:vAlign w:val="bottom"/>
            <w:hideMark/>
          </w:tcPr>
          <w:p w14:paraId="7A474A9D" w14:textId="77777777" w:rsidR="002D5C82" w:rsidRPr="003D1BBB" w:rsidRDefault="002D5C82" w:rsidP="00AA4D71">
            <w:pPr>
              <w:spacing w:after="0" w:line="240" w:lineRule="auto"/>
              <w:rPr>
                <w:rFonts w:ascii="Arial" w:eastAsia="Times New Roman" w:hAnsi="Arial" w:cs="Arial"/>
                <w:kern w:val="0"/>
                <w:sz w:val="20"/>
                <w:szCs w:val="20"/>
                <w:lang w:eastAsia="en-GB"/>
                <w14:ligatures w14:val="none"/>
              </w:rPr>
            </w:pPr>
          </w:p>
          <w:tbl>
            <w:tblPr>
              <w:tblW w:w="0" w:type="auto"/>
              <w:tblCellSpacing w:w="0" w:type="dxa"/>
              <w:tblLayout w:type="fixed"/>
              <w:tblCellMar>
                <w:left w:w="0" w:type="dxa"/>
                <w:right w:w="0" w:type="dxa"/>
              </w:tblCellMar>
              <w:tblLook w:val="04A0" w:firstRow="1" w:lastRow="0" w:firstColumn="1" w:lastColumn="0" w:noHBand="0" w:noVBand="1"/>
            </w:tblPr>
            <w:tblGrid>
              <w:gridCol w:w="2200"/>
            </w:tblGrid>
            <w:tr w:rsidR="002D5C82" w:rsidRPr="003D1BBB" w14:paraId="3A037D4F" w14:textId="77777777" w:rsidTr="00AA4D71">
              <w:trPr>
                <w:trHeight w:val="450"/>
                <w:tblCellSpacing w:w="0" w:type="dxa"/>
              </w:trPr>
              <w:tc>
                <w:tcPr>
                  <w:tcW w:w="2200" w:type="dxa"/>
                  <w:vMerge w:val="restart"/>
                  <w:tcBorders>
                    <w:top w:val="single" w:sz="8" w:space="0" w:color="auto"/>
                    <w:left w:val="single" w:sz="8" w:space="0" w:color="auto"/>
                    <w:bottom w:val="single" w:sz="8" w:space="0" w:color="000000"/>
                    <w:right w:val="single" w:sz="8" w:space="0" w:color="auto"/>
                  </w:tcBorders>
                  <w:noWrap/>
                  <w:vAlign w:val="center"/>
                  <w:hideMark/>
                </w:tcPr>
                <w:p w14:paraId="1C06554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Arial" w:eastAsia="Times New Roman" w:hAnsi="Arial" w:cs="Arial"/>
                      <w:noProof/>
                      <w:kern w:val="0"/>
                      <w:sz w:val="20"/>
                      <w:szCs w:val="20"/>
                      <w:lang w:eastAsia="en-GB"/>
                      <w14:ligatures w14:val="none"/>
                    </w:rPr>
                    <w:drawing>
                      <wp:anchor distT="0" distB="0" distL="114300" distR="114300" simplePos="0" relativeHeight="251693056" behindDoc="0" locked="0" layoutInCell="1" allowOverlap="1" wp14:anchorId="27FC57F6" wp14:editId="608F702C">
                        <wp:simplePos x="0" y="0"/>
                        <wp:positionH relativeFrom="column">
                          <wp:posOffset>-448945</wp:posOffset>
                        </wp:positionH>
                        <wp:positionV relativeFrom="paragraph">
                          <wp:posOffset>-287655</wp:posOffset>
                        </wp:positionV>
                        <wp:extent cx="1112520" cy="895350"/>
                        <wp:effectExtent l="19050" t="19050" r="11430" b="19050"/>
                        <wp:wrapNone/>
                        <wp:docPr id="2" name="Picture 7" descr="A blue logo with a white background&#10;&#10;AI-generated content may be incorrect.">
                          <a:extLst xmlns:a="http://schemas.openxmlformats.org/drawingml/2006/main">
                            <a:ext uri="{FF2B5EF4-FFF2-40B4-BE49-F238E27FC236}">
                              <a16:creationId xmlns:a16="http://schemas.microsoft.com/office/drawing/2014/main" id="{4FE93631-0008-4A43-B9C7-EF7FE37AB9EF}"/>
                            </a:ext>
                          </a:extLst>
                        </wp:docPr>
                        <wp:cNvGraphicFramePr/>
                        <a:graphic xmlns:a="http://schemas.openxmlformats.org/drawingml/2006/main">
                          <a:graphicData uri="http://schemas.openxmlformats.org/drawingml/2006/picture">
                            <pic:pic xmlns:pic="http://schemas.openxmlformats.org/drawingml/2006/picture">
                              <pic:nvPicPr>
                                <pic:cNvPr id="2" name="Picture 7" descr="A blue logo with a white background&#10;&#10;AI-generated content may be incorrect.">
                                  <a:extLst>
                                    <a:ext uri="{FF2B5EF4-FFF2-40B4-BE49-F238E27FC236}">
                                      <a16:creationId xmlns:a16="http://schemas.microsoft.com/office/drawing/2014/main" id="{4FE93631-0008-4A43-B9C7-EF7FE37AB9EF}"/>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2520" cy="8953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3D1BBB">
                    <w:rPr>
                      <w:rFonts w:ascii="Calibri" w:eastAsia="Times New Roman" w:hAnsi="Calibri" w:cs="Calibri"/>
                      <w:kern w:val="0"/>
                      <w:sz w:val="20"/>
                      <w:szCs w:val="20"/>
                      <w:lang w:eastAsia="en-GB"/>
                      <w14:ligatures w14:val="none"/>
                    </w:rPr>
                    <w:t> </w:t>
                  </w:r>
                </w:p>
              </w:tc>
            </w:tr>
            <w:tr w:rsidR="002D5C82" w:rsidRPr="003D1BBB" w14:paraId="7EC705BE" w14:textId="77777777" w:rsidTr="00AA4D71">
              <w:trPr>
                <w:trHeight w:val="450"/>
                <w:tblCellSpacing w:w="0" w:type="dxa"/>
              </w:trPr>
              <w:tc>
                <w:tcPr>
                  <w:tcW w:w="1789" w:type="dxa"/>
                  <w:vMerge/>
                  <w:tcBorders>
                    <w:top w:val="single" w:sz="8" w:space="0" w:color="auto"/>
                    <w:left w:val="single" w:sz="8" w:space="0" w:color="auto"/>
                    <w:bottom w:val="single" w:sz="8" w:space="0" w:color="000000"/>
                    <w:right w:val="single" w:sz="8" w:space="0" w:color="auto"/>
                  </w:tcBorders>
                  <w:vAlign w:val="center"/>
                  <w:hideMark/>
                </w:tcPr>
                <w:p w14:paraId="32EB0FB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r>
          </w:tbl>
          <w:p w14:paraId="34344C8D" w14:textId="77777777" w:rsidR="002D5C82" w:rsidRPr="003D1BBB" w:rsidRDefault="002D5C82" w:rsidP="00AA4D71">
            <w:pPr>
              <w:spacing w:after="0" w:line="240" w:lineRule="auto"/>
              <w:rPr>
                <w:rFonts w:ascii="Arial" w:eastAsia="Times New Roman" w:hAnsi="Arial" w:cs="Arial"/>
                <w:kern w:val="0"/>
                <w:sz w:val="20"/>
                <w:szCs w:val="20"/>
                <w:lang w:eastAsia="en-GB"/>
                <w14:ligatures w14:val="none"/>
              </w:rPr>
            </w:pPr>
          </w:p>
        </w:tc>
        <w:tc>
          <w:tcPr>
            <w:tcW w:w="485" w:type="pct"/>
            <w:vMerge w:val="restart"/>
            <w:tcBorders>
              <w:top w:val="single" w:sz="8" w:space="0" w:color="auto"/>
              <w:left w:val="single" w:sz="8" w:space="0" w:color="auto"/>
              <w:bottom w:val="single" w:sz="8" w:space="0" w:color="000000"/>
              <w:right w:val="single" w:sz="8" w:space="0" w:color="auto"/>
            </w:tcBorders>
            <w:noWrap/>
            <w:vAlign w:val="center"/>
            <w:hideMark/>
          </w:tcPr>
          <w:p w14:paraId="556980E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Alex Greenslade</w:t>
            </w:r>
          </w:p>
        </w:tc>
        <w:tc>
          <w:tcPr>
            <w:tcW w:w="3261" w:type="pct"/>
            <w:gridSpan w:val="8"/>
            <w:vMerge w:val="restart"/>
            <w:tcBorders>
              <w:top w:val="single" w:sz="8" w:space="0" w:color="auto"/>
              <w:left w:val="nil"/>
              <w:bottom w:val="nil"/>
              <w:right w:val="nil"/>
            </w:tcBorders>
            <w:noWrap/>
            <w:vAlign w:val="center"/>
            <w:hideMark/>
          </w:tcPr>
          <w:p w14:paraId="4B8238C4" w14:textId="77777777" w:rsidR="002D5C82" w:rsidRPr="003D1BBB" w:rsidRDefault="002D5C82" w:rsidP="00AA4D71">
            <w:pPr>
              <w:spacing w:after="0" w:line="240" w:lineRule="auto"/>
              <w:jc w:val="center"/>
              <w:rPr>
                <w:rFonts w:ascii="Calibri" w:eastAsia="Times New Roman" w:hAnsi="Calibri" w:cs="Calibri"/>
                <w:b/>
                <w:bCs/>
                <w:kern w:val="0"/>
                <w:sz w:val="48"/>
                <w:szCs w:val="48"/>
                <w:lang w:eastAsia="en-GB"/>
                <w14:ligatures w14:val="none"/>
              </w:rPr>
            </w:pPr>
            <w:r w:rsidRPr="003D1BBB">
              <w:rPr>
                <w:rFonts w:ascii="Calibri" w:eastAsia="Times New Roman" w:hAnsi="Calibri" w:cs="Calibri"/>
                <w:b/>
                <w:bCs/>
                <w:kern w:val="0"/>
                <w:sz w:val="48"/>
                <w:szCs w:val="48"/>
                <w:lang w:eastAsia="en-GB"/>
                <w14:ligatures w14:val="none"/>
              </w:rPr>
              <w:t>FAILURE MODE and EFFECTS ANALYSIS</w:t>
            </w:r>
          </w:p>
        </w:tc>
        <w:tc>
          <w:tcPr>
            <w:tcW w:w="528" w:type="pct"/>
            <w:vMerge w:val="restart"/>
            <w:tcBorders>
              <w:top w:val="single" w:sz="8" w:space="0" w:color="auto"/>
              <w:left w:val="single" w:sz="8" w:space="0" w:color="auto"/>
              <w:bottom w:val="single" w:sz="8" w:space="0" w:color="000000"/>
              <w:right w:val="single" w:sz="8" w:space="0" w:color="auto"/>
            </w:tcBorders>
            <w:noWrap/>
            <w:vAlign w:val="center"/>
            <w:hideMark/>
          </w:tcPr>
          <w:p w14:paraId="5DC888C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Rev. 1</w:t>
            </w:r>
          </w:p>
        </w:tc>
      </w:tr>
      <w:tr w:rsidR="002D5C82" w:rsidRPr="003D1BBB" w14:paraId="744EC5EB" w14:textId="77777777" w:rsidTr="00AA4D71">
        <w:trPr>
          <w:trHeight w:val="300"/>
        </w:trPr>
        <w:tc>
          <w:tcPr>
            <w:tcW w:w="209" w:type="pct"/>
            <w:vMerge/>
            <w:tcBorders>
              <w:top w:val="single" w:sz="8" w:space="0" w:color="auto"/>
              <w:left w:val="single" w:sz="8" w:space="0" w:color="auto"/>
              <w:bottom w:val="single" w:sz="8" w:space="0" w:color="000000"/>
              <w:right w:val="single" w:sz="8" w:space="0" w:color="auto"/>
            </w:tcBorders>
            <w:vAlign w:val="center"/>
            <w:hideMark/>
          </w:tcPr>
          <w:p w14:paraId="17570D8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33" w:type="pct"/>
            <w:vMerge/>
            <w:tcBorders>
              <w:top w:val="nil"/>
              <w:left w:val="nil"/>
              <w:bottom w:val="single" w:sz="8" w:space="0" w:color="000000"/>
              <w:right w:val="nil"/>
            </w:tcBorders>
            <w:vAlign w:val="center"/>
            <w:hideMark/>
          </w:tcPr>
          <w:p w14:paraId="01AF3297" w14:textId="77777777" w:rsidR="002D5C82" w:rsidRPr="003D1BBB" w:rsidRDefault="002D5C82" w:rsidP="00AA4D71">
            <w:pPr>
              <w:spacing w:after="0" w:line="240" w:lineRule="auto"/>
              <w:rPr>
                <w:rFonts w:ascii="Arial" w:eastAsia="Times New Roman" w:hAnsi="Arial" w:cs="Arial"/>
                <w:kern w:val="0"/>
                <w:sz w:val="20"/>
                <w:szCs w:val="20"/>
                <w:lang w:eastAsia="en-GB"/>
                <w14:ligatures w14:val="none"/>
              </w:rPr>
            </w:pPr>
          </w:p>
        </w:tc>
        <w:tc>
          <w:tcPr>
            <w:tcW w:w="485" w:type="pct"/>
            <w:vMerge/>
            <w:tcBorders>
              <w:top w:val="single" w:sz="8" w:space="0" w:color="auto"/>
              <w:left w:val="single" w:sz="8" w:space="0" w:color="auto"/>
              <w:bottom w:val="single" w:sz="8" w:space="0" w:color="000000"/>
              <w:right w:val="single" w:sz="8" w:space="0" w:color="auto"/>
            </w:tcBorders>
            <w:vAlign w:val="center"/>
            <w:hideMark/>
          </w:tcPr>
          <w:p w14:paraId="39347AF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3261" w:type="pct"/>
            <w:gridSpan w:val="8"/>
            <w:vMerge/>
            <w:tcBorders>
              <w:top w:val="single" w:sz="8" w:space="0" w:color="auto"/>
              <w:left w:val="nil"/>
              <w:bottom w:val="nil"/>
              <w:right w:val="nil"/>
            </w:tcBorders>
            <w:vAlign w:val="center"/>
            <w:hideMark/>
          </w:tcPr>
          <w:p w14:paraId="2D5DFA60" w14:textId="77777777" w:rsidR="002D5C82" w:rsidRPr="003D1BBB" w:rsidRDefault="002D5C82" w:rsidP="00AA4D71">
            <w:pPr>
              <w:spacing w:after="0" w:line="240" w:lineRule="auto"/>
              <w:rPr>
                <w:rFonts w:ascii="Calibri" w:eastAsia="Times New Roman" w:hAnsi="Calibri" w:cs="Calibri"/>
                <w:b/>
                <w:bCs/>
                <w:kern w:val="0"/>
                <w:sz w:val="48"/>
                <w:szCs w:val="48"/>
                <w:lang w:eastAsia="en-GB"/>
                <w14:ligatures w14:val="none"/>
              </w:rPr>
            </w:pPr>
          </w:p>
        </w:tc>
        <w:tc>
          <w:tcPr>
            <w:tcW w:w="528" w:type="pct"/>
            <w:vMerge/>
            <w:tcBorders>
              <w:top w:val="single" w:sz="8" w:space="0" w:color="auto"/>
              <w:left w:val="single" w:sz="8" w:space="0" w:color="auto"/>
              <w:bottom w:val="single" w:sz="8" w:space="0" w:color="000000"/>
              <w:right w:val="single" w:sz="8" w:space="0" w:color="auto"/>
            </w:tcBorders>
            <w:vAlign w:val="center"/>
            <w:hideMark/>
          </w:tcPr>
          <w:p w14:paraId="095AF88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tcBorders>
              <w:top w:val="nil"/>
              <w:left w:val="nil"/>
              <w:bottom w:val="nil"/>
              <w:right w:val="nil"/>
            </w:tcBorders>
            <w:noWrap/>
            <w:vAlign w:val="bottom"/>
            <w:hideMark/>
          </w:tcPr>
          <w:p w14:paraId="01FD7A7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r>
      <w:tr w:rsidR="002D5C82" w:rsidRPr="003D1BBB" w14:paraId="5F523E7E" w14:textId="77777777" w:rsidTr="00AA4D71">
        <w:trPr>
          <w:trHeight w:val="300"/>
        </w:trPr>
        <w:tc>
          <w:tcPr>
            <w:tcW w:w="209" w:type="pct"/>
            <w:vMerge/>
            <w:tcBorders>
              <w:top w:val="single" w:sz="8" w:space="0" w:color="auto"/>
              <w:left w:val="single" w:sz="8" w:space="0" w:color="auto"/>
              <w:bottom w:val="single" w:sz="8" w:space="0" w:color="000000"/>
              <w:right w:val="single" w:sz="8" w:space="0" w:color="auto"/>
            </w:tcBorders>
            <w:vAlign w:val="center"/>
            <w:hideMark/>
          </w:tcPr>
          <w:p w14:paraId="0D0BC12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33" w:type="pct"/>
            <w:vMerge/>
            <w:tcBorders>
              <w:top w:val="nil"/>
              <w:left w:val="nil"/>
              <w:bottom w:val="single" w:sz="8" w:space="0" w:color="000000"/>
              <w:right w:val="nil"/>
            </w:tcBorders>
            <w:vAlign w:val="center"/>
            <w:hideMark/>
          </w:tcPr>
          <w:p w14:paraId="16FE04F5" w14:textId="77777777" w:rsidR="002D5C82" w:rsidRPr="003D1BBB" w:rsidRDefault="002D5C82" w:rsidP="00AA4D71">
            <w:pPr>
              <w:spacing w:after="0" w:line="240" w:lineRule="auto"/>
              <w:rPr>
                <w:rFonts w:ascii="Arial" w:eastAsia="Times New Roman" w:hAnsi="Arial" w:cs="Arial"/>
                <w:kern w:val="0"/>
                <w:sz w:val="20"/>
                <w:szCs w:val="20"/>
                <w:lang w:eastAsia="en-GB"/>
                <w14:ligatures w14:val="none"/>
              </w:rPr>
            </w:pPr>
          </w:p>
        </w:tc>
        <w:tc>
          <w:tcPr>
            <w:tcW w:w="485" w:type="pct"/>
            <w:vMerge w:val="restart"/>
            <w:tcBorders>
              <w:top w:val="nil"/>
              <w:left w:val="single" w:sz="8" w:space="0" w:color="auto"/>
              <w:bottom w:val="single" w:sz="8" w:space="0" w:color="000000"/>
              <w:right w:val="single" w:sz="8" w:space="0" w:color="auto"/>
            </w:tcBorders>
            <w:noWrap/>
            <w:vAlign w:val="center"/>
            <w:hideMark/>
          </w:tcPr>
          <w:p w14:paraId="2A10F44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2216245</w:t>
            </w:r>
          </w:p>
        </w:tc>
        <w:tc>
          <w:tcPr>
            <w:tcW w:w="3261" w:type="pct"/>
            <w:gridSpan w:val="8"/>
            <w:vMerge w:val="restart"/>
            <w:tcBorders>
              <w:top w:val="nil"/>
              <w:left w:val="nil"/>
              <w:bottom w:val="single" w:sz="8" w:space="0" w:color="000000"/>
              <w:right w:val="nil"/>
            </w:tcBorders>
            <w:noWrap/>
            <w:vAlign w:val="center"/>
            <w:hideMark/>
          </w:tcPr>
          <w:p w14:paraId="677860B8" w14:textId="77777777" w:rsidR="002D5C82" w:rsidRPr="003D1BBB" w:rsidRDefault="002D5C82" w:rsidP="00AA4D71">
            <w:pPr>
              <w:spacing w:after="0" w:line="240" w:lineRule="auto"/>
              <w:jc w:val="center"/>
              <w:rPr>
                <w:rFonts w:ascii="Calibri" w:eastAsia="Times New Roman" w:hAnsi="Calibri" w:cs="Calibri"/>
                <w:b/>
                <w:bCs/>
                <w:kern w:val="0"/>
                <w:sz w:val="48"/>
                <w:szCs w:val="48"/>
                <w:lang w:eastAsia="en-GB"/>
                <w14:ligatures w14:val="none"/>
              </w:rPr>
            </w:pPr>
            <w:r w:rsidRPr="003D1BBB">
              <w:rPr>
                <w:rFonts w:ascii="Calibri" w:eastAsia="Times New Roman" w:hAnsi="Calibri" w:cs="Calibri"/>
                <w:b/>
                <w:bCs/>
                <w:kern w:val="0"/>
                <w:sz w:val="48"/>
                <w:szCs w:val="48"/>
                <w:lang w:eastAsia="en-GB"/>
                <w14:ligatures w14:val="none"/>
              </w:rPr>
              <w:t>On Import Slab Supply Chain</w:t>
            </w:r>
          </w:p>
        </w:tc>
        <w:tc>
          <w:tcPr>
            <w:tcW w:w="528" w:type="pct"/>
            <w:vMerge w:val="restart"/>
            <w:tcBorders>
              <w:top w:val="nil"/>
              <w:left w:val="single" w:sz="8" w:space="0" w:color="auto"/>
              <w:bottom w:val="single" w:sz="8" w:space="0" w:color="000000"/>
              <w:right w:val="single" w:sz="8" w:space="0" w:color="auto"/>
            </w:tcBorders>
            <w:noWrap/>
            <w:vAlign w:val="center"/>
            <w:hideMark/>
          </w:tcPr>
          <w:p w14:paraId="102368A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15-Nov-25</w:t>
            </w:r>
          </w:p>
        </w:tc>
        <w:tc>
          <w:tcPr>
            <w:tcW w:w="85" w:type="pct"/>
            <w:vAlign w:val="center"/>
            <w:hideMark/>
          </w:tcPr>
          <w:p w14:paraId="3971D702"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D34EBA9" w14:textId="77777777" w:rsidTr="00AA4D71">
        <w:trPr>
          <w:trHeight w:val="300"/>
        </w:trPr>
        <w:tc>
          <w:tcPr>
            <w:tcW w:w="209" w:type="pct"/>
            <w:vMerge/>
            <w:tcBorders>
              <w:top w:val="single" w:sz="8" w:space="0" w:color="auto"/>
              <w:left w:val="single" w:sz="8" w:space="0" w:color="auto"/>
              <w:bottom w:val="single" w:sz="8" w:space="0" w:color="000000"/>
              <w:right w:val="single" w:sz="8" w:space="0" w:color="auto"/>
            </w:tcBorders>
            <w:vAlign w:val="center"/>
            <w:hideMark/>
          </w:tcPr>
          <w:p w14:paraId="71344EA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33" w:type="pct"/>
            <w:vMerge/>
            <w:tcBorders>
              <w:top w:val="nil"/>
              <w:left w:val="nil"/>
              <w:bottom w:val="single" w:sz="8" w:space="0" w:color="000000"/>
              <w:right w:val="nil"/>
            </w:tcBorders>
            <w:vAlign w:val="center"/>
            <w:hideMark/>
          </w:tcPr>
          <w:p w14:paraId="7EBA1F33" w14:textId="77777777" w:rsidR="002D5C82" w:rsidRPr="003D1BBB" w:rsidRDefault="002D5C82" w:rsidP="00AA4D71">
            <w:pPr>
              <w:spacing w:after="0" w:line="240" w:lineRule="auto"/>
              <w:rPr>
                <w:rFonts w:ascii="Arial" w:eastAsia="Times New Roman" w:hAnsi="Arial" w:cs="Arial"/>
                <w:kern w:val="0"/>
                <w:sz w:val="20"/>
                <w:szCs w:val="20"/>
                <w:lang w:eastAsia="en-GB"/>
                <w14:ligatures w14:val="none"/>
              </w:rPr>
            </w:pPr>
          </w:p>
        </w:tc>
        <w:tc>
          <w:tcPr>
            <w:tcW w:w="485" w:type="pct"/>
            <w:vMerge/>
            <w:tcBorders>
              <w:top w:val="nil"/>
              <w:left w:val="single" w:sz="8" w:space="0" w:color="auto"/>
              <w:bottom w:val="single" w:sz="8" w:space="0" w:color="000000"/>
              <w:right w:val="single" w:sz="8" w:space="0" w:color="auto"/>
            </w:tcBorders>
            <w:vAlign w:val="center"/>
            <w:hideMark/>
          </w:tcPr>
          <w:p w14:paraId="454BF31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3261" w:type="pct"/>
            <w:gridSpan w:val="8"/>
            <w:vMerge/>
            <w:tcBorders>
              <w:top w:val="nil"/>
              <w:left w:val="nil"/>
              <w:bottom w:val="single" w:sz="8" w:space="0" w:color="000000"/>
              <w:right w:val="nil"/>
            </w:tcBorders>
            <w:vAlign w:val="center"/>
            <w:hideMark/>
          </w:tcPr>
          <w:p w14:paraId="0DBAAF07" w14:textId="77777777" w:rsidR="002D5C82" w:rsidRPr="003D1BBB" w:rsidRDefault="002D5C82" w:rsidP="00AA4D71">
            <w:pPr>
              <w:spacing w:after="0" w:line="240" w:lineRule="auto"/>
              <w:rPr>
                <w:rFonts w:ascii="Calibri" w:eastAsia="Times New Roman" w:hAnsi="Calibri" w:cs="Calibri"/>
                <w:b/>
                <w:bCs/>
                <w:kern w:val="0"/>
                <w:sz w:val="48"/>
                <w:szCs w:val="48"/>
                <w:lang w:eastAsia="en-GB"/>
                <w14:ligatures w14:val="none"/>
              </w:rPr>
            </w:pPr>
          </w:p>
        </w:tc>
        <w:tc>
          <w:tcPr>
            <w:tcW w:w="528" w:type="pct"/>
            <w:vMerge/>
            <w:tcBorders>
              <w:top w:val="nil"/>
              <w:left w:val="single" w:sz="8" w:space="0" w:color="auto"/>
              <w:bottom w:val="single" w:sz="8" w:space="0" w:color="000000"/>
              <w:right w:val="single" w:sz="8" w:space="0" w:color="auto"/>
            </w:tcBorders>
            <w:vAlign w:val="center"/>
            <w:hideMark/>
          </w:tcPr>
          <w:p w14:paraId="4DD94CF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tcBorders>
              <w:top w:val="nil"/>
              <w:left w:val="nil"/>
              <w:bottom w:val="nil"/>
              <w:right w:val="nil"/>
            </w:tcBorders>
            <w:noWrap/>
            <w:vAlign w:val="bottom"/>
            <w:hideMark/>
          </w:tcPr>
          <w:p w14:paraId="2469E2F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r>
      <w:tr w:rsidR="002D5C82" w:rsidRPr="003D1BBB" w14:paraId="362AC58B" w14:textId="77777777" w:rsidTr="00AA4D71">
        <w:trPr>
          <w:trHeight w:val="630"/>
        </w:trPr>
        <w:tc>
          <w:tcPr>
            <w:tcW w:w="209" w:type="pct"/>
            <w:tcBorders>
              <w:top w:val="nil"/>
              <w:left w:val="single" w:sz="8" w:space="0" w:color="auto"/>
              <w:bottom w:val="nil"/>
              <w:right w:val="nil"/>
            </w:tcBorders>
            <w:vAlign w:val="center"/>
            <w:hideMark/>
          </w:tcPr>
          <w:p w14:paraId="42416246" w14:textId="77777777" w:rsidR="002D5C82" w:rsidRPr="003D1BBB" w:rsidRDefault="002D5C82" w:rsidP="00AA4D71">
            <w:pPr>
              <w:spacing w:after="0" w:line="240" w:lineRule="auto"/>
              <w:jc w:val="center"/>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 </w:t>
            </w:r>
          </w:p>
        </w:tc>
        <w:tc>
          <w:tcPr>
            <w:tcW w:w="433" w:type="pct"/>
            <w:tcBorders>
              <w:top w:val="nil"/>
              <w:left w:val="nil"/>
              <w:bottom w:val="nil"/>
              <w:right w:val="nil"/>
            </w:tcBorders>
            <w:vAlign w:val="center"/>
            <w:hideMark/>
          </w:tcPr>
          <w:p w14:paraId="6163F3E4" w14:textId="77777777" w:rsidR="002D5C82" w:rsidRPr="003D1BBB" w:rsidRDefault="002D5C82" w:rsidP="00AA4D71">
            <w:pPr>
              <w:spacing w:after="0" w:line="240" w:lineRule="auto"/>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 </w:t>
            </w:r>
          </w:p>
        </w:tc>
        <w:tc>
          <w:tcPr>
            <w:tcW w:w="485" w:type="pct"/>
            <w:tcBorders>
              <w:top w:val="nil"/>
              <w:left w:val="nil"/>
              <w:bottom w:val="single" w:sz="8" w:space="0" w:color="auto"/>
              <w:right w:val="nil"/>
            </w:tcBorders>
            <w:vAlign w:val="center"/>
            <w:hideMark/>
          </w:tcPr>
          <w:p w14:paraId="52905136" w14:textId="77777777" w:rsidR="002D5C82" w:rsidRPr="003D1BBB" w:rsidRDefault="002D5C82" w:rsidP="00AA4D71">
            <w:pPr>
              <w:spacing w:after="0" w:line="240" w:lineRule="auto"/>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 </w:t>
            </w:r>
          </w:p>
        </w:tc>
        <w:tc>
          <w:tcPr>
            <w:tcW w:w="517" w:type="pct"/>
            <w:tcBorders>
              <w:top w:val="nil"/>
              <w:left w:val="nil"/>
              <w:bottom w:val="single" w:sz="8" w:space="0" w:color="auto"/>
              <w:right w:val="nil"/>
            </w:tcBorders>
            <w:vAlign w:val="center"/>
            <w:hideMark/>
          </w:tcPr>
          <w:p w14:paraId="0588673A" w14:textId="77777777" w:rsidR="002D5C82" w:rsidRPr="003D1BBB" w:rsidRDefault="002D5C82" w:rsidP="00AA4D71">
            <w:pPr>
              <w:spacing w:after="0" w:line="240" w:lineRule="auto"/>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 </w:t>
            </w:r>
          </w:p>
        </w:tc>
        <w:tc>
          <w:tcPr>
            <w:tcW w:w="161" w:type="pct"/>
            <w:tcBorders>
              <w:top w:val="nil"/>
              <w:left w:val="nil"/>
              <w:bottom w:val="single" w:sz="8" w:space="0" w:color="auto"/>
              <w:right w:val="nil"/>
            </w:tcBorders>
            <w:noWrap/>
            <w:textDirection w:val="tbRl"/>
            <w:vAlign w:val="center"/>
            <w:hideMark/>
          </w:tcPr>
          <w:p w14:paraId="5CECD10B" w14:textId="77777777" w:rsidR="002D5C82" w:rsidRPr="003D1BBB" w:rsidRDefault="002D5C82" w:rsidP="00AA4D71">
            <w:pPr>
              <w:spacing w:after="0" w:line="240" w:lineRule="auto"/>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 </w:t>
            </w:r>
          </w:p>
        </w:tc>
        <w:tc>
          <w:tcPr>
            <w:tcW w:w="614" w:type="pct"/>
            <w:tcBorders>
              <w:top w:val="nil"/>
              <w:left w:val="nil"/>
              <w:bottom w:val="single" w:sz="8" w:space="0" w:color="auto"/>
              <w:right w:val="nil"/>
            </w:tcBorders>
            <w:vAlign w:val="center"/>
            <w:hideMark/>
          </w:tcPr>
          <w:p w14:paraId="041C7CF3" w14:textId="77777777" w:rsidR="002D5C82" w:rsidRPr="003D1BBB" w:rsidRDefault="002D5C82" w:rsidP="00AA4D71">
            <w:pPr>
              <w:spacing w:after="0" w:line="240" w:lineRule="auto"/>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 </w:t>
            </w:r>
          </w:p>
        </w:tc>
        <w:tc>
          <w:tcPr>
            <w:tcW w:w="226" w:type="pct"/>
            <w:tcBorders>
              <w:top w:val="nil"/>
              <w:left w:val="nil"/>
              <w:bottom w:val="single" w:sz="8" w:space="0" w:color="auto"/>
              <w:right w:val="nil"/>
            </w:tcBorders>
            <w:vAlign w:val="center"/>
            <w:hideMark/>
          </w:tcPr>
          <w:p w14:paraId="53F2239C" w14:textId="77777777" w:rsidR="002D5C82" w:rsidRPr="003D1BBB" w:rsidRDefault="002D5C82" w:rsidP="00AA4D71">
            <w:pPr>
              <w:spacing w:after="0" w:line="240" w:lineRule="auto"/>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 </w:t>
            </w:r>
          </w:p>
        </w:tc>
        <w:tc>
          <w:tcPr>
            <w:tcW w:w="710" w:type="pct"/>
            <w:tcBorders>
              <w:top w:val="nil"/>
              <w:left w:val="nil"/>
              <w:bottom w:val="single" w:sz="8" w:space="0" w:color="auto"/>
              <w:right w:val="nil"/>
            </w:tcBorders>
            <w:vAlign w:val="center"/>
            <w:hideMark/>
          </w:tcPr>
          <w:p w14:paraId="0B4CED65" w14:textId="77777777" w:rsidR="002D5C82" w:rsidRPr="003D1BBB" w:rsidRDefault="002D5C82" w:rsidP="00AA4D71">
            <w:pPr>
              <w:spacing w:after="0" w:line="240" w:lineRule="auto"/>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 </w:t>
            </w:r>
          </w:p>
        </w:tc>
        <w:tc>
          <w:tcPr>
            <w:tcW w:w="161" w:type="pct"/>
            <w:tcBorders>
              <w:top w:val="nil"/>
              <w:left w:val="nil"/>
              <w:bottom w:val="single" w:sz="8" w:space="0" w:color="auto"/>
              <w:right w:val="nil"/>
            </w:tcBorders>
            <w:noWrap/>
            <w:textDirection w:val="tbRl"/>
            <w:vAlign w:val="center"/>
            <w:hideMark/>
          </w:tcPr>
          <w:p w14:paraId="213BE760" w14:textId="77777777" w:rsidR="002D5C82" w:rsidRPr="003D1BBB" w:rsidRDefault="002D5C82" w:rsidP="00AA4D71">
            <w:pPr>
              <w:spacing w:after="0" w:line="240" w:lineRule="auto"/>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 </w:t>
            </w:r>
          </w:p>
        </w:tc>
        <w:tc>
          <w:tcPr>
            <w:tcW w:w="226" w:type="pct"/>
            <w:tcBorders>
              <w:top w:val="nil"/>
              <w:left w:val="nil"/>
              <w:bottom w:val="single" w:sz="8" w:space="0" w:color="auto"/>
              <w:right w:val="nil"/>
            </w:tcBorders>
            <w:noWrap/>
            <w:textDirection w:val="tbRl"/>
            <w:vAlign w:val="center"/>
            <w:hideMark/>
          </w:tcPr>
          <w:p w14:paraId="122823BF" w14:textId="77777777" w:rsidR="002D5C82" w:rsidRPr="003D1BBB" w:rsidRDefault="002D5C82" w:rsidP="00AA4D71">
            <w:pPr>
              <w:spacing w:after="0" w:line="240" w:lineRule="auto"/>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 </w:t>
            </w:r>
          </w:p>
        </w:tc>
        <w:tc>
          <w:tcPr>
            <w:tcW w:w="646" w:type="pct"/>
            <w:tcBorders>
              <w:top w:val="nil"/>
              <w:left w:val="nil"/>
              <w:bottom w:val="nil"/>
              <w:right w:val="single" w:sz="4" w:space="0" w:color="auto"/>
            </w:tcBorders>
            <w:vAlign w:val="center"/>
            <w:hideMark/>
          </w:tcPr>
          <w:p w14:paraId="28F01002" w14:textId="77777777" w:rsidR="002D5C82" w:rsidRPr="003D1BBB" w:rsidRDefault="002D5C82" w:rsidP="00AA4D71">
            <w:pPr>
              <w:spacing w:after="0" w:line="240" w:lineRule="auto"/>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 </w:t>
            </w:r>
          </w:p>
        </w:tc>
        <w:tc>
          <w:tcPr>
            <w:tcW w:w="528" w:type="pct"/>
            <w:tcBorders>
              <w:top w:val="nil"/>
              <w:left w:val="nil"/>
              <w:bottom w:val="nil"/>
              <w:right w:val="single" w:sz="4" w:space="0" w:color="auto"/>
            </w:tcBorders>
            <w:vAlign w:val="center"/>
            <w:hideMark/>
          </w:tcPr>
          <w:p w14:paraId="1CA2EA5B" w14:textId="77777777" w:rsidR="002D5C82" w:rsidRPr="003D1BBB" w:rsidRDefault="002D5C82" w:rsidP="00AA4D71">
            <w:pPr>
              <w:spacing w:after="0" w:line="240" w:lineRule="auto"/>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 </w:t>
            </w:r>
          </w:p>
        </w:tc>
        <w:tc>
          <w:tcPr>
            <w:tcW w:w="85" w:type="pct"/>
            <w:vAlign w:val="center"/>
            <w:hideMark/>
          </w:tcPr>
          <w:p w14:paraId="31055F6E"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AD127F1" w14:textId="77777777" w:rsidTr="00AA4D71">
        <w:trPr>
          <w:trHeight w:val="1425"/>
        </w:trPr>
        <w:tc>
          <w:tcPr>
            <w:tcW w:w="209" w:type="pct"/>
            <w:tcBorders>
              <w:top w:val="single" w:sz="8" w:space="0" w:color="auto"/>
              <w:left w:val="single" w:sz="8" w:space="0" w:color="auto"/>
              <w:bottom w:val="nil"/>
              <w:right w:val="single" w:sz="4" w:space="0" w:color="auto"/>
            </w:tcBorders>
            <w:noWrap/>
            <w:vAlign w:val="center"/>
            <w:hideMark/>
          </w:tcPr>
          <w:p w14:paraId="21E9436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roofErr w:type="spellStart"/>
            <w:r w:rsidRPr="003D1BBB">
              <w:rPr>
                <w:rFonts w:ascii="Calibri" w:eastAsia="Times New Roman" w:hAnsi="Calibri" w:cs="Calibri"/>
                <w:kern w:val="0"/>
                <w:sz w:val="20"/>
                <w:szCs w:val="20"/>
                <w:lang w:eastAsia="en-GB"/>
                <w14:ligatures w14:val="none"/>
              </w:rPr>
              <w:t>Seq</w:t>
            </w:r>
            <w:proofErr w:type="spellEnd"/>
          </w:p>
        </w:tc>
        <w:tc>
          <w:tcPr>
            <w:tcW w:w="433" w:type="pct"/>
            <w:tcBorders>
              <w:top w:val="single" w:sz="8" w:space="0" w:color="auto"/>
              <w:left w:val="nil"/>
              <w:bottom w:val="nil"/>
              <w:right w:val="single" w:sz="4" w:space="0" w:color="auto"/>
            </w:tcBorders>
            <w:noWrap/>
            <w:vAlign w:val="center"/>
            <w:hideMark/>
          </w:tcPr>
          <w:p w14:paraId="0CCAD0EF" w14:textId="77777777" w:rsidR="002D5C82" w:rsidRPr="003D1BBB" w:rsidRDefault="002D5C82" w:rsidP="00AA4D71">
            <w:pPr>
              <w:spacing w:after="0" w:line="240" w:lineRule="auto"/>
              <w:jc w:val="center"/>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Area</w:t>
            </w:r>
          </w:p>
        </w:tc>
        <w:tc>
          <w:tcPr>
            <w:tcW w:w="485" w:type="pct"/>
            <w:tcBorders>
              <w:top w:val="nil"/>
              <w:left w:val="nil"/>
              <w:bottom w:val="nil"/>
              <w:right w:val="single" w:sz="4" w:space="0" w:color="auto"/>
            </w:tcBorders>
            <w:vAlign w:val="center"/>
            <w:hideMark/>
          </w:tcPr>
          <w:p w14:paraId="5BBE1B7E" w14:textId="77777777" w:rsidR="002D5C82" w:rsidRPr="003D1BBB" w:rsidRDefault="002D5C82" w:rsidP="00AA4D71">
            <w:pPr>
              <w:spacing w:after="0" w:line="240" w:lineRule="auto"/>
              <w:jc w:val="center"/>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Potential Failure Mode</w:t>
            </w:r>
          </w:p>
        </w:tc>
        <w:tc>
          <w:tcPr>
            <w:tcW w:w="517" w:type="pct"/>
            <w:tcBorders>
              <w:top w:val="nil"/>
              <w:left w:val="nil"/>
              <w:bottom w:val="nil"/>
              <w:right w:val="single" w:sz="4" w:space="0" w:color="auto"/>
            </w:tcBorders>
            <w:vAlign w:val="center"/>
            <w:hideMark/>
          </w:tcPr>
          <w:p w14:paraId="2731933B" w14:textId="77777777" w:rsidR="002D5C82" w:rsidRPr="003D1BBB" w:rsidRDefault="002D5C82" w:rsidP="00AA4D71">
            <w:pPr>
              <w:spacing w:after="0" w:line="240" w:lineRule="auto"/>
              <w:jc w:val="center"/>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Potential Effects of Failure</w:t>
            </w:r>
          </w:p>
        </w:tc>
        <w:tc>
          <w:tcPr>
            <w:tcW w:w="161" w:type="pct"/>
            <w:tcBorders>
              <w:top w:val="nil"/>
              <w:left w:val="nil"/>
              <w:bottom w:val="nil"/>
              <w:right w:val="single" w:sz="4" w:space="0" w:color="auto"/>
            </w:tcBorders>
            <w:noWrap/>
            <w:textDirection w:val="tbRl"/>
            <w:vAlign w:val="center"/>
            <w:hideMark/>
          </w:tcPr>
          <w:p w14:paraId="33EA0BD6" w14:textId="77777777" w:rsidR="002D5C82" w:rsidRPr="003D1BBB" w:rsidRDefault="002D5C82" w:rsidP="00AA4D71">
            <w:pPr>
              <w:spacing w:after="0" w:line="240" w:lineRule="auto"/>
              <w:jc w:val="center"/>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Severity</w:t>
            </w:r>
          </w:p>
        </w:tc>
        <w:tc>
          <w:tcPr>
            <w:tcW w:w="614" w:type="pct"/>
            <w:tcBorders>
              <w:top w:val="nil"/>
              <w:left w:val="nil"/>
              <w:bottom w:val="nil"/>
              <w:right w:val="single" w:sz="4" w:space="0" w:color="auto"/>
            </w:tcBorders>
            <w:vAlign w:val="center"/>
            <w:hideMark/>
          </w:tcPr>
          <w:p w14:paraId="34D4DC92" w14:textId="77777777" w:rsidR="002D5C82" w:rsidRPr="003D1BBB" w:rsidRDefault="002D5C82" w:rsidP="00AA4D71">
            <w:pPr>
              <w:spacing w:after="0" w:line="240" w:lineRule="auto"/>
              <w:jc w:val="center"/>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Potential Causes of Failure</w:t>
            </w:r>
          </w:p>
        </w:tc>
        <w:tc>
          <w:tcPr>
            <w:tcW w:w="226" w:type="pct"/>
            <w:tcBorders>
              <w:top w:val="nil"/>
              <w:left w:val="nil"/>
              <w:bottom w:val="nil"/>
              <w:right w:val="single" w:sz="4" w:space="0" w:color="auto"/>
            </w:tcBorders>
            <w:noWrap/>
            <w:textDirection w:val="tbRl"/>
            <w:vAlign w:val="center"/>
            <w:hideMark/>
          </w:tcPr>
          <w:p w14:paraId="651E9FFC" w14:textId="77777777" w:rsidR="002D5C82" w:rsidRPr="003D1BBB" w:rsidRDefault="002D5C82" w:rsidP="00AA4D71">
            <w:pPr>
              <w:spacing w:after="0" w:line="240" w:lineRule="auto"/>
              <w:jc w:val="center"/>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Occurrence</w:t>
            </w:r>
          </w:p>
        </w:tc>
        <w:tc>
          <w:tcPr>
            <w:tcW w:w="710" w:type="pct"/>
            <w:tcBorders>
              <w:top w:val="nil"/>
              <w:left w:val="nil"/>
              <w:bottom w:val="nil"/>
              <w:right w:val="single" w:sz="4" w:space="0" w:color="auto"/>
            </w:tcBorders>
            <w:vAlign w:val="center"/>
            <w:hideMark/>
          </w:tcPr>
          <w:p w14:paraId="62EC634E" w14:textId="77777777" w:rsidR="002D5C82" w:rsidRPr="003D1BBB" w:rsidRDefault="002D5C82" w:rsidP="00AA4D71">
            <w:pPr>
              <w:spacing w:after="0" w:line="240" w:lineRule="auto"/>
              <w:jc w:val="center"/>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Preventative Measures</w:t>
            </w:r>
          </w:p>
        </w:tc>
        <w:tc>
          <w:tcPr>
            <w:tcW w:w="161" w:type="pct"/>
            <w:tcBorders>
              <w:top w:val="nil"/>
              <w:left w:val="nil"/>
              <w:bottom w:val="nil"/>
              <w:right w:val="single" w:sz="4" w:space="0" w:color="auto"/>
            </w:tcBorders>
            <w:noWrap/>
            <w:textDirection w:val="tbRl"/>
            <w:vAlign w:val="center"/>
            <w:hideMark/>
          </w:tcPr>
          <w:p w14:paraId="21AAA298" w14:textId="77777777" w:rsidR="002D5C82" w:rsidRPr="003D1BBB" w:rsidRDefault="002D5C82" w:rsidP="00AA4D71">
            <w:pPr>
              <w:spacing w:after="0" w:line="240" w:lineRule="auto"/>
              <w:jc w:val="center"/>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Detection</w:t>
            </w:r>
          </w:p>
        </w:tc>
        <w:tc>
          <w:tcPr>
            <w:tcW w:w="226" w:type="pct"/>
            <w:tcBorders>
              <w:top w:val="nil"/>
              <w:left w:val="nil"/>
              <w:bottom w:val="nil"/>
              <w:right w:val="single" w:sz="4" w:space="0" w:color="auto"/>
            </w:tcBorders>
            <w:noWrap/>
            <w:textDirection w:val="tbRl"/>
            <w:vAlign w:val="center"/>
            <w:hideMark/>
          </w:tcPr>
          <w:p w14:paraId="2A2C7358" w14:textId="77777777" w:rsidR="002D5C82" w:rsidRPr="003D1BBB" w:rsidRDefault="002D5C82" w:rsidP="00AA4D71">
            <w:pPr>
              <w:spacing w:after="0" w:line="240" w:lineRule="auto"/>
              <w:jc w:val="center"/>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R.P.N.</w:t>
            </w:r>
          </w:p>
        </w:tc>
        <w:tc>
          <w:tcPr>
            <w:tcW w:w="646" w:type="pct"/>
            <w:tcBorders>
              <w:top w:val="single" w:sz="8" w:space="0" w:color="auto"/>
              <w:left w:val="nil"/>
              <w:bottom w:val="nil"/>
              <w:right w:val="single" w:sz="4" w:space="0" w:color="auto"/>
            </w:tcBorders>
            <w:vAlign w:val="center"/>
            <w:hideMark/>
          </w:tcPr>
          <w:p w14:paraId="0651AD72" w14:textId="77777777" w:rsidR="002D5C82" w:rsidRPr="003D1BBB" w:rsidRDefault="002D5C82" w:rsidP="00AA4D71">
            <w:pPr>
              <w:spacing w:after="0" w:line="240" w:lineRule="auto"/>
              <w:jc w:val="center"/>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Recommended Actions</w:t>
            </w:r>
          </w:p>
        </w:tc>
        <w:tc>
          <w:tcPr>
            <w:tcW w:w="528" w:type="pct"/>
            <w:tcBorders>
              <w:top w:val="single" w:sz="8" w:space="0" w:color="auto"/>
              <w:left w:val="nil"/>
              <w:bottom w:val="nil"/>
              <w:right w:val="single" w:sz="4" w:space="0" w:color="auto"/>
            </w:tcBorders>
            <w:vAlign w:val="center"/>
            <w:hideMark/>
          </w:tcPr>
          <w:p w14:paraId="0677A3EB" w14:textId="77777777" w:rsidR="002D5C82" w:rsidRPr="003D1BBB" w:rsidRDefault="002D5C82" w:rsidP="00AA4D71">
            <w:pPr>
              <w:spacing w:after="0" w:line="240" w:lineRule="auto"/>
              <w:jc w:val="center"/>
              <w:rPr>
                <w:rFonts w:ascii="Calibri" w:eastAsia="Times New Roman" w:hAnsi="Calibri" w:cs="Calibri"/>
                <w:b/>
                <w:bCs/>
                <w:kern w:val="0"/>
                <w:sz w:val="24"/>
                <w:szCs w:val="24"/>
                <w:lang w:eastAsia="en-GB"/>
                <w14:ligatures w14:val="none"/>
              </w:rPr>
            </w:pPr>
            <w:r w:rsidRPr="003D1BBB">
              <w:rPr>
                <w:rFonts w:ascii="Calibri" w:eastAsia="Times New Roman" w:hAnsi="Calibri" w:cs="Calibri"/>
                <w:b/>
                <w:bCs/>
                <w:kern w:val="0"/>
                <w:sz w:val="24"/>
                <w:szCs w:val="24"/>
                <w:lang w:eastAsia="en-GB"/>
                <w14:ligatures w14:val="none"/>
              </w:rPr>
              <w:t>Responsible</w:t>
            </w:r>
          </w:p>
        </w:tc>
        <w:tc>
          <w:tcPr>
            <w:tcW w:w="85" w:type="pct"/>
            <w:vAlign w:val="center"/>
            <w:hideMark/>
          </w:tcPr>
          <w:p w14:paraId="36D81602"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B8BD11F" w14:textId="77777777" w:rsidTr="00AA4D71">
        <w:trPr>
          <w:trHeight w:val="780"/>
        </w:trPr>
        <w:tc>
          <w:tcPr>
            <w:tcW w:w="209" w:type="pct"/>
            <w:tcBorders>
              <w:top w:val="single" w:sz="4" w:space="0" w:color="auto"/>
              <w:left w:val="single" w:sz="4" w:space="0" w:color="auto"/>
              <w:bottom w:val="single" w:sz="4" w:space="0" w:color="auto"/>
              <w:right w:val="single" w:sz="4" w:space="0" w:color="auto"/>
            </w:tcBorders>
            <w:noWrap/>
            <w:vAlign w:val="center"/>
            <w:hideMark/>
          </w:tcPr>
          <w:p w14:paraId="64F5FA8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w:t>
            </w:r>
          </w:p>
        </w:tc>
        <w:tc>
          <w:tcPr>
            <w:tcW w:w="433" w:type="pct"/>
            <w:vMerge w:val="restart"/>
            <w:tcBorders>
              <w:top w:val="single" w:sz="4" w:space="0" w:color="auto"/>
              <w:left w:val="single" w:sz="4" w:space="0" w:color="auto"/>
              <w:bottom w:val="single" w:sz="4" w:space="0" w:color="000000"/>
              <w:right w:val="single" w:sz="4" w:space="0" w:color="auto"/>
            </w:tcBorders>
            <w:vAlign w:val="center"/>
            <w:hideMark/>
          </w:tcPr>
          <w:p w14:paraId="4B98ECC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Production</w:t>
            </w:r>
          </w:p>
        </w:tc>
        <w:tc>
          <w:tcPr>
            <w:tcW w:w="485" w:type="pct"/>
            <w:vMerge w:val="restart"/>
            <w:tcBorders>
              <w:top w:val="single" w:sz="4" w:space="0" w:color="auto"/>
              <w:left w:val="single" w:sz="4" w:space="0" w:color="auto"/>
              <w:bottom w:val="single" w:sz="4" w:space="0" w:color="000000"/>
              <w:right w:val="single" w:sz="4" w:space="0" w:color="auto"/>
            </w:tcBorders>
            <w:vAlign w:val="center"/>
            <w:hideMark/>
          </w:tcPr>
          <w:p w14:paraId="44C1538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Chemical Composition Failure</w:t>
            </w:r>
          </w:p>
        </w:tc>
        <w:tc>
          <w:tcPr>
            <w:tcW w:w="517" w:type="pct"/>
            <w:vMerge w:val="restart"/>
            <w:tcBorders>
              <w:top w:val="single" w:sz="4" w:space="0" w:color="auto"/>
              <w:left w:val="single" w:sz="4" w:space="0" w:color="auto"/>
              <w:bottom w:val="nil"/>
              <w:right w:val="single" w:sz="4" w:space="0" w:color="auto"/>
            </w:tcBorders>
            <w:vAlign w:val="center"/>
            <w:hideMark/>
          </w:tcPr>
          <w:p w14:paraId="47AF5BA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Incorrect Mechanical Properties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2D5D0E0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single" w:sz="4" w:space="0" w:color="auto"/>
              <w:left w:val="nil"/>
              <w:bottom w:val="single" w:sz="4" w:space="0" w:color="auto"/>
              <w:right w:val="single" w:sz="4" w:space="0" w:color="auto"/>
            </w:tcBorders>
            <w:vAlign w:val="center"/>
            <w:hideMark/>
          </w:tcPr>
          <w:p w14:paraId="65F0315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Incorrect alloy additions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AA251D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single" w:sz="4" w:space="0" w:color="auto"/>
              <w:left w:val="nil"/>
              <w:bottom w:val="single" w:sz="4" w:space="0" w:color="auto"/>
              <w:right w:val="single" w:sz="4" w:space="0" w:color="auto"/>
            </w:tcBorders>
            <w:vAlign w:val="center"/>
            <w:hideMark/>
          </w:tcPr>
          <w:p w14:paraId="502A808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Require certified chemistry &amp; metallurgical reports for each slab</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99138E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33F929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single" w:sz="4" w:space="0" w:color="auto"/>
              <w:left w:val="nil"/>
              <w:bottom w:val="single" w:sz="4" w:space="0" w:color="auto"/>
              <w:right w:val="single" w:sz="4" w:space="0" w:color="auto"/>
            </w:tcBorders>
            <w:vAlign w:val="center"/>
            <w:hideMark/>
          </w:tcPr>
          <w:p w14:paraId="58E75A9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Introduce mandatory incoming chemical analysis for all critical heats with hold until pass in spec</w:t>
            </w:r>
          </w:p>
        </w:tc>
        <w:tc>
          <w:tcPr>
            <w:tcW w:w="528" w:type="pct"/>
            <w:tcBorders>
              <w:top w:val="single" w:sz="4" w:space="0" w:color="auto"/>
              <w:left w:val="nil"/>
              <w:bottom w:val="single" w:sz="4" w:space="0" w:color="auto"/>
              <w:right w:val="single" w:sz="4" w:space="0" w:color="auto"/>
            </w:tcBorders>
            <w:vAlign w:val="center"/>
            <w:hideMark/>
          </w:tcPr>
          <w:p w14:paraId="3E8AFB0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74CCB01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25C7724"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6DE274C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23A7643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7BB7A8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nil"/>
              <w:right w:val="single" w:sz="4" w:space="0" w:color="auto"/>
            </w:tcBorders>
            <w:vAlign w:val="center"/>
            <w:hideMark/>
          </w:tcPr>
          <w:p w14:paraId="1E59496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626156D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B4C99C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Inaccurate melting/tapping practises at cast house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4B4E2F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3A746FA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Enforce supplier qualification with metallurgical audits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FED3E6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B7FC73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vAlign w:val="center"/>
            <w:hideMark/>
          </w:tcPr>
          <w:p w14:paraId="200B567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Add supplier corrective action plans for recurring chemistry deviations </w:t>
            </w:r>
          </w:p>
        </w:tc>
        <w:tc>
          <w:tcPr>
            <w:tcW w:w="528" w:type="pct"/>
            <w:tcBorders>
              <w:top w:val="nil"/>
              <w:left w:val="nil"/>
              <w:bottom w:val="single" w:sz="4" w:space="0" w:color="auto"/>
              <w:right w:val="single" w:sz="4" w:space="0" w:color="auto"/>
            </w:tcBorders>
            <w:vAlign w:val="center"/>
            <w:hideMark/>
          </w:tcPr>
          <w:p w14:paraId="6E01BF7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541B321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2DF317A"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2053661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3A7F405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3ED3285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nil"/>
              <w:right w:val="single" w:sz="4" w:space="0" w:color="auto"/>
            </w:tcBorders>
            <w:vAlign w:val="center"/>
            <w:hideMark/>
          </w:tcPr>
          <w:p w14:paraId="45C02F7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8E973C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nil"/>
              <w:right w:val="nil"/>
            </w:tcBorders>
            <w:vAlign w:val="center"/>
            <w:hideMark/>
          </w:tcPr>
          <w:p w14:paraId="2F0B255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cooling rate control</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9A4F75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28B191E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Cooling rates and heat treatment requirement in contracts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F3842A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C630AA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vAlign w:val="center"/>
            <w:hideMark/>
          </w:tcPr>
          <w:p w14:paraId="2E9C11F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Update procurement specs to include max allowable element tolerances</w:t>
            </w:r>
          </w:p>
        </w:tc>
        <w:tc>
          <w:tcPr>
            <w:tcW w:w="528" w:type="pct"/>
            <w:tcBorders>
              <w:top w:val="nil"/>
              <w:left w:val="nil"/>
              <w:bottom w:val="single" w:sz="4" w:space="0" w:color="auto"/>
              <w:right w:val="single" w:sz="4" w:space="0" w:color="auto"/>
            </w:tcBorders>
            <w:vAlign w:val="center"/>
            <w:hideMark/>
          </w:tcPr>
          <w:p w14:paraId="346A093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62F09709"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467F81D"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0779DC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6918894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D5641D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nil"/>
              <w:right w:val="single" w:sz="4" w:space="0" w:color="auto"/>
            </w:tcBorders>
            <w:vAlign w:val="center"/>
            <w:hideMark/>
          </w:tcPr>
          <w:p w14:paraId="21292DB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43CBF0D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single" w:sz="4" w:space="0" w:color="auto"/>
              <w:left w:val="nil"/>
              <w:bottom w:val="single" w:sz="4" w:space="0" w:color="auto"/>
              <w:right w:val="single" w:sz="4" w:space="0" w:color="auto"/>
            </w:tcBorders>
            <w:vAlign w:val="center"/>
            <w:hideMark/>
          </w:tcPr>
          <w:p w14:paraId="01E351C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Contamination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8C4374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6A8A44D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Inbound visual checks and stored </w:t>
            </w:r>
            <w:r w:rsidRPr="003D1BBB">
              <w:rPr>
                <w:rFonts w:ascii="Calibri" w:eastAsia="Times New Roman" w:hAnsi="Calibri" w:cs="Calibri"/>
                <w:kern w:val="0"/>
                <w:sz w:val="20"/>
                <w:szCs w:val="20"/>
                <w:lang w:eastAsia="en-GB"/>
                <w14:ligatures w14:val="none"/>
              </w:rPr>
              <w:lastRenderedPageBreak/>
              <w:t xml:space="preserve">under </w:t>
            </w:r>
            <w:proofErr w:type="gramStart"/>
            <w:r w:rsidRPr="003D1BBB">
              <w:rPr>
                <w:rFonts w:ascii="Calibri" w:eastAsia="Times New Roman" w:hAnsi="Calibri" w:cs="Calibri"/>
                <w:kern w:val="0"/>
                <w:sz w:val="20"/>
                <w:szCs w:val="20"/>
                <w:lang w:eastAsia="en-GB"/>
                <w14:ligatures w14:val="none"/>
              </w:rPr>
              <w:t>contamination controlled</w:t>
            </w:r>
            <w:proofErr w:type="gramEnd"/>
            <w:r w:rsidRPr="003D1BBB">
              <w:rPr>
                <w:rFonts w:ascii="Calibri" w:eastAsia="Times New Roman" w:hAnsi="Calibri" w:cs="Calibri"/>
                <w:kern w:val="0"/>
                <w:sz w:val="20"/>
                <w:szCs w:val="20"/>
                <w:lang w:eastAsia="en-GB"/>
                <w14:ligatures w14:val="none"/>
              </w:rPr>
              <w:t xml:space="preserve"> conditions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57EC71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BA9226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tcBorders>
              <w:top w:val="nil"/>
              <w:left w:val="nil"/>
              <w:bottom w:val="single" w:sz="4" w:space="0" w:color="auto"/>
              <w:right w:val="single" w:sz="4" w:space="0" w:color="auto"/>
            </w:tcBorders>
            <w:vAlign w:val="center"/>
            <w:hideMark/>
          </w:tcPr>
          <w:p w14:paraId="2299FA8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Establish trending of incoming mech test results and </w:t>
            </w:r>
            <w:r w:rsidRPr="003D1BBB">
              <w:rPr>
                <w:rFonts w:ascii="Calibri" w:eastAsia="Times New Roman" w:hAnsi="Calibri" w:cs="Calibri"/>
                <w:kern w:val="0"/>
                <w:sz w:val="20"/>
                <w:szCs w:val="20"/>
                <w:lang w:eastAsia="en-GB"/>
                <w14:ligatures w14:val="none"/>
              </w:rPr>
              <w:lastRenderedPageBreak/>
              <w:t>improve escalation methods when limits approached</w:t>
            </w:r>
          </w:p>
        </w:tc>
        <w:tc>
          <w:tcPr>
            <w:tcW w:w="528" w:type="pct"/>
            <w:tcBorders>
              <w:top w:val="nil"/>
              <w:left w:val="nil"/>
              <w:bottom w:val="single" w:sz="4" w:space="0" w:color="auto"/>
              <w:right w:val="single" w:sz="4" w:space="0" w:color="auto"/>
            </w:tcBorders>
            <w:vAlign w:val="center"/>
            <w:hideMark/>
          </w:tcPr>
          <w:p w14:paraId="082DB5F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Port Talbot Technical</w:t>
            </w:r>
          </w:p>
        </w:tc>
        <w:tc>
          <w:tcPr>
            <w:tcW w:w="85" w:type="pct"/>
            <w:vAlign w:val="center"/>
            <w:hideMark/>
          </w:tcPr>
          <w:p w14:paraId="5CAB5851"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C701DC6"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13A63E7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6BB70B1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8320DA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single" w:sz="4" w:space="0" w:color="auto"/>
              <w:left w:val="single" w:sz="4" w:space="0" w:color="auto"/>
              <w:bottom w:val="single" w:sz="4" w:space="0" w:color="000000"/>
              <w:right w:val="single" w:sz="4" w:space="0" w:color="auto"/>
            </w:tcBorders>
            <w:vAlign w:val="center"/>
            <w:hideMark/>
          </w:tcPr>
          <w:p w14:paraId="6341DF6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 Heat Treatable</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7123A32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7F36958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Shipped wrong grade due to mislabelling/administrative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C1393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46100F3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Require slab grade and heat number on all shipping docs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123A09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ED4C03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vAlign w:val="center"/>
            <w:hideMark/>
          </w:tcPr>
          <w:p w14:paraId="42DF8F8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pre-shipment hold &amp; release for critical grades, reject mismatches on arrival</w:t>
            </w:r>
          </w:p>
        </w:tc>
        <w:tc>
          <w:tcPr>
            <w:tcW w:w="528" w:type="pct"/>
            <w:tcBorders>
              <w:top w:val="nil"/>
              <w:left w:val="nil"/>
              <w:bottom w:val="single" w:sz="4" w:space="0" w:color="auto"/>
              <w:right w:val="single" w:sz="4" w:space="0" w:color="auto"/>
            </w:tcBorders>
            <w:vAlign w:val="center"/>
            <w:hideMark/>
          </w:tcPr>
          <w:p w14:paraId="1592A7E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36412689"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1965D86"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7433241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68FDA86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631797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130D971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B6ACE9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B8419E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Incorrect product spec ordered</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5E34CE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C08F48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Pre shipment verification and management sign offs for critical grade orders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E9ADAD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5CAD35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vMerge w:val="restart"/>
            <w:tcBorders>
              <w:top w:val="nil"/>
              <w:left w:val="single" w:sz="4" w:space="0" w:color="auto"/>
              <w:bottom w:val="single" w:sz="4" w:space="0" w:color="000000"/>
              <w:right w:val="single" w:sz="4" w:space="0" w:color="auto"/>
            </w:tcBorders>
            <w:vAlign w:val="center"/>
            <w:hideMark/>
          </w:tcPr>
          <w:p w14:paraId="511B350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Provide supplier training on coding which link to PT coding system</w:t>
            </w:r>
          </w:p>
        </w:tc>
        <w:tc>
          <w:tcPr>
            <w:tcW w:w="528" w:type="pct"/>
            <w:vMerge w:val="restart"/>
            <w:tcBorders>
              <w:top w:val="nil"/>
              <w:left w:val="single" w:sz="4" w:space="0" w:color="auto"/>
              <w:bottom w:val="single" w:sz="4" w:space="0" w:color="000000"/>
              <w:right w:val="single" w:sz="4" w:space="0" w:color="auto"/>
            </w:tcBorders>
            <w:vAlign w:val="center"/>
            <w:hideMark/>
          </w:tcPr>
          <w:p w14:paraId="1BCF429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793B436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38D6226" w14:textId="77777777" w:rsidTr="00AA4D71">
        <w:trPr>
          <w:trHeight w:val="260"/>
        </w:trPr>
        <w:tc>
          <w:tcPr>
            <w:tcW w:w="209" w:type="pct"/>
            <w:tcBorders>
              <w:top w:val="nil"/>
              <w:left w:val="single" w:sz="4" w:space="0" w:color="auto"/>
              <w:bottom w:val="single" w:sz="4" w:space="0" w:color="auto"/>
              <w:right w:val="single" w:sz="4" w:space="0" w:color="auto"/>
            </w:tcBorders>
            <w:noWrap/>
            <w:vAlign w:val="center"/>
            <w:hideMark/>
          </w:tcPr>
          <w:p w14:paraId="308ECF0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71A9D27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1AFB96D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40D682C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0631F5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5B66F1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Process deviations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2D1F7A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7C162EB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A0AD7C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0D03E6A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vMerge/>
            <w:tcBorders>
              <w:top w:val="nil"/>
              <w:left w:val="single" w:sz="4" w:space="0" w:color="auto"/>
              <w:bottom w:val="single" w:sz="4" w:space="0" w:color="000000"/>
              <w:right w:val="single" w:sz="4" w:space="0" w:color="auto"/>
            </w:tcBorders>
            <w:vAlign w:val="center"/>
            <w:hideMark/>
          </w:tcPr>
          <w:p w14:paraId="69B4388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41EAA00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610979AA"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714D692"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21FB1B2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394D8EB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F6903B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2AC1037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Unsafe material for automotive industry</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49ADA5B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25BC63D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Inclusion of impurities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74FAFB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57159DB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Automotive limits included in purchase specs and supplier audits</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734FFD7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EBCDBA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hideMark/>
          </w:tcPr>
          <w:p w14:paraId="0E44AD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Enforce supplier approval program specifically for automotive material with routine audits and sample verification trials</w:t>
            </w:r>
          </w:p>
        </w:tc>
        <w:tc>
          <w:tcPr>
            <w:tcW w:w="528" w:type="pct"/>
            <w:tcBorders>
              <w:top w:val="nil"/>
              <w:left w:val="nil"/>
              <w:bottom w:val="single" w:sz="4" w:space="0" w:color="auto"/>
              <w:right w:val="single" w:sz="4" w:space="0" w:color="auto"/>
            </w:tcBorders>
            <w:vAlign w:val="center"/>
            <w:hideMark/>
          </w:tcPr>
          <w:p w14:paraId="7BCC7A8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6E85337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F8711AF"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45784D4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33392CA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3373D62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7DEC09F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6347E4A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581AFDD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degassing during secondary steelmaking</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E88AC3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7C42CF8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required to provide degassing records</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A1F83C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60FED5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hideMark/>
          </w:tcPr>
          <w:p w14:paraId="7C121B3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Introduce contractual right to-audit and immediate containment/remediation procedures for out of spec material</w:t>
            </w:r>
          </w:p>
        </w:tc>
        <w:tc>
          <w:tcPr>
            <w:tcW w:w="528" w:type="pct"/>
            <w:tcBorders>
              <w:top w:val="nil"/>
              <w:left w:val="nil"/>
              <w:bottom w:val="single" w:sz="4" w:space="0" w:color="auto"/>
              <w:right w:val="single" w:sz="4" w:space="0" w:color="auto"/>
            </w:tcBorders>
            <w:vAlign w:val="center"/>
            <w:hideMark/>
          </w:tcPr>
          <w:p w14:paraId="5DAA242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6339E806"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7273662"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3BBE48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0DFBE5B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13A7B5D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23F8646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B2FC49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294B4A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Supplier quality system not aligned to automotive </w:t>
            </w:r>
            <w:r w:rsidRPr="003D1BBB">
              <w:rPr>
                <w:rFonts w:ascii="Calibri" w:eastAsia="Times New Roman" w:hAnsi="Calibri" w:cs="Calibri"/>
                <w:kern w:val="0"/>
                <w:sz w:val="20"/>
                <w:szCs w:val="20"/>
                <w:lang w:eastAsia="en-GB"/>
                <w14:ligatures w14:val="none"/>
              </w:rPr>
              <w:lastRenderedPageBreak/>
              <w:t>cleanliness requirements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DE383E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4</w:t>
            </w:r>
          </w:p>
        </w:tc>
        <w:tc>
          <w:tcPr>
            <w:tcW w:w="710" w:type="pct"/>
            <w:tcBorders>
              <w:top w:val="nil"/>
              <w:left w:val="nil"/>
              <w:bottom w:val="single" w:sz="4" w:space="0" w:color="auto"/>
              <w:right w:val="single" w:sz="4" w:space="0" w:color="auto"/>
            </w:tcBorders>
            <w:vAlign w:val="center"/>
            <w:hideMark/>
          </w:tcPr>
          <w:p w14:paraId="7C47D37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Further testing performed on </w:t>
            </w:r>
            <w:proofErr w:type="gramStart"/>
            <w:r w:rsidRPr="003D1BBB">
              <w:rPr>
                <w:rFonts w:ascii="Calibri" w:eastAsia="Times New Roman" w:hAnsi="Calibri" w:cs="Calibri"/>
                <w:kern w:val="0"/>
                <w:sz w:val="20"/>
                <w:szCs w:val="20"/>
                <w:lang w:eastAsia="en-GB"/>
                <w14:ligatures w14:val="none"/>
              </w:rPr>
              <w:t>high risk</w:t>
            </w:r>
            <w:proofErr w:type="gramEnd"/>
            <w:r w:rsidRPr="003D1BBB">
              <w:rPr>
                <w:rFonts w:ascii="Calibri" w:eastAsia="Times New Roman" w:hAnsi="Calibri" w:cs="Calibri"/>
                <w:kern w:val="0"/>
                <w:sz w:val="20"/>
                <w:szCs w:val="20"/>
                <w:lang w:eastAsia="en-GB"/>
                <w14:ligatures w14:val="none"/>
              </w:rPr>
              <w:t xml:space="preserve"> heats. Including </w:t>
            </w:r>
            <w:r w:rsidRPr="003D1BBB">
              <w:rPr>
                <w:rFonts w:ascii="Calibri" w:eastAsia="Times New Roman" w:hAnsi="Calibri" w:cs="Calibri"/>
                <w:kern w:val="0"/>
                <w:sz w:val="20"/>
                <w:szCs w:val="20"/>
                <w:lang w:eastAsia="en-GB"/>
                <w14:ligatures w14:val="none"/>
              </w:rPr>
              <w:lastRenderedPageBreak/>
              <w:t>destructive and non-destructive testing</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6A8940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3</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E7A2DC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96</w:t>
            </w:r>
          </w:p>
        </w:tc>
        <w:tc>
          <w:tcPr>
            <w:tcW w:w="646" w:type="pct"/>
            <w:tcBorders>
              <w:top w:val="nil"/>
              <w:left w:val="nil"/>
              <w:bottom w:val="single" w:sz="4" w:space="0" w:color="auto"/>
              <w:right w:val="single" w:sz="4" w:space="0" w:color="auto"/>
            </w:tcBorders>
            <w:vAlign w:val="center"/>
            <w:hideMark/>
          </w:tcPr>
          <w:p w14:paraId="203A24E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Establish an escalation pathway to halt release of potentially unsafe </w:t>
            </w:r>
            <w:r w:rsidRPr="003D1BBB">
              <w:rPr>
                <w:rFonts w:ascii="Calibri" w:eastAsia="Times New Roman" w:hAnsi="Calibri" w:cs="Calibri"/>
                <w:kern w:val="0"/>
                <w:sz w:val="20"/>
                <w:szCs w:val="20"/>
                <w:lang w:eastAsia="en-GB"/>
                <w14:ligatures w14:val="none"/>
              </w:rPr>
              <w:lastRenderedPageBreak/>
              <w:t>slabs to production pending further investigations</w:t>
            </w:r>
          </w:p>
        </w:tc>
        <w:tc>
          <w:tcPr>
            <w:tcW w:w="528" w:type="pct"/>
            <w:tcBorders>
              <w:top w:val="nil"/>
              <w:left w:val="nil"/>
              <w:bottom w:val="single" w:sz="4" w:space="0" w:color="auto"/>
              <w:right w:val="single" w:sz="4" w:space="0" w:color="auto"/>
            </w:tcBorders>
            <w:vAlign w:val="center"/>
            <w:hideMark/>
          </w:tcPr>
          <w:p w14:paraId="71A55E1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Port Talbot Technical</w:t>
            </w:r>
          </w:p>
        </w:tc>
        <w:tc>
          <w:tcPr>
            <w:tcW w:w="85" w:type="pct"/>
            <w:vAlign w:val="center"/>
            <w:hideMark/>
          </w:tcPr>
          <w:p w14:paraId="7017ABD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E71446C"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165E362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374F526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7918042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2964B08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Hot Shortness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16D5DD4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2596AE4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Presence of Impurities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0A8D08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0755AD9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Require certified chemistry &amp; metallurgical reports for each slab</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CF1DAD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5663C0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vAlign w:val="center"/>
            <w:hideMark/>
          </w:tcPr>
          <w:p w14:paraId="1E19E0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Introduce mandatory incoming chemical analysis for all critical heats with hold until pass in spec</w:t>
            </w:r>
          </w:p>
        </w:tc>
        <w:tc>
          <w:tcPr>
            <w:tcW w:w="528" w:type="pct"/>
            <w:tcBorders>
              <w:top w:val="nil"/>
              <w:left w:val="nil"/>
              <w:bottom w:val="single" w:sz="4" w:space="0" w:color="auto"/>
              <w:right w:val="single" w:sz="4" w:space="0" w:color="auto"/>
            </w:tcBorders>
            <w:vAlign w:val="center"/>
            <w:hideMark/>
          </w:tcPr>
          <w:p w14:paraId="61C7DB9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4B40C27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B16F774" w14:textId="77777777" w:rsidTr="00AA4D71">
        <w:trPr>
          <w:trHeight w:val="1040"/>
        </w:trPr>
        <w:tc>
          <w:tcPr>
            <w:tcW w:w="209" w:type="pct"/>
            <w:tcBorders>
              <w:top w:val="nil"/>
              <w:left w:val="single" w:sz="4" w:space="0" w:color="auto"/>
              <w:bottom w:val="single" w:sz="4" w:space="0" w:color="auto"/>
              <w:right w:val="single" w:sz="4" w:space="0" w:color="auto"/>
            </w:tcBorders>
            <w:noWrap/>
            <w:vAlign w:val="center"/>
            <w:hideMark/>
          </w:tcPr>
          <w:p w14:paraId="2A5A9A0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70D3101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C1D72F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0D0262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C54777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nil"/>
              <w:right w:val="single" w:sz="4" w:space="0" w:color="auto"/>
            </w:tcBorders>
            <w:vAlign w:val="center"/>
            <w:hideMark/>
          </w:tcPr>
          <w:p w14:paraId="1F77ED2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Non-uniform solidification in slab centre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6D160E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nil"/>
              <w:right w:val="single" w:sz="4" w:space="0" w:color="auto"/>
            </w:tcBorders>
            <w:vAlign w:val="center"/>
            <w:hideMark/>
          </w:tcPr>
          <w:p w14:paraId="397F948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Solidification practises specified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E71B64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B6A238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vAlign w:val="center"/>
            <w:hideMark/>
          </w:tcPr>
          <w:p w14:paraId="51E196D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Work with supplier to revise casting/cooling parameters where recurring hot shortness is observed</w:t>
            </w:r>
          </w:p>
        </w:tc>
        <w:tc>
          <w:tcPr>
            <w:tcW w:w="528" w:type="pct"/>
            <w:tcBorders>
              <w:top w:val="nil"/>
              <w:left w:val="nil"/>
              <w:bottom w:val="single" w:sz="4" w:space="0" w:color="auto"/>
              <w:right w:val="single" w:sz="4" w:space="0" w:color="auto"/>
            </w:tcBorders>
            <w:vAlign w:val="center"/>
            <w:hideMark/>
          </w:tcPr>
          <w:p w14:paraId="56644A5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Supplier &amp; Port Talbot Technical Team</w:t>
            </w:r>
          </w:p>
        </w:tc>
        <w:tc>
          <w:tcPr>
            <w:tcW w:w="85" w:type="pct"/>
            <w:vAlign w:val="center"/>
            <w:hideMark/>
          </w:tcPr>
          <w:p w14:paraId="6084A0BA"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347D52C"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1B200EF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37EAA37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3F8E23F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B06676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4FB924B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single" w:sz="4" w:space="0" w:color="auto"/>
              <w:left w:val="nil"/>
              <w:bottom w:val="nil"/>
              <w:right w:val="single" w:sz="4" w:space="0" w:color="auto"/>
            </w:tcBorders>
            <w:vAlign w:val="center"/>
            <w:hideMark/>
          </w:tcPr>
          <w:p w14:paraId="0CC191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Inappropriate rolling temperatures</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78F5482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710" w:type="pct"/>
            <w:tcBorders>
              <w:top w:val="single" w:sz="4" w:space="0" w:color="auto"/>
              <w:left w:val="nil"/>
              <w:bottom w:val="nil"/>
              <w:right w:val="single" w:sz="4" w:space="0" w:color="auto"/>
            </w:tcBorders>
            <w:vAlign w:val="center"/>
            <w:hideMark/>
          </w:tcPr>
          <w:p w14:paraId="74DF0C6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Furnace temperatures monitored and controlled via SCADA systems</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BEB1F9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76278D7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72</w:t>
            </w:r>
          </w:p>
        </w:tc>
        <w:tc>
          <w:tcPr>
            <w:tcW w:w="646" w:type="pct"/>
            <w:tcBorders>
              <w:top w:val="nil"/>
              <w:left w:val="nil"/>
              <w:bottom w:val="single" w:sz="4" w:space="0" w:color="auto"/>
              <w:right w:val="single" w:sz="4" w:space="0" w:color="auto"/>
            </w:tcBorders>
            <w:vAlign w:val="center"/>
            <w:hideMark/>
          </w:tcPr>
          <w:p w14:paraId="6669FA9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Introduce furnace instrumentation alarms for non-conformity and implement corrective actions</w:t>
            </w:r>
          </w:p>
        </w:tc>
        <w:tc>
          <w:tcPr>
            <w:tcW w:w="528" w:type="pct"/>
            <w:tcBorders>
              <w:top w:val="nil"/>
              <w:left w:val="nil"/>
              <w:bottom w:val="single" w:sz="4" w:space="0" w:color="auto"/>
              <w:right w:val="single" w:sz="4" w:space="0" w:color="auto"/>
            </w:tcBorders>
            <w:vAlign w:val="center"/>
            <w:hideMark/>
          </w:tcPr>
          <w:p w14:paraId="0AC0863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&amp; Mill Production team</w:t>
            </w:r>
          </w:p>
        </w:tc>
        <w:tc>
          <w:tcPr>
            <w:tcW w:w="85" w:type="pct"/>
            <w:vAlign w:val="center"/>
            <w:hideMark/>
          </w:tcPr>
          <w:p w14:paraId="16E8FD3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EBB85ED"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75C99B7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525D79E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71A455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nil"/>
              <w:right w:val="single" w:sz="4" w:space="0" w:color="auto"/>
            </w:tcBorders>
            <w:vAlign w:val="center"/>
            <w:hideMark/>
          </w:tcPr>
          <w:p w14:paraId="75E3242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Reduced Ductility</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25EF98B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single" w:sz="4" w:space="0" w:color="auto"/>
              <w:left w:val="nil"/>
              <w:bottom w:val="single" w:sz="4" w:space="0" w:color="auto"/>
              <w:right w:val="single" w:sz="4" w:space="0" w:color="auto"/>
            </w:tcBorders>
            <w:vAlign w:val="center"/>
            <w:hideMark/>
          </w:tcPr>
          <w:p w14:paraId="73C220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Incorrect microstructure from improper cooling method</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97182D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single" w:sz="4" w:space="0" w:color="auto"/>
              <w:left w:val="nil"/>
              <w:bottom w:val="single" w:sz="4" w:space="0" w:color="auto"/>
              <w:right w:val="single" w:sz="4" w:space="0" w:color="auto"/>
            </w:tcBorders>
            <w:vAlign w:val="center"/>
            <w:hideMark/>
          </w:tcPr>
          <w:p w14:paraId="12B60DD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to provide controlled cooling and microstructure targets per slab</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D3E85F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2A634C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tcBorders>
              <w:top w:val="nil"/>
              <w:left w:val="nil"/>
              <w:bottom w:val="single" w:sz="4" w:space="0" w:color="auto"/>
              <w:right w:val="single" w:sz="4" w:space="0" w:color="auto"/>
            </w:tcBorders>
            <w:vAlign w:val="center"/>
            <w:hideMark/>
          </w:tcPr>
          <w:p w14:paraId="0D43FE2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Improve release procedure by implementing mech held techniques to suspect slabs</w:t>
            </w:r>
          </w:p>
        </w:tc>
        <w:tc>
          <w:tcPr>
            <w:tcW w:w="528" w:type="pct"/>
            <w:tcBorders>
              <w:top w:val="nil"/>
              <w:left w:val="nil"/>
              <w:bottom w:val="single" w:sz="4" w:space="0" w:color="auto"/>
              <w:right w:val="single" w:sz="4" w:space="0" w:color="auto"/>
            </w:tcBorders>
            <w:vAlign w:val="center"/>
            <w:hideMark/>
          </w:tcPr>
          <w:p w14:paraId="0478FC2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306F091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C29875F"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6B0DAA2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0645072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212F9E7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3ADED90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239ACC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9A70F9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Excessive nitrogen/hydrogen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90DC2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0FECE1D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Hydrogen control measures in place for sensitive grades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DA0569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B277B4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tcBorders>
              <w:top w:val="nil"/>
              <w:left w:val="nil"/>
              <w:bottom w:val="single" w:sz="4" w:space="0" w:color="auto"/>
              <w:right w:val="single" w:sz="4" w:space="0" w:color="auto"/>
            </w:tcBorders>
            <w:vAlign w:val="center"/>
            <w:hideMark/>
          </w:tcPr>
          <w:p w14:paraId="14B1667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Introduce corrective supplier actions and adjust procurement to suppliers consistently </w:t>
            </w:r>
            <w:r w:rsidRPr="003D1BBB">
              <w:rPr>
                <w:rFonts w:ascii="Calibri" w:eastAsia="Times New Roman" w:hAnsi="Calibri" w:cs="Calibri"/>
                <w:kern w:val="0"/>
                <w:sz w:val="20"/>
                <w:szCs w:val="20"/>
                <w:lang w:eastAsia="en-GB"/>
                <w14:ligatures w14:val="none"/>
              </w:rPr>
              <w:lastRenderedPageBreak/>
              <w:t>meeting the ductility targets</w:t>
            </w:r>
          </w:p>
        </w:tc>
        <w:tc>
          <w:tcPr>
            <w:tcW w:w="528" w:type="pct"/>
            <w:tcBorders>
              <w:top w:val="nil"/>
              <w:left w:val="nil"/>
              <w:bottom w:val="single" w:sz="4" w:space="0" w:color="auto"/>
              <w:right w:val="single" w:sz="4" w:space="0" w:color="auto"/>
            </w:tcBorders>
            <w:vAlign w:val="center"/>
            <w:hideMark/>
          </w:tcPr>
          <w:p w14:paraId="74B530A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Procurement &amp; Supplier Technical Team</w:t>
            </w:r>
          </w:p>
        </w:tc>
        <w:tc>
          <w:tcPr>
            <w:tcW w:w="85" w:type="pct"/>
            <w:vAlign w:val="center"/>
            <w:hideMark/>
          </w:tcPr>
          <w:p w14:paraId="661985A9"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ED02860"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603B45B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5CED6CA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1B6DCB8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single" w:sz="4" w:space="0" w:color="auto"/>
              <w:left w:val="single" w:sz="4" w:space="0" w:color="auto"/>
              <w:bottom w:val="single" w:sz="4" w:space="0" w:color="000000"/>
              <w:right w:val="single" w:sz="4" w:space="0" w:color="auto"/>
            </w:tcBorders>
            <w:vAlign w:val="center"/>
            <w:hideMark/>
          </w:tcPr>
          <w:p w14:paraId="5E2524B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Surface Cracking </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51FDC52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0F80AEF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Surface defects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6C474F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49C74B7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Pre rolling surface inspection performed</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7DA809F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293703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tcBorders>
              <w:top w:val="nil"/>
              <w:left w:val="nil"/>
              <w:bottom w:val="single" w:sz="4" w:space="0" w:color="auto"/>
              <w:right w:val="single" w:sz="4" w:space="0" w:color="auto"/>
            </w:tcBorders>
            <w:vAlign w:val="center"/>
            <w:hideMark/>
          </w:tcPr>
          <w:p w14:paraId="5D4406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Install optical inspection </w:t>
            </w:r>
          </w:p>
        </w:tc>
        <w:tc>
          <w:tcPr>
            <w:tcW w:w="528" w:type="pct"/>
            <w:tcBorders>
              <w:top w:val="nil"/>
              <w:left w:val="nil"/>
              <w:bottom w:val="single" w:sz="4" w:space="0" w:color="auto"/>
              <w:right w:val="single" w:sz="4" w:space="0" w:color="auto"/>
            </w:tcBorders>
            <w:vAlign w:val="center"/>
            <w:hideMark/>
          </w:tcPr>
          <w:p w14:paraId="15C5E21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&amp; Mill Production team</w:t>
            </w:r>
          </w:p>
        </w:tc>
        <w:tc>
          <w:tcPr>
            <w:tcW w:w="85" w:type="pct"/>
            <w:vAlign w:val="center"/>
            <w:hideMark/>
          </w:tcPr>
          <w:p w14:paraId="637FF46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3010F01"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52A9C89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5681EB6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51319DD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778255B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E1F484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1250DA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Thermal shock from incorrect heating or rapid cooling</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588D60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5D87537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provides surface condition certificates</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B99A0F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FC03DE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tcBorders>
              <w:top w:val="nil"/>
              <w:left w:val="nil"/>
              <w:bottom w:val="single" w:sz="4" w:space="0" w:color="auto"/>
              <w:right w:val="single" w:sz="4" w:space="0" w:color="auto"/>
            </w:tcBorders>
            <w:vAlign w:val="center"/>
            <w:hideMark/>
          </w:tcPr>
          <w:p w14:paraId="4D13A68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Introduce eddy-current testing on incoming slabs to detect surface defects early</w:t>
            </w:r>
          </w:p>
        </w:tc>
        <w:tc>
          <w:tcPr>
            <w:tcW w:w="528" w:type="pct"/>
            <w:tcBorders>
              <w:top w:val="nil"/>
              <w:left w:val="nil"/>
              <w:bottom w:val="single" w:sz="4" w:space="0" w:color="auto"/>
              <w:right w:val="single" w:sz="4" w:space="0" w:color="auto"/>
            </w:tcBorders>
            <w:vAlign w:val="center"/>
            <w:hideMark/>
          </w:tcPr>
          <w:p w14:paraId="05E85A3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3DD8D8C7"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94B4E39"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1AA9627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6F34606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4763271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41DF3E8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C6F6C9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9A657C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descaling &amp; inspection process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D82C64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CFDB98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Furnace temperature ramp rates are controlled</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5CC4710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7730D78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84</w:t>
            </w:r>
          </w:p>
        </w:tc>
        <w:tc>
          <w:tcPr>
            <w:tcW w:w="646" w:type="pct"/>
            <w:tcBorders>
              <w:top w:val="nil"/>
              <w:left w:val="nil"/>
              <w:bottom w:val="single" w:sz="4" w:space="0" w:color="auto"/>
              <w:right w:val="single" w:sz="4" w:space="0" w:color="auto"/>
            </w:tcBorders>
            <w:vAlign w:val="center"/>
            <w:hideMark/>
          </w:tcPr>
          <w:p w14:paraId="27C8786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Establish a pre rolling repair line for surface conditioning, logging any repairs and feedback to supplier non-conformity</w:t>
            </w:r>
          </w:p>
        </w:tc>
        <w:tc>
          <w:tcPr>
            <w:tcW w:w="528" w:type="pct"/>
            <w:tcBorders>
              <w:top w:val="nil"/>
              <w:left w:val="nil"/>
              <w:bottom w:val="single" w:sz="4" w:space="0" w:color="auto"/>
              <w:right w:val="single" w:sz="4" w:space="0" w:color="auto"/>
            </w:tcBorders>
            <w:vAlign w:val="center"/>
            <w:hideMark/>
          </w:tcPr>
          <w:p w14:paraId="50BF1FA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Mill Production Team</w:t>
            </w:r>
          </w:p>
        </w:tc>
        <w:tc>
          <w:tcPr>
            <w:tcW w:w="85" w:type="pct"/>
            <w:vAlign w:val="center"/>
            <w:hideMark/>
          </w:tcPr>
          <w:p w14:paraId="4F2DC0D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A37626D"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4904A5F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10</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525EE21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1D14A0D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nil"/>
              <w:right w:val="single" w:sz="4" w:space="0" w:color="auto"/>
            </w:tcBorders>
            <w:vAlign w:val="center"/>
            <w:hideMark/>
          </w:tcPr>
          <w:p w14:paraId="3B6C189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Embrittlement</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3CF7948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0109995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Hydrogen pickup</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84C95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5D0DED0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to provide hydrogen control process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A4B678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9CFB08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hideMark/>
          </w:tcPr>
          <w:p w14:paraId="6FB35ED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a monitoring program for hydrogen throughout the incoming slabs and track trends</w:t>
            </w:r>
          </w:p>
        </w:tc>
        <w:tc>
          <w:tcPr>
            <w:tcW w:w="528" w:type="pct"/>
            <w:tcBorders>
              <w:top w:val="nil"/>
              <w:left w:val="nil"/>
              <w:bottom w:val="single" w:sz="4" w:space="0" w:color="auto"/>
              <w:right w:val="single" w:sz="4" w:space="0" w:color="auto"/>
            </w:tcBorders>
            <w:vAlign w:val="center"/>
            <w:hideMark/>
          </w:tcPr>
          <w:p w14:paraId="4F4A425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6EE09EC2"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B6151D1"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79C7C37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7FA1A9B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77F84EB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0BF05A6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EC8395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nil"/>
              <w:right w:val="single" w:sz="4" w:space="0" w:color="auto"/>
            </w:tcBorders>
            <w:vAlign w:val="center"/>
            <w:hideMark/>
          </w:tcPr>
          <w:p w14:paraId="024CB35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degassing</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538910A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nil"/>
              <w:right w:val="single" w:sz="4" w:space="0" w:color="auto"/>
            </w:tcBorders>
            <w:vAlign w:val="center"/>
            <w:hideMark/>
          </w:tcPr>
          <w:p w14:paraId="4C50E72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to provide degassing records for proof of desired grade</w:t>
            </w:r>
          </w:p>
        </w:tc>
        <w:tc>
          <w:tcPr>
            <w:tcW w:w="161" w:type="pct"/>
            <w:tcBorders>
              <w:top w:val="single" w:sz="4" w:space="0" w:color="auto"/>
              <w:left w:val="single" w:sz="4" w:space="0" w:color="auto"/>
              <w:bottom w:val="nil"/>
              <w:right w:val="single" w:sz="4" w:space="0" w:color="auto"/>
            </w:tcBorders>
            <w:shd w:val="clear" w:color="000000" w:fill="FFC000"/>
            <w:vAlign w:val="center"/>
            <w:hideMark/>
          </w:tcPr>
          <w:p w14:paraId="56BFD59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18731F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tcBorders>
              <w:top w:val="nil"/>
              <w:left w:val="nil"/>
              <w:bottom w:val="nil"/>
              <w:right w:val="single" w:sz="4" w:space="0" w:color="auto"/>
            </w:tcBorders>
            <w:hideMark/>
          </w:tcPr>
          <w:p w14:paraId="138D9E6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Quarantine and further test slabs for hydrogen content and hardness before rolling commences</w:t>
            </w:r>
          </w:p>
        </w:tc>
        <w:tc>
          <w:tcPr>
            <w:tcW w:w="528" w:type="pct"/>
            <w:tcBorders>
              <w:top w:val="nil"/>
              <w:left w:val="nil"/>
              <w:bottom w:val="single" w:sz="4" w:space="0" w:color="auto"/>
              <w:right w:val="single" w:sz="4" w:space="0" w:color="auto"/>
            </w:tcBorders>
            <w:vAlign w:val="center"/>
            <w:hideMark/>
          </w:tcPr>
          <w:p w14:paraId="3B02311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&amp; Mill Production team</w:t>
            </w:r>
          </w:p>
        </w:tc>
        <w:tc>
          <w:tcPr>
            <w:tcW w:w="85" w:type="pct"/>
            <w:vAlign w:val="center"/>
            <w:hideMark/>
          </w:tcPr>
          <w:p w14:paraId="5E21A26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23804D0"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6F8CA26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11</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0140383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single" w:sz="4" w:space="0" w:color="000000"/>
              <w:right w:val="single" w:sz="4" w:space="0" w:color="auto"/>
            </w:tcBorders>
            <w:vAlign w:val="center"/>
            <w:hideMark/>
          </w:tcPr>
          <w:p w14:paraId="17B88EB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Metallurgical Defects</w:t>
            </w:r>
          </w:p>
        </w:tc>
        <w:tc>
          <w:tcPr>
            <w:tcW w:w="517" w:type="pct"/>
            <w:vMerge w:val="restart"/>
            <w:tcBorders>
              <w:top w:val="single" w:sz="4" w:space="0" w:color="auto"/>
              <w:left w:val="single" w:sz="4" w:space="0" w:color="auto"/>
              <w:bottom w:val="single" w:sz="4" w:space="0" w:color="000000"/>
              <w:right w:val="single" w:sz="4" w:space="0" w:color="auto"/>
            </w:tcBorders>
            <w:vAlign w:val="center"/>
            <w:hideMark/>
          </w:tcPr>
          <w:p w14:paraId="1E48A17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Centreline Segregation</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6366DEB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single" w:sz="4" w:space="0" w:color="auto"/>
              <w:left w:val="nil"/>
              <w:bottom w:val="single" w:sz="4" w:space="0" w:color="auto"/>
              <w:right w:val="single" w:sz="4" w:space="0" w:color="auto"/>
            </w:tcBorders>
            <w:vAlign w:val="center"/>
            <w:hideMark/>
          </w:tcPr>
          <w:p w14:paraId="7C7A95B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Inappropriate casting speed</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05CF5CD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single" w:sz="4" w:space="0" w:color="auto"/>
              <w:left w:val="nil"/>
              <w:bottom w:val="single" w:sz="4" w:space="0" w:color="auto"/>
              <w:right w:val="single" w:sz="4" w:space="0" w:color="auto"/>
            </w:tcBorders>
            <w:vAlign w:val="center"/>
            <w:hideMark/>
          </w:tcPr>
          <w:p w14:paraId="7F2A3EA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Controlled casting speeds optimised for slab section size</w:t>
            </w:r>
          </w:p>
        </w:tc>
        <w:tc>
          <w:tcPr>
            <w:tcW w:w="161" w:type="pct"/>
            <w:tcBorders>
              <w:top w:val="single" w:sz="4" w:space="0" w:color="auto"/>
              <w:left w:val="single" w:sz="4" w:space="0" w:color="auto"/>
              <w:bottom w:val="nil"/>
              <w:right w:val="single" w:sz="4" w:space="0" w:color="auto"/>
            </w:tcBorders>
            <w:shd w:val="clear" w:color="000000" w:fill="92D050"/>
            <w:vAlign w:val="center"/>
            <w:hideMark/>
          </w:tcPr>
          <w:p w14:paraId="12B2B1F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6C61F8D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128</w:t>
            </w:r>
          </w:p>
        </w:tc>
        <w:tc>
          <w:tcPr>
            <w:tcW w:w="646" w:type="pct"/>
            <w:tcBorders>
              <w:top w:val="single" w:sz="4" w:space="0" w:color="auto"/>
              <w:left w:val="nil"/>
              <w:bottom w:val="single" w:sz="4" w:space="0" w:color="auto"/>
              <w:right w:val="single" w:sz="4" w:space="0" w:color="auto"/>
            </w:tcBorders>
            <w:vAlign w:val="center"/>
            <w:hideMark/>
          </w:tcPr>
          <w:p w14:paraId="05934A9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Introduce metallographic cuts from supplier </w:t>
            </w:r>
            <w:r w:rsidRPr="003D1BBB">
              <w:rPr>
                <w:rFonts w:ascii="Calibri" w:eastAsia="Times New Roman" w:hAnsi="Calibri" w:cs="Calibri"/>
                <w:kern w:val="0"/>
                <w:sz w:val="20"/>
                <w:szCs w:val="20"/>
                <w:lang w:eastAsia="en-GB"/>
                <w14:ligatures w14:val="none"/>
              </w:rPr>
              <w:lastRenderedPageBreak/>
              <w:t>on a frequent basis and hold material pending poor results</w:t>
            </w:r>
          </w:p>
        </w:tc>
        <w:tc>
          <w:tcPr>
            <w:tcW w:w="528" w:type="pct"/>
            <w:tcBorders>
              <w:top w:val="nil"/>
              <w:left w:val="nil"/>
              <w:bottom w:val="single" w:sz="4" w:space="0" w:color="auto"/>
              <w:right w:val="single" w:sz="4" w:space="0" w:color="auto"/>
            </w:tcBorders>
            <w:vAlign w:val="center"/>
            <w:hideMark/>
          </w:tcPr>
          <w:p w14:paraId="7EA11C4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 xml:space="preserve">Procurement &amp; Supplier </w:t>
            </w:r>
            <w:r w:rsidRPr="003D1BBB">
              <w:rPr>
                <w:rFonts w:ascii="Calibri" w:eastAsia="Times New Roman" w:hAnsi="Calibri" w:cs="Calibri"/>
                <w:kern w:val="0"/>
                <w:sz w:val="20"/>
                <w:szCs w:val="20"/>
                <w:lang w:eastAsia="en-GB"/>
                <w14:ligatures w14:val="none"/>
              </w:rPr>
              <w:lastRenderedPageBreak/>
              <w:t>Technical Team</w:t>
            </w:r>
          </w:p>
        </w:tc>
        <w:tc>
          <w:tcPr>
            <w:tcW w:w="85" w:type="pct"/>
            <w:vAlign w:val="center"/>
            <w:hideMark/>
          </w:tcPr>
          <w:p w14:paraId="05C5D98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6B53279"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0A1D6C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25D5EC7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1ADD5AA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38EBDF8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4BEB51F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DB3C68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Excessive slab thickness</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14D4B89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3FBA102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required to provide solidification parameters</w:t>
            </w:r>
          </w:p>
        </w:tc>
        <w:tc>
          <w:tcPr>
            <w:tcW w:w="161" w:type="pct"/>
            <w:tcBorders>
              <w:top w:val="single" w:sz="4" w:space="0" w:color="auto"/>
              <w:left w:val="single" w:sz="4" w:space="0" w:color="auto"/>
              <w:bottom w:val="nil"/>
              <w:right w:val="single" w:sz="4" w:space="0" w:color="auto"/>
            </w:tcBorders>
            <w:shd w:val="clear" w:color="000000" w:fill="92D050"/>
            <w:vAlign w:val="center"/>
            <w:hideMark/>
          </w:tcPr>
          <w:p w14:paraId="600ABB2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16BB95B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128</w:t>
            </w:r>
          </w:p>
        </w:tc>
        <w:tc>
          <w:tcPr>
            <w:tcW w:w="646" w:type="pct"/>
            <w:tcBorders>
              <w:top w:val="nil"/>
              <w:left w:val="nil"/>
              <w:bottom w:val="single" w:sz="4" w:space="0" w:color="auto"/>
              <w:right w:val="single" w:sz="4" w:space="0" w:color="auto"/>
            </w:tcBorders>
            <w:vAlign w:val="center"/>
            <w:hideMark/>
          </w:tcPr>
          <w:p w14:paraId="356BB50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now to provide corrective action plans where segregation is detected</w:t>
            </w:r>
          </w:p>
        </w:tc>
        <w:tc>
          <w:tcPr>
            <w:tcW w:w="528" w:type="pct"/>
            <w:tcBorders>
              <w:top w:val="nil"/>
              <w:left w:val="nil"/>
              <w:bottom w:val="single" w:sz="4" w:space="0" w:color="auto"/>
              <w:right w:val="single" w:sz="4" w:space="0" w:color="auto"/>
            </w:tcBorders>
            <w:vAlign w:val="center"/>
            <w:hideMark/>
          </w:tcPr>
          <w:p w14:paraId="000C605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75D926D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4A97C70"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105E1E0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05B1E23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1440D16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15AEC38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6C8EBFD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3B63949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Insufficient degassing</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7648694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nil"/>
              <w:right w:val="single" w:sz="4" w:space="0" w:color="auto"/>
            </w:tcBorders>
            <w:vAlign w:val="center"/>
            <w:hideMark/>
          </w:tcPr>
          <w:p w14:paraId="52FABAE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to provide degassing records for proof of desired grade</w:t>
            </w:r>
          </w:p>
        </w:tc>
        <w:tc>
          <w:tcPr>
            <w:tcW w:w="161" w:type="pct"/>
            <w:tcBorders>
              <w:top w:val="single" w:sz="4" w:space="0" w:color="auto"/>
              <w:left w:val="single" w:sz="4" w:space="0" w:color="auto"/>
              <w:bottom w:val="nil"/>
              <w:right w:val="single" w:sz="4" w:space="0" w:color="auto"/>
            </w:tcBorders>
            <w:shd w:val="clear" w:color="000000" w:fill="FFC000"/>
            <w:vAlign w:val="center"/>
            <w:hideMark/>
          </w:tcPr>
          <w:p w14:paraId="77E022A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nil"/>
              <w:right w:val="single" w:sz="4" w:space="0" w:color="auto"/>
            </w:tcBorders>
            <w:shd w:val="clear" w:color="000000" w:fill="FF0000"/>
            <w:vAlign w:val="center"/>
            <w:hideMark/>
          </w:tcPr>
          <w:p w14:paraId="6C9F37F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tcBorders>
              <w:top w:val="nil"/>
              <w:left w:val="nil"/>
              <w:bottom w:val="single" w:sz="4" w:space="0" w:color="auto"/>
              <w:right w:val="single" w:sz="4" w:space="0" w:color="auto"/>
            </w:tcBorders>
            <w:vAlign w:val="center"/>
            <w:hideMark/>
          </w:tcPr>
          <w:p w14:paraId="3333C9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contractual penalties where non-conformances are repeated</w:t>
            </w:r>
          </w:p>
        </w:tc>
        <w:tc>
          <w:tcPr>
            <w:tcW w:w="528" w:type="pct"/>
            <w:tcBorders>
              <w:top w:val="nil"/>
              <w:left w:val="nil"/>
              <w:bottom w:val="single" w:sz="4" w:space="0" w:color="auto"/>
              <w:right w:val="single" w:sz="4" w:space="0" w:color="auto"/>
            </w:tcBorders>
            <w:vAlign w:val="center"/>
            <w:hideMark/>
          </w:tcPr>
          <w:p w14:paraId="64C78AD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562781C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FEF7AF4"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3517BEC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6AFF06A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54AF022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58F2186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A9E6AB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A71367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Incorrect withdrawal rates from caster</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3443455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single" w:sz="4" w:space="0" w:color="auto"/>
              <w:left w:val="nil"/>
              <w:bottom w:val="single" w:sz="4" w:space="0" w:color="auto"/>
              <w:right w:val="single" w:sz="4" w:space="0" w:color="auto"/>
            </w:tcBorders>
            <w:vAlign w:val="center"/>
            <w:hideMark/>
          </w:tcPr>
          <w:p w14:paraId="13C86A8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required to provide solidification parameters</w:t>
            </w:r>
          </w:p>
        </w:tc>
        <w:tc>
          <w:tcPr>
            <w:tcW w:w="161" w:type="pct"/>
            <w:tcBorders>
              <w:top w:val="single" w:sz="4" w:space="0" w:color="auto"/>
              <w:left w:val="single" w:sz="4" w:space="0" w:color="auto"/>
              <w:bottom w:val="nil"/>
              <w:right w:val="single" w:sz="4" w:space="0" w:color="auto"/>
            </w:tcBorders>
            <w:shd w:val="clear" w:color="000000" w:fill="92D050"/>
            <w:vAlign w:val="center"/>
            <w:hideMark/>
          </w:tcPr>
          <w:p w14:paraId="0AABBF4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79D5881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128</w:t>
            </w:r>
          </w:p>
        </w:tc>
        <w:tc>
          <w:tcPr>
            <w:tcW w:w="646" w:type="pct"/>
            <w:tcBorders>
              <w:top w:val="nil"/>
              <w:left w:val="nil"/>
              <w:bottom w:val="single" w:sz="4" w:space="0" w:color="auto"/>
              <w:right w:val="single" w:sz="4" w:space="0" w:color="auto"/>
            </w:tcBorders>
            <w:vAlign w:val="center"/>
            <w:hideMark/>
          </w:tcPr>
          <w:p w14:paraId="0FD1D16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Improve collaboration with supplier to optimise caster settings for problematic thickness and document the agreed setpoints in a service level agreement</w:t>
            </w:r>
          </w:p>
        </w:tc>
        <w:tc>
          <w:tcPr>
            <w:tcW w:w="528" w:type="pct"/>
            <w:tcBorders>
              <w:top w:val="nil"/>
              <w:left w:val="nil"/>
              <w:bottom w:val="single" w:sz="4" w:space="0" w:color="auto"/>
              <w:right w:val="single" w:sz="4" w:space="0" w:color="auto"/>
            </w:tcBorders>
            <w:vAlign w:val="center"/>
            <w:hideMark/>
          </w:tcPr>
          <w:p w14:paraId="7F5A9B4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5204DF1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79CA4CE"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414CB74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12</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3721354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1005CDF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nil"/>
              <w:right w:val="single" w:sz="4" w:space="0" w:color="auto"/>
            </w:tcBorders>
            <w:vAlign w:val="center"/>
            <w:hideMark/>
          </w:tcPr>
          <w:p w14:paraId="49BC640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Internal Cracks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5B559FA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7EDABE5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Thermal shock from incorrect heating or rapid cooling</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28C4959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8ABFC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Correct heating and cooling parameters established and enforced</w:t>
            </w:r>
          </w:p>
        </w:tc>
        <w:tc>
          <w:tcPr>
            <w:tcW w:w="161" w:type="pct"/>
            <w:tcBorders>
              <w:top w:val="single" w:sz="4" w:space="0" w:color="auto"/>
              <w:left w:val="single" w:sz="4" w:space="0" w:color="auto"/>
              <w:bottom w:val="nil"/>
              <w:right w:val="single" w:sz="4" w:space="0" w:color="auto"/>
            </w:tcBorders>
            <w:shd w:val="clear" w:color="000000" w:fill="92D050"/>
            <w:vAlign w:val="center"/>
            <w:hideMark/>
          </w:tcPr>
          <w:p w14:paraId="190E25B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4ECA47E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128</w:t>
            </w:r>
          </w:p>
        </w:tc>
        <w:tc>
          <w:tcPr>
            <w:tcW w:w="646" w:type="pct"/>
            <w:tcBorders>
              <w:top w:val="nil"/>
              <w:left w:val="nil"/>
              <w:bottom w:val="single" w:sz="4" w:space="0" w:color="auto"/>
              <w:right w:val="single" w:sz="4" w:space="0" w:color="auto"/>
            </w:tcBorders>
            <w:vAlign w:val="center"/>
            <w:hideMark/>
          </w:tcPr>
          <w:p w14:paraId="41365CD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Require suppliers to perform ultrasonic testing on slabs prior to shipment and provide certificates</w:t>
            </w:r>
          </w:p>
        </w:tc>
        <w:tc>
          <w:tcPr>
            <w:tcW w:w="528" w:type="pct"/>
            <w:tcBorders>
              <w:top w:val="nil"/>
              <w:left w:val="nil"/>
              <w:bottom w:val="single" w:sz="4" w:space="0" w:color="auto"/>
              <w:right w:val="single" w:sz="4" w:space="0" w:color="auto"/>
            </w:tcBorders>
            <w:vAlign w:val="center"/>
            <w:hideMark/>
          </w:tcPr>
          <w:p w14:paraId="5D95573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4540878A"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64C4553"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2F6B4D5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4283395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3F3C32B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0372B4C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628F154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262F575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Mechanical damage during transport</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0135D68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0973EEE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Gentle handling procedures in place</w:t>
            </w:r>
          </w:p>
        </w:tc>
        <w:tc>
          <w:tcPr>
            <w:tcW w:w="161" w:type="pct"/>
            <w:tcBorders>
              <w:top w:val="single" w:sz="4" w:space="0" w:color="auto"/>
              <w:left w:val="single" w:sz="4" w:space="0" w:color="auto"/>
              <w:bottom w:val="nil"/>
              <w:right w:val="single" w:sz="4" w:space="0" w:color="auto"/>
            </w:tcBorders>
            <w:shd w:val="clear" w:color="000000" w:fill="FFC000"/>
            <w:vAlign w:val="center"/>
            <w:hideMark/>
          </w:tcPr>
          <w:p w14:paraId="3FA1096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1FF2B8E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vAlign w:val="center"/>
            <w:hideMark/>
          </w:tcPr>
          <w:p w14:paraId="3DAD520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Define yard stacking system with RFID tags to reduce risk of </w:t>
            </w:r>
            <w:r>
              <w:rPr>
                <w:rFonts w:ascii="Calibri" w:eastAsia="Times New Roman" w:hAnsi="Calibri" w:cs="Calibri"/>
                <w:kern w:val="0"/>
                <w:sz w:val="20"/>
                <w:szCs w:val="20"/>
                <w:lang w:eastAsia="en-GB"/>
                <w14:ligatures w14:val="none"/>
              </w:rPr>
              <w:t>over</w:t>
            </w:r>
            <w:r w:rsidRPr="003D1BBB">
              <w:rPr>
                <w:rFonts w:ascii="Calibri" w:eastAsia="Times New Roman" w:hAnsi="Calibri" w:cs="Calibri"/>
                <w:kern w:val="0"/>
                <w:sz w:val="20"/>
                <w:szCs w:val="20"/>
                <w:lang w:eastAsia="en-GB"/>
                <w14:ligatures w14:val="none"/>
              </w:rPr>
              <w:t xml:space="preserve"> stacking slabs</w:t>
            </w:r>
          </w:p>
        </w:tc>
        <w:tc>
          <w:tcPr>
            <w:tcW w:w="528" w:type="pct"/>
            <w:tcBorders>
              <w:top w:val="nil"/>
              <w:left w:val="nil"/>
              <w:bottom w:val="single" w:sz="4" w:space="0" w:color="auto"/>
              <w:right w:val="single" w:sz="4" w:space="0" w:color="auto"/>
            </w:tcBorders>
            <w:vAlign w:val="center"/>
            <w:hideMark/>
          </w:tcPr>
          <w:p w14:paraId="3D30F95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Mill Production Team</w:t>
            </w:r>
          </w:p>
        </w:tc>
        <w:tc>
          <w:tcPr>
            <w:tcW w:w="85" w:type="pct"/>
            <w:vAlign w:val="center"/>
            <w:hideMark/>
          </w:tcPr>
          <w:p w14:paraId="1ADB335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D61D1FF"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170C630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513F261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7EA5C69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38C0F84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E00CE9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003910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Hydrogen &amp; Nitrogen assisted cracking from trapped gases</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03DF057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DE19D3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Degassing and hydrogen control procedures in place</w:t>
            </w:r>
          </w:p>
        </w:tc>
        <w:tc>
          <w:tcPr>
            <w:tcW w:w="161" w:type="pct"/>
            <w:tcBorders>
              <w:top w:val="single" w:sz="4" w:space="0" w:color="auto"/>
              <w:left w:val="single" w:sz="4" w:space="0" w:color="auto"/>
              <w:bottom w:val="nil"/>
              <w:right w:val="single" w:sz="4" w:space="0" w:color="auto"/>
            </w:tcBorders>
            <w:shd w:val="clear" w:color="000000" w:fill="FFC000"/>
            <w:vAlign w:val="center"/>
            <w:hideMark/>
          </w:tcPr>
          <w:p w14:paraId="735931E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3FDC4C7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vAlign w:val="center"/>
            <w:hideMark/>
          </w:tcPr>
          <w:p w14:paraId="016EAAF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Perform thorough root cause analysis for slabs featuring internal cracks, collaborate with supplier technical teams and document corrective actions</w:t>
            </w:r>
          </w:p>
        </w:tc>
        <w:tc>
          <w:tcPr>
            <w:tcW w:w="528" w:type="pct"/>
            <w:tcBorders>
              <w:top w:val="nil"/>
              <w:left w:val="nil"/>
              <w:bottom w:val="single" w:sz="4" w:space="0" w:color="auto"/>
              <w:right w:val="single" w:sz="4" w:space="0" w:color="auto"/>
            </w:tcBorders>
            <w:vAlign w:val="center"/>
            <w:hideMark/>
          </w:tcPr>
          <w:p w14:paraId="0DA21DA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1F593C0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82D410B" w14:textId="77777777" w:rsidTr="00AA4D71">
        <w:trPr>
          <w:trHeight w:val="1040"/>
        </w:trPr>
        <w:tc>
          <w:tcPr>
            <w:tcW w:w="209" w:type="pct"/>
            <w:tcBorders>
              <w:top w:val="nil"/>
              <w:left w:val="single" w:sz="4" w:space="0" w:color="auto"/>
              <w:bottom w:val="single" w:sz="4" w:space="0" w:color="auto"/>
              <w:right w:val="single" w:sz="4" w:space="0" w:color="auto"/>
            </w:tcBorders>
            <w:noWrap/>
            <w:vAlign w:val="center"/>
            <w:hideMark/>
          </w:tcPr>
          <w:p w14:paraId="6CC1EAD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13</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665BB32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66F549C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single" w:sz="4" w:space="0" w:color="auto"/>
              <w:left w:val="single" w:sz="4" w:space="0" w:color="auto"/>
              <w:bottom w:val="single" w:sz="4" w:space="0" w:color="000000"/>
              <w:right w:val="single" w:sz="4" w:space="0" w:color="auto"/>
            </w:tcBorders>
            <w:vAlign w:val="center"/>
            <w:hideMark/>
          </w:tcPr>
          <w:p w14:paraId="6B1BD9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Porosity</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26756E3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0211B07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Gas entrapment</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7BAB641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nil"/>
              <w:right w:val="single" w:sz="4" w:space="0" w:color="auto"/>
            </w:tcBorders>
            <w:vAlign w:val="center"/>
            <w:hideMark/>
          </w:tcPr>
          <w:p w14:paraId="792C0CF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to provide degassing records for proof of desired grade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9FB4B0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87B4FC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192</w:t>
            </w:r>
          </w:p>
        </w:tc>
        <w:tc>
          <w:tcPr>
            <w:tcW w:w="646" w:type="pct"/>
            <w:tcBorders>
              <w:top w:val="nil"/>
              <w:left w:val="nil"/>
              <w:bottom w:val="single" w:sz="4" w:space="0" w:color="auto"/>
              <w:right w:val="single" w:sz="4" w:space="0" w:color="auto"/>
            </w:tcBorders>
            <w:vAlign w:val="center"/>
            <w:hideMark/>
          </w:tcPr>
          <w:p w14:paraId="1DAF2F4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grades where porosity has historically been present to require ultrasonic/eddy current testing as standard procedure</w:t>
            </w:r>
          </w:p>
        </w:tc>
        <w:tc>
          <w:tcPr>
            <w:tcW w:w="528" w:type="pct"/>
            <w:tcBorders>
              <w:top w:val="nil"/>
              <w:left w:val="nil"/>
              <w:bottom w:val="single" w:sz="4" w:space="0" w:color="auto"/>
              <w:right w:val="single" w:sz="4" w:space="0" w:color="auto"/>
            </w:tcBorders>
            <w:vAlign w:val="center"/>
            <w:hideMark/>
          </w:tcPr>
          <w:p w14:paraId="64B6597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Supplier &amp; Port Talbot Technical Team</w:t>
            </w:r>
          </w:p>
        </w:tc>
        <w:tc>
          <w:tcPr>
            <w:tcW w:w="85" w:type="pct"/>
            <w:vAlign w:val="center"/>
            <w:hideMark/>
          </w:tcPr>
          <w:p w14:paraId="42920DEE"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1C003CB"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7B253E2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5ECF35D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4E52405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447A45E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1D7BC8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C676CB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Turbulent melt flow</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56C1953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single" w:sz="4" w:space="0" w:color="auto"/>
              <w:left w:val="nil"/>
              <w:bottom w:val="single" w:sz="4" w:space="0" w:color="auto"/>
              <w:right w:val="single" w:sz="4" w:space="0" w:color="auto"/>
            </w:tcBorders>
            <w:vAlign w:val="center"/>
            <w:hideMark/>
          </w:tcPr>
          <w:p w14:paraId="5B876EB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Controlled casting practises with appropriate moulds and pour rates to minimise turbulence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5AF8B1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A76FF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vAlign w:val="center"/>
            <w:hideMark/>
          </w:tcPr>
          <w:p w14:paraId="72362E6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to incorporate porosity metrics into certificates and must fall within spec</w:t>
            </w:r>
          </w:p>
        </w:tc>
        <w:tc>
          <w:tcPr>
            <w:tcW w:w="528" w:type="pct"/>
            <w:tcBorders>
              <w:top w:val="nil"/>
              <w:left w:val="nil"/>
              <w:bottom w:val="single" w:sz="4" w:space="0" w:color="auto"/>
              <w:right w:val="single" w:sz="4" w:space="0" w:color="auto"/>
            </w:tcBorders>
            <w:vAlign w:val="center"/>
            <w:hideMark/>
          </w:tcPr>
          <w:p w14:paraId="239F9E2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3D842659"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B106DF2"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0E5E45F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51AE9F3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331F11A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49F59D4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6EA02DB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206E62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Insufficient deoxidation</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2DB7444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nil"/>
              <w:right w:val="single" w:sz="4" w:space="0" w:color="auto"/>
            </w:tcBorders>
            <w:vAlign w:val="center"/>
            <w:hideMark/>
          </w:tcPr>
          <w:p w14:paraId="6AC210E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to provide degassing records for proof of desired grade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21077D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CD1625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192</w:t>
            </w:r>
          </w:p>
        </w:tc>
        <w:tc>
          <w:tcPr>
            <w:tcW w:w="646" w:type="pct"/>
            <w:tcBorders>
              <w:top w:val="nil"/>
              <w:left w:val="nil"/>
              <w:bottom w:val="single" w:sz="4" w:space="0" w:color="auto"/>
              <w:right w:val="single" w:sz="4" w:space="0" w:color="auto"/>
            </w:tcBorders>
            <w:vAlign w:val="center"/>
            <w:hideMark/>
          </w:tcPr>
          <w:p w14:paraId="47B6A68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Introduce supplier remediation procedures for recurring porosity issues and include in contract</w:t>
            </w:r>
          </w:p>
        </w:tc>
        <w:tc>
          <w:tcPr>
            <w:tcW w:w="528" w:type="pct"/>
            <w:tcBorders>
              <w:top w:val="nil"/>
              <w:left w:val="nil"/>
              <w:bottom w:val="single" w:sz="4" w:space="0" w:color="auto"/>
              <w:right w:val="single" w:sz="4" w:space="0" w:color="auto"/>
            </w:tcBorders>
            <w:vAlign w:val="center"/>
            <w:hideMark/>
          </w:tcPr>
          <w:p w14:paraId="451E893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3F82E177"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3E7BCCF"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60569CF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75D1084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6F373D0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352CCFB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328A24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8E643A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Rapid solidification rates trap gas before it escapes</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54BD360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single" w:sz="4" w:space="0" w:color="auto"/>
              <w:left w:val="nil"/>
              <w:bottom w:val="single" w:sz="4" w:space="0" w:color="auto"/>
              <w:right w:val="single" w:sz="4" w:space="0" w:color="auto"/>
            </w:tcBorders>
            <w:vAlign w:val="center"/>
            <w:hideMark/>
          </w:tcPr>
          <w:p w14:paraId="79CF844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required to provide solidification parameters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911DBA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D23688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vAlign w:val="center"/>
            <w:hideMark/>
          </w:tcPr>
          <w:p w14:paraId="426D25D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Perform future engineering studies with supplier to optimise casting where porosity is persistent</w:t>
            </w:r>
          </w:p>
        </w:tc>
        <w:tc>
          <w:tcPr>
            <w:tcW w:w="528" w:type="pct"/>
            <w:tcBorders>
              <w:top w:val="nil"/>
              <w:left w:val="nil"/>
              <w:bottom w:val="single" w:sz="4" w:space="0" w:color="auto"/>
              <w:right w:val="single" w:sz="4" w:space="0" w:color="auto"/>
            </w:tcBorders>
            <w:vAlign w:val="center"/>
            <w:hideMark/>
          </w:tcPr>
          <w:p w14:paraId="705137B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76D3516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3BA3D17"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0C430E9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19</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0392A17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nil"/>
              <w:right w:val="single" w:sz="4" w:space="0" w:color="auto"/>
            </w:tcBorders>
            <w:vAlign w:val="center"/>
            <w:hideMark/>
          </w:tcPr>
          <w:p w14:paraId="2B488B4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Dimensional Failures</w:t>
            </w:r>
          </w:p>
        </w:tc>
        <w:tc>
          <w:tcPr>
            <w:tcW w:w="517" w:type="pct"/>
            <w:vMerge w:val="restart"/>
            <w:tcBorders>
              <w:top w:val="nil"/>
              <w:left w:val="single" w:sz="4" w:space="0" w:color="auto"/>
              <w:bottom w:val="single" w:sz="4" w:space="0" w:color="000000"/>
              <w:right w:val="single" w:sz="4" w:space="0" w:color="auto"/>
            </w:tcBorders>
            <w:vAlign w:val="center"/>
            <w:hideMark/>
          </w:tcPr>
          <w:p w14:paraId="1913D5B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Incorrect Slab dimensions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28FBC7A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5E26D4D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Inaccurate caster settings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2BF218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49761C7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provides casting and dimensional control plans for each slab</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32E2A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D22C3E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tcBorders>
              <w:top w:val="nil"/>
              <w:left w:val="nil"/>
              <w:bottom w:val="single" w:sz="4" w:space="0" w:color="auto"/>
              <w:right w:val="single" w:sz="4" w:space="0" w:color="auto"/>
            </w:tcBorders>
            <w:vAlign w:val="center"/>
            <w:hideMark/>
          </w:tcPr>
          <w:p w14:paraId="29C2519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Each slab requires mandatory pre shipment acceptance report and dimensional certificate for all slab</w:t>
            </w:r>
          </w:p>
        </w:tc>
        <w:tc>
          <w:tcPr>
            <w:tcW w:w="528" w:type="pct"/>
            <w:tcBorders>
              <w:top w:val="nil"/>
              <w:left w:val="nil"/>
              <w:bottom w:val="single" w:sz="4" w:space="0" w:color="auto"/>
              <w:right w:val="single" w:sz="4" w:space="0" w:color="auto"/>
            </w:tcBorders>
            <w:vAlign w:val="center"/>
            <w:hideMark/>
          </w:tcPr>
          <w:p w14:paraId="1EC1753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7EBB5509"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1654D5A"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4AC6A14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412504D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443892B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96136B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17C17B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0A5B0A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Worn Moulds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F76B7D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3878277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to inspect moulds on a frequent basis with date and time recorded</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48E328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E35576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196</w:t>
            </w:r>
          </w:p>
        </w:tc>
        <w:tc>
          <w:tcPr>
            <w:tcW w:w="646" w:type="pct"/>
            <w:tcBorders>
              <w:top w:val="nil"/>
              <w:left w:val="nil"/>
              <w:bottom w:val="single" w:sz="4" w:space="0" w:color="auto"/>
              <w:right w:val="single" w:sz="4" w:space="0" w:color="auto"/>
            </w:tcBorders>
            <w:vAlign w:val="center"/>
            <w:hideMark/>
          </w:tcPr>
          <w:p w14:paraId="2F662BA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Improve inbound dimensional inspection at Port Talbot and record results in database</w:t>
            </w:r>
          </w:p>
        </w:tc>
        <w:tc>
          <w:tcPr>
            <w:tcW w:w="528" w:type="pct"/>
            <w:tcBorders>
              <w:top w:val="nil"/>
              <w:left w:val="nil"/>
              <w:bottom w:val="single" w:sz="4" w:space="0" w:color="auto"/>
              <w:right w:val="single" w:sz="4" w:space="0" w:color="auto"/>
            </w:tcBorders>
            <w:vAlign w:val="center"/>
            <w:hideMark/>
          </w:tcPr>
          <w:p w14:paraId="7DA4C84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Mill Production Team &amp; Port Talbot Technical</w:t>
            </w:r>
          </w:p>
        </w:tc>
        <w:tc>
          <w:tcPr>
            <w:tcW w:w="85" w:type="pct"/>
            <w:vAlign w:val="center"/>
            <w:hideMark/>
          </w:tcPr>
          <w:p w14:paraId="35A54C1A"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756B84A"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4655293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4C1C2E8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7031C64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091B9A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18C771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4C0858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Thermal shrinkage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8CEF79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56FD1F3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Correct cooling parameters adhered too</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7A3662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292086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tcBorders>
              <w:top w:val="nil"/>
              <w:left w:val="nil"/>
              <w:bottom w:val="single" w:sz="4" w:space="0" w:color="auto"/>
              <w:right w:val="single" w:sz="4" w:space="0" w:color="auto"/>
            </w:tcBorders>
            <w:vAlign w:val="center"/>
            <w:hideMark/>
          </w:tcPr>
          <w:p w14:paraId="175A5B4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Develop corrective action reports for out of tolerance dimensions, including financial remedies</w:t>
            </w:r>
          </w:p>
        </w:tc>
        <w:tc>
          <w:tcPr>
            <w:tcW w:w="528" w:type="pct"/>
            <w:tcBorders>
              <w:top w:val="nil"/>
              <w:left w:val="nil"/>
              <w:bottom w:val="single" w:sz="4" w:space="0" w:color="auto"/>
              <w:right w:val="single" w:sz="4" w:space="0" w:color="auto"/>
            </w:tcBorders>
            <w:vAlign w:val="center"/>
            <w:hideMark/>
          </w:tcPr>
          <w:p w14:paraId="006B605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Mill Production Team &amp; Port Talbot Technical</w:t>
            </w:r>
          </w:p>
        </w:tc>
        <w:tc>
          <w:tcPr>
            <w:tcW w:w="85" w:type="pct"/>
            <w:vAlign w:val="center"/>
            <w:hideMark/>
          </w:tcPr>
          <w:p w14:paraId="325AFAD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3D49ECF"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04E8E99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7655AA2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4F6CAC3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1718DB4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FA03BC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31233CF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Errors in cutting stations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FE644C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2FE9E5A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Periodic maintenance and calibration schedules for cutting and sizing equipment at supplier plants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B1C239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18D3AB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vMerge w:val="restart"/>
            <w:tcBorders>
              <w:top w:val="nil"/>
              <w:left w:val="single" w:sz="4" w:space="0" w:color="auto"/>
              <w:bottom w:val="single" w:sz="4" w:space="0" w:color="000000"/>
              <w:right w:val="single" w:sz="4" w:space="0" w:color="auto"/>
            </w:tcBorders>
            <w:vAlign w:val="center"/>
            <w:hideMark/>
          </w:tcPr>
          <w:p w14:paraId="6212F59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Continue to track non-conformances in a supplier dashboard and implement more efficient methods to escalate issues to procurement and supplier technical teams</w:t>
            </w:r>
          </w:p>
        </w:tc>
        <w:tc>
          <w:tcPr>
            <w:tcW w:w="528" w:type="pct"/>
            <w:vMerge w:val="restart"/>
            <w:tcBorders>
              <w:top w:val="nil"/>
              <w:left w:val="single" w:sz="4" w:space="0" w:color="auto"/>
              <w:bottom w:val="single" w:sz="4" w:space="0" w:color="000000"/>
              <w:right w:val="single" w:sz="4" w:space="0" w:color="auto"/>
            </w:tcBorders>
            <w:vAlign w:val="center"/>
            <w:hideMark/>
          </w:tcPr>
          <w:p w14:paraId="0C64A40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&amp; Mill Production Team</w:t>
            </w:r>
          </w:p>
        </w:tc>
        <w:tc>
          <w:tcPr>
            <w:tcW w:w="85" w:type="pct"/>
            <w:vAlign w:val="center"/>
            <w:hideMark/>
          </w:tcPr>
          <w:p w14:paraId="0BF4A7C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E969BB0"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4EDD432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1966858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0D1DCC7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B398FB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A4BA9A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3B7AE9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Inconsistent measuring methods at supplier</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8B2226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4DFEA0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Dimensional tolerances and measurement methods standardised throughout supplier</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D2198A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CEA52E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vMerge/>
            <w:tcBorders>
              <w:top w:val="nil"/>
              <w:left w:val="single" w:sz="4" w:space="0" w:color="auto"/>
              <w:bottom w:val="single" w:sz="4" w:space="0" w:color="000000"/>
              <w:right w:val="single" w:sz="4" w:space="0" w:color="auto"/>
            </w:tcBorders>
            <w:vAlign w:val="center"/>
            <w:hideMark/>
          </w:tcPr>
          <w:p w14:paraId="147A404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3101BD8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2AD027E1"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A4DDD97"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42DF643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0F144B1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1891017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nil"/>
              <w:right w:val="single" w:sz="4" w:space="0" w:color="auto"/>
            </w:tcBorders>
            <w:vAlign w:val="center"/>
            <w:hideMark/>
          </w:tcPr>
          <w:p w14:paraId="0DF27C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Incorrect Slab Shape</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2AA07E1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6A122EE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Uneven cooling </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69DC84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7E1A2C4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Correct cooling parameters adhered too</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D20A43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8497DE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tcBorders>
              <w:top w:val="nil"/>
              <w:left w:val="nil"/>
              <w:bottom w:val="single" w:sz="4" w:space="0" w:color="auto"/>
              <w:right w:val="single" w:sz="4" w:space="0" w:color="auto"/>
            </w:tcBorders>
            <w:vAlign w:val="center"/>
            <w:hideMark/>
          </w:tcPr>
          <w:p w14:paraId="36707E5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Create a dedicated incoming checking area at Port Talbot storage yard to perform shape measurements and </w:t>
            </w:r>
            <w:r w:rsidRPr="003D1BBB">
              <w:rPr>
                <w:rFonts w:ascii="Calibri" w:eastAsia="Times New Roman" w:hAnsi="Calibri" w:cs="Calibri"/>
                <w:kern w:val="0"/>
                <w:sz w:val="20"/>
                <w:szCs w:val="20"/>
                <w:lang w:eastAsia="en-GB"/>
                <w14:ligatures w14:val="none"/>
              </w:rPr>
              <w:lastRenderedPageBreak/>
              <w:t>introduce a photographic documentation system on arrival</w:t>
            </w:r>
          </w:p>
        </w:tc>
        <w:tc>
          <w:tcPr>
            <w:tcW w:w="528" w:type="pct"/>
            <w:tcBorders>
              <w:top w:val="nil"/>
              <w:left w:val="nil"/>
              <w:bottom w:val="single" w:sz="4" w:space="0" w:color="auto"/>
              <w:right w:val="single" w:sz="4" w:space="0" w:color="auto"/>
            </w:tcBorders>
            <w:vAlign w:val="center"/>
            <w:hideMark/>
          </w:tcPr>
          <w:p w14:paraId="14AB545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Mill Production Team</w:t>
            </w:r>
          </w:p>
        </w:tc>
        <w:tc>
          <w:tcPr>
            <w:tcW w:w="85" w:type="pct"/>
            <w:vAlign w:val="center"/>
            <w:hideMark/>
          </w:tcPr>
          <w:p w14:paraId="0BCEDF01"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1D269C3"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383AB47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3F2ACF9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686AA5D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5E6884E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6ABFE91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5F5ECAC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Mechanical restraints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296654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EB8099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Acceptable flatness tolerances are specified with supplier with mechanical restraint modified to support this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555CE6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7DC6E1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tcBorders>
              <w:top w:val="nil"/>
              <w:left w:val="nil"/>
              <w:bottom w:val="nil"/>
              <w:right w:val="single" w:sz="4" w:space="0" w:color="auto"/>
            </w:tcBorders>
            <w:vAlign w:val="center"/>
            <w:hideMark/>
          </w:tcPr>
          <w:p w14:paraId="0E77F09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a quarantine area for slabs with unacceptable shape, when slabs are placed here it will trigger a supplier investigation</w:t>
            </w:r>
          </w:p>
        </w:tc>
        <w:tc>
          <w:tcPr>
            <w:tcW w:w="528" w:type="pct"/>
            <w:tcBorders>
              <w:top w:val="nil"/>
              <w:left w:val="nil"/>
              <w:bottom w:val="single" w:sz="4" w:space="0" w:color="auto"/>
              <w:right w:val="single" w:sz="4" w:space="0" w:color="auto"/>
            </w:tcBorders>
            <w:vAlign w:val="center"/>
            <w:hideMark/>
          </w:tcPr>
          <w:p w14:paraId="2A55F6A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Mill Production Team</w:t>
            </w:r>
          </w:p>
        </w:tc>
        <w:tc>
          <w:tcPr>
            <w:tcW w:w="85" w:type="pct"/>
            <w:vAlign w:val="center"/>
            <w:hideMark/>
          </w:tcPr>
          <w:p w14:paraId="3EE4FD3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2183194"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30304EA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4847585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741476A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5019440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453AC8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90E13F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handling</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C21375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710" w:type="pct"/>
            <w:tcBorders>
              <w:top w:val="nil"/>
              <w:left w:val="nil"/>
              <w:bottom w:val="single" w:sz="4" w:space="0" w:color="auto"/>
              <w:right w:val="single" w:sz="4" w:space="0" w:color="auto"/>
            </w:tcBorders>
            <w:vAlign w:val="center"/>
            <w:hideMark/>
          </w:tcPr>
          <w:p w14:paraId="6155A09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Transport and storage requirements are specified prior to shipment</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CFE5E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569191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tcBorders>
              <w:top w:val="single" w:sz="4" w:space="0" w:color="auto"/>
              <w:left w:val="nil"/>
              <w:bottom w:val="nil"/>
              <w:right w:val="single" w:sz="4" w:space="0" w:color="auto"/>
            </w:tcBorders>
            <w:vAlign w:val="center"/>
            <w:hideMark/>
          </w:tcPr>
          <w:p w14:paraId="1BF4613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Encourage suppliers to adjust the casting parameters if consistent misshaped slabs occurred</w:t>
            </w:r>
          </w:p>
        </w:tc>
        <w:tc>
          <w:tcPr>
            <w:tcW w:w="528" w:type="pct"/>
            <w:tcBorders>
              <w:top w:val="nil"/>
              <w:left w:val="nil"/>
              <w:bottom w:val="single" w:sz="4" w:space="0" w:color="auto"/>
              <w:right w:val="single" w:sz="4" w:space="0" w:color="auto"/>
            </w:tcBorders>
            <w:vAlign w:val="center"/>
            <w:hideMark/>
          </w:tcPr>
          <w:p w14:paraId="09418CD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32C4C722"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E49283C"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3532C68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77F6A84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4CA3262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29FA949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D22F4B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113E3F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control of section thickness for intended mills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31DEE8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E554CF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Routine inspections and maintenance of equipment to ensure uniform cooling</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5975C2D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5BFC32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112</w:t>
            </w:r>
          </w:p>
        </w:tc>
        <w:tc>
          <w:tcPr>
            <w:tcW w:w="646" w:type="pct"/>
            <w:tcBorders>
              <w:top w:val="single" w:sz="4" w:space="0" w:color="auto"/>
              <w:left w:val="nil"/>
              <w:bottom w:val="nil"/>
              <w:right w:val="single" w:sz="4" w:space="0" w:color="auto"/>
            </w:tcBorders>
            <w:vAlign w:val="center"/>
            <w:hideMark/>
          </w:tcPr>
          <w:p w14:paraId="78ADEF2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Incorporate slab shape metrics into supplier scorecard, with non-conformances results in remedial actions</w:t>
            </w:r>
          </w:p>
        </w:tc>
        <w:tc>
          <w:tcPr>
            <w:tcW w:w="528" w:type="pct"/>
            <w:tcBorders>
              <w:top w:val="nil"/>
              <w:left w:val="nil"/>
              <w:bottom w:val="single" w:sz="4" w:space="0" w:color="auto"/>
              <w:right w:val="single" w:sz="4" w:space="0" w:color="auto"/>
            </w:tcBorders>
            <w:vAlign w:val="center"/>
            <w:hideMark/>
          </w:tcPr>
          <w:p w14:paraId="43BD8CE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59D367F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BA31AC3" w14:textId="77777777" w:rsidTr="00AA4D71">
        <w:trPr>
          <w:trHeight w:val="765"/>
        </w:trPr>
        <w:tc>
          <w:tcPr>
            <w:tcW w:w="209" w:type="pct"/>
            <w:tcBorders>
              <w:top w:val="nil"/>
              <w:left w:val="single" w:sz="4" w:space="0" w:color="auto"/>
              <w:bottom w:val="single" w:sz="4" w:space="0" w:color="auto"/>
              <w:right w:val="single" w:sz="4" w:space="0" w:color="auto"/>
            </w:tcBorders>
            <w:noWrap/>
            <w:vAlign w:val="center"/>
            <w:hideMark/>
          </w:tcPr>
          <w:p w14:paraId="779938A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26</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4C20052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single" w:sz="4" w:space="0" w:color="auto"/>
              <w:left w:val="single" w:sz="4" w:space="0" w:color="auto"/>
              <w:bottom w:val="single" w:sz="4" w:space="0" w:color="auto"/>
              <w:right w:val="single" w:sz="4" w:space="0" w:color="auto"/>
            </w:tcBorders>
            <w:vAlign w:val="center"/>
            <w:hideMark/>
          </w:tcPr>
          <w:p w14:paraId="0371E3D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Contamination</w:t>
            </w:r>
          </w:p>
        </w:tc>
        <w:tc>
          <w:tcPr>
            <w:tcW w:w="517" w:type="pct"/>
            <w:vMerge w:val="restart"/>
            <w:tcBorders>
              <w:top w:val="single" w:sz="4" w:space="0" w:color="auto"/>
              <w:left w:val="single" w:sz="4" w:space="0" w:color="auto"/>
              <w:bottom w:val="single" w:sz="4" w:space="0" w:color="000000"/>
              <w:right w:val="single" w:sz="4" w:space="0" w:color="auto"/>
            </w:tcBorders>
            <w:vAlign w:val="center"/>
            <w:hideMark/>
          </w:tcPr>
          <w:p w14:paraId="433F481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Surface Contamination</w:t>
            </w:r>
          </w:p>
        </w:tc>
        <w:tc>
          <w:tcPr>
            <w:tcW w:w="161" w:type="pct"/>
            <w:vMerge w:val="restart"/>
            <w:tcBorders>
              <w:top w:val="single" w:sz="4" w:space="0" w:color="auto"/>
              <w:left w:val="single" w:sz="4" w:space="0" w:color="auto"/>
              <w:bottom w:val="nil"/>
              <w:right w:val="single" w:sz="4" w:space="0" w:color="auto"/>
            </w:tcBorders>
            <w:shd w:val="clear" w:color="000000" w:fill="FFFF00"/>
            <w:vAlign w:val="center"/>
            <w:hideMark/>
          </w:tcPr>
          <w:p w14:paraId="6DBD53A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614" w:type="pct"/>
            <w:tcBorders>
              <w:top w:val="nil"/>
              <w:left w:val="nil"/>
              <w:bottom w:val="single" w:sz="4" w:space="0" w:color="auto"/>
              <w:right w:val="single" w:sz="4" w:space="0" w:color="auto"/>
            </w:tcBorders>
            <w:vAlign w:val="center"/>
            <w:hideMark/>
          </w:tcPr>
          <w:p w14:paraId="133FEBF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Contact with corrosive substances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64C2D9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037D989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Slabs covered with breathable coverings for shipment on ships</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04532B6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05B3D1E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90</w:t>
            </w:r>
          </w:p>
        </w:tc>
        <w:tc>
          <w:tcPr>
            <w:tcW w:w="646" w:type="pct"/>
            <w:tcBorders>
              <w:top w:val="single" w:sz="4" w:space="0" w:color="auto"/>
              <w:left w:val="nil"/>
              <w:bottom w:val="single" w:sz="4" w:space="0" w:color="auto"/>
              <w:right w:val="single" w:sz="4" w:space="0" w:color="auto"/>
            </w:tcBorders>
            <w:vAlign w:val="center"/>
            <w:hideMark/>
          </w:tcPr>
          <w:p w14:paraId="5E883E1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photographic evidence from supplier of slabs loaded on ship with adequate coverings</w:t>
            </w:r>
          </w:p>
        </w:tc>
        <w:tc>
          <w:tcPr>
            <w:tcW w:w="528" w:type="pct"/>
            <w:tcBorders>
              <w:top w:val="nil"/>
              <w:left w:val="nil"/>
              <w:bottom w:val="single" w:sz="4" w:space="0" w:color="auto"/>
              <w:right w:val="single" w:sz="4" w:space="0" w:color="auto"/>
            </w:tcBorders>
            <w:vAlign w:val="center"/>
            <w:hideMark/>
          </w:tcPr>
          <w:p w14:paraId="2BC2FAE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721F739C"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CCB266F" w14:textId="77777777" w:rsidTr="00AA4D71">
        <w:trPr>
          <w:trHeight w:val="765"/>
        </w:trPr>
        <w:tc>
          <w:tcPr>
            <w:tcW w:w="209" w:type="pct"/>
            <w:tcBorders>
              <w:top w:val="nil"/>
              <w:left w:val="single" w:sz="4" w:space="0" w:color="auto"/>
              <w:bottom w:val="single" w:sz="4" w:space="0" w:color="auto"/>
              <w:right w:val="single" w:sz="4" w:space="0" w:color="auto"/>
            </w:tcBorders>
            <w:noWrap/>
            <w:vAlign w:val="center"/>
            <w:hideMark/>
          </w:tcPr>
          <w:p w14:paraId="7B4684A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5B5CD8E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13F92FA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59A582B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D95768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29F1327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cleaning prior to dispatch</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52B0BF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710" w:type="pct"/>
            <w:tcBorders>
              <w:top w:val="nil"/>
              <w:left w:val="nil"/>
              <w:bottom w:val="single" w:sz="4" w:space="0" w:color="auto"/>
              <w:right w:val="single" w:sz="4" w:space="0" w:color="auto"/>
            </w:tcBorders>
            <w:vAlign w:val="center"/>
            <w:hideMark/>
          </w:tcPr>
          <w:p w14:paraId="7F77477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cleaning SWPs reviewed and deemed acceptable</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1DFE862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86DC78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108</w:t>
            </w:r>
          </w:p>
        </w:tc>
        <w:tc>
          <w:tcPr>
            <w:tcW w:w="646" w:type="pct"/>
            <w:tcBorders>
              <w:top w:val="nil"/>
              <w:left w:val="nil"/>
              <w:bottom w:val="single" w:sz="4" w:space="0" w:color="auto"/>
              <w:right w:val="single" w:sz="4" w:space="0" w:color="auto"/>
            </w:tcBorders>
            <w:vAlign w:val="center"/>
            <w:hideMark/>
          </w:tcPr>
          <w:p w14:paraId="368D8BA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Build contract clauses where suppliers are to remediate or replace slabs with unacceptable contamination</w:t>
            </w:r>
          </w:p>
        </w:tc>
        <w:tc>
          <w:tcPr>
            <w:tcW w:w="528" w:type="pct"/>
            <w:tcBorders>
              <w:top w:val="nil"/>
              <w:left w:val="nil"/>
              <w:bottom w:val="single" w:sz="4" w:space="0" w:color="auto"/>
              <w:right w:val="single" w:sz="4" w:space="0" w:color="auto"/>
            </w:tcBorders>
            <w:vAlign w:val="center"/>
            <w:hideMark/>
          </w:tcPr>
          <w:p w14:paraId="6F340D5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3AF0A3D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98DB684" w14:textId="77777777" w:rsidTr="00AA4D71">
        <w:trPr>
          <w:trHeight w:val="765"/>
        </w:trPr>
        <w:tc>
          <w:tcPr>
            <w:tcW w:w="209" w:type="pct"/>
            <w:tcBorders>
              <w:top w:val="nil"/>
              <w:left w:val="single" w:sz="4" w:space="0" w:color="auto"/>
              <w:bottom w:val="single" w:sz="4" w:space="0" w:color="auto"/>
              <w:right w:val="single" w:sz="4" w:space="0" w:color="auto"/>
            </w:tcBorders>
            <w:noWrap/>
            <w:vAlign w:val="center"/>
            <w:hideMark/>
          </w:tcPr>
          <w:p w14:paraId="588E3F4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641F31A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1BC1CFB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754A110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57BC47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82D909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Stored in unprotected yards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7114FB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710" w:type="pct"/>
            <w:tcBorders>
              <w:top w:val="nil"/>
              <w:left w:val="nil"/>
              <w:bottom w:val="single" w:sz="4" w:space="0" w:color="auto"/>
              <w:right w:val="single" w:sz="4" w:space="0" w:color="auto"/>
            </w:tcBorders>
            <w:vAlign w:val="center"/>
            <w:hideMark/>
          </w:tcPr>
          <w:p w14:paraId="2E2B1AC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Designated storage zones at Port Talbot</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46AF508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EB258F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108</w:t>
            </w:r>
          </w:p>
        </w:tc>
        <w:tc>
          <w:tcPr>
            <w:tcW w:w="646" w:type="pct"/>
            <w:tcBorders>
              <w:top w:val="nil"/>
              <w:left w:val="nil"/>
              <w:bottom w:val="single" w:sz="4" w:space="0" w:color="auto"/>
              <w:right w:val="single" w:sz="4" w:space="0" w:color="auto"/>
            </w:tcBorders>
            <w:vAlign w:val="center"/>
            <w:hideMark/>
          </w:tcPr>
          <w:p w14:paraId="2B0CAFF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Evaluate sustainable cleaning options and solvent recycling to reduce environmental impact whilst maintaining surface quality</w:t>
            </w:r>
          </w:p>
        </w:tc>
        <w:tc>
          <w:tcPr>
            <w:tcW w:w="528" w:type="pct"/>
            <w:vMerge w:val="restart"/>
            <w:tcBorders>
              <w:top w:val="nil"/>
              <w:left w:val="single" w:sz="4" w:space="0" w:color="auto"/>
              <w:bottom w:val="single" w:sz="4" w:space="0" w:color="000000"/>
              <w:right w:val="single" w:sz="4" w:space="0" w:color="auto"/>
            </w:tcBorders>
            <w:vAlign w:val="center"/>
            <w:hideMark/>
          </w:tcPr>
          <w:p w14:paraId="20C83AB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&amp; Mill Production Team</w:t>
            </w:r>
          </w:p>
        </w:tc>
        <w:tc>
          <w:tcPr>
            <w:tcW w:w="85" w:type="pct"/>
            <w:vAlign w:val="center"/>
            <w:hideMark/>
          </w:tcPr>
          <w:p w14:paraId="3C81C5CA"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B95111D"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2C9FC18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27</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07CFBD7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47A385B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674EC73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43DE9E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6439AC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coverings allowing moisture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A95F69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7623174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Coverings of slabs are monitored closely and replaced with new when unsuitable</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3B4150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53B7E1E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90</w:t>
            </w:r>
          </w:p>
        </w:tc>
        <w:tc>
          <w:tcPr>
            <w:tcW w:w="646" w:type="pct"/>
            <w:tcBorders>
              <w:top w:val="nil"/>
              <w:left w:val="nil"/>
              <w:bottom w:val="single" w:sz="4" w:space="0" w:color="auto"/>
              <w:right w:val="single" w:sz="4" w:space="0" w:color="auto"/>
            </w:tcBorders>
            <w:vAlign w:val="center"/>
            <w:hideMark/>
          </w:tcPr>
          <w:p w14:paraId="506164F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Potential to install a small capacity degrease facility in Port Talbot for rapid remediation of minor contamination on arrival before stored in stock yards</w:t>
            </w:r>
          </w:p>
        </w:tc>
        <w:tc>
          <w:tcPr>
            <w:tcW w:w="528" w:type="pct"/>
            <w:vMerge/>
            <w:tcBorders>
              <w:top w:val="nil"/>
              <w:left w:val="single" w:sz="4" w:space="0" w:color="auto"/>
              <w:bottom w:val="single" w:sz="4" w:space="0" w:color="000000"/>
              <w:right w:val="single" w:sz="4" w:space="0" w:color="auto"/>
            </w:tcBorders>
            <w:vAlign w:val="center"/>
            <w:hideMark/>
          </w:tcPr>
          <w:p w14:paraId="436BCEC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19E8306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AF84717" w14:textId="77777777" w:rsidTr="00AA4D71">
        <w:trPr>
          <w:trHeight w:val="510"/>
        </w:trPr>
        <w:tc>
          <w:tcPr>
            <w:tcW w:w="209" w:type="pct"/>
            <w:tcBorders>
              <w:top w:val="nil"/>
              <w:left w:val="single" w:sz="4" w:space="0" w:color="auto"/>
              <w:bottom w:val="single" w:sz="4" w:space="0" w:color="auto"/>
              <w:right w:val="single" w:sz="4" w:space="0" w:color="auto"/>
            </w:tcBorders>
            <w:noWrap/>
            <w:vAlign w:val="center"/>
            <w:hideMark/>
          </w:tcPr>
          <w:p w14:paraId="20BE8CD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492E893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single" w:sz="4" w:space="0" w:color="000000"/>
              <w:right w:val="single" w:sz="4" w:space="0" w:color="auto"/>
            </w:tcBorders>
            <w:vAlign w:val="center"/>
            <w:hideMark/>
          </w:tcPr>
          <w:p w14:paraId="195222A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Processing</w:t>
            </w:r>
          </w:p>
        </w:tc>
        <w:tc>
          <w:tcPr>
            <w:tcW w:w="517" w:type="pct"/>
            <w:vMerge w:val="restart"/>
            <w:tcBorders>
              <w:top w:val="nil"/>
              <w:left w:val="single" w:sz="4" w:space="0" w:color="auto"/>
              <w:bottom w:val="nil"/>
              <w:right w:val="single" w:sz="4" w:space="0" w:color="auto"/>
            </w:tcBorders>
            <w:vAlign w:val="center"/>
            <w:hideMark/>
          </w:tcPr>
          <w:p w14:paraId="7F07175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process documentation</w:t>
            </w:r>
          </w:p>
        </w:tc>
        <w:tc>
          <w:tcPr>
            <w:tcW w:w="161" w:type="pct"/>
            <w:vMerge w:val="restart"/>
            <w:tcBorders>
              <w:top w:val="single" w:sz="4" w:space="0" w:color="auto"/>
              <w:left w:val="single" w:sz="4" w:space="0" w:color="auto"/>
              <w:bottom w:val="nil"/>
              <w:right w:val="single" w:sz="4" w:space="0" w:color="auto"/>
            </w:tcBorders>
            <w:shd w:val="clear" w:color="000000" w:fill="FFFF00"/>
            <w:vAlign w:val="center"/>
            <w:hideMark/>
          </w:tcPr>
          <w:p w14:paraId="4E17157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614" w:type="pct"/>
            <w:tcBorders>
              <w:top w:val="nil"/>
              <w:left w:val="nil"/>
              <w:bottom w:val="single" w:sz="4" w:space="0" w:color="auto"/>
              <w:right w:val="single" w:sz="4" w:space="0" w:color="auto"/>
            </w:tcBorders>
            <w:vAlign w:val="center"/>
            <w:hideMark/>
          </w:tcPr>
          <w:p w14:paraId="669F13D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Reliance on paper records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FC87C2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495124E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Digital document control system in use</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4901F9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6BBA669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90</w:t>
            </w:r>
          </w:p>
        </w:tc>
        <w:tc>
          <w:tcPr>
            <w:tcW w:w="646" w:type="pct"/>
            <w:tcBorders>
              <w:top w:val="nil"/>
              <w:left w:val="nil"/>
              <w:bottom w:val="single" w:sz="4" w:space="0" w:color="auto"/>
              <w:right w:val="single" w:sz="4" w:space="0" w:color="auto"/>
            </w:tcBorders>
            <w:vAlign w:val="center"/>
            <w:hideMark/>
          </w:tcPr>
          <w:p w14:paraId="68FE96C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Improve digital system to a live database which can be updated and viewed by both suppliers and customer</w:t>
            </w:r>
          </w:p>
        </w:tc>
        <w:tc>
          <w:tcPr>
            <w:tcW w:w="528" w:type="pct"/>
            <w:tcBorders>
              <w:top w:val="nil"/>
              <w:left w:val="nil"/>
              <w:bottom w:val="single" w:sz="4" w:space="0" w:color="auto"/>
              <w:right w:val="single" w:sz="4" w:space="0" w:color="auto"/>
            </w:tcBorders>
            <w:vAlign w:val="center"/>
            <w:hideMark/>
          </w:tcPr>
          <w:p w14:paraId="09EB4E1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231FEDF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B539D5F"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41CBFF9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4A19339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43DC619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78980FB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C9F5B4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87DD2C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Non-standard document templates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E0B7B8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798F9B9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Standard templates used </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1551327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7090E9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120</w:t>
            </w:r>
          </w:p>
        </w:tc>
        <w:tc>
          <w:tcPr>
            <w:tcW w:w="646" w:type="pct"/>
            <w:tcBorders>
              <w:top w:val="nil"/>
              <w:left w:val="nil"/>
              <w:bottom w:val="single" w:sz="4" w:space="0" w:color="auto"/>
              <w:right w:val="single" w:sz="4" w:space="0" w:color="auto"/>
            </w:tcBorders>
            <w:vAlign w:val="center"/>
            <w:hideMark/>
          </w:tcPr>
          <w:p w14:paraId="618276A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Introduce a </w:t>
            </w:r>
            <w:proofErr w:type="gramStart"/>
            <w:r w:rsidRPr="003D1BBB">
              <w:rPr>
                <w:rFonts w:ascii="Calibri" w:eastAsia="Times New Roman" w:hAnsi="Calibri" w:cs="Calibri"/>
                <w:kern w:val="0"/>
                <w:sz w:val="20"/>
                <w:szCs w:val="20"/>
                <w:lang w:eastAsia="en-GB"/>
                <w14:ligatures w14:val="none"/>
              </w:rPr>
              <w:t>2 step</w:t>
            </w:r>
            <w:proofErr w:type="gramEnd"/>
            <w:r w:rsidRPr="003D1BBB">
              <w:rPr>
                <w:rFonts w:ascii="Calibri" w:eastAsia="Times New Roman" w:hAnsi="Calibri" w:cs="Calibri"/>
                <w:kern w:val="0"/>
                <w:sz w:val="20"/>
                <w:szCs w:val="20"/>
                <w:lang w:eastAsia="en-GB"/>
                <w14:ligatures w14:val="none"/>
              </w:rPr>
              <w:t xml:space="preserve"> verification process between supplier </w:t>
            </w:r>
            <w:r w:rsidRPr="003D1BBB">
              <w:rPr>
                <w:rFonts w:ascii="Calibri" w:eastAsia="Times New Roman" w:hAnsi="Calibri" w:cs="Calibri"/>
                <w:kern w:val="0"/>
                <w:sz w:val="20"/>
                <w:szCs w:val="20"/>
                <w:lang w:eastAsia="en-GB"/>
                <w14:ligatures w14:val="none"/>
              </w:rPr>
              <w:lastRenderedPageBreak/>
              <w:t>pre-check and port talbot verification</w:t>
            </w:r>
          </w:p>
        </w:tc>
        <w:tc>
          <w:tcPr>
            <w:tcW w:w="528" w:type="pct"/>
            <w:tcBorders>
              <w:top w:val="nil"/>
              <w:left w:val="nil"/>
              <w:bottom w:val="single" w:sz="4" w:space="0" w:color="auto"/>
              <w:right w:val="single" w:sz="4" w:space="0" w:color="auto"/>
            </w:tcBorders>
            <w:vAlign w:val="center"/>
            <w:hideMark/>
          </w:tcPr>
          <w:p w14:paraId="650EA16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Port Talbot Technical</w:t>
            </w:r>
          </w:p>
        </w:tc>
        <w:tc>
          <w:tcPr>
            <w:tcW w:w="85" w:type="pct"/>
            <w:vAlign w:val="center"/>
            <w:hideMark/>
          </w:tcPr>
          <w:p w14:paraId="7D54051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8CBDD49"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71C8F5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4580998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718ECD8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0E70573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6CEAD6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1DFFD4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Human error</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90435A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710" w:type="pct"/>
            <w:tcBorders>
              <w:top w:val="nil"/>
              <w:left w:val="nil"/>
              <w:bottom w:val="single" w:sz="4" w:space="0" w:color="auto"/>
              <w:right w:val="single" w:sz="4" w:space="0" w:color="auto"/>
            </w:tcBorders>
            <w:vAlign w:val="center"/>
            <w:hideMark/>
          </w:tcPr>
          <w:p w14:paraId="418A3B1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Mandatory training provided on documentation standards </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6F0A379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602E82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144</w:t>
            </w:r>
          </w:p>
        </w:tc>
        <w:tc>
          <w:tcPr>
            <w:tcW w:w="646" w:type="pct"/>
            <w:tcBorders>
              <w:top w:val="nil"/>
              <w:left w:val="nil"/>
              <w:bottom w:val="single" w:sz="4" w:space="0" w:color="auto"/>
              <w:right w:val="single" w:sz="4" w:space="0" w:color="auto"/>
            </w:tcBorders>
            <w:vAlign w:val="center"/>
            <w:hideMark/>
          </w:tcPr>
          <w:p w14:paraId="689113C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Schedule periodic audits of supplier paperwork and internal digital systems</w:t>
            </w:r>
          </w:p>
        </w:tc>
        <w:tc>
          <w:tcPr>
            <w:tcW w:w="528" w:type="pct"/>
            <w:tcBorders>
              <w:top w:val="nil"/>
              <w:left w:val="nil"/>
              <w:bottom w:val="single" w:sz="4" w:space="0" w:color="auto"/>
              <w:right w:val="single" w:sz="4" w:space="0" w:color="auto"/>
            </w:tcBorders>
            <w:vAlign w:val="center"/>
            <w:hideMark/>
          </w:tcPr>
          <w:p w14:paraId="20B0C3F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Port Talbot Technical</w:t>
            </w:r>
          </w:p>
        </w:tc>
        <w:tc>
          <w:tcPr>
            <w:tcW w:w="85" w:type="pct"/>
            <w:vAlign w:val="center"/>
            <w:hideMark/>
          </w:tcPr>
          <w:p w14:paraId="385B7CB4"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69DA7DD"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2FF4EF7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6293A00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546F8A7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56206B4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4C0270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AA740F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Insufficient training on importance of process documentation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D75224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1AF99C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Mandatory training provided on documentation standards </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8AB982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59F7D0E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96</w:t>
            </w:r>
          </w:p>
        </w:tc>
        <w:tc>
          <w:tcPr>
            <w:tcW w:w="646" w:type="pct"/>
            <w:tcBorders>
              <w:top w:val="nil"/>
              <w:left w:val="nil"/>
              <w:bottom w:val="single" w:sz="4" w:space="0" w:color="auto"/>
              <w:right w:val="single" w:sz="4" w:space="0" w:color="auto"/>
            </w:tcBorders>
            <w:vAlign w:val="center"/>
            <w:hideMark/>
          </w:tcPr>
          <w:p w14:paraId="131505A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tracking metrics of document rejection rates in a monthly dashboard and set improvement targets</w:t>
            </w:r>
          </w:p>
        </w:tc>
        <w:tc>
          <w:tcPr>
            <w:tcW w:w="528" w:type="pct"/>
            <w:tcBorders>
              <w:top w:val="nil"/>
              <w:left w:val="nil"/>
              <w:bottom w:val="single" w:sz="4" w:space="0" w:color="auto"/>
              <w:right w:val="single" w:sz="4" w:space="0" w:color="auto"/>
            </w:tcBorders>
            <w:vAlign w:val="center"/>
            <w:hideMark/>
          </w:tcPr>
          <w:p w14:paraId="2885CCA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&amp; Mill Production team</w:t>
            </w:r>
          </w:p>
        </w:tc>
        <w:tc>
          <w:tcPr>
            <w:tcW w:w="85" w:type="pct"/>
            <w:vAlign w:val="center"/>
            <w:hideMark/>
          </w:tcPr>
          <w:p w14:paraId="3009E4DC"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3E9FAA6"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693D77E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31</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762D3EE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40D3961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single" w:sz="4" w:space="0" w:color="auto"/>
              <w:left w:val="single" w:sz="4" w:space="0" w:color="auto"/>
              <w:bottom w:val="single" w:sz="4" w:space="0" w:color="000000"/>
              <w:right w:val="single" w:sz="4" w:space="0" w:color="auto"/>
            </w:tcBorders>
            <w:vAlign w:val="center"/>
            <w:hideMark/>
          </w:tcPr>
          <w:p w14:paraId="1031A63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Inconsistent Quality control</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5BC2EFE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607AAC9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cost cutting exercises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D3CDD3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0300AE6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quality control plans to be submitted and approved before shipment</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C2F6A3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20A1CF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tcBorders>
              <w:top w:val="nil"/>
              <w:left w:val="nil"/>
              <w:bottom w:val="single" w:sz="4" w:space="0" w:color="auto"/>
              <w:right w:val="single" w:sz="4" w:space="0" w:color="auto"/>
            </w:tcBorders>
            <w:vAlign w:val="center"/>
            <w:hideMark/>
          </w:tcPr>
          <w:p w14:paraId="69070D6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Contact additional accredited </w:t>
            </w:r>
            <w:proofErr w:type="gramStart"/>
            <w:r w:rsidRPr="003D1BBB">
              <w:rPr>
                <w:rFonts w:ascii="Calibri" w:eastAsia="Times New Roman" w:hAnsi="Calibri" w:cs="Calibri"/>
                <w:kern w:val="0"/>
                <w:sz w:val="20"/>
                <w:szCs w:val="20"/>
                <w:lang w:eastAsia="en-GB"/>
                <w14:ligatures w14:val="none"/>
              </w:rPr>
              <w:t>third party</w:t>
            </w:r>
            <w:proofErr w:type="gramEnd"/>
            <w:r w:rsidRPr="003D1BBB">
              <w:rPr>
                <w:rFonts w:ascii="Calibri" w:eastAsia="Times New Roman" w:hAnsi="Calibri" w:cs="Calibri"/>
                <w:kern w:val="0"/>
                <w:sz w:val="20"/>
                <w:szCs w:val="20"/>
                <w:lang w:eastAsia="en-GB"/>
                <w14:ligatures w14:val="none"/>
              </w:rPr>
              <w:t xml:space="preserve"> providers to perform audits</w:t>
            </w:r>
          </w:p>
        </w:tc>
        <w:tc>
          <w:tcPr>
            <w:tcW w:w="528" w:type="pct"/>
            <w:tcBorders>
              <w:top w:val="nil"/>
              <w:left w:val="nil"/>
              <w:bottom w:val="single" w:sz="4" w:space="0" w:color="auto"/>
              <w:right w:val="single" w:sz="4" w:space="0" w:color="auto"/>
            </w:tcBorders>
            <w:vAlign w:val="center"/>
            <w:hideMark/>
          </w:tcPr>
          <w:p w14:paraId="4E9AB73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20735754"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B628635"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4241709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638868B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0325AF2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57BD95B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F25041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A1BC8B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standardisation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6EF075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5AF8802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Routine inspections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A59F85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899121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63572F0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Improve </w:t>
            </w:r>
            <w:proofErr w:type="gramStart"/>
            <w:r w:rsidRPr="003D1BBB">
              <w:rPr>
                <w:rFonts w:ascii="Calibri" w:eastAsia="Times New Roman" w:hAnsi="Calibri" w:cs="Calibri"/>
                <w:kern w:val="0"/>
                <w:sz w:val="20"/>
                <w:szCs w:val="20"/>
                <w:lang w:eastAsia="en-GB"/>
                <w14:ligatures w14:val="none"/>
              </w:rPr>
              <w:t>root  cause</w:t>
            </w:r>
            <w:proofErr w:type="gramEnd"/>
            <w:r w:rsidRPr="003D1BBB">
              <w:rPr>
                <w:rFonts w:ascii="Calibri" w:eastAsia="Times New Roman" w:hAnsi="Calibri" w:cs="Calibri"/>
                <w:kern w:val="0"/>
                <w:sz w:val="20"/>
                <w:szCs w:val="20"/>
                <w:lang w:eastAsia="en-GB"/>
                <w14:ligatures w14:val="none"/>
              </w:rPr>
              <w:t xml:space="preserve"> analysis on all QC failures and documentation of them</w:t>
            </w:r>
          </w:p>
        </w:tc>
        <w:tc>
          <w:tcPr>
            <w:tcW w:w="528" w:type="pct"/>
            <w:tcBorders>
              <w:top w:val="nil"/>
              <w:left w:val="nil"/>
              <w:bottom w:val="single" w:sz="4" w:space="0" w:color="auto"/>
              <w:right w:val="single" w:sz="4" w:space="0" w:color="auto"/>
            </w:tcBorders>
            <w:vAlign w:val="center"/>
            <w:hideMark/>
          </w:tcPr>
          <w:p w14:paraId="22B40E5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7097D20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9E38659" w14:textId="77777777" w:rsidTr="00AA4D71">
        <w:trPr>
          <w:trHeight w:val="765"/>
        </w:trPr>
        <w:tc>
          <w:tcPr>
            <w:tcW w:w="209" w:type="pct"/>
            <w:tcBorders>
              <w:top w:val="nil"/>
              <w:left w:val="single" w:sz="4" w:space="0" w:color="auto"/>
              <w:bottom w:val="single" w:sz="4" w:space="0" w:color="auto"/>
              <w:right w:val="single" w:sz="4" w:space="0" w:color="auto"/>
            </w:tcBorders>
            <w:noWrap/>
            <w:vAlign w:val="center"/>
            <w:hideMark/>
          </w:tcPr>
          <w:p w14:paraId="5DC3635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2BC7C4E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29D9646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13EE7E4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F6EDA4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AB8E55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Staff Shortages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243AEC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3995A0A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Competency scheme in place to cover shortfall of staff</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C41DB2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581138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vMerge w:val="restart"/>
            <w:tcBorders>
              <w:top w:val="nil"/>
              <w:left w:val="single" w:sz="4" w:space="0" w:color="auto"/>
              <w:bottom w:val="single" w:sz="4" w:space="0" w:color="000000"/>
              <w:right w:val="single" w:sz="4" w:space="0" w:color="auto"/>
            </w:tcBorders>
            <w:vAlign w:val="center"/>
            <w:hideMark/>
          </w:tcPr>
          <w:p w14:paraId="03D6E9E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Require supplier to attach valid certificate on calibration on every shipment, any shipment with no evidence can be rejected or financially less</w:t>
            </w:r>
          </w:p>
        </w:tc>
        <w:tc>
          <w:tcPr>
            <w:tcW w:w="528" w:type="pct"/>
            <w:vMerge w:val="restart"/>
            <w:tcBorders>
              <w:top w:val="nil"/>
              <w:left w:val="single" w:sz="4" w:space="0" w:color="auto"/>
              <w:bottom w:val="single" w:sz="4" w:space="0" w:color="000000"/>
              <w:right w:val="single" w:sz="4" w:space="0" w:color="auto"/>
            </w:tcBorders>
            <w:vAlign w:val="center"/>
            <w:hideMark/>
          </w:tcPr>
          <w:p w14:paraId="66D7FDC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0730E59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9FDBB06"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28A5F7A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021A63C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4971FC1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34E1E14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88CD54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2DDF1F9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Expired calibration certificates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3CBEE6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2185934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Mandatory </w:t>
            </w:r>
            <w:proofErr w:type="gramStart"/>
            <w:r w:rsidRPr="003D1BBB">
              <w:rPr>
                <w:rFonts w:ascii="Calibri" w:eastAsia="Times New Roman" w:hAnsi="Calibri" w:cs="Calibri"/>
                <w:kern w:val="0"/>
                <w:sz w:val="20"/>
                <w:szCs w:val="20"/>
                <w:lang w:eastAsia="en-GB"/>
                <w14:ligatures w14:val="none"/>
              </w:rPr>
              <w:t>calibration  schedules</w:t>
            </w:r>
            <w:proofErr w:type="gramEnd"/>
            <w:r w:rsidRPr="003D1BBB">
              <w:rPr>
                <w:rFonts w:ascii="Calibri" w:eastAsia="Times New Roman" w:hAnsi="Calibri" w:cs="Calibri"/>
                <w:kern w:val="0"/>
                <w:sz w:val="20"/>
                <w:szCs w:val="20"/>
                <w:lang w:eastAsia="en-GB"/>
                <w14:ligatures w14:val="none"/>
              </w:rPr>
              <w:t xml:space="preserve"> and traceable calibration certificates for all equipment</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1C6FC49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6D4A3E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vMerge/>
            <w:tcBorders>
              <w:top w:val="nil"/>
              <w:left w:val="single" w:sz="4" w:space="0" w:color="auto"/>
              <w:bottom w:val="single" w:sz="4" w:space="0" w:color="000000"/>
              <w:right w:val="single" w:sz="4" w:space="0" w:color="auto"/>
            </w:tcBorders>
            <w:vAlign w:val="center"/>
            <w:hideMark/>
          </w:tcPr>
          <w:p w14:paraId="269FA0D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54EB2BF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5D031306"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3845030"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75FCB9F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34</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7B76D19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single" w:sz="4" w:space="0" w:color="auto"/>
              <w:right w:val="single" w:sz="4" w:space="0" w:color="auto"/>
            </w:tcBorders>
            <w:vAlign w:val="center"/>
            <w:hideMark/>
          </w:tcPr>
          <w:p w14:paraId="18540CD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Packaging &amp; Handling</w:t>
            </w:r>
          </w:p>
        </w:tc>
        <w:tc>
          <w:tcPr>
            <w:tcW w:w="517" w:type="pct"/>
            <w:vMerge w:val="restart"/>
            <w:tcBorders>
              <w:top w:val="nil"/>
              <w:left w:val="single" w:sz="4" w:space="0" w:color="auto"/>
              <w:bottom w:val="nil"/>
              <w:right w:val="single" w:sz="4" w:space="0" w:color="auto"/>
            </w:tcBorders>
            <w:vAlign w:val="center"/>
            <w:hideMark/>
          </w:tcPr>
          <w:p w14:paraId="6B7D4C6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Mechanical Damage during loading/unloading</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40E7E88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1BD03B0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Lifting aids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E74D63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034B5DB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All lifting gear approved and adhere to lifting standards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D58005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412CE6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5085DF8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Suppliers need to submit evidence of lifting equipment certification and maintain a register of approved lifting vendors to periodically audit their compliance </w:t>
            </w:r>
          </w:p>
        </w:tc>
        <w:tc>
          <w:tcPr>
            <w:tcW w:w="528" w:type="pct"/>
            <w:tcBorders>
              <w:top w:val="nil"/>
              <w:left w:val="nil"/>
              <w:bottom w:val="single" w:sz="4" w:space="0" w:color="auto"/>
              <w:right w:val="single" w:sz="4" w:space="0" w:color="auto"/>
            </w:tcBorders>
            <w:vAlign w:val="center"/>
            <w:hideMark/>
          </w:tcPr>
          <w:p w14:paraId="3ADCECC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4875352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C34B887"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16051E6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37</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5D6CFF0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auto"/>
              <w:right w:val="single" w:sz="4" w:space="0" w:color="auto"/>
            </w:tcBorders>
            <w:vAlign w:val="center"/>
            <w:hideMark/>
          </w:tcPr>
          <w:p w14:paraId="3980C20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1BA0648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33C7A2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22753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Stacking errors</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69C6E8A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0ED8B21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Standard stacking patterns arranged with stack height limits set</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A34677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771C43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210</w:t>
            </w:r>
          </w:p>
        </w:tc>
        <w:tc>
          <w:tcPr>
            <w:tcW w:w="646" w:type="pct"/>
            <w:tcBorders>
              <w:top w:val="nil"/>
              <w:left w:val="nil"/>
              <w:bottom w:val="single" w:sz="4" w:space="0" w:color="auto"/>
              <w:right w:val="single" w:sz="4" w:space="0" w:color="auto"/>
            </w:tcBorders>
            <w:vAlign w:val="center"/>
            <w:hideMark/>
          </w:tcPr>
          <w:p w14:paraId="2280CA6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Improve floor plan which matches slab ID's to designated storage space. Any incorrect stacking incidents need to be recorded and escalated if repeated</w:t>
            </w:r>
          </w:p>
        </w:tc>
        <w:tc>
          <w:tcPr>
            <w:tcW w:w="528" w:type="pct"/>
            <w:tcBorders>
              <w:top w:val="nil"/>
              <w:left w:val="nil"/>
              <w:bottom w:val="single" w:sz="4" w:space="0" w:color="auto"/>
              <w:right w:val="single" w:sz="4" w:space="0" w:color="auto"/>
            </w:tcBorders>
            <w:vAlign w:val="center"/>
            <w:hideMark/>
          </w:tcPr>
          <w:p w14:paraId="41E2484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Mill production teams</w:t>
            </w:r>
          </w:p>
        </w:tc>
        <w:tc>
          <w:tcPr>
            <w:tcW w:w="85" w:type="pct"/>
            <w:vAlign w:val="center"/>
            <w:hideMark/>
          </w:tcPr>
          <w:p w14:paraId="20FCC595"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78212A7"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2D97CCE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40</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339C02F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auto"/>
              <w:right w:val="single" w:sz="4" w:space="0" w:color="auto"/>
            </w:tcBorders>
            <w:vAlign w:val="center"/>
            <w:hideMark/>
          </w:tcPr>
          <w:p w14:paraId="032BC50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4131A56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8A466A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602B82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Improper securing of slabs</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7160C0A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27CBE83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Photographic evidence of each slab securely fastened to avoid damage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498512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26D664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210</w:t>
            </w:r>
          </w:p>
        </w:tc>
        <w:tc>
          <w:tcPr>
            <w:tcW w:w="646" w:type="pct"/>
            <w:tcBorders>
              <w:top w:val="nil"/>
              <w:left w:val="nil"/>
              <w:bottom w:val="single" w:sz="4" w:space="0" w:color="auto"/>
              <w:right w:val="single" w:sz="4" w:space="0" w:color="auto"/>
            </w:tcBorders>
            <w:vAlign w:val="center"/>
            <w:hideMark/>
          </w:tcPr>
          <w:p w14:paraId="69FAC02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Maintain contractual liability clauses and engage in periodic joint supplier and carrier workshops to align on securement standards and share lessons learned from incidents</w:t>
            </w:r>
          </w:p>
        </w:tc>
        <w:tc>
          <w:tcPr>
            <w:tcW w:w="528" w:type="pct"/>
            <w:tcBorders>
              <w:top w:val="nil"/>
              <w:left w:val="nil"/>
              <w:bottom w:val="single" w:sz="4" w:space="0" w:color="auto"/>
              <w:right w:val="single" w:sz="4" w:space="0" w:color="auto"/>
            </w:tcBorders>
            <w:vAlign w:val="center"/>
            <w:hideMark/>
          </w:tcPr>
          <w:p w14:paraId="53ABC30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7F6602B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B28E007"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241235C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69A529F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nil"/>
              <w:right w:val="single" w:sz="4" w:space="0" w:color="auto"/>
            </w:tcBorders>
            <w:vAlign w:val="center"/>
            <w:hideMark/>
          </w:tcPr>
          <w:p w14:paraId="0046F3E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Human Factors</w:t>
            </w:r>
          </w:p>
        </w:tc>
        <w:tc>
          <w:tcPr>
            <w:tcW w:w="517" w:type="pct"/>
            <w:vMerge w:val="restart"/>
            <w:tcBorders>
              <w:top w:val="single" w:sz="4" w:space="0" w:color="auto"/>
              <w:left w:val="single" w:sz="4" w:space="0" w:color="auto"/>
              <w:bottom w:val="single" w:sz="4" w:space="0" w:color="000000"/>
              <w:right w:val="single" w:sz="4" w:space="0" w:color="auto"/>
            </w:tcBorders>
            <w:vAlign w:val="center"/>
            <w:hideMark/>
          </w:tcPr>
          <w:p w14:paraId="3D08516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Operator Errors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03274D1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15C4179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Motivation</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1ECA896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5B05003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Regular employee engagement surveys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9E61DB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C0FBAB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210</w:t>
            </w:r>
          </w:p>
        </w:tc>
        <w:tc>
          <w:tcPr>
            <w:tcW w:w="646" w:type="pct"/>
            <w:tcBorders>
              <w:top w:val="nil"/>
              <w:left w:val="nil"/>
              <w:bottom w:val="nil"/>
              <w:right w:val="single" w:sz="4" w:space="0" w:color="auto"/>
            </w:tcBorders>
            <w:vAlign w:val="center"/>
            <w:hideMark/>
          </w:tcPr>
          <w:p w14:paraId="427BF81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Encourage supplier to establish further reward and recognition programs that </w:t>
            </w:r>
            <w:r w:rsidRPr="003D1BBB">
              <w:rPr>
                <w:rFonts w:ascii="Calibri" w:eastAsia="Times New Roman" w:hAnsi="Calibri" w:cs="Calibri"/>
                <w:kern w:val="0"/>
                <w:sz w:val="20"/>
                <w:szCs w:val="20"/>
                <w:lang w:eastAsia="en-GB"/>
                <w14:ligatures w14:val="none"/>
              </w:rPr>
              <w:lastRenderedPageBreak/>
              <w:t>celebrate productivity</w:t>
            </w:r>
          </w:p>
        </w:tc>
        <w:tc>
          <w:tcPr>
            <w:tcW w:w="528" w:type="pct"/>
            <w:tcBorders>
              <w:top w:val="nil"/>
              <w:left w:val="nil"/>
              <w:bottom w:val="single" w:sz="4" w:space="0" w:color="auto"/>
              <w:right w:val="single" w:sz="4" w:space="0" w:color="auto"/>
            </w:tcBorders>
            <w:vAlign w:val="center"/>
            <w:hideMark/>
          </w:tcPr>
          <w:p w14:paraId="28EA82B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Procurement &amp; Supplier Technical Team</w:t>
            </w:r>
          </w:p>
        </w:tc>
        <w:tc>
          <w:tcPr>
            <w:tcW w:w="85" w:type="pct"/>
            <w:vAlign w:val="center"/>
            <w:hideMark/>
          </w:tcPr>
          <w:p w14:paraId="47A5B54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D6B533A"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2A2747F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40004C8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6685D98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37F6BFC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027DD7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46792C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Pressure from management</w:t>
            </w:r>
          </w:p>
        </w:tc>
        <w:tc>
          <w:tcPr>
            <w:tcW w:w="226" w:type="pct"/>
            <w:tcBorders>
              <w:top w:val="single" w:sz="4" w:space="0" w:color="auto"/>
              <w:left w:val="single" w:sz="4" w:space="0" w:color="auto"/>
              <w:bottom w:val="nil"/>
              <w:right w:val="single" w:sz="4" w:space="0" w:color="auto"/>
            </w:tcBorders>
            <w:shd w:val="clear" w:color="000000" w:fill="FFC000"/>
            <w:vAlign w:val="center"/>
            <w:hideMark/>
          </w:tcPr>
          <w:p w14:paraId="74764B0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792A60D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Realistic lead times and standards set with a </w:t>
            </w:r>
            <w:proofErr w:type="gramStart"/>
            <w:r w:rsidRPr="003D1BBB">
              <w:rPr>
                <w:rFonts w:ascii="Calibri" w:eastAsia="Times New Roman" w:hAnsi="Calibri" w:cs="Calibri"/>
                <w:kern w:val="0"/>
                <w:sz w:val="20"/>
                <w:szCs w:val="20"/>
                <w:lang w:eastAsia="en-GB"/>
                <w14:ligatures w14:val="none"/>
              </w:rPr>
              <w:t>safety first</w:t>
            </w:r>
            <w:proofErr w:type="gramEnd"/>
            <w:r w:rsidRPr="003D1BBB">
              <w:rPr>
                <w:rFonts w:ascii="Calibri" w:eastAsia="Times New Roman" w:hAnsi="Calibri" w:cs="Calibri"/>
                <w:kern w:val="0"/>
                <w:sz w:val="20"/>
                <w:szCs w:val="20"/>
                <w:lang w:eastAsia="en-GB"/>
                <w14:ligatures w14:val="none"/>
              </w:rPr>
              <w:t xml:space="preserve"> culture firmly in place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9D191E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7D6887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tcBorders>
              <w:top w:val="single" w:sz="4" w:space="0" w:color="auto"/>
              <w:left w:val="nil"/>
              <w:bottom w:val="nil"/>
              <w:right w:val="single" w:sz="4" w:space="0" w:color="auto"/>
            </w:tcBorders>
            <w:vAlign w:val="center"/>
            <w:hideMark/>
          </w:tcPr>
          <w:p w14:paraId="6C3DC5E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Encourage supplier to introduce regular Service level agreement meetings between management and operations teams to ensure targets are aligned at all times</w:t>
            </w:r>
          </w:p>
        </w:tc>
        <w:tc>
          <w:tcPr>
            <w:tcW w:w="528" w:type="pct"/>
            <w:tcBorders>
              <w:top w:val="nil"/>
              <w:left w:val="nil"/>
              <w:bottom w:val="single" w:sz="4" w:space="0" w:color="auto"/>
              <w:right w:val="single" w:sz="4" w:space="0" w:color="auto"/>
            </w:tcBorders>
            <w:vAlign w:val="center"/>
            <w:hideMark/>
          </w:tcPr>
          <w:p w14:paraId="18DECB4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3628FC7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EE51962"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7964AFA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26B3CD3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5AD3D91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0C3C571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1E50FD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B9DEE8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Difficult working conditions</w:t>
            </w:r>
          </w:p>
        </w:tc>
        <w:tc>
          <w:tcPr>
            <w:tcW w:w="226" w:type="pct"/>
            <w:tcBorders>
              <w:top w:val="single" w:sz="4" w:space="0" w:color="auto"/>
              <w:left w:val="single" w:sz="4" w:space="0" w:color="auto"/>
              <w:bottom w:val="nil"/>
              <w:right w:val="single" w:sz="4" w:space="0" w:color="auto"/>
            </w:tcBorders>
            <w:shd w:val="clear" w:color="000000" w:fill="92D050"/>
            <w:vAlign w:val="center"/>
            <w:hideMark/>
          </w:tcPr>
          <w:p w14:paraId="04D4335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710" w:type="pct"/>
            <w:tcBorders>
              <w:top w:val="nil"/>
              <w:left w:val="nil"/>
              <w:bottom w:val="single" w:sz="4" w:space="0" w:color="auto"/>
              <w:right w:val="single" w:sz="4" w:space="0" w:color="auto"/>
            </w:tcBorders>
            <w:vAlign w:val="center"/>
            <w:hideMark/>
          </w:tcPr>
          <w:p w14:paraId="5BC37FD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Occupational health checks conducted periodically</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760BCA5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D5D919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tcBorders>
              <w:top w:val="single" w:sz="4" w:space="0" w:color="auto"/>
              <w:left w:val="nil"/>
              <w:bottom w:val="nil"/>
              <w:right w:val="single" w:sz="4" w:space="0" w:color="auto"/>
            </w:tcBorders>
            <w:vAlign w:val="center"/>
            <w:hideMark/>
          </w:tcPr>
          <w:p w14:paraId="49A82E8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Encourage suppler to upgrade welfare and break facilities in an attempt to improve employee satisfaction which will therefore improve productivity</w:t>
            </w:r>
          </w:p>
        </w:tc>
        <w:tc>
          <w:tcPr>
            <w:tcW w:w="528" w:type="pct"/>
            <w:tcBorders>
              <w:top w:val="nil"/>
              <w:left w:val="nil"/>
              <w:bottom w:val="single" w:sz="4" w:space="0" w:color="auto"/>
              <w:right w:val="single" w:sz="4" w:space="0" w:color="auto"/>
            </w:tcBorders>
            <w:vAlign w:val="center"/>
            <w:hideMark/>
          </w:tcPr>
          <w:p w14:paraId="540E63A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47122A14"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63CBB00" w14:textId="77777777" w:rsidTr="00AA4D71">
        <w:trPr>
          <w:trHeight w:val="1040"/>
        </w:trPr>
        <w:tc>
          <w:tcPr>
            <w:tcW w:w="209" w:type="pct"/>
            <w:tcBorders>
              <w:top w:val="nil"/>
              <w:left w:val="single" w:sz="4" w:space="0" w:color="auto"/>
              <w:bottom w:val="single" w:sz="4" w:space="0" w:color="auto"/>
              <w:right w:val="single" w:sz="4" w:space="0" w:color="auto"/>
            </w:tcBorders>
            <w:noWrap/>
            <w:vAlign w:val="center"/>
            <w:hideMark/>
          </w:tcPr>
          <w:p w14:paraId="560B8F7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45</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148B409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single" w:sz="4" w:space="0" w:color="auto"/>
              <w:left w:val="single" w:sz="4" w:space="0" w:color="auto"/>
              <w:bottom w:val="nil"/>
              <w:right w:val="single" w:sz="4" w:space="0" w:color="auto"/>
            </w:tcBorders>
            <w:vAlign w:val="center"/>
            <w:hideMark/>
          </w:tcPr>
          <w:p w14:paraId="3D39A67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Insolvency</w:t>
            </w:r>
          </w:p>
        </w:tc>
        <w:tc>
          <w:tcPr>
            <w:tcW w:w="517" w:type="pct"/>
            <w:vMerge w:val="restart"/>
            <w:tcBorders>
              <w:top w:val="nil"/>
              <w:left w:val="single" w:sz="4" w:space="0" w:color="auto"/>
              <w:bottom w:val="nil"/>
              <w:right w:val="single" w:sz="4" w:space="0" w:color="auto"/>
            </w:tcBorders>
            <w:vAlign w:val="center"/>
            <w:hideMark/>
          </w:tcPr>
          <w:p w14:paraId="67B3F34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Shortage of Material</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7D87DE2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60625A5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Supply chain disruptions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83032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2C0FB2C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 buffer stock of imported slab held at Port Talbot</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714B0DB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759AB2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tcBorders>
              <w:top w:val="single" w:sz="4" w:space="0" w:color="auto"/>
              <w:left w:val="nil"/>
              <w:bottom w:val="single" w:sz="4" w:space="0" w:color="auto"/>
              <w:right w:val="single" w:sz="4" w:space="0" w:color="auto"/>
            </w:tcBorders>
            <w:vAlign w:val="center"/>
            <w:hideMark/>
          </w:tcPr>
          <w:p w14:paraId="7608AFB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real time supply chain visibility tools for monitoring of shipment</w:t>
            </w:r>
          </w:p>
        </w:tc>
        <w:tc>
          <w:tcPr>
            <w:tcW w:w="528" w:type="pct"/>
            <w:tcBorders>
              <w:top w:val="nil"/>
              <w:left w:val="nil"/>
              <w:bottom w:val="single" w:sz="4" w:space="0" w:color="auto"/>
              <w:right w:val="single" w:sz="4" w:space="0" w:color="auto"/>
            </w:tcBorders>
            <w:vAlign w:val="center"/>
            <w:hideMark/>
          </w:tcPr>
          <w:p w14:paraId="46490B0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Supplier &amp; Port Talbot Technical Team</w:t>
            </w:r>
          </w:p>
        </w:tc>
        <w:tc>
          <w:tcPr>
            <w:tcW w:w="85" w:type="pct"/>
            <w:vAlign w:val="center"/>
            <w:hideMark/>
          </w:tcPr>
          <w:p w14:paraId="7B3974A4"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C9F1740"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42DEDFE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7B4109F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nil"/>
              <w:right w:val="single" w:sz="4" w:space="0" w:color="auto"/>
            </w:tcBorders>
            <w:vAlign w:val="center"/>
            <w:hideMark/>
          </w:tcPr>
          <w:p w14:paraId="09275F0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46749E5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2EAC4C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38AB12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Raw material scarcity</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7AB9D50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710" w:type="pct"/>
            <w:tcBorders>
              <w:top w:val="nil"/>
              <w:left w:val="nil"/>
              <w:bottom w:val="single" w:sz="4" w:space="0" w:color="auto"/>
              <w:right w:val="single" w:sz="4" w:space="0" w:color="auto"/>
            </w:tcBorders>
            <w:vAlign w:val="center"/>
            <w:hideMark/>
          </w:tcPr>
          <w:p w14:paraId="462DFAB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Relationships with multiple global suppliers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CF854B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0DD6AB3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70</w:t>
            </w:r>
          </w:p>
        </w:tc>
        <w:tc>
          <w:tcPr>
            <w:tcW w:w="646" w:type="pct"/>
            <w:tcBorders>
              <w:top w:val="nil"/>
              <w:left w:val="nil"/>
              <w:bottom w:val="single" w:sz="4" w:space="0" w:color="auto"/>
              <w:right w:val="single" w:sz="4" w:space="0" w:color="auto"/>
            </w:tcBorders>
            <w:vAlign w:val="center"/>
            <w:hideMark/>
          </w:tcPr>
          <w:p w14:paraId="7F73932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Continue to develop relationships with new suppliers to reduce dependency on long distance suppliers</w:t>
            </w:r>
          </w:p>
        </w:tc>
        <w:tc>
          <w:tcPr>
            <w:tcW w:w="528" w:type="pct"/>
            <w:tcBorders>
              <w:top w:val="nil"/>
              <w:left w:val="nil"/>
              <w:bottom w:val="single" w:sz="4" w:space="0" w:color="auto"/>
              <w:right w:val="single" w:sz="4" w:space="0" w:color="auto"/>
            </w:tcBorders>
            <w:vAlign w:val="center"/>
            <w:hideMark/>
          </w:tcPr>
          <w:p w14:paraId="0FE048A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2A4F3B35"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961EA12" w14:textId="77777777" w:rsidTr="00AA4D71">
        <w:trPr>
          <w:trHeight w:val="260"/>
        </w:trPr>
        <w:tc>
          <w:tcPr>
            <w:tcW w:w="209" w:type="pct"/>
            <w:tcBorders>
              <w:top w:val="nil"/>
              <w:left w:val="single" w:sz="4" w:space="0" w:color="auto"/>
              <w:bottom w:val="single" w:sz="4" w:space="0" w:color="auto"/>
              <w:right w:val="single" w:sz="4" w:space="0" w:color="auto"/>
            </w:tcBorders>
            <w:noWrap/>
            <w:vAlign w:val="center"/>
            <w:hideMark/>
          </w:tcPr>
          <w:p w14:paraId="3E4BD88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7EBE8A8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nil"/>
              <w:right w:val="single" w:sz="4" w:space="0" w:color="auto"/>
            </w:tcBorders>
            <w:vAlign w:val="center"/>
            <w:hideMark/>
          </w:tcPr>
          <w:p w14:paraId="6ED66FC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338B31C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E01B5A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22A3768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Unexpected demand</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7406FA5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710" w:type="pct"/>
            <w:tcBorders>
              <w:top w:val="nil"/>
              <w:left w:val="nil"/>
              <w:bottom w:val="single" w:sz="4" w:space="0" w:color="auto"/>
              <w:right w:val="single" w:sz="4" w:space="0" w:color="auto"/>
            </w:tcBorders>
            <w:vAlign w:val="center"/>
            <w:hideMark/>
          </w:tcPr>
          <w:p w14:paraId="4AC00CD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4B9778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1A2B9E0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84</w:t>
            </w:r>
          </w:p>
        </w:tc>
        <w:tc>
          <w:tcPr>
            <w:tcW w:w="646" w:type="pct"/>
            <w:tcBorders>
              <w:top w:val="nil"/>
              <w:left w:val="nil"/>
              <w:bottom w:val="single" w:sz="4" w:space="0" w:color="auto"/>
              <w:right w:val="single" w:sz="4" w:space="0" w:color="auto"/>
            </w:tcBorders>
            <w:vAlign w:val="center"/>
            <w:hideMark/>
          </w:tcPr>
          <w:p w14:paraId="165A7BE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Increase buffer stock during traditional high demand periods</w:t>
            </w:r>
          </w:p>
        </w:tc>
        <w:tc>
          <w:tcPr>
            <w:tcW w:w="528" w:type="pct"/>
            <w:tcBorders>
              <w:top w:val="nil"/>
              <w:left w:val="nil"/>
              <w:bottom w:val="single" w:sz="4" w:space="0" w:color="auto"/>
              <w:right w:val="single" w:sz="4" w:space="0" w:color="auto"/>
            </w:tcBorders>
            <w:vAlign w:val="center"/>
            <w:hideMark/>
          </w:tcPr>
          <w:p w14:paraId="284F8B4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0E9F1E81"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9024792"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0C5D78A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47</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78EA566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single" w:sz="4" w:space="0" w:color="auto"/>
              <w:left w:val="single" w:sz="4" w:space="0" w:color="auto"/>
              <w:bottom w:val="single" w:sz="4" w:space="0" w:color="000000"/>
              <w:right w:val="single" w:sz="4" w:space="0" w:color="auto"/>
            </w:tcBorders>
            <w:vAlign w:val="center"/>
            <w:hideMark/>
          </w:tcPr>
          <w:p w14:paraId="5101FFB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sustainability concerns</w:t>
            </w:r>
          </w:p>
        </w:tc>
        <w:tc>
          <w:tcPr>
            <w:tcW w:w="517" w:type="pct"/>
            <w:vMerge w:val="restart"/>
            <w:tcBorders>
              <w:top w:val="single" w:sz="4" w:space="0" w:color="auto"/>
              <w:left w:val="single" w:sz="4" w:space="0" w:color="auto"/>
              <w:bottom w:val="single" w:sz="4" w:space="0" w:color="000000"/>
              <w:right w:val="single" w:sz="4" w:space="0" w:color="auto"/>
            </w:tcBorders>
            <w:vAlign w:val="center"/>
            <w:hideMark/>
          </w:tcPr>
          <w:p w14:paraId="54BCF0C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Financial Burden</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6F6D79C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w:t>
            </w:r>
          </w:p>
        </w:tc>
        <w:tc>
          <w:tcPr>
            <w:tcW w:w="614" w:type="pct"/>
            <w:tcBorders>
              <w:top w:val="nil"/>
              <w:left w:val="nil"/>
              <w:bottom w:val="single" w:sz="4" w:space="0" w:color="auto"/>
              <w:right w:val="single" w:sz="4" w:space="0" w:color="auto"/>
            </w:tcBorders>
            <w:vAlign w:val="center"/>
            <w:hideMark/>
          </w:tcPr>
          <w:p w14:paraId="55E49FD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Environmental compliance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ED4633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74EE9DE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Sustainability audits carried out periodically</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12C82D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3A4E09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216</w:t>
            </w:r>
          </w:p>
        </w:tc>
        <w:tc>
          <w:tcPr>
            <w:tcW w:w="646" w:type="pct"/>
            <w:tcBorders>
              <w:top w:val="nil"/>
              <w:left w:val="nil"/>
              <w:bottom w:val="single" w:sz="4" w:space="0" w:color="auto"/>
              <w:right w:val="single" w:sz="4" w:space="0" w:color="auto"/>
            </w:tcBorders>
            <w:vAlign w:val="center"/>
            <w:hideMark/>
          </w:tcPr>
          <w:p w14:paraId="0749540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sustainability scorecards to track performance against environmental and social concerns</w:t>
            </w:r>
          </w:p>
        </w:tc>
        <w:tc>
          <w:tcPr>
            <w:tcW w:w="528" w:type="pct"/>
            <w:tcBorders>
              <w:top w:val="nil"/>
              <w:left w:val="nil"/>
              <w:bottom w:val="single" w:sz="4" w:space="0" w:color="auto"/>
              <w:right w:val="single" w:sz="4" w:space="0" w:color="auto"/>
            </w:tcBorders>
            <w:vAlign w:val="center"/>
            <w:hideMark/>
          </w:tcPr>
          <w:p w14:paraId="23288A7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655495C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625A254"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6780999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4B90D88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0ED0508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68ADDA1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09504D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FE78D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High carbon process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129D9B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710" w:type="pct"/>
            <w:tcBorders>
              <w:top w:val="nil"/>
              <w:left w:val="nil"/>
              <w:bottom w:val="single" w:sz="4" w:space="0" w:color="auto"/>
              <w:right w:val="single" w:sz="4" w:space="0" w:color="auto"/>
            </w:tcBorders>
            <w:vAlign w:val="center"/>
            <w:hideMark/>
          </w:tcPr>
          <w:p w14:paraId="0D929ED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Environmental governance criteria adhered to when assessing suppliers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CE3A77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49D785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324</w:t>
            </w:r>
          </w:p>
        </w:tc>
        <w:tc>
          <w:tcPr>
            <w:tcW w:w="646" w:type="pct"/>
            <w:tcBorders>
              <w:top w:val="nil"/>
              <w:left w:val="nil"/>
              <w:bottom w:val="single" w:sz="4" w:space="0" w:color="auto"/>
              <w:right w:val="single" w:sz="4" w:space="0" w:color="auto"/>
            </w:tcBorders>
            <w:vAlign w:val="center"/>
            <w:hideMark/>
          </w:tcPr>
          <w:p w14:paraId="381FA80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Introduce incentives or preferred supplier status for those demonstrating continuous sustainability improvements</w:t>
            </w:r>
          </w:p>
        </w:tc>
        <w:tc>
          <w:tcPr>
            <w:tcW w:w="528" w:type="pct"/>
            <w:tcBorders>
              <w:top w:val="nil"/>
              <w:left w:val="nil"/>
              <w:bottom w:val="single" w:sz="4" w:space="0" w:color="auto"/>
              <w:right w:val="single" w:sz="4" w:space="0" w:color="auto"/>
            </w:tcBorders>
            <w:vAlign w:val="center"/>
            <w:hideMark/>
          </w:tcPr>
          <w:p w14:paraId="317F0F3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 Technical Team</w:t>
            </w:r>
          </w:p>
        </w:tc>
        <w:tc>
          <w:tcPr>
            <w:tcW w:w="85" w:type="pct"/>
            <w:vAlign w:val="center"/>
            <w:hideMark/>
          </w:tcPr>
          <w:p w14:paraId="727824B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2A30631"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6CD1312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3058822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4E87223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313842F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66EC7C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2F36F1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labour/Ethical practises</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7FF9B5F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710" w:type="pct"/>
            <w:tcBorders>
              <w:top w:val="nil"/>
              <w:left w:val="nil"/>
              <w:bottom w:val="single" w:sz="4" w:space="0" w:color="auto"/>
              <w:right w:val="single" w:sz="4" w:space="0" w:color="auto"/>
            </w:tcBorders>
            <w:vAlign w:val="center"/>
            <w:hideMark/>
          </w:tcPr>
          <w:p w14:paraId="29C6EB9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Training and guidance provided for supplier to meet sustainability expectations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F4913D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18AEEF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135</w:t>
            </w:r>
          </w:p>
        </w:tc>
        <w:tc>
          <w:tcPr>
            <w:tcW w:w="646" w:type="pct"/>
            <w:tcBorders>
              <w:top w:val="nil"/>
              <w:left w:val="nil"/>
              <w:bottom w:val="single" w:sz="4" w:space="0" w:color="auto"/>
              <w:right w:val="single" w:sz="4" w:space="0" w:color="auto"/>
            </w:tcBorders>
            <w:vAlign w:val="center"/>
            <w:hideMark/>
          </w:tcPr>
          <w:p w14:paraId="09FEDEC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End contracts/partnerships with non-compliant suppliers and continue with suppliers that believe in low-carbon and greener steel</w:t>
            </w:r>
          </w:p>
        </w:tc>
        <w:tc>
          <w:tcPr>
            <w:tcW w:w="528" w:type="pct"/>
            <w:tcBorders>
              <w:top w:val="nil"/>
              <w:left w:val="nil"/>
              <w:bottom w:val="single" w:sz="4" w:space="0" w:color="auto"/>
              <w:right w:val="single" w:sz="4" w:space="0" w:color="auto"/>
            </w:tcBorders>
            <w:vAlign w:val="center"/>
            <w:hideMark/>
          </w:tcPr>
          <w:p w14:paraId="11B5A96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01317D5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2CF9A21"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2331627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389C2EC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5ABC3CB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02716AC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41A46A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F1495B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Pollution control</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3C138D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46AD9CD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Carbon footprint is monitored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D67BC8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FB9472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270</w:t>
            </w:r>
          </w:p>
        </w:tc>
        <w:tc>
          <w:tcPr>
            <w:tcW w:w="646" w:type="pct"/>
            <w:tcBorders>
              <w:top w:val="nil"/>
              <w:left w:val="nil"/>
              <w:bottom w:val="single" w:sz="4" w:space="0" w:color="auto"/>
              <w:right w:val="single" w:sz="4" w:space="0" w:color="auto"/>
            </w:tcBorders>
            <w:vAlign w:val="center"/>
            <w:hideMark/>
          </w:tcPr>
          <w:p w14:paraId="61EAE25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Collaborate with logistics partners to decarbonise transportation routes and packing process</w:t>
            </w:r>
          </w:p>
        </w:tc>
        <w:tc>
          <w:tcPr>
            <w:tcW w:w="528" w:type="pct"/>
            <w:tcBorders>
              <w:top w:val="nil"/>
              <w:left w:val="nil"/>
              <w:bottom w:val="single" w:sz="4" w:space="0" w:color="auto"/>
              <w:right w:val="single" w:sz="4" w:space="0" w:color="auto"/>
            </w:tcBorders>
            <w:vAlign w:val="center"/>
            <w:hideMark/>
          </w:tcPr>
          <w:p w14:paraId="0AFA925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Logistic Teams</w:t>
            </w:r>
          </w:p>
        </w:tc>
        <w:tc>
          <w:tcPr>
            <w:tcW w:w="85" w:type="pct"/>
            <w:vAlign w:val="center"/>
            <w:hideMark/>
          </w:tcPr>
          <w:p w14:paraId="49CC6F1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CDAAA5D" w14:textId="77777777" w:rsidTr="00AA4D71">
        <w:trPr>
          <w:trHeight w:val="510"/>
        </w:trPr>
        <w:tc>
          <w:tcPr>
            <w:tcW w:w="209" w:type="pct"/>
            <w:tcBorders>
              <w:top w:val="nil"/>
              <w:left w:val="single" w:sz="4" w:space="0" w:color="auto"/>
              <w:bottom w:val="single" w:sz="4" w:space="0" w:color="auto"/>
              <w:right w:val="single" w:sz="4" w:space="0" w:color="auto"/>
            </w:tcBorders>
            <w:noWrap/>
            <w:vAlign w:val="center"/>
            <w:hideMark/>
          </w:tcPr>
          <w:p w14:paraId="3158C1B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350CB8F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single" w:sz="4" w:space="0" w:color="000000"/>
              <w:right w:val="single" w:sz="4" w:space="0" w:color="auto"/>
            </w:tcBorders>
            <w:vAlign w:val="center"/>
            <w:hideMark/>
          </w:tcPr>
          <w:p w14:paraId="44209EA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Child labour</w:t>
            </w:r>
          </w:p>
        </w:tc>
        <w:tc>
          <w:tcPr>
            <w:tcW w:w="517" w:type="pct"/>
            <w:vMerge w:val="restart"/>
            <w:tcBorders>
              <w:top w:val="nil"/>
              <w:left w:val="single" w:sz="4" w:space="0" w:color="auto"/>
              <w:bottom w:val="single" w:sz="4" w:space="0" w:color="000000"/>
              <w:right w:val="single" w:sz="4" w:space="0" w:color="auto"/>
            </w:tcBorders>
            <w:vAlign w:val="center"/>
            <w:hideMark/>
          </w:tcPr>
          <w:p w14:paraId="3272DB4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Legal Financial penalties &amp; Reputational Risks</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7B5353F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w:t>
            </w:r>
          </w:p>
        </w:tc>
        <w:tc>
          <w:tcPr>
            <w:tcW w:w="614" w:type="pct"/>
            <w:tcBorders>
              <w:top w:val="nil"/>
              <w:left w:val="nil"/>
              <w:bottom w:val="single" w:sz="4" w:space="0" w:color="auto"/>
              <w:right w:val="single" w:sz="4" w:space="0" w:color="auto"/>
            </w:tcBorders>
            <w:vAlign w:val="center"/>
            <w:hideMark/>
          </w:tcPr>
          <w:p w14:paraId="46C8F96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transparency</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714DA2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710" w:type="pct"/>
            <w:tcBorders>
              <w:top w:val="nil"/>
              <w:left w:val="nil"/>
              <w:bottom w:val="single" w:sz="4" w:space="0" w:color="auto"/>
              <w:right w:val="single" w:sz="4" w:space="0" w:color="auto"/>
            </w:tcBorders>
            <w:vAlign w:val="center"/>
            <w:hideMark/>
          </w:tcPr>
          <w:p w14:paraId="66010B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Strict supplier vetting and due diligence procedures in place</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5124880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1830E5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108</w:t>
            </w:r>
          </w:p>
        </w:tc>
        <w:tc>
          <w:tcPr>
            <w:tcW w:w="646" w:type="pct"/>
            <w:tcBorders>
              <w:top w:val="nil"/>
              <w:left w:val="nil"/>
              <w:bottom w:val="single" w:sz="4" w:space="0" w:color="auto"/>
              <w:right w:val="single" w:sz="4" w:space="0" w:color="auto"/>
            </w:tcBorders>
            <w:vAlign w:val="center"/>
            <w:hideMark/>
          </w:tcPr>
          <w:p w14:paraId="1BC925D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Develop a global traceability system to track raw material sourcing down to tier 2 and tier 3 suppliers</w:t>
            </w:r>
          </w:p>
        </w:tc>
        <w:tc>
          <w:tcPr>
            <w:tcW w:w="528" w:type="pct"/>
            <w:tcBorders>
              <w:top w:val="nil"/>
              <w:left w:val="nil"/>
              <w:bottom w:val="single" w:sz="4" w:space="0" w:color="auto"/>
              <w:right w:val="single" w:sz="4" w:space="0" w:color="auto"/>
            </w:tcBorders>
            <w:vAlign w:val="center"/>
            <w:hideMark/>
          </w:tcPr>
          <w:p w14:paraId="0EBDC94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21E081A7"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41A21D7" w14:textId="77777777" w:rsidTr="00AA4D71">
        <w:trPr>
          <w:trHeight w:val="510"/>
        </w:trPr>
        <w:tc>
          <w:tcPr>
            <w:tcW w:w="209" w:type="pct"/>
            <w:tcBorders>
              <w:top w:val="nil"/>
              <w:left w:val="single" w:sz="4" w:space="0" w:color="auto"/>
              <w:bottom w:val="single" w:sz="4" w:space="0" w:color="auto"/>
              <w:right w:val="single" w:sz="4" w:space="0" w:color="auto"/>
            </w:tcBorders>
            <w:noWrap/>
            <w:vAlign w:val="center"/>
            <w:hideMark/>
          </w:tcPr>
          <w:p w14:paraId="2BC686F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7A33A2E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29FDE34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0C04961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6FE1FB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E14380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Weak labour enforcement</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68B732D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710" w:type="pct"/>
            <w:tcBorders>
              <w:top w:val="nil"/>
              <w:left w:val="nil"/>
              <w:bottom w:val="single" w:sz="4" w:space="0" w:color="auto"/>
              <w:right w:val="single" w:sz="4" w:space="0" w:color="auto"/>
            </w:tcBorders>
            <w:vAlign w:val="center"/>
            <w:hideMark/>
          </w:tcPr>
          <w:p w14:paraId="5727816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Third party audits on regular basis</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19D52C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B7E1CE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108</w:t>
            </w:r>
          </w:p>
        </w:tc>
        <w:tc>
          <w:tcPr>
            <w:tcW w:w="646" w:type="pct"/>
            <w:tcBorders>
              <w:top w:val="nil"/>
              <w:left w:val="nil"/>
              <w:bottom w:val="single" w:sz="4" w:space="0" w:color="auto"/>
              <w:right w:val="single" w:sz="4" w:space="0" w:color="auto"/>
            </w:tcBorders>
            <w:vAlign w:val="center"/>
            <w:hideMark/>
          </w:tcPr>
          <w:p w14:paraId="2028682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Continue to engage in stakeholder communication plans to rebuild trust and protect brand reputation in case of any violation</w:t>
            </w:r>
          </w:p>
        </w:tc>
        <w:tc>
          <w:tcPr>
            <w:tcW w:w="528" w:type="pct"/>
            <w:tcBorders>
              <w:top w:val="nil"/>
              <w:left w:val="nil"/>
              <w:bottom w:val="single" w:sz="4" w:space="0" w:color="auto"/>
              <w:right w:val="single" w:sz="4" w:space="0" w:color="auto"/>
            </w:tcBorders>
            <w:vAlign w:val="center"/>
            <w:hideMark/>
          </w:tcPr>
          <w:p w14:paraId="4930282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Stakeholders</w:t>
            </w:r>
          </w:p>
        </w:tc>
        <w:tc>
          <w:tcPr>
            <w:tcW w:w="85" w:type="pct"/>
            <w:vAlign w:val="center"/>
            <w:hideMark/>
          </w:tcPr>
          <w:p w14:paraId="57827D9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CD6EF31"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3991103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51</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0D28096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53FCFB0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2B36E9C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4B32D8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8E6F47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Cost cutting exercises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F3CE09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0D8070D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Clauses included in supplier contracts for failure to comply with Tata Steel standards</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1375073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BA2F4D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144</w:t>
            </w:r>
          </w:p>
        </w:tc>
        <w:tc>
          <w:tcPr>
            <w:tcW w:w="646" w:type="pct"/>
            <w:tcBorders>
              <w:top w:val="nil"/>
              <w:left w:val="nil"/>
              <w:bottom w:val="single" w:sz="4" w:space="0" w:color="auto"/>
              <w:right w:val="single" w:sz="4" w:space="0" w:color="auto"/>
            </w:tcBorders>
            <w:vAlign w:val="center"/>
            <w:hideMark/>
          </w:tcPr>
          <w:p w14:paraId="0598B65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Work collaboratively with supplier to improve local labour standards through education and welfare programs</w:t>
            </w:r>
          </w:p>
        </w:tc>
        <w:tc>
          <w:tcPr>
            <w:tcW w:w="528" w:type="pct"/>
            <w:tcBorders>
              <w:top w:val="nil"/>
              <w:left w:val="nil"/>
              <w:bottom w:val="single" w:sz="4" w:space="0" w:color="auto"/>
              <w:right w:val="single" w:sz="4" w:space="0" w:color="auto"/>
            </w:tcBorders>
            <w:vAlign w:val="center"/>
            <w:hideMark/>
          </w:tcPr>
          <w:p w14:paraId="4E985C0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Procurement &amp; Supplier </w:t>
            </w:r>
          </w:p>
        </w:tc>
        <w:tc>
          <w:tcPr>
            <w:tcW w:w="85" w:type="pct"/>
            <w:vAlign w:val="center"/>
            <w:hideMark/>
          </w:tcPr>
          <w:p w14:paraId="460F87B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065DBA1"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3CA317F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single" w:sz="4" w:space="0" w:color="auto"/>
              <w:left w:val="single" w:sz="4" w:space="0" w:color="auto"/>
              <w:bottom w:val="single" w:sz="4" w:space="0" w:color="000000"/>
              <w:right w:val="single" w:sz="4" w:space="0" w:color="auto"/>
            </w:tcBorders>
            <w:vAlign w:val="center"/>
            <w:hideMark/>
          </w:tcPr>
          <w:p w14:paraId="57DB77E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1992FD6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3711471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CE221C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A371EB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due diligence</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FA1641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710" w:type="pct"/>
            <w:tcBorders>
              <w:top w:val="nil"/>
              <w:left w:val="nil"/>
              <w:bottom w:val="single" w:sz="4" w:space="0" w:color="auto"/>
              <w:right w:val="single" w:sz="4" w:space="0" w:color="auto"/>
            </w:tcBorders>
            <w:vAlign w:val="center"/>
            <w:hideMark/>
          </w:tcPr>
          <w:p w14:paraId="5D8A711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Strict supplier vetting and due diligence procedures in place</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321874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584F754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72</w:t>
            </w:r>
          </w:p>
        </w:tc>
        <w:tc>
          <w:tcPr>
            <w:tcW w:w="646" w:type="pct"/>
            <w:tcBorders>
              <w:top w:val="nil"/>
              <w:left w:val="nil"/>
              <w:bottom w:val="single" w:sz="4" w:space="0" w:color="auto"/>
              <w:right w:val="single" w:sz="4" w:space="0" w:color="auto"/>
            </w:tcBorders>
            <w:vAlign w:val="center"/>
            <w:hideMark/>
          </w:tcPr>
          <w:p w14:paraId="7B53E1E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Ensure all suppliers are aware of Tata Steel zero tolerance policy on child labour and communicate public</w:t>
            </w:r>
            <w:r>
              <w:rPr>
                <w:rFonts w:ascii="Calibri" w:eastAsia="Times New Roman" w:hAnsi="Calibri" w:cs="Calibri"/>
                <w:kern w:val="0"/>
                <w:sz w:val="20"/>
                <w:szCs w:val="20"/>
                <w:lang w:eastAsia="en-GB"/>
                <w14:ligatures w14:val="none"/>
              </w:rPr>
              <w:t xml:space="preserve">ly </w:t>
            </w:r>
            <w:r w:rsidRPr="003D1BBB">
              <w:rPr>
                <w:rFonts w:ascii="Calibri" w:eastAsia="Times New Roman" w:hAnsi="Calibri" w:cs="Calibri"/>
                <w:kern w:val="0"/>
                <w:sz w:val="20"/>
                <w:szCs w:val="20"/>
                <w:lang w:eastAsia="en-GB"/>
                <w14:ligatures w14:val="none"/>
              </w:rPr>
              <w:t xml:space="preserve">and to customers </w:t>
            </w:r>
          </w:p>
        </w:tc>
        <w:tc>
          <w:tcPr>
            <w:tcW w:w="528" w:type="pct"/>
            <w:tcBorders>
              <w:top w:val="nil"/>
              <w:left w:val="nil"/>
              <w:bottom w:val="single" w:sz="4" w:space="0" w:color="auto"/>
              <w:right w:val="single" w:sz="4" w:space="0" w:color="auto"/>
            </w:tcBorders>
            <w:vAlign w:val="center"/>
            <w:hideMark/>
          </w:tcPr>
          <w:p w14:paraId="5C0DB64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Procurement &amp; Supplier </w:t>
            </w:r>
          </w:p>
        </w:tc>
        <w:tc>
          <w:tcPr>
            <w:tcW w:w="85" w:type="pct"/>
            <w:vAlign w:val="center"/>
            <w:hideMark/>
          </w:tcPr>
          <w:p w14:paraId="1516A287"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03D587E"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7EA7670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val="restart"/>
            <w:tcBorders>
              <w:top w:val="nil"/>
              <w:left w:val="single" w:sz="4" w:space="0" w:color="auto"/>
              <w:bottom w:val="nil"/>
              <w:right w:val="single" w:sz="4" w:space="0" w:color="auto"/>
            </w:tcBorders>
            <w:vAlign w:val="center"/>
            <w:hideMark/>
          </w:tcPr>
          <w:p w14:paraId="7727A86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Logistics</w:t>
            </w:r>
          </w:p>
        </w:tc>
        <w:tc>
          <w:tcPr>
            <w:tcW w:w="485" w:type="pct"/>
            <w:vMerge w:val="restart"/>
            <w:tcBorders>
              <w:top w:val="nil"/>
              <w:left w:val="single" w:sz="4" w:space="0" w:color="auto"/>
              <w:bottom w:val="single" w:sz="4" w:space="0" w:color="000000"/>
              <w:right w:val="single" w:sz="4" w:space="0" w:color="auto"/>
            </w:tcBorders>
            <w:vAlign w:val="center"/>
            <w:hideMark/>
          </w:tcPr>
          <w:p w14:paraId="4774F1E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Incorrect Documentation</w:t>
            </w:r>
          </w:p>
        </w:tc>
        <w:tc>
          <w:tcPr>
            <w:tcW w:w="517" w:type="pct"/>
            <w:vMerge w:val="restart"/>
            <w:tcBorders>
              <w:top w:val="nil"/>
              <w:left w:val="single" w:sz="4" w:space="0" w:color="auto"/>
              <w:bottom w:val="single" w:sz="4" w:space="0" w:color="000000"/>
              <w:right w:val="single" w:sz="4" w:space="0" w:color="auto"/>
            </w:tcBorders>
            <w:vAlign w:val="center"/>
            <w:hideMark/>
          </w:tcPr>
          <w:p w14:paraId="6C710D7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Custom clearance delays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481DC92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39BA7EA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Administrative errors in documentation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299FAA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2831A9A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Digital document control system in use</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1446C62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A2CDFD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tcBorders>
              <w:top w:val="nil"/>
              <w:left w:val="nil"/>
              <w:bottom w:val="single" w:sz="4" w:space="0" w:color="auto"/>
              <w:right w:val="single" w:sz="4" w:space="0" w:color="auto"/>
            </w:tcBorders>
            <w:vAlign w:val="center"/>
            <w:hideMark/>
          </w:tcPr>
          <w:p w14:paraId="2694503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Improve the digital system to automatically flag incomplete or inconsistent data. </w:t>
            </w:r>
            <w:r w:rsidRPr="003D1BBB">
              <w:rPr>
                <w:rFonts w:ascii="Calibri" w:eastAsia="Times New Roman" w:hAnsi="Calibri" w:cs="Calibri"/>
                <w:kern w:val="0"/>
                <w:sz w:val="20"/>
                <w:szCs w:val="20"/>
                <w:lang w:eastAsia="en-GB"/>
                <w14:ligatures w14:val="none"/>
              </w:rPr>
              <w:lastRenderedPageBreak/>
              <w:t>Add required fields for missing values</w:t>
            </w:r>
          </w:p>
        </w:tc>
        <w:tc>
          <w:tcPr>
            <w:tcW w:w="528" w:type="pct"/>
            <w:tcBorders>
              <w:top w:val="nil"/>
              <w:left w:val="nil"/>
              <w:bottom w:val="single" w:sz="4" w:space="0" w:color="auto"/>
              <w:right w:val="single" w:sz="4" w:space="0" w:color="auto"/>
            </w:tcBorders>
            <w:vAlign w:val="center"/>
            <w:hideMark/>
          </w:tcPr>
          <w:p w14:paraId="22D613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Procurement &amp; Port Talbot Technical</w:t>
            </w:r>
          </w:p>
        </w:tc>
        <w:tc>
          <w:tcPr>
            <w:tcW w:w="85" w:type="pct"/>
            <w:vAlign w:val="center"/>
            <w:hideMark/>
          </w:tcPr>
          <w:p w14:paraId="09B49824"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5728146"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7C78DB8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438B7AC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58F1F3F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5528419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469EE7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EED26A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Lack of understanding of UK customs </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AF20C4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52CDA74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Internal &amp; supplier training sessions on routine basis </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697446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429108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tcBorders>
              <w:top w:val="nil"/>
              <w:left w:val="nil"/>
              <w:bottom w:val="single" w:sz="4" w:space="0" w:color="auto"/>
              <w:right w:val="single" w:sz="4" w:space="0" w:color="auto"/>
            </w:tcBorders>
            <w:vAlign w:val="center"/>
            <w:hideMark/>
          </w:tcPr>
          <w:p w14:paraId="166C838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Continue with regular audits of customs documentation to ensure compliance</w:t>
            </w:r>
          </w:p>
        </w:tc>
        <w:tc>
          <w:tcPr>
            <w:tcW w:w="528" w:type="pct"/>
            <w:tcBorders>
              <w:top w:val="nil"/>
              <w:left w:val="nil"/>
              <w:bottom w:val="single" w:sz="4" w:space="0" w:color="auto"/>
              <w:right w:val="single" w:sz="4" w:space="0" w:color="auto"/>
            </w:tcBorders>
            <w:vAlign w:val="center"/>
            <w:hideMark/>
          </w:tcPr>
          <w:p w14:paraId="5BFDD1F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Customs</w:t>
            </w:r>
          </w:p>
        </w:tc>
        <w:tc>
          <w:tcPr>
            <w:tcW w:w="85" w:type="pct"/>
            <w:vAlign w:val="center"/>
            <w:hideMark/>
          </w:tcPr>
          <w:p w14:paraId="336DC6D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64F777E"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64D6195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04981B2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5A57094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580CB02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9CEB88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A8B317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Manual data entry systems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8F5BB9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262B228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FD9044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38663E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75B3404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Establish more efficient direct communication channels between suppliers and port talbot logistics teams</w:t>
            </w:r>
          </w:p>
        </w:tc>
        <w:tc>
          <w:tcPr>
            <w:tcW w:w="528" w:type="pct"/>
            <w:tcBorders>
              <w:top w:val="nil"/>
              <w:left w:val="nil"/>
              <w:bottom w:val="single" w:sz="4" w:space="0" w:color="auto"/>
              <w:right w:val="single" w:sz="4" w:space="0" w:color="auto"/>
            </w:tcBorders>
            <w:vAlign w:val="center"/>
            <w:hideMark/>
          </w:tcPr>
          <w:p w14:paraId="78B6AA5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Supplier &amp; Logistics</w:t>
            </w:r>
          </w:p>
        </w:tc>
        <w:tc>
          <w:tcPr>
            <w:tcW w:w="85" w:type="pct"/>
            <w:vAlign w:val="center"/>
            <w:hideMark/>
          </w:tcPr>
          <w:p w14:paraId="12B1492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BB54E3C"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21A7E3F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nil"/>
              <w:left w:val="single" w:sz="4" w:space="0" w:color="auto"/>
              <w:bottom w:val="nil"/>
              <w:right w:val="single" w:sz="4" w:space="0" w:color="auto"/>
            </w:tcBorders>
            <w:vAlign w:val="center"/>
            <w:hideMark/>
          </w:tcPr>
          <w:p w14:paraId="40E0F6E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116D185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214CB22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Vessel held at port, demurrage costs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165C54F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6F357CA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Miscommunication between stages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1FBC71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312A96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All suppliers trained on UK import and port authority standards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DFAD19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A46F4D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192</w:t>
            </w:r>
          </w:p>
        </w:tc>
        <w:tc>
          <w:tcPr>
            <w:tcW w:w="646" w:type="pct"/>
            <w:tcBorders>
              <w:top w:val="nil"/>
              <w:left w:val="nil"/>
              <w:bottom w:val="single" w:sz="4" w:space="0" w:color="auto"/>
              <w:right w:val="single" w:sz="4" w:space="0" w:color="auto"/>
            </w:tcBorders>
            <w:vAlign w:val="center"/>
            <w:hideMark/>
          </w:tcPr>
          <w:p w14:paraId="0F2B4F9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Assign dedicated import documentation coordinators throughout the business</w:t>
            </w:r>
          </w:p>
        </w:tc>
        <w:tc>
          <w:tcPr>
            <w:tcW w:w="528" w:type="pct"/>
            <w:tcBorders>
              <w:top w:val="nil"/>
              <w:left w:val="nil"/>
              <w:bottom w:val="single" w:sz="4" w:space="0" w:color="auto"/>
              <w:right w:val="single" w:sz="4" w:space="0" w:color="auto"/>
            </w:tcBorders>
            <w:vAlign w:val="center"/>
            <w:hideMark/>
          </w:tcPr>
          <w:p w14:paraId="0B99475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HR</w:t>
            </w:r>
          </w:p>
        </w:tc>
        <w:tc>
          <w:tcPr>
            <w:tcW w:w="85" w:type="pct"/>
            <w:vAlign w:val="center"/>
            <w:hideMark/>
          </w:tcPr>
          <w:p w14:paraId="1251EB1C"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C0B9833"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2587556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53E4F35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11591C8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22A8A73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B247F1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22D5EF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Missing certificates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1A104F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3949674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Document verification checkpoints in place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00B176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48EC99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192</w:t>
            </w:r>
          </w:p>
        </w:tc>
        <w:tc>
          <w:tcPr>
            <w:tcW w:w="646" w:type="pct"/>
            <w:tcBorders>
              <w:top w:val="nil"/>
              <w:left w:val="nil"/>
              <w:bottom w:val="single" w:sz="4" w:space="0" w:color="auto"/>
              <w:right w:val="single" w:sz="4" w:space="0" w:color="auto"/>
            </w:tcBorders>
            <w:vAlign w:val="center"/>
            <w:hideMark/>
          </w:tcPr>
          <w:p w14:paraId="04D8EF5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Improve the shared digital portal</w:t>
            </w:r>
          </w:p>
        </w:tc>
        <w:tc>
          <w:tcPr>
            <w:tcW w:w="528" w:type="pct"/>
            <w:tcBorders>
              <w:top w:val="nil"/>
              <w:left w:val="nil"/>
              <w:bottom w:val="single" w:sz="4" w:space="0" w:color="auto"/>
              <w:right w:val="single" w:sz="4" w:space="0" w:color="auto"/>
            </w:tcBorders>
            <w:vAlign w:val="center"/>
            <w:hideMark/>
          </w:tcPr>
          <w:p w14:paraId="1162A0A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0FB98AB9"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BD9B4A7"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43DAB0D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37BE4F6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1AF886C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B570C6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6584C22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31187AF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document ownership within the supply chain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331AC0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73A028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24A588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932157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vAlign w:val="center"/>
            <w:hideMark/>
          </w:tcPr>
          <w:p w14:paraId="716E76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Chase up a drop in KPI's in supplier contracts</w:t>
            </w:r>
          </w:p>
        </w:tc>
        <w:tc>
          <w:tcPr>
            <w:tcW w:w="528" w:type="pct"/>
            <w:tcBorders>
              <w:top w:val="nil"/>
              <w:left w:val="nil"/>
              <w:bottom w:val="single" w:sz="4" w:space="0" w:color="auto"/>
              <w:right w:val="single" w:sz="4" w:space="0" w:color="auto"/>
            </w:tcBorders>
            <w:vAlign w:val="center"/>
            <w:hideMark/>
          </w:tcPr>
          <w:p w14:paraId="35D0B15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w:t>
            </w:r>
          </w:p>
        </w:tc>
        <w:tc>
          <w:tcPr>
            <w:tcW w:w="85" w:type="pct"/>
            <w:vAlign w:val="center"/>
            <w:hideMark/>
          </w:tcPr>
          <w:p w14:paraId="22308E8E"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B2E914B"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29F4470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nil"/>
              <w:left w:val="single" w:sz="4" w:space="0" w:color="auto"/>
              <w:bottom w:val="nil"/>
              <w:right w:val="single" w:sz="4" w:space="0" w:color="auto"/>
            </w:tcBorders>
            <w:vAlign w:val="center"/>
            <w:hideMark/>
          </w:tcPr>
          <w:p w14:paraId="1B56BC8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698A613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7CC0C90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Delayed production at PT</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0AED256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46BFBC4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coordination between port logistics and scheduling team</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4A5BE1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25794B5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Regular communications are sent between port logistics teams and internal scheduling teams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94C5F8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1F8F7A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tcBorders>
              <w:top w:val="nil"/>
              <w:left w:val="nil"/>
              <w:bottom w:val="single" w:sz="4" w:space="0" w:color="auto"/>
              <w:right w:val="single" w:sz="4" w:space="0" w:color="auto"/>
            </w:tcBorders>
            <w:vAlign w:val="center"/>
            <w:hideMark/>
          </w:tcPr>
          <w:p w14:paraId="0742DF4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Introduce live shipping tracking dashboards linking customs status with plant planning teams. </w:t>
            </w:r>
          </w:p>
        </w:tc>
        <w:tc>
          <w:tcPr>
            <w:tcW w:w="528" w:type="pct"/>
            <w:tcBorders>
              <w:top w:val="nil"/>
              <w:left w:val="nil"/>
              <w:bottom w:val="single" w:sz="4" w:space="0" w:color="auto"/>
              <w:right w:val="single" w:sz="4" w:space="0" w:color="auto"/>
            </w:tcBorders>
            <w:vAlign w:val="center"/>
            <w:hideMark/>
          </w:tcPr>
          <w:p w14:paraId="2B7C4D1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5AA5F18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66AE1C1"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3488C34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7DB7B31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0B5E335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37E4CDF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FBDBD5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D15993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Absence of contingency planning for </w:t>
            </w:r>
            <w:r w:rsidRPr="003D1BBB">
              <w:rPr>
                <w:rFonts w:ascii="Calibri" w:eastAsia="Times New Roman" w:hAnsi="Calibri" w:cs="Calibri"/>
                <w:kern w:val="0"/>
                <w:sz w:val="20"/>
                <w:szCs w:val="20"/>
                <w:lang w:eastAsia="en-GB"/>
                <w14:ligatures w14:val="none"/>
              </w:rPr>
              <w:lastRenderedPageBreak/>
              <w:t>document related issues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0A26D1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4</w:t>
            </w:r>
          </w:p>
        </w:tc>
        <w:tc>
          <w:tcPr>
            <w:tcW w:w="710" w:type="pct"/>
            <w:tcBorders>
              <w:top w:val="nil"/>
              <w:left w:val="nil"/>
              <w:bottom w:val="single" w:sz="4" w:space="0" w:color="auto"/>
              <w:right w:val="single" w:sz="4" w:space="0" w:color="auto"/>
            </w:tcBorders>
            <w:vAlign w:val="center"/>
            <w:hideMark/>
          </w:tcPr>
          <w:p w14:paraId="42404DC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Buffer stock at PT to supply downstream operations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7F54C4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87CDA7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tcBorders>
              <w:top w:val="nil"/>
              <w:left w:val="nil"/>
              <w:bottom w:val="nil"/>
              <w:right w:val="single" w:sz="4" w:space="0" w:color="auto"/>
            </w:tcBorders>
            <w:vAlign w:val="center"/>
            <w:hideMark/>
          </w:tcPr>
          <w:p w14:paraId="48D720A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Build a document readiness checklist used jointly by </w:t>
            </w:r>
            <w:r w:rsidRPr="003D1BBB">
              <w:rPr>
                <w:rFonts w:ascii="Calibri" w:eastAsia="Times New Roman" w:hAnsi="Calibri" w:cs="Calibri"/>
                <w:kern w:val="0"/>
                <w:sz w:val="20"/>
                <w:szCs w:val="20"/>
                <w:lang w:eastAsia="en-GB"/>
                <w14:ligatures w14:val="none"/>
              </w:rPr>
              <w:lastRenderedPageBreak/>
              <w:t>supplier and port talbot logistics</w:t>
            </w:r>
          </w:p>
        </w:tc>
        <w:tc>
          <w:tcPr>
            <w:tcW w:w="528" w:type="pct"/>
            <w:tcBorders>
              <w:top w:val="nil"/>
              <w:left w:val="nil"/>
              <w:bottom w:val="single" w:sz="4" w:space="0" w:color="auto"/>
              <w:right w:val="single" w:sz="4" w:space="0" w:color="auto"/>
            </w:tcBorders>
            <w:vAlign w:val="center"/>
            <w:hideMark/>
          </w:tcPr>
          <w:p w14:paraId="000BF9A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Procurement, Supplier &amp; Logistics</w:t>
            </w:r>
          </w:p>
        </w:tc>
        <w:tc>
          <w:tcPr>
            <w:tcW w:w="85" w:type="pct"/>
            <w:vAlign w:val="center"/>
            <w:hideMark/>
          </w:tcPr>
          <w:p w14:paraId="6674B5A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0E701A7"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6D636EC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nil"/>
              <w:left w:val="single" w:sz="4" w:space="0" w:color="auto"/>
              <w:bottom w:val="nil"/>
              <w:right w:val="single" w:sz="4" w:space="0" w:color="auto"/>
            </w:tcBorders>
            <w:vAlign w:val="center"/>
            <w:hideMark/>
          </w:tcPr>
          <w:p w14:paraId="1A9E5F1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48B33DF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1F5C03B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Trade compliance breach penalties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28067F8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1C57634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Improper certification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F87FFE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7F70C60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Up to date compliance training for all personnel involved in import documentation</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469486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60BF6E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single" w:sz="4" w:space="0" w:color="auto"/>
              <w:left w:val="nil"/>
              <w:bottom w:val="nil"/>
              <w:right w:val="single" w:sz="4" w:space="0" w:color="auto"/>
            </w:tcBorders>
            <w:vAlign w:val="center"/>
            <w:hideMark/>
          </w:tcPr>
          <w:p w14:paraId="440CDBE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Deploy a compliance management system to track documentation accuracy and any changes to regulations</w:t>
            </w:r>
          </w:p>
        </w:tc>
        <w:tc>
          <w:tcPr>
            <w:tcW w:w="528" w:type="pct"/>
            <w:tcBorders>
              <w:top w:val="nil"/>
              <w:left w:val="nil"/>
              <w:bottom w:val="single" w:sz="4" w:space="0" w:color="auto"/>
              <w:right w:val="single" w:sz="4" w:space="0" w:color="auto"/>
            </w:tcBorders>
            <w:vAlign w:val="center"/>
            <w:hideMark/>
          </w:tcPr>
          <w:p w14:paraId="3C5E20C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Compliance Department</w:t>
            </w:r>
          </w:p>
        </w:tc>
        <w:tc>
          <w:tcPr>
            <w:tcW w:w="85" w:type="pct"/>
            <w:vAlign w:val="center"/>
            <w:hideMark/>
          </w:tcPr>
          <w:p w14:paraId="021CAB5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9BFB09C"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5937289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341D90F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6D4FE2B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2CBA930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CA64A2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276B9B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Outdated understanding of evolving </w:t>
            </w:r>
            <w:r>
              <w:rPr>
                <w:rFonts w:ascii="Calibri" w:eastAsia="Times New Roman" w:hAnsi="Calibri" w:cs="Calibri"/>
                <w:kern w:val="0"/>
                <w:sz w:val="20"/>
                <w:szCs w:val="20"/>
                <w:lang w:eastAsia="en-GB"/>
                <w14:ligatures w14:val="none"/>
              </w:rPr>
              <w:t xml:space="preserve">UK </w:t>
            </w:r>
            <w:r w:rsidRPr="003D1BBB">
              <w:rPr>
                <w:rFonts w:ascii="Calibri" w:eastAsia="Times New Roman" w:hAnsi="Calibri" w:cs="Calibri"/>
                <w:kern w:val="0"/>
                <w:sz w:val="20"/>
                <w:szCs w:val="20"/>
                <w:lang w:eastAsia="en-GB"/>
                <w14:ligatures w14:val="none"/>
              </w:rPr>
              <w:t>import/export regulations</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7FC07B1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710" w:type="pct"/>
            <w:tcBorders>
              <w:top w:val="nil"/>
              <w:left w:val="nil"/>
              <w:bottom w:val="single" w:sz="4" w:space="0" w:color="auto"/>
              <w:right w:val="single" w:sz="4" w:space="0" w:color="auto"/>
            </w:tcBorders>
            <w:vAlign w:val="center"/>
            <w:hideMark/>
          </w:tcPr>
          <w:p w14:paraId="164050F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Up to date compliance training for all personnel involved in import documentation</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C6E10F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58E487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120</w:t>
            </w:r>
          </w:p>
        </w:tc>
        <w:tc>
          <w:tcPr>
            <w:tcW w:w="646" w:type="pct"/>
            <w:tcBorders>
              <w:top w:val="single" w:sz="4" w:space="0" w:color="auto"/>
              <w:left w:val="nil"/>
              <w:bottom w:val="nil"/>
              <w:right w:val="single" w:sz="4" w:space="0" w:color="auto"/>
            </w:tcBorders>
            <w:vAlign w:val="center"/>
            <w:hideMark/>
          </w:tcPr>
          <w:p w14:paraId="1E7E206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Partner with customs consultants to review and approve all new import routes and suppliers</w:t>
            </w:r>
          </w:p>
        </w:tc>
        <w:tc>
          <w:tcPr>
            <w:tcW w:w="528" w:type="pct"/>
            <w:tcBorders>
              <w:top w:val="nil"/>
              <w:left w:val="nil"/>
              <w:bottom w:val="single" w:sz="4" w:space="0" w:color="auto"/>
              <w:right w:val="single" w:sz="4" w:space="0" w:color="auto"/>
            </w:tcBorders>
            <w:vAlign w:val="center"/>
            <w:hideMark/>
          </w:tcPr>
          <w:p w14:paraId="67AD9A8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0A0D429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42775BA"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09E714C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58</w:t>
            </w:r>
          </w:p>
        </w:tc>
        <w:tc>
          <w:tcPr>
            <w:tcW w:w="433" w:type="pct"/>
            <w:vMerge/>
            <w:tcBorders>
              <w:top w:val="nil"/>
              <w:left w:val="single" w:sz="4" w:space="0" w:color="auto"/>
              <w:bottom w:val="nil"/>
              <w:right w:val="single" w:sz="4" w:space="0" w:color="auto"/>
            </w:tcBorders>
            <w:vAlign w:val="center"/>
            <w:hideMark/>
          </w:tcPr>
          <w:p w14:paraId="01151AC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single" w:sz="4" w:space="0" w:color="000000"/>
              <w:right w:val="single" w:sz="4" w:space="0" w:color="auto"/>
            </w:tcBorders>
            <w:vAlign w:val="center"/>
            <w:hideMark/>
          </w:tcPr>
          <w:p w14:paraId="21B0B07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Vessel Delay</w:t>
            </w:r>
          </w:p>
        </w:tc>
        <w:tc>
          <w:tcPr>
            <w:tcW w:w="517" w:type="pct"/>
            <w:vMerge w:val="restart"/>
            <w:tcBorders>
              <w:top w:val="nil"/>
              <w:left w:val="single" w:sz="4" w:space="0" w:color="auto"/>
              <w:bottom w:val="single" w:sz="4" w:space="0" w:color="000000"/>
              <w:right w:val="single" w:sz="4" w:space="0" w:color="auto"/>
            </w:tcBorders>
            <w:vAlign w:val="center"/>
            <w:hideMark/>
          </w:tcPr>
          <w:p w14:paraId="126D8D5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Late Delivery to PT</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0FD4CB2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7181F58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congestion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1B6707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F054AB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Close coordination with shipping agents is maintained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90F2A6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5D9F9E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tcBorders>
              <w:top w:val="single" w:sz="4" w:space="0" w:color="auto"/>
              <w:left w:val="nil"/>
              <w:bottom w:val="single" w:sz="4" w:space="0" w:color="auto"/>
              <w:right w:val="single" w:sz="4" w:space="0" w:color="auto"/>
            </w:tcBorders>
            <w:vAlign w:val="center"/>
            <w:hideMark/>
          </w:tcPr>
          <w:p w14:paraId="6654AF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Investigate opportunities for long term contracts with preferred shipping partners to secure port access</w:t>
            </w:r>
          </w:p>
        </w:tc>
        <w:tc>
          <w:tcPr>
            <w:tcW w:w="528" w:type="pct"/>
            <w:tcBorders>
              <w:top w:val="nil"/>
              <w:left w:val="nil"/>
              <w:bottom w:val="single" w:sz="4" w:space="0" w:color="auto"/>
              <w:right w:val="single" w:sz="4" w:space="0" w:color="auto"/>
            </w:tcBorders>
            <w:vAlign w:val="center"/>
            <w:hideMark/>
          </w:tcPr>
          <w:p w14:paraId="59DF29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6153BA85"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E7F3FE0"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58DC529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175A160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760C88F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59F0992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E2FF9A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18A6ED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Adverse weather</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6CBE86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57A09D2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None</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47B8B44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3EA12D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196</w:t>
            </w:r>
          </w:p>
        </w:tc>
        <w:tc>
          <w:tcPr>
            <w:tcW w:w="646" w:type="pct"/>
            <w:tcBorders>
              <w:top w:val="nil"/>
              <w:left w:val="nil"/>
              <w:bottom w:val="single" w:sz="4" w:space="0" w:color="auto"/>
              <w:right w:val="single" w:sz="4" w:space="0" w:color="auto"/>
            </w:tcBorders>
            <w:vAlign w:val="center"/>
            <w:hideMark/>
          </w:tcPr>
          <w:p w14:paraId="15E0A6C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Develop contingency plans for adverse weather, potential for quick supply from local suppliers</w:t>
            </w:r>
          </w:p>
        </w:tc>
        <w:tc>
          <w:tcPr>
            <w:tcW w:w="528" w:type="pct"/>
            <w:tcBorders>
              <w:top w:val="nil"/>
              <w:left w:val="nil"/>
              <w:bottom w:val="single" w:sz="4" w:space="0" w:color="auto"/>
              <w:right w:val="single" w:sz="4" w:space="0" w:color="auto"/>
            </w:tcBorders>
            <w:vAlign w:val="center"/>
            <w:hideMark/>
          </w:tcPr>
          <w:p w14:paraId="666B0BB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33AE3DA2"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DDF1D60"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32C24DE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6333E62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5911E97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1F3779D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E4AED2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B77B64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Insufficient vessel scheduling</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A995B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3844DD3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Booking slots, with alternative ports have been established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4E7C5D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A9CFBA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tcBorders>
              <w:top w:val="nil"/>
              <w:left w:val="nil"/>
              <w:bottom w:val="single" w:sz="4" w:space="0" w:color="auto"/>
              <w:right w:val="single" w:sz="4" w:space="0" w:color="auto"/>
            </w:tcBorders>
            <w:vAlign w:val="center"/>
            <w:hideMark/>
          </w:tcPr>
          <w:p w14:paraId="436E305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Review the demurrage and port congestion clauses in the </w:t>
            </w:r>
            <w:r w:rsidRPr="003D1BBB">
              <w:rPr>
                <w:rFonts w:ascii="Calibri" w:eastAsia="Times New Roman" w:hAnsi="Calibri" w:cs="Calibri"/>
                <w:kern w:val="0"/>
                <w:sz w:val="20"/>
                <w:szCs w:val="20"/>
                <w:lang w:eastAsia="en-GB"/>
                <w14:ligatures w14:val="none"/>
              </w:rPr>
              <w:lastRenderedPageBreak/>
              <w:t>supplier contracts to ensure that they are appropriate</w:t>
            </w:r>
          </w:p>
        </w:tc>
        <w:tc>
          <w:tcPr>
            <w:tcW w:w="528" w:type="pct"/>
            <w:tcBorders>
              <w:top w:val="nil"/>
              <w:left w:val="nil"/>
              <w:bottom w:val="single" w:sz="4" w:space="0" w:color="auto"/>
              <w:right w:val="single" w:sz="4" w:space="0" w:color="auto"/>
            </w:tcBorders>
            <w:vAlign w:val="center"/>
            <w:hideMark/>
          </w:tcPr>
          <w:p w14:paraId="7542810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Procurement</w:t>
            </w:r>
          </w:p>
        </w:tc>
        <w:tc>
          <w:tcPr>
            <w:tcW w:w="85" w:type="pct"/>
            <w:vAlign w:val="center"/>
            <w:hideMark/>
          </w:tcPr>
          <w:p w14:paraId="135CE58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C2266E4"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2376CCD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63</w:t>
            </w:r>
          </w:p>
        </w:tc>
        <w:tc>
          <w:tcPr>
            <w:tcW w:w="433" w:type="pct"/>
            <w:vMerge/>
            <w:tcBorders>
              <w:top w:val="nil"/>
              <w:left w:val="single" w:sz="4" w:space="0" w:color="auto"/>
              <w:bottom w:val="nil"/>
              <w:right w:val="single" w:sz="4" w:space="0" w:color="auto"/>
            </w:tcBorders>
            <w:vAlign w:val="center"/>
            <w:hideMark/>
          </w:tcPr>
          <w:p w14:paraId="1F9CE30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60BDEFE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71A9A73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480E69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3019E64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Mechanical break downs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CA3DB9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52C8A6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Contingency parts, equipment</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8C7253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AEC13A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196</w:t>
            </w:r>
          </w:p>
        </w:tc>
        <w:tc>
          <w:tcPr>
            <w:tcW w:w="646" w:type="pct"/>
            <w:tcBorders>
              <w:top w:val="nil"/>
              <w:left w:val="nil"/>
              <w:bottom w:val="single" w:sz="4" w:space="0" w:color="auto"/>
              <w:right w:val="single" w:sz="4" w:space="0" w:color="auto"/>
            </w:tcBorders>
            <w:vAlign w:val="center"/>
            <w:hideMark/>
          </w:tcPr>
          <w:p w14:paraId="1DBB225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Continue to attend regular meetings with logistics partner to access delays and performance related issues</w:t>
            </w:r>
          </w:p>
        </w:tc>
        <w:tc>
          <w:tcPr>
            <w:tcW w:w="528" w:type="pct"/>
            <w:tcBorders>
              <w:top w:val="nil"/>
              <w:left w:val="nil"/>
              <w:bottom w:val="single" w:sz="4" w:space="0" w:color="auto"/>
              <w:right w:val="single" w:sz="4" w:space="0" w:color="auto"/>
            </w:tcBorders>
            <w:vAlign w:val="center"/>
            <w:hideMark/>
          </w:tcPr>
          <w:p w14:paraId="2F207B2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Logistic Teams</w:t>
            </w:r>
          </w:p>
        </w:tc>
        <w:tc>
          <w:tcPr>
            <w:tcW w:w="85" w:type="pct"/>
            <w:vAlign w:val="center"/>
            <w:hideMark/>
          </w:tcPr>
          <w:p w14:paraId="0C217F6E"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12DCF15"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4ED2210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nil"/>
              <w:left w:val="single" w:sz="4" w:space="0" w:color="auto"/>
              <w:bottom w:val="nil"/>
              <w:right w:val="single" w:sz="4" w:space="0" w:color="auto"/>
            </w:tcBorders>
            <w:vAlign w:val="center"/>
            <w:hideMark/>
          </w:tcPr>
          <w:p w14:paraId="6E4AE30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49F4BF0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4D50C1E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Increased Demurrage costs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2E2BF01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66A6AA8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Stikes or industrial action</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2E7CBE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710" w:type="pct"/>
            <w:tcBorders>
              <w:top w:val="nil"/>
              <w:left w:val="nil"/>
              <w:bottom w:val="single" w:sz="4" w:space="0" w:color="auto"/>
              <w:right w:val="single" w:sz="4" w:space="0" w:color="auto"/>
            </w:tcBorders>
            <w:vAlign w:val="center"/>
            <w:hideMark/>
          </w:tcPr>
          <w:p w14:paraId="31869A9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Global and local port activity is monitored closely</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3E455E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9BFBB8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128</w:t>
            </w:r>
          </w:p>
        </w:tc>
        <w:tc>
          <w:tcPr>
            <w:tcW w:w="646" w:type="pct"/>
            <w:tcBorders>
              <w:top w:val="nil"/>
              <w:left w:val="nil"/>
              <w:bottom w:val="single" w:sz="4" w:space="0" w:color="auto"/>
              <w:right w:val="single" w:sz="4" w:space="0" w:color="auto"/>
            </w:tcBorders>
            <w:vAlign w:val="center"/>
            <w:hideMark/>
          </w:tcPr>
          <w:p w14:paraId="0B8B2B7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a port performance review framework to track unloading efficiency</w:t>
            </w:r>
          </w:p>
        </w:tc>
        <w:tc>
          <w:tcPr>
            <w:tcW w:w="528" w:type="pct"/>
            <w:tcBorders>
              <w:top w:val="nil"/>
              <w:left w:val="nil"/>
              <w:bottom w:val="single" w:sz="4" w:space="0" w:color="auto"/>
              <w:right w:val="single" w:sz="4" w:space="0" w:color="auto"/>
            </w:tcBorders>
            <w:vAlign w:val="center"/>
            <w:hideMark/>
          </w:tcPr>
          <w:p w14:paraId="750FA89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Team</w:t>
            </w:r>
          </w:p>
        </w:tc>
        <w:tc>
          <w:tcPr>
            <w:tcW w:w="85" w:type="pct"/>
            <w:vAlign w:val="center"/>
            <w:hideMark/>
          </w:tcPr>
          <w:p w14:paraId="74C33DF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16C9667" w14:textId="77777777" w:rsidTr="00AA4D71">
        <w:trPr>
          <w:trHeight w:val="260"/>
        </w:trPr>
        <w:tc>
          <w:tcPr>
            <w:tcW w:w="209" w:type="pct"/>
            <w:tcBorders>
              <w:top w:val="nil"/>
              <w:left w:val="single" w:sz="4" w:space="0" w:color="auto"/>
              <w:bottom w:val="single" w:sz="4" w:space="0" w:color="auto"/>
              <w:right w:val="single" w:sz="4" w:space="0" w:color="auto"/>
            </w:tcBorders>
            <w:noWrap/>
            <w:vAlign w:val="center"/>
            <w:hideMark/>
          </w:tcPr>
          <w:p w14:paraId="556E06B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790442C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3383406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D4ACDE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49C9843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52E0EF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Late arrival of previous cargo</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A5273A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nil"/>
              <w:right w:val="single" w:sz="4" w:space="0" w:color="auto"/>
            </w:tcBorders>
            <w:vAlign w:val="center"/>
            <w:hideMark/>
          </w:tcPr>
          <w:p w14:paraId="682A899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None</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42ECE56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5299D2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280</w:t>
            </w:r>
          </w:p>
        </w:tc>
        <w:tc>
          <w:tcPr>
            <w:tcW w:w="646" w:type="pct"/>
            <w:tcBorders>
              <w:top w:val="nil"/>
              <w:left w:val="nil"/>
              <w:bottom w:val="single" w:sz="4" w:space="0" w:color="auto"/>
              <w:right w:val="single" w:sz="4" w:space="0" w:color="auto"/>
            </w:tcBorders>
            <w:vAlign w:val="center"/>
            <w:hideMark/>
          </w:tcPr>
          <w:p w14:paraId="787F8B6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Review demurrage insurances in place to minimise cost outlay</w:t>
            </w:r>
          </w:p>
        </w:tc>
        <w:tc>
          <w:tcPr>
            <w:tcW w:w="528" w:type="pct"/>
            <w:tcBorders>
              <w:top w:val="nil"/>
              <w:left w:val="nil"/>
              <w:bottom w:val="single" w:sz="4" w:space="0" w:color="auto"/>
              <w:right w:val="single" w:sz="4" w:space="0" w:color="auto"/>
            </w:tcBorders>
            <w:vAlign w:val="center"/>
            <w:hideMark/>
          </w:tcPr>
          <w:p w14:paraId="501305B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04D02D75"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D1A7BA3"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7DD2D06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1B91B0E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3F3B305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5CBAE8A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97B2C9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556AC7B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delayed unloading due to insufficient manpower or equipment availability</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C7BB08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single" w:sz="4" w:space="0" w:color="auto"/>
              <w:left w:val="nil"/>
              <w:bottom w:val="nil"/>
              <w:right w:val="single" w:sz="4" w:space="0" w:color="auto"/>
            </w:tcBorders>
            <w:vAlign w:val="center"/>
            <w:hideMark/>
          </w:tcPr>
          <w:p w14:paraId="30304C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None</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47F1486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0E7401A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224</w:t>
            </w:r>
          </w:p>
        </w:tc>
        <w:tc>
          <w:tcPr>
            <w:tcW w:w="646" w:type="pct"/>
            <w:tcBorders>
              <w:top w:val="nil"/>
              <w:left w:val="nil"/>
              <w:bottom w:val="single" w:sz="4" w:space="0" w:color="auto"/>
              <w:right w:val="single" w:sz="4" w:space="0" w:color="auto"/>
            </w:tcBorders>
            <w:vAlign w:val="center"/>
            <w:hideMark/>
          </w:tcPr>
          <w:p w14:paraId="136FE9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Establish a cross functional response team to act early on delay warnings</w:t>
            </w:r>
          </w:p>
        </w:tc>
        <w:tc>
          <w:tcPr>
            <w:tcW w:w="528" w:type="pct"/>
            <w:tcBorders>
              <w:top w:val="nil"/>
              <w:left w:val="nil"/>
              <w:bottom w:val="single" w:sz="4" w:space="0" w:color="auto"/>
              <w:right w:val="single" w:sz="4" w:space="0" w:color="auto"/>
            </w:tcBorders>
            <w:vAlign w:val="center"/>
            <w:hideMark/>
          </w:tcPr>
          <w:p w14:paraId="475B470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Team</w:t>
            </w:r>
          </w:p>
        </w:tc>
        <w:tc>
          <w:tcPr>
            <w:tcW w:w="85" w:type="pct"/>
            <w:vAlign w:val="center"/>
            <w:hideMark/>
          </w:tcPr>
          <w:p w14:paraId="13BFB8A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2AA7F4E"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3C05E7D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499B215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5F5A7CA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nil"/>
              <w:right w:val="single" w:sz="4" w:space="0" w:color="auto"/>
            </w:tcBorders>
            <w:vAlign w:val="center"/>
            <w:hideMark/>
          </w:tcPr>
          <w:p w14:paraId="2D6C735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Equipment breakdowns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3491FA0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5F315FB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Ageing port infrastructure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432D24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single" w:sz="4" w:space="0" w:color="auto"/>
              <w:left w:val="nil"/>
              <w:bottom w:val="nil"/>
              <w:right w:val="single" w:sz="4" w:space="0" w:color="auto"/>
            </w:tcBorders>
            <w:vAlign w:val="center"/>
            <w:hideMark/>
          </w:tcPr>
          <w:p w14:paraId="2CB9572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Regular maintenance audits performed with port auditors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D51C5A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518073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196</w:t>
            </w:r>
          </w:p>
        </w:tc>
        <w:tc>
          <w:tcPr>
            <w:tcW w:w="646" w:type="pct"/>
            <w:tcBorders>
              <w:top w:val="nil"/>
              <w:left w:val="nil"/>
              <w:bottom w:val="single" w:sz="4" w:space="0" w:color="auto"/>
              <w:right w:val="single" w:sz="4" w:space="0" w:color="auto"/>
            </w:tcBorders>
            <w:vAlign w:val="center"/>
            <w:hideMark/>
          </w:tcPr>
          <w:p w14:paraId="25D8716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Maintain </w:t>
            </w:r>
            <w:proofErr w:type="gramStart"/>
            <w:r w:rsidRPr="003D1BBB">
              <w:rPr>
                <w:rFonts w:ascii="Calibri" w:eastAsia="Times New Roman" w:hAnsi="Calibri" w:cs="Calibri"/>
                <w:kern w:val="0"/>
                <w:sz w:val="20"/>
                <w:szCs w:val="20"/>
                <w:lang w:eastAsia="en-GB"/>
                <w14:ligatures w14:val="none"/>
              </w:rPr>
              <w:t>performance based</w:t>
            </w:r>
            <w:proofErr w:type="gramEnd"/>
            <w:r w:rsidRPr="003D1BBB">
              <w:rPr>
                <w:rFonts w:ascii="Calibri" w:eastAsia="Times New Roman" w:hAnsi="Calibri" w:cs="Calibri"/>
                <w:kern w:val="0"/>
                <w:sz w:val="20"/>
                <w:szCs w:val="20"/>
                <w:lang w:eastAsia="en-GB"/>
                <w14:ligatures w14:val="none"/>
              </w:rPr>
              <w:t xml:space="preserve"> contracts with shipping lines to incentivise reliability</w:t>
            </w:r>
          </w:p>
        </w:tc>
        <w:tc>
          <w:tcPr>
            <w:tcW w:w="528" w:type="pct"/>
            <w:tcBorders>
              <w:top w:val="nil"/>
              <w:left w:val="nil"/>
              <w:bottom w:val="single" w:sz="4" w:space="0" w:color="auto"/>
              <w:right w:val="single" w:sz="4" w:space="0" w:color="auto"/>
            </w:tcBorders>
            <w:vAlign w:val="center"/>
            <w:hideMark/>
          </w:tcPr>
          <w:p w14:paraId="7B83B31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067A736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AA4DA11"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01E285F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6A3B0CA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7661696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1215027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4B0B45B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A7FA00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Mechanical failure on vessels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D2B1F1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single" w:sz="4" w:space="0" w:color="auto"/>
              <w:left w:val="nil"/>
              <w:bottom w:val="nil"/>
              <w:right w:val="single" w:sz="4" w:space="0" w:color="auto"/>
            </w:tcBorders>
            <w:vAlign w:val="center"/>
            <w:hideMark/>
          </w:tcPr>
          <w:p w14:paraId="5A55449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Supplier with strong reliability records </w:t>
            </w:r>
            <w:proofErr w:type="gramStart"/>
            <w:r w:rsidRPr="003D1BBB">
              <w:rPr>
                <w:rFonts w:ascii="Calibri" w:eastAsia="Times New Roman" w:hAnsi="Calibri" w:cs="Calibri"/>
                <w:kern w:val="0"/>
                <w:sz w:val="20"/>
                <w:szCs w:val="20"/>
                <w:lang w:eastAsia="en-GB"/>
                <w14:ligatures w14:val="none"/>
              </w:rPr>
              <w:t>are</w:t>
            </w:r>
            <w:proofErr w:type="gramEnd"/>
            <w:r w:rsidRPr="003D1BBB">
              <w:rPr>
                <w:rFonts w:ascii="Calibri" w:eastAsia="Times New Roman" w:hAnsi="Calibri" w:cs="Calibri"/>
                <w:kern w:val="0"/>
                <w:sz w:val="20"/>
                <w:szCs w:val="20"/>
                <w:lang w:eastAsia="en-GB"/>
                <w14:ligatures w14:val="none"/>
              </w:rPr>
              <w:t xml:space="preserve"> prioritised</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43569B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0264E6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196</w:t>
            </w:r>
          </w:p>
        </w:tc>
        <w:tc>
          <w:tcPr>
            <w:tcW w:w="646" w:type="pct"/>
            <w:tcBorders>
              <w:top w:val="nil"/>
              <w:left w:val="nil"/>
              <w:bottom w:val="single" w:sz="4" w:space="0" w:color="auto"/>
              <w:right w:val="single" w:sz="4" w:space="0" w:color="auto"/>
            </w:tcBorders>
            <w:vAlign w:val="center"/>
            <w:hideMark/>
          </w:tcPr>
          <w:p w14:paraId="389B927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Collaborate with backup port options to cover breakdowns</w:t>
            </w:r>
          </w:p>
        </w:tc>
        <w:tc>
          <w:tcPr>
            <w:tcW w:w="528" w:type="pct"/>
            <w:tcBorders>
              <w:top w:val="nil"/>
              <w:left w:val="nil"/>
              <w:bottom w:val="single" w:sz="4" w:space="0" w:color="auto"/>
              <w:right w:val="single" w:sz="4" w:space="0" w:color="auto"/>
            </w:tcBorders>
            <w:vAlign w:val="center"/>
            <w:hideMark/>
          </w:tcPr>
          <w:p w14:paraId="434F14D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4BDFFAC9"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A44462E"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514EB15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#REF!</w:t>
            </w:r>
          </w:p>
        </w:tc>
        <w:tc>
          <w:tcPr>
            <w:tcW w:w="433" w:type="pct"/>
            <w:vMerge/>
            <w:tcBorders>
              <w:top w:val="nil"/>
              <w:left w:val="single" w:sz="4" w:space="0" w:color="auto"/>
              <w:bottom w:val="nil"/>
              <w:right w:val="single" w:sz="4" w:space="0" w:color="auto"/>
            </w:tcBorders>
            <w:vAlign w:val="center"/>
            <w:hideMark/>
          </w:tcPr>
          <w:p w14:paraId="52F6376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nil"/>
              <w:right w:val="single" w:sz="4" w:space="0" w:color="auto"/>
            </w:tcBorders>
            <w:vAlign w:val="center"/>
            <w:hideMark/>
          </w:tcPr>
          <w:p w14:paraId="4AB8AB0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Adverse Weather</w:t>
            </w:r>
          </w:p>
        </w:tc>
        <w:tc>
          <w:tcPr>
            <w:tcW w:w="517" w:type="pct"/>
            <w:vMerge w:val="restart"/>
            <w:tcBorders>
              <w:top w:val="single" w:sz="4" w:space="0" w:color="auto"/>
              <w:left w:val="single" w:sz="4" w:space="0" w:color="auto"/>
              <w:bottom w:val="single" w:sz="4" w:space="0" w:color="000000"/>
              <w:right w:val="single" w:sz="4" w:space="0" w:color="auto"/>
            </w:tcBorders>
            <w:vAlign w:val="center"/>
            <w:hideMark/>
          </w:tcPr>
          <w:p w14:paraId="2987383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Delivery Delays, weeks?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438460A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487DF71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Prolonged storms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37CD4D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single" w:sz="4" w:space="0" w:color="auto"/>
              <w:left w:val="nil"/>
              <w:bottom w:val="single" w:sz="4" w:space="0" w:color="auto"/>
              <w:right w:val="single" w:sz="4" w:space="0" w:color="auto"/>
            </w:tcBorders>
            <w:vAlign w:val="center"/>
            <w:hideMark/>
          </w:tcPr>
          <w:p w14:paraId="06FE31B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Buffer stock at PT to supply downstream operations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0C7269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320E75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224</w:t>
            </w:r>
          </w:p>
        </w:tc>
        <w:tc>
          <w:tcPr>
            <w:tcW w:w="646" w:type="pct"/>
            <w:tcBorders>
              <w:top w:val="nil"/>
              <w:left w:val="nil"/>
              <w:bottom w:val="single" w:sz="4" w:space="0" w:color="auto"/>
              <w:right w:val="single" w:sz="4" w:space="0" w:color="auto"/>
            </w:tcBorders>
            <w:vAlign w:val="center"/>
            <w:hideMark/>
          </w:tcPr>
          <w:p w14:paraId="3056F48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Negotiate supplier and carrier contracts with clear contingency provisions for adverse weather</w:t>
            </w:r>
          </w:p>
        </w:tc>
        <w:tc>
          <w:tcPr>
            <w:tcW w:w="528" w:type="pct"/>
            <w:tcBorders>
              <w:top w:val="nil"/>
              <w:left w:val="nil"/>
              <w:bottom w:val="single" w:sz="4" w:space="0" w:color="auto"/>
              <w:right w:val="single" w:sz="4" w:space="0" w:color="auto"/>
            </w:tcBorders>
            <w:vAlign w:val="center"/>
            <w:hideMark/>
          </w:tcPr>
          <w:p w14:paraId="12F0B52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Supplier &amp; Logistics</w:t>
            </w:r>
          </w:p>
        </w:tc>
        <w:tc>
          <w:tcPr>
            <w:tcW w:w="85" w:type="pct"/>
            <w:vAlign w:val="center"/>
            <w:hideMark/>
          </w:tcPr>
          <w:p w14:paraId="3762F456"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259B5D3" w14:textId="77777777" w:rsidTr="00AA4D71">
        <w:trPr>
          <w:trHeight w:val="765"/>
        </w:trPr>
        <w:tc>
          <w:tcPr>
            <w:tcW w:w="209" w:type="pct"/>
            <w:tcBorders>
              <w:top w:val="nil"/>
              <w:left w:val="single" w:sz="4" w:space="0" w:color="auto"/>
              <w:bottom w:val="single" w:sz="4" w:space="0" w:color="auto"/>
              <w:right w:val="single" w:sz="4" w:space="0" w:color="auto"/>
            </w:tcBorders>
            <w:noWrap/>
            <w:vAlign w:val="center"/>
            <w:hideMark/>
          </w:tcPr>
          <w:p w14:paraId="584542B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741DC89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35A6103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3EC8FE7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FD64DE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B7785B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Extreme cold</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3526FF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vMerge w:val="restart"/>
            <w:tcBorders>
              <w:top w:val="nil"/>
              <w:left w:val="single" w:sz="4" w:space="0" w:color="auto"/>
              <w:bottom w:val="single" w:sz="4" w:space="0" w:color="000000"/>
              <w:right w:val="single" w:sz="4" w:space="0" w:color="auto"/>
            </w:tcBorders>
            <w:vAlign w:val="center"/>
            <w:hideMark/>
          </w:tcPr>
          <w:p w14:paraId="1C9D209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Real time tracking of vessels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2F7B82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0460FA6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224</w:t>
            </w:r>
          </w:p>
        </w:tc>
        <w:tc>
          <w:tcPr>
            <w:tcW w:w="646" w:type="pct"/>
            <w:vMerge w:val="restart"/>
            <w:tcBorders>
              <w:top w:val="nil"/>
              <w:left w:val="single" w:sz="4" w:space="0" w:color="auto"/>
              <w:bottom w:val="single" w:sz="4" w:space="0" w:color="000000"/>
              <w:right w:val="single" w:sz="4" w:space="0" w:color="auto"/>
            </w:tcBorders>
            <w:vAlign w:val="center"/>
            <w:hideMark/>
          </w:tcPr>
          <w:p w14:paraId="1772FE6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Establish </w:t>
            </w:r>
            <w:proofErr w:type="spellStart"/>
            <w:proofErr w:type="gramStart"/>
            <w:r w:rsidRPr="003D1BBB">
              <w:rPr>
                <w:rFonts w:ascii="Calibri" w:eastAsia="Times New Roman" w:hAnsi="Calibri" w:cs="Calibri"/>
                <w:kern w:val="0"/>
                <w:sz w:val="20"/>
                <w:szCs w:val="20"/>
                <w:lang w:eastAsia="en-GB"/>
                <w14:ligatures w14:val="none"/>
              </w:rPr>
              <w:t>a</w:t>
            </w:r>
            <w:proofErr w:type="spellEnd"/>
            <w:proofErr w:type="gramEnd"/>
            <w:r w:rsidRPr="003D1BBB">
              <w:rPr>
                <w:rFonts w:ascii="Calibri" w:eastAsia="Times New Roman" w:hAnsi="Calibri" w:cs="Calibri"/>
                <w:kern w:val="0"/>
                <w:sz w:val="20"/>
                <w:szCs w:val="20"/>
                <w:lang w:eastAsia="en-GB"/>
                <w14:ligatures w14:val="none"/>
              </w:rPr>
              <w:t xml:space="preserve"> approved alternative port log and rapid rerouting procedure to be implemented when forecasts indicate high risk weather</w:t>
            </w:r>
          </w:p>
        </w:tc>
        <w:tc>
          <w:tcPr>
            <w:tcW w:w="528" w:type="pct"/>
            <w:vMerge w:val="restart"/>
            <w:tcBorders>
              <w:top w:val="nil"/>
              <w:left w:val="single" w:sz="4" w:space="0" w:color="auto"/>
              <w:bottom w:val="single" w:sz="4" w:space="0" w:color="000000"/>
              <w:right w:val="single" w:sz="4" w:space="0" w:color="auto"/>
            </w:tcBorders>
            <w:vAlign w:val="center"/>
            <w:hideMark/>
          </w:tcPr>
          <w:p w14:paraId="3196D6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02AD6DC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008B00F"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56A1388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0202212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26BDCE8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5AA8B4D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52F460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519E0F7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Reduced vessel speed due to precautionary routing due to adverse weather</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7C37C4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vMerge/>
            <w:tcBorders>
              <w:top w:val="nil"/>
              <w:left w:val="single" w:sz="4" w:space="0" w:color="auto"/>
              <w:bottom w:val="single" w:sz="4" w:space="0" w:color="000000"/>
              <w:right w:val="single" w:sz="4" w:space="0" w:color="auto"/>
            </w:tcBorders>
            <w:vAlign w:val="center"/>
            <w:hideMark/>
          </w:tcPr>
          <w:p w14:paraId="61829C6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AB736F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1C4A53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224</w:t>
            </w:r>
          </w:p>
        </w:tc>
        <w:tc>
          <w:tcPr>
            <w:tcW w:w="646" w:type="pct"/>
            <w:vMerge/>
            <w:tcBorders>
              <w:top w:val="nil"/>
              <w:left w:val="single" w:sz="4" w:space="0" w:color="auto"/>
              <w:bottom w:val="single" w:sz="4" w:space="0" w:color="000000"/>
              <w:right w:val="single" w:sz="4" w:space="0" w:color="auto"/>
            </w:tcBorders>
            <w:vAlign w:val="center"/>
            <w:hideMark/>
          </w:tcPr>
          <w:p w14:paraId="400399C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653057B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0AA1E632"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032E12D"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6856E32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nil"/>
              <w:left w:val="single" w:sz="4" w:space="0" w:color="auto"/>
              <w:bottom w:val="nil"/>
              <w:right w:val="single" w:sz="4" w:space="0" w:color="auto"/>
            </w:tcBorders>
            <w:vAlign w:val="center"/>
            <w:hideMark/>
          </w:tcPr>
          <w:p w14:paraId="68550F6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223BFD4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726FEB4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Cargo movement could cause damage/ lost cargo</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4AA2BB6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w:t>
            </w:r>
          </w:p>
        </w:tc>
        <w:tc>
          <w:tcPr>
            <w:tcW w:w="614" w:type="pct"/>
            <w:tcBorders>
              <w:top w:val="nil"/>
              <w:left w:val="nil"/>
              <w:bottom w:val="single" w:sz="4" w:space="0" w:color="auto"/>
              <w:right w:val="single" w:sz="4" w:space="0" w:color="auto"/>
            </w:tcBorders>
            <w:vAlign w:val="center"/>
            <w:hideMark/>
          </w:tcPr>
          <w:p w14:paraId="5FFBE40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Insufficient sea fastenings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D681F0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7E7A859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Suppliers required to provide marine insurance certificates to cover any cargo lost at sea</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D63C0F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6EF2FD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216</w:t>
            </w:r>
          </w:p>
        </w:tc>
        <w:tc>
          <w:tcPr>
            <w:tcW w:w="646" w:type="pct"/>
            <w:tcBorders>
              <w:top w:val="nil"/>
              <w:left w:val="nil"/>
              <w:bottom w:val="single" w:sz="4" w:space="0" w:color="auto"/>
              <w:right w:val="single" w:sz="4" w:space="0" w:color="auto"/>
            </w:tcBorders>
            <w:vAlign w:val="center"/>
            <w:hideMark/>
          </w:tcPr>
          <w:p w14:paraId="110ABF4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Collaborate with third party marine surveys at load port which can refuse shipment without verified securement </w:t>
            </w:r>
          </w:p>
        </w:tc>
        <w:tc>
          <w:tcPr>
            <w:tcW w:w="528" w:type="pct"/>
            <w:tcBorders>
              <w:top w:val="nil"/>
              <w:left w:val="nil"/>
              <w:bottom w:val="single" w:sz="4" w:space="0" w:color="auto"/>
              <w:right w:val="single" w:sz="4" w:space="0" w:color="auto"/>
            </w:tcBorders>
            <w:vAlign w:val="center"/>
            <w:hideMark/>
          </w:tcPr>
          <w:p w14:paraId="6458791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roofErr w:type="gramStart"/>
            <w:r w:rsidRPr="003D1BBB">
              <w:rPr>
                <w:rFonts w:ascii="Calibri" w:eastAsia="Times New Roman" w:hAnsi="Calibri" w:cs="Calibri"/>
                <w:kern w:val="0"/>
                <w:sz w:val="20"/>
                <w:szCs w:val="20"/>
                <w:lang w:eastAsia="en-GB"/>
                <w14:ligatures w14:val="none"/>
              </w:rPr>
              <w:t>Procurement  &amp;</w:t>
            </w:r>
            <w:proofErr w:type="gramEnd"/>
            <w:r w:rsidRPr="003D1BBB">
              <w:rPr>
                <w:rFonts w:ascii="Calibri" w:eastAsia="Times New Roman" w:hAnsi="Calibri" w:cs="Calibri"/>
                <w:kern w:val="0"/>
                <w:sz w:val="20"/>
                <w:szCs w:val="20"/>
                <w:lang w:eastAsia="en-GB"/>
                <w14:ligatures w14:val="none"/>
              </w:rPr>
              <w:t xml:space="preserve"> </w:t>
            </w:r>
            <w:proofErr w:type="gramStart"/>
            <w:r w:rsidRPr="003D1BBB">
              <w:rPr>
                <w:rFonts w:ascii="Calibri" w:eastAsia="Times New Roman" w:hAnsi="Calibri" w:cs="Calibri"/>
                <w:kern w:val="0"/>
                <w:sz w:val="20"/>
                <w:szCs w:val="20"/>
                <w:lang w:eastAsia="en-GB"/>
                <w14:ligatures w14:val="none"/>
              </w:rPr>
              <w:t>Third Party</w:t>
            </w:r>
            <w:proofErr w:type="gramEnd"/>
            <w:r w:rsidRPr="003D1BBB">
              <w:rPr>
                <w:rFonts w:ascii="Calibri" w:eastAsia="Times New Roman" w:hAnsi="Calibri" w:cs="Calibri"/>
                <w:kern w:val="0"/>
                <w:sz w:val="20"/>
                <w:szCs w:val="20"/>
                <w:lang w:eastAsia="en-GB"/>
                <w14:ligatures w14:val="none"/>
              </w:rPr>
              <w:t xml:space="preserve"> Marine Surveyors</w:t>
            </w:r>
          </w:p>
        </w:tc>
        <w:tc>
          <w:tcPr>
            <w:tcW w:w="85" w:type="pct"/>
            <w:vAlign w:val="center"/>
            <w:hideMark/>
          </w:tcPr>
          <w:p w14:paraId="3129EB41"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3B1E663"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2AF5368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1C3A390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00A9B24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0929429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EED14F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384A393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Suboptimal stowage location, on top deck instead of below</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28196E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08732F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Pre shipment photographic evidence of secured slabs provided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DBB5B7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7B1ACD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180</w:t>
            </w:r>
          </w:p>
        </w:tc>
        <w:tc>
          <w:tcPr>
            <w:tcW w:w="646" w:type="pct"/>
            <w:tcBorders>
              <w:top w:val="nil"/>
              <w:left w:val="nil"/>
              <w:bottom w:val="single" w:sz="4" w:space="0" w:color="auto"/>
              <w:right w:val="single" w:sz="4" w:space="0" w:color="auto"/>
            </w:tcBorders>
            <w:vAlign w:val="center"/>
            <w:hideMark/>
          </w:tcPr>
          <w:p w14:paraId="46418E0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Build a </w:t>
            </w:r>
            <w:proofErr w:type="gramStart"/>
            <w:r w:rsidRPr="003D1BBB">
              <w:rPr>
                <w:rFonts w:ascii="Calibri" w:eastAsia="Times New Roman" w:hAnsi="Calibri" w:cs="Calibri"/>
                <w:kern w:val="0"/>
                <w:sz w:val="20"/>
                <w:szCs w:val="20"/>
                <w:lang w:eastAsia="en-GB"/>
                <w14:ligatures w14:val="none"/>
              </w:rPr>
              <w:t>lessons</w:t>
            </w:r>
            <w:proofErr w:type="gramEnd"/>
            <w:r w:rsidRPr="003D1BBB">
              <w:rPr>
                <w:rFonts w:ascii="Calibri" w:eastAsia="Times New Roman" w:hAnsi="Calibri" w:cs="Calibri"/>
                <w:kern w:val="0"/>
                <w:sz w:val="20"/>
                <w:szCs w:val="20"/>
                <w:lang w:eastAsia="en-GB"/>
                <w14:ligatures w14:val="none"/>
              </w:rPr>
              <w:t xml:space="preserve"> learned log of securing failures to avoid mistakes happening again</w:t>
            </w:r>
          </w:p>
        </w:tc>
        <w:tc>
          <w:tcPr>
            <w:tcW w:w="528" w:type="pct"/>
            <w:tcBorders>
              <w:top w:val="nil"/>
              <w:left w:val="nil"/>
              <w:bottom w:val="single" w:sz="4" w:space="0" w:color="auto"/>
              <w:right w:val="single" w:sz="4" w:space="0" w:color="auto"/>
            </w:tcBorders>
            <w:vAlign w:val="center"/>
            <w:hideMark/>
          </w:tcPr>
          <w:p w14:paraId="5BF3548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Team</w:t>
            </w:r>
          </w:p>
        </w:tc>
        <w:tc>
          <w:tcPr>
            <w:tcW w:w="85" w:type="pct"/>
            <w:vAlign w:val="center"/>
            <w:hideMark/>
          </w:tcPr>
          <w:p w14:paraId="20FF782C"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CD1740C" w14:textId="77777777" w:rsidTr="00AA4D71">
        <w:trPr>
          <w:trHeight w:val="615"/>
        </w:trPr>
        <w:tc>
          <w:tcPr>
            <w:tcW w:w="209" w:type="pct"/>
            <w:tcBorders>
              <w:top w:val="nil"/>
              <w:left w:val="single" w:sz="4" w:space="0" w:color="auto"/>
              <w:bottom w:val="single" w:sz="4" w:space="0" w:color="auto"/>
              <w:right w:val="single" w:sz="4" w:space="0" w:color="auto"/>
            </w:tcBorders>
            <w:noWrap/>
            <w:vAlign w:val="center"/>
            <w:hideMark/>
          </w:tcPr>
          <w:p w14:paraId="5AE0127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67</w:t>
            </w:r>
          </w:p>
        </w:tc>
        <w:tc>
          <w:tcPr>
            <w:tcW w:w="433" w:type="pct"/>
            <w:vMerge/>
            <w:tcBorders>
              <w:top w:val="nil"/>
              <w:left w:val="single" w:sz="4" w:space="0" w:color="auto"/>
              <w:bottom w:val="nil"/>
              <w:right w:val="single" w:sz="4" w:space="0" w:color="auto"/>
            </w:tcBorders>
            <w:vAlign w:val="center"/>
            <w:hideMark/>
          </w:tcPr>
          <w:p w14:paraId="6132644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single" w:sz="4" w:space="0" w:color="auto"/>
              <w:left w:val="single" w:sz="4" w:space="0" w:color="auto"/>
              <w:bottom w:val="single" w:sz="4" w:space="0" w:color="000000"/>
              <w:right w:val="single" w:sz="4" w:space="0" w:color="auto"/>
            </w:tcBorders>
            <w:vAlign w:val="center"/>
            <w:hideMark/>
          </w:tcPr>
          <w:p w14:paraId="653D14D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Improper Securing of Slabs</w:t>
            </w:r>
          </w:p>
        </w:tc>
        <w:tc>
          <w:tcPr>
            <w:tcW w:w="517" w:type="pct"/>
            <w:vMerge w:val="restart"/>
            <w:tcBorders>
              <w:top w:val="nil"/>
              <w:left w:val="single" w:sz="4" w:space="0" w:color="auto"/>
              <w:bottom w:val="single" w:sz="4" w:space="0" w:color="000000"/>
              <w:right w:val="single" w:sz="4" w:space="0" w:color="auto"/>
            </w:tcBorders>
            <w:vAlign w:val="center"/>
            <w:hideMark/>
          </w:tcPr>
          <w:p w14:paraId="73544B6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Slab collide during transport causing damage</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03DE629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057964D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Insufficient sea fastenings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D1F77F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5B49CDA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Pre shipment photographic evidence of secured slabs provided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962EC0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305FED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192</w:t>
            </w:r>
          </w:p>
        </w:tc>
        <w:tc>
          <w:tcPr>
            <w:tcW w:w="646" w:type="pct"/>
            <w:vMerge w:val="restart"/>
            <w:tcBorders>
              <w:top w:val="nil"/>
              <w:left w:val="single" w:sz="4" w:space="0" w:color="auto"/>
              <w:bottom w:val="single" w:sz="4" w:space="0" w:color="000000"/>
              <w:right w:val="single" w:sz="4" w:space="0" w:color="auto"/>
            </w:tcBorders>
            <w:vAlign w:val="center"/>
            <w:hideMark/>
          </w:tcPr>
          <w:p w14:paraId="380E7BB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Collaborate with third party marine surveys at load port which can refuse shipment without verified securement </w:t>
            </w:r>
          </w:p>
        </w:tc>
        <w:tc>
          <w:tcPr>
            <w:tcW w:w="528" w:type="pct"/>
            <w:vMerge w:val="restart"/>
            <w:tcBorders>
              <w:top w:val="nil"/>
              <w:left w:val="single" w:sz="4" w:space="0" w:color="auto"/>
              <w:bottom w:val="single" w:sz="4" w:space="0" w:color="000000"/>
              <w:right w:val="single" w:sz="4" w:space="0" w:color="auto"/>
            </w:tcBorders>
            <w:vAlign w:val="center"/>
            <w:hideMark/>
          </w:tcPr>
          <w:p w14:paraId="1EABD2E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roofErr w:type="gramStart"/>
            <w:r w:rsidRPr="003D1BBB">
              <w:rPr>
                <w:rFonts w:ascii="Calibri" w:eastAsia="Times New Roman" w:hAnsi="Calibri" w:cs="Calibri"/>
                <w:kern w:val="0"/>
                <w:sz w:val="20"/>
                <w:szCs w:val="20"/>
                <w:lang w:eastAsia="en-GB"/>
                <w14:ligatures w14:val="none"/>
              </w:rPr>
              <w:t>Procurement  &amp;</w:t>
            </w:r>
            <w:proofErr w:type="gramEnd"/>
            <w:r w:rsidRPr="003D1BBB">
              <w:rPr>
                <w:rFonts w:ascii="Calibri" w:eastAsia="Times New Roman" w:hAnsi="Calibri" w:cs="Calibri"/>
                <w:kern w:val="0"/>
                <w:sz w:val="20"/>
                <w:szCs w:val="20"/>
                <w:lang w:eastAsia="en-GB"/>
                <w14:ligatures w14:val="none"/>
              </w:rPr>
              <w:t xml:space="preserve"> </w:t>
            </w:r>
            <w:proofErr w:type="gramStart"/>
            <w:r w:rsidRPr="003D1BBB">
              <w:rPr>
                <w:rFonts w:ascii="Calibri" w:eastAsia="Times New Roman" w:hAnsi="Calibri" w:cs="Calibri"/>
                <w:kern w:val="0"/>
                <w:sz w:val="20"/>
                <w:szCs w:val="20"/>
                <w:lang w:eastAsia="en-GB"/>
                <w14:ligatures w14:val="none"/>
              </w:rPr>
              <w:t>Third Party</w:t>
            </w:r>
            <w:proofErr w:type="gramEnd"/>
            <w:r w:rsidRPr="003D1BBB">
              <w:rPr>
                <w:rFonts w:ascii="Calibri" w:eastAsia="Times New Roman" w:hAnsi="Calibri" w:cs="Calibri"/>
                <w:kern w:val="0"/>
                <w:sz w:val="20"/>
                <w:szCs w:val="20"/>
                <w:lang w:eastAsia="en-GB"/>
                <w14:ligatures w14:val="none"/>
              </w:rPr>
              <w:t xml:space="preserve"> Marine Surveyors</w:t>
            </w:r>
          </w:p>
        </w:tc>
        <w:tc>
          <w:tcPr>
            <w:tcW w:w="85" w:type="pct"/>
            <w:vAlign w:val="center"/>
            <w:hideMark/>
          </w:tcPr>
          <w:p w14:paraId="40C691BA"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B10A613" w14:textId="77777777" w:rsidTr="00AA4D71">
        <w:trPr>
          <w:trHeight w:val="615"/>
        </w:trPr>
        <w:tc>
          <w:tcPr>
            <w:tcW w:w="209" w:type="pct"/>
            <w:tcBorders>
              <w:top w:val="nil"/>
              <w:left w:val="single" w:sz="4" w:space="0" w:color="auto"/>
              <w:bottom w:val="single" w:sz="4" w:space="0" w:color="auto"/>
              <w:right w:val="single" w:sz="4" w:space="0" w:color="auto"/>
            </w:tcBorders>
            <w:noWrap/>
            <w:vAlign w:val="center"/>
            <w:hideMark/>
          </w:tcPr>
          <w:p w14:paraId="2A5DC44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6A3FC26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2B12488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7776469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F7E713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0C8F49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Worn/defective equipment</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85CEB0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nil"/>
              <w:right w:val="single" w:sz="4" w:space="0" w:color="auto"/>
            </w:tcBorders>
            <w:vAlign w:val="center"/>
            <w:hideMark/>
          </w:tcPr>
          <w:p w14:paraId="5FB123A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Regular maintenance audits performed with port auditors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9B217F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04D0A3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192</w:t>
            </w:r>
          </w:p>
        </w:tc>
        <w:tc>
          <w:tcPr>
            <w:tcW w:w="646" w:type="pct"/>
            <w:vMerge/>
            <w:tcBorders>
              <w:top w:val="nil"/>
              <w:left w:val="single" w:sz="4" w:space="0" w:color="auto"/>
              <w:bottom w:val="single" w:sz="4" w:space="0" w:color="000000"/>
              <w:right w:val="single" w:sz="4" w:space="0" w:color="auto"/>
            </w:tcBorders>
            <w:vAlign w:val="center"/>
            <w:hideMark/>
          </w:tcPr>
          <w:p w14:paraId="168E748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7219BCA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6068444A"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916F901" w14:textId="77777777" w:rsidTr="00AA4D71">
        <w:trPr>
          <w:trHeight w:val="615"/>
        </w:trPr>
        <w:tc>
          <w:tcPr>
            <w:tcW w:w="209" w:type="pct"/>
            <w:tcBorders>
              <w:top w:val="nil"/>
              <w:left w:val="single" w:sz="4" w:space="0" w:color="auto"/>
              <w:bottom w:val="single" w:sz="4" w:space="0" w:color="auto"/>
              <w:right w:val="single" w:sz="4" w:space="0" w:color="auto"/>
            </w:tcBorders>
            <w:noWrap/>
            <w:vAlign w:val="center"/>
            <w:hideMark/>
          </w:tcPr>
          <w:p w14:paraId="68BFDC8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237CE92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0A099ED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2E205D6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AAB049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DDBF11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Inexperienced operators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9BCF03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single" w:sz="4" w:space="0" w:color="auto"/>
              <w:left w:val="nil"/>
              <w:bottom w:val="single" w:sz="4" w:space="0" w:color="auto"/>
              <w:right w:val="single" w:sz="4" w:space="0" w:color="auto"/>
            </w:tcBorders>
            <w:vAlign w:val="center"/>
            <w:hideMark/>
          </w:tcPr>
          <w:p w14:paraId="60579D4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Mandatory training provided  </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C39BB6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DD66B7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vMerge w:val="restart"/>
            <w:tcBorders>
              <w:top w:val="nil"/>
              <w:left w:val="single" w:sz="4" w:space="0" w:color="auto"/>
              <w:bottom w:val="single" w:sz="4" w:space="0" w:color="000000"/>
              <w:right w:val="single" w:sz="4" w:space="0" w:color="auto"/>
            </w:tcBorders>
            <w:vAlign w:val="center"/>
            <w:hideMark/>
          </w:tcPr>
          <w:p w14:paraId="55E60F1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Maintain </w:t>
            </w:r>
            <w:proofErr w:type="gramStart"/>
            <w:r w:rsidRPr="003D1BBB">
              <w:rPr>
                <w:rFonts w:ascii="Calibri" w:eastAsia="Times New Roman" w:hAnsi="Calibri" w:cs="Calibri"/>
                <w:kern w:val="0"/>
                <w:sz w:val="20"/>
                <w:szCs w:val="20"/>
                <w:lang w:eastAsia="en-GB"/>
                <w14:ligatures w14:val="none"/>
              </w:rPr>
              <w:t>performance based</w:t>
            </w:r>
            <w:proofErr w:type="gramEnd"/>
            <w:r w:rsidRPr="003D1BBB">
              <w:rPr>
                <w:rFonts w:ascii="Calibri" w:eastAsia="Times New Roman" w:hAnsi="Calibri" w:cs="Calibri"/>
                <w:kern w:val="0"/>
                <w:sz w:val="20"/>
                <w:szCs w:val="20"/>
                <w:lang w:eastAsia="en-GB"/>
                <w14:ligatures w14:val="none"/>
              </w:rPr>
              <w:t xml:space="preserve"> </w:t>
            </w:r>
            <w:r w:rsidRPr="003D1BBB">
              <w:rPr>
                <w:rFonts w:ascii="Calibri" w:eastAsia="Times New Roman" w:hAnsi="Calibri" w:cs="Calibri"/>
                <w:kern w:val="0"/>
                <w:sz w:val="20"/>
                <w:szCs w:val="20"/>
                <w:lang w:eastAsia="en-GB"/>
                <w14:ligatures w14:val="none"/>
              </w:rPr>
              <w:lastRenderedPageBreak/>
              <w:t>contracts with shipping lines to incentivise reliability</w:t>
            </w:r>
          </w:p>
        </w:tc>
        <w:tc>
          <w:tcPr>
            <w:tcW w:w="528" w:type="pct"/>
            <w:vMerge w:val="restart"/>
            <w:tcBorders>
              <w:top w:val="nil"/>
              <w:left w:val="single" w:sz="4" w:space="0" w:color="auto"/>
              <w:bottom w:val="single" w:sz="4" w:space="0" w:color="000000"/>
              <w:right w:val="single" w:sz="4" w:space="0" w:color="auto"/>
            </w:tcBorders>
            <w:vAlign w:val="center"/>
            <w:hideMark/>
          </w:tcPr>
          <w:p w14:paraId="75DDFB9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Procurement</w:t>
            </w:r>
          </w:p>
        </w:tc>
        <w:tc>
          <w:tcPr>
            <w:tcW w:w="85" w:type="pct"/>
            <w:vAlign w:val="center"/>
            <w:hideMark/>
          </w:tcPr>
          <w:p w14:paraId="60098A99"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8E365DB" w14:textId="77777777" w:rsidTr="00AA4D71">
        <w:trPr>
          <w:trHeight w:val="615"/>
        </w:trPr>
        <w:tc>
          <w:tcPr>
            <w:tcW w:w="209" w:type="pct"/>
            <w:tcBorders>
              <w:top w:val="nil"/>
              <w:left w:val="single" w:sz="4" w:space="0" w:color="auto"/>
              <w:bottom w:val="single" w:sz="4" w:space="0" w:color="auto"/>
              <w:right w:val="single" w:sz="4" w:space="0" w:color="auto"/>
            </w:tcBorders>
            <w:noWrap/>
            <w:vAlign w:val="center"/>
            <w:hideMark/>
          </w:tcPr>
          <w:p w14:paraId="315B8B0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 </w:t>
            </w:r>
          </w:p>
        </w:tc>
        <w:tc>
          <w:tcPr>
            <w:tcW w:w="433" w:type="pct"/>
            <w:vMerge/>
            <w:tcBorders>
              <w:top w:val="nil"/>
              <w:left w:val="single" w:sz="4" w:space="0" w:color="auto"/>
              <w:bottom w:val="nil"/>
              <w:right w:val="single" w:sz="4" w:space="0" w:color="auto"/>
            </w:tcBorders>
            <w:vAlign w:val="center"/>
            <w:hideMark/>
          </w:tcPr>
          <w:p w14:paraId="1FF097E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C0154E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0A2250A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617BBA9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2B293C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failure to follow standard loading procedures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7DC912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63B9B77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Mandatory training provided </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6C168A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4D9205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vMerge/>
            <w:tcBorders>
              <w:top w:val="nil"/>
              <w:left w:val="single" w:sz="4" w:space="0" w:color="auto"/>
              <w:bottom w:val="single" w:sz="4" w:space="0" w:color="000000"/>
              <w:right w:val="single" w:sz="4" w:space="0" w:color="auto"/>
            </w:tcBorders>
            <w:vAlign w:val="center"/>
            <w:hideMark/>
          </w:tcPr>
          <w:p w14:paraId="38B9A61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45263C1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66DD0A5C"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CD7C0A1"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56C754C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70</w:t>
            </w:r>
          </w:p>
        </w:tc>
        <w:tc>
          <w:tcPr>
            <w:tcW w:w="433" w:type="pct"/>
            <w:vMerge/>
            <w:tcBorders>
              <w:top w:val="nil"/>
              <w:left w:val="single" w:sz="4" w:space="0" w:color="auto"/>
              <w:bottom w:val="nil"/>
              <w:right w:val="single" w:sz="4" w:space="0" w:color="auto"/>
            </w:tcBorders>
            <w:vAlign w:val="center"/>
            <w:hideMark/>
          </w:tcPr>
          <w:p w14:paraId="380B53E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259F361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nil"/>
              <w:right w:val="single" w:sz="4" w:space="0" w:color="auto"/>
            </w:tcBorders>
            <w:vAlign w:val="center"/>
            <w:hideMark/>
          </w:tcPr>
          <w:p w14:paraId="67EBC4E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Damage to vessel</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5AEDF85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765CBEF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Excessive slab movement</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F175E7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E8F55B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Impact protection and rubber mats used to limit slab movement, along with correctly fastened material</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BD7411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BE7F3E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vMerge w:val="restart"/>
            <w:tcBorders>
              <w:top w:val="nil"/>
              <w:left w:val="single" w:sz="4" w:space="0" w:color="auto"/>
              <w:bottom w:val="single" w:sz="4" w:space="0" w:color="000000"/>
              <w:right w:val="single" w:sz="4" w:space="0" w:color="auto"/>
            </w:tcBorders>
            <w:vAlign w:val="center"/>
            <w:hideMark/>
          </w:tcPr>
          <w:p w14:paraId="5C83DC5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Integrate feedback from ship captain and crew into future securing plan improvements to further improve process</w:t>
            </w:r>
          </w:p>
        </w:tc>
        <w:tc>
          <w:tcPr>
            <w:tcW w:w="528" w:type="pct"/>
            <w:vMerge w:val="restart"/>
            <w:tcBorders>
              <w:top w:val="nil"/>
              <w:left w:val="single" w:sz="4" w:space="0" w:color="auto"/>
              <w:bottom w:val="single" w:sz="4" w:space="0" w:color="000000"/>
              <w:right w:val="single" w:sz="4" w:space="0" w:color="auto"/>
            </w:tcBorders>
            <w:vAlign w:val="center"/>
            <w:hideMark/>
          </w:tcPr>
          <w:p w14:paraId="49A830F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Logistic Teams</w:t>
            </w:r>
          </w:p>
        </w:tc>
        <w:tc>
          <w:tcPr>
            <w:tcW w:w="85" w:type="pct"/>
            <w:vAlign w:val="center"/>
            <w:hideMark/>
          </w:tcPr>
          <w:p w14:paraId="546B8B9C"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6D99734"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3C05BBF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4309375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539CF66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47A663B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54BBB6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5560E4B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Failure to use protective barriers between slabs and vessel structure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132FDD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C413E9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The securing points on the vessel are standardised and engineered for slab mass and distribution</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E0B92C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D0BCDA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vMerge/>
            <w:tcBorders>
              <w:top w:val="nil"/>
              <w:left w:val="single" w:sz="4" w:space="0" w:color="auto"/>
              <w:bottom w:val="single" w:sz="4" w:space="0" w:color="000000"/>
              <w:right w:val="single" w:sz="4" w:space="0" w:color="auto"/>
            </w:tcBorders>
            <w:vAlign w:val="center"/>
            <w:hideMark/>
          </w:tcPr>
          <w:p w14:paraId="78DD559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5E28B8C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5B46669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F870DC9"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548A672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nil"/>
              <w:left w:val="single" w:sz="4" w:space="0" w:color="auto"/>
              <w:bottom w:val="nil"/>
              <w:right w:val="single" w:sz="4" w:space="0" w:color="auto"/>
            </w:tcBorders>
            <w:vAlign w:val="center"/>
            <w:hideMark/>
          </w:tcPr>
          <w:p w14:paraId="5CA4250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202D399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single" w:sz="4" w:space="0" w:color="auto"/>
              <w:left w:val="single" w:sz="4" w:space="0" w:color="auto"/>
              <w:bottom w:val="single" w:sz="4" w:space="0" w:color="000000"/>
              <w:right w:val="single" w:sz="4" w:space="0" w:color="auto"/>
            </w:tcBorders>
            <w:vAlign w:val="center"/>
            <w:hideMark/>
          </w:tcPr>
          <w:p w14:paraId="02060FC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Safety hazard to crew</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3D96E25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w:t>
            </w:r>
          </w:p>
        </w:tc>
        <w:tc>
          <w:tcPr>
            <w:tcW w:w="614" w:type="pct"/>
            <w:tcBorders>
              <w:top w:val="nil"/>
              <w:left w:val="nil"/>
              <w:bottom w:val="single" w:sz="4" w:space="0" w:color="auto"/>
              <w:right w:val="single" w:sz="4" w:space="0" w:color="auto"/>
            </w:tcBorders>
            <w:vAlign w:val="center"/>
            <w:hideMark/>
          </w:tcPr>
          <w:p w14:paraId="6075CFD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Slabs not correctly restrained</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2B255D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2E94464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Pre shipment photographic evidence of secured slabs provided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9586FC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0C4ED4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216</w:t>
            </w:r>
          </w:p>
        </w:tc>
        <w:tc>
          <w:tcPr>
            <w:tcW w:w="646" w:type="pct"/>
            <w:tcBorders>
              <w:top w:val="nil"/>
              <w:left w:val="nil"/>
              <w:bottom w:val="single" w:sz="4" w:space="0" w:color="auto"/>
              <w:right w:val="single" w:sz="4" w:space="0" w:color="auto"/>
            </w:tcBorders>
            <w:vAlign w:val="center"/>
            <w:hideMark/>
          </w:tcPr>
          <w:p w14:paraId="3DD06B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Enforce a permit to work system for crew to enter slab hold areas, with all permits available to Tata Steel and customers on request</w:t>
            </w:r>
          </w:p>
        </w:tc>
        <w:tc>
          <w:tcPr>
            <w:tcW w:w="528" w:type="pct"/>
            <w:tcBorders>
              <w:top w:val="nil"/>
              <w:left w:val="nil"/>
              <w:bottom w:val="single" w:sz="4" w:space="0" w:color="auto"/>
              <w:right w:val="single" w:sz="4" w:space="0" w:color="auto"/>
            </w:tcBorders>
            <w:vAlign w:val="center"/>
            <w:hideMark/>
          </w:tcPr>
          <w:p w14:paraId="7FC4869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Logistic Teams</w:t>
            </w:r>
          </w:p>
        </w:tc>
        <w:tc>
          <w:tcPr>
            <w:tcW w:w="85" w:type="pct"/>
            <w:vAlign w:val="center"/>
            <w:hideMark/>
          </w:tcPr>
          <w:p w14:paraId="316C3702"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4A032A5"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1B28AB7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0247C19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15DA75E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78E9F3A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42359BF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DAC6F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securing equipment</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B2B35E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43BFD62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All personnel are trained in hazard identification and safe loading practise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186898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156DC3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216</w:t>
            </w:r>
          </w:p>
        </w:tc>
        <w:tc>
          <w:tcPr>
            <w:tcW w:w="646" w:type="pct"/>
            <w:tcBorders>
              <w:top w:val="nil"/>
              <w:left w:val="nil"/>
              <w:bottom w:val="single" w:sz="4" w:space="0" w:color="auto"/>
              <w:right w:val="single" w:sz="4" w:space="0" w:color="auto"/>
            </w:tcBorders>
            <w:vAlign w:val="center"/>
            <w:hideMark/>
          </w:tcPr>
          <w:p w14:paraId="4C4AA0C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 and carriers required to share any accidents or near misses with Tata Steel logistics team</w:t>
            </w:r>
          </w:p>
        </w:tc>
        <w:tc>
          <w:tcPr>
            <w:tcW w:w="528" w:type="pct"/>
            <w:tcBorders>
              <w:top w:val="nil"/>
              <w:left w:val="nil"/>
              <w:bottom w:val="single" w:sz="4" w:space="0" w:color="auto"/>
              <w:right w:val="single" w:sz="4" w:space="0" w:color="auto"/>
            </w:tcBorders>
            <w:vAlign w:val="center"/>
            <w:hideMark/>
          </w:tcPr>
          <w:p w14:paraId="66064BE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Supplier &amp; Logistics</w:t>
            </w:r>
          </w:p>
        </w:tc>
        <w:tc>
          <w:tcPr>
            <w:tcW w:w="85" w:type="pct"/>
            <w:vAlign w:val="center"/>
            <w:hideMark/>
          </w:tcPr>
          <w:p w14:paraId="1A9BC34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6E432B2"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70C3BD5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2043341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4D32BB9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2E524F4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6B8AAC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57BF5B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Crew entering cargo areas during heavy motion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F8E8FD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2B31694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Safety exclusion zones implemented on vessels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1A07C6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4D1F47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252</w:t>
            </w:r>
          </w:p>
        </w:tc>
        <w:tc>
          <w:tcPr>
            <w:tcW w:w="646" w:type="pct"/>
            <w:tcBorders>
              <w:top w:val="nil"/>
              <w:left w:val="nil"/>
              <w:bottom w:val="single" w:sz="4" w:space="0" w:color="auto"/>
              <w:right w:val="single" w:sz="4" w:space="0" w:color="auto"/>
            </w:tcBorders>
            <w:vAlign w:val="center"/>
            <w:hideMark/>
          </w:tcPr>
          <w:p w14:paraId="259CE3D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Conduct joint safety reviews between supplier, carrier and Tata Steel logistics team</w:t>
            </w:r>
          </w:p>
        </w:tc>
        <w:tc>
          <w:tcPr>
            <w:tcW w:w="528" w:type="pct"/>
            <w:tcBorders>
              <w:top w:val="nil"/>
              <w:left w:val="nil"/>
              <w:bottom w:val="single" w:sz="4" w:space="0" w:color="auto"/>
              <w:right w:val="single" w:sz="4" w:space="0" w:color="auto"/>
            </w:tcBorders>
            <w:vAlign w:val="center"/>
            <w:hideMark/>
          </w:tcPr>
          <w:p w14:paraId="0EDD315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Supplier &amp; Logistics Team</w:t>
            </w:r>
          </w:p>
        </w:tc>
        <w:tc>
          <w:tcPr>
            <w:tcW w:w="85" w:type="pct"/>
            <w:vAlign w:val="center"/>
            <w:hideMark/>
          </w:tcPr>
          <w:p w14:paraId="56BB34C4"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DB4486E"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5B79BB4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75</w:t>
            </w:r>
          </w:p>
        </w:tc>
        <w:tc>
          <w:tcPr>
            <w:tcW w:w="433" w:type="pct"/>
            <w:vMerge/>
            <w:tcBorders>
              <w:top w:val="nil"/>
              <w:left w:val="single" w:sz="4" w:space="0" w:color="auto"/>
              <w:bottom w:val="nil"/>
              <w:right w:val="single" w:sz="4" w:space="0" w:color="auto"/>
            </w:tcBorders>
            <w:vAlign w:val="center"/>
            <w:hideMark/>
          </w:tcPr>
          <w:p w14:paraId="681303E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single" w:sz="4" w:space="0" w:color="000000"/>
              <w:right w:val="single" w:sz="4" w:space="0" w:color="auto"/>
            </w:tcBorders>
            <w:vAlign w:val="center"/>
            <w:hideMark/>
          </w:tcPr>
          <w:p w14:paraId="3C89EF6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Temperature &amp; Moisture exposure</w:t>
            </w:r>
          </w:p>
        </w:tc>
        <w:tc>
          <w:tcPr>
            <w:tcW w:w="517" w:type="pct"/>
            <w:vMerge w:val="restart"/>
            <w:tcBorders>
              <w:top w:val="nil"/>
              <w:left w:val="single" w:sz="4" w:space="0" w:color="auto"/>
              <w:bottom w:val="single" w:sz="4" w:space="0" w:color="000000"/>
              <w:right w:val="single" w:sz="4" w:space="0" w:color="auto"/>
            </w:tcBorders>
            <w:vAlign w:val="center"/>
            <w:hideMark/>
          </w:tcPr>
          <w:p w14:paraId="12B2935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Corrosion &amp; contamination of slabs</w:t>
            </w:r>
          </w:p>
        </w:tc>
        <w:tc>
          <w:tcPr>
            <w:tcW w:w="161" w:type="pct"/>
            <w:vMerge w:val="restart"/>
            <w:tcBorders>
              <w:top w:val="single" w:sz="4" w:space="0" w:color="auto"/>
              <w:left w:val="single" w:sz="4" w:space="0" w:color="auto"/>
              <w:bottom w:val="nil"/>
              <w:right w:val="single" w:sz="4" w:space="0" w:color="auto"/>
            </w:tcBorders>
            <w:shd w:val="clear" w:color="000000" w:fill="FFFF00"/>
            <w:vAlign w:val="center"/>
            <w:hideMark/>
          </w:tcPr>
          <w:p w14:paraId="67CA742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614" w:type="pct"/>
            <w:tcBorders>
              <w:top w:val="nil"/>
              <w:left w:val="nil"/>
              <w:bottom w:val="single" w:sz="4" w:space="0" w:color="auto"/>
              <w:right w:val="single" w:sz="4" w:space="0" w:color="auto"/>
            </w:tcBorders>
            <w:vAlign w:val="center"/>
            <w:hideMark/>
          </w:tcPr>
          <w:p w14:paraId="5CD6BAF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Open deck storage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4CF2B1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0AB4BBE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Specified below-deck storage for critical slabs</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5299E0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444201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120</w:t>
            </w:r>
          </w:p>
        </w:tc>
        <w:tc>
          <w:tcPr>
            <w:tcW w:w="646" w:type="pct"/>
            <w:tcBorders>
              <w:top w:val="nil"/>
              <w:left w:val="nil"/>
              <w:bottom w:val="single" w:sz="4" w:space="0" w:color="auto"/>
              <w:right w:val="single" w:sz="4" w:space="0" w:color="auto"/>
            </w:tcBorders>
            <w:vAlign w:val="center"/>
            <w:hideMark/>
          </w:tcPr>
          <w:p w14:paraId="749133A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Work with vessel owners to implement moisture sensors during transport in the future, review costs and benefits</w:t>
            </w:r>
          </w:p>
        </w:tc>
        <w:tc>
          <w:tcPr>
            <w:tcW w:w="528" w:type="pct"/>
            <w:tcBorders>
              <w:top w:val="nil"/>
              <w:left w:val="nil"/>
              <w:bottom w:val="single" w:sz="4" w:space="0" w:color="auto"/>
              <w:right w:val="single" w:sz="4" w:space="0" w:color="auto"/>
            </w:tcBorders>
            <w:vAlign w:val="center"/>
            <w:hideMark/>
          </w:tcPr>
          <w:p w14:paraId="017696C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Vessel Owners &amp; Logistics</w:t>
            </w:r>
          </w:p>
        </w:tc>
        <w:tc>
          <w:tcPr>
            <w:tcW w:w="85" w:type="pct"/>
            <w:vAlign w:val="center"/>
            <w:hideMark/>
          </w:tcPr>
          <w:p w14:paraId="3D826047"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DE0BE4E"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184B719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2151683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4B183FA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7C4EC78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54A5CE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0DB5E0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Storage under tarpaulin which trap moisture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AB3882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147B87A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Use of breathable coverings</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620EF33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294987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120</w:t>
            </w:r>
          </w:p>
        </w:tc>
        <w:tc>
          <w:tcPr>
            <w:tcW w:w="646" w:type="pct"/>
            <w:vMerge w:val="restart"/>
            <w:tcBorders>
              <w:top w:val="nil"/>
              <w:left w:val="single" w:sz="4" w:space="0" w:color="auto"/>
              <w:bottom w:val="single" w:sz="4" w:space="0" w:color="000000"/>
              <w:right w:val="single" w:sz="4" w:space="0" w:color="auto"/>
            </w:tcBorders>
            <w:vAlign w:val="center"/>
            <w:hideMark/>
          </w:tcPr>
          <w:p w14:paraId="49AAA64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contractual penalties where slabs suffering corrosion on arrival which is deemed unacceptable</w:t>
            </w:r>
          </w:p>
        </w:tc>
        <w:tc>
          <w:tcPr>
            <w:tcW w:w="528" w:type="pct"/>
            <w:vMerge w:val="restart"/>
            <w:tcBorders>
              <w:top w:val="nil"/>
              <w:left w:val="single" w:sz="4" w:space="0" w:color="auto"/>
              <w:bottom w:val="single" w:sz="4" w:space="0" w:color="000000"/>
              <w:right w:val="single" w:sz="4" w:space="0" w:color="auto"/>
            </w:tcBorders>
            <w:vAlign w:val="center"/>
            <w:hideMark/>
          </w:tcPr>
          <w:p w14:paraId="32BA253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Mill Production Team</w:t>
            </w:r>
          </w:p>
        </w:tc>
        <w:tc>
          <w:tcPr>
            <w:tcW w:w="85" w:type="pct"/>
            <w:vAlign w:val="center"/>
            <w:hideMark/>
          </w:tcPr>
          <w:p w14:paraId="2A33BCDA"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58FC517" w14:textId="77777777" w:rsidTr="00AA4D71">
        <w:trPr>
          <w:trHeight w:val="260"/>
        </w:trPr>
        <w:tc>
          <w:tcPr>
            <w:tcW w:w="209" w:type="pct"/>
            <w:tcBorders>
              <w:top w:val="nil"/>
              <w:left w:val="single" w:sz="4" w:space="0" w:color="auto"/>
              <w:bottom w:val="single" w:sz="4" w:space="0" w:color="auto"/>
              <w:right w:val="single" w:sz="4" w:space="0" w:color="auto"/>
            </w:tcBorders>
            <w:noWrap/>
            <w:vAlign w:val="center"/>
            <w:hideMark/>
          </w:tcPr>
          <w:p w14:paraId="51F1784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379FE94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0CC5061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7D8743C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4940BFB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54081B8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Loading in wet conditions  </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6143B5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613669A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F7F0F3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877A6F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180</w:t>
            </w:r>
          </w:p>
        </w:tc>
        <w:tc>
          <w:tcPr>
            <w:tcW w:w="646" w:type="pct"/>
            <w:vMerge/>
            <w:tcBorders>
              <w:top w:val="nil"/>
              <w:left w:val="single" w:sz="4" w:space="0" w:color="auto"/>
              <w:bottom w:val="single" w:sz="4" w:space="0" w:color="000000"/>
              <w:right w:val="single" w:sz="4" w:space="0" w:color="auto"/>
            </w:tcBorders>
            <w:vAlign w:val="center"/>
            <w:hideMark/>
          </w:tcPr>
          <w:p w14:paraId="314E3B6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2149FC8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2E6937D5"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C8CA259"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4788CD9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nil"/>
              <w:left w:val="single" w:sz="4" w:space="0" w:color="auto"/>
              <w:bottom w:val="nil"/>
              <w:right w:val="single" w:sz="4" w:space="0" w:color="auto"/>
            </w:tcBorders>
            <w:vAlign w:val="center"/>
            <w:hideMark/>
          </w:tcPr>
          <w:p w14:paraId="6644B3B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74B019D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22DD736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Rework &amp; surface cleaning at PT, potential for further delays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24A105C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506717C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Arrival of slabs with surface rust, oil which will require meticulous cleaning</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E0722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12B0408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Maximum acceptable surface condition on procurement documents and supplier to provide evidence pre dispatch</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EA75AE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557E33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57B4291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Capture costs for rework events and communicate this with supplier to hopefully find remedy for inconvenience</w:t>
            </w:r>
          </w:p>
        </w:tc>
        <w:tc>
          <w:tcPr>
            <w:tcW w:w="528" w:type="pct"/>
            <w:tcBorders>
              <w:top w:val="nil"/>
              <w:left w:val="nil"/>
              <w:bottom w:val="single" w:sz="4" w:space="0" w:color="auto"/>
              <w:right w:val="single" w:sz="4" w:space="0" w:color="auto"/>
            </w:tcBorders>
            <w:vAlign w:val="center"/>
            <w:hideMark/>
          </w:tcPr>
          <w:p w14:paraId="35984F9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Port Talbot Technical Team &amp; Supplier</w:t>
            </w:r>
          </w:p>
        </w:tc>
        <w:tc>
          <w:tcPr>
            <w:tcW w:w="85" w:type="pct"/>
            <w:vAlign w:val="center"/>
            <w:hideMark/>
          </w:tcPr>
          <w:p w14:paraId="2F32023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4775A68"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2A3CEF0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7EAB7A7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1386490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21AB652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4753A4E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EEA7D7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on-site degreasers or equipment to handle volume spikes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4DD5ED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nil"/>
              <w:right w:val="single" w:sz="4" w:space="0" w:color="auto"/>
            </w:tcBorders>
            <w:vAlign w:val="center"/>
            <w:hideMark/>
          </w:tcPr>
          <w:p w14:paraId="2B8BE83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has scalable capacity and maintains consumable stocks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1589A3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F20083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tcBorders>
              <w:top w:val="nil"/>
              <w:left w:val="nil"/>
              <w:bottom w:val="nil"/>
              <w:right w:val="single" w:sz="4" w:space="0" w:color="auto"/>
            </w:tcBorders>
            <w:vAlign w:val="center"/>
            <w:hideMark/>
          </w:tcPr>
          <w:p w14:paraId="7AE80B9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Future work is to develop </w:t>
            </w:r>
            <w:proofErr w:type="gramStart"/>
            <w:r w:rsidRPr="003D1BBB">
              <w:rPr>
                <w:rFonts w:ascii="Calibri" w:eastAsia="Times New Roman" w:hAnsi="Calibri" w:cs="Calibri"/>
                <w:kern w:val="0"/>
                <w:sz w:val="20"/>
                <w:szCs w:val="20"/>
                <w:lang w:eastAsia="en-GB"/>
                <w14:ligatures w14:val="none"/>
              </w:rPr>
              <w:t>a</w:t>
            </w:r>
            <w:proofErr w:type="gramEnd"/>
            <w:r w:rsidRPr="003D1BBB">
              <w:rPr>
                <w:rFonts w:ascii="Calibri" w:eastAsia="Times New Roman" w:hAnsi="Calibri" w:cs="Calibri"/>
                <w:kern w:val="0"/>
                <w:sz w:val="20"/>
                <w:szCs w:val="20"/>
                <w:lang w:eastAsia="en-GB"/>
                <w14:ligatures w14:val="none"/>
              </w:rPr>
              <w:t xml:space="preserve"> in depth rolling evaluation of wash bay capacity versus forecast arrivals and increase temporary capacity when thresholds are exceeded</w:t>
            </w:r>
          </w:p>
        </w:tc>
        <w:tc>
          <w:tcPr>
            <w:tcW w:w="528" w:type="pct"/>
            <w:tcBorders>
              <w:top w:val="nil"/>
              <w:left w:val="nil"/>
              <w:bottom w:val="nil"/>
              <w:right w:val="single" w:sz="4" w:space="0" w:color="auto"/>
            </w:tcBorders>
            <w:vAlign w:val="center"/>
            <w:hideMark/>
          </w:tcPr>
          <w:p w14:paraId="331138A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36B763A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F020C02"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61D425F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99</w:t>
            </w:r>
          </w:p>
        </w:tc>
        <w:tc>
          <w:tcPr>
            <w:tcW w:w="433" w:type="pct"/>
            <w:vMerge/>
            <w:tcBorders>
              <w:top w:val="nil"/>
              <w:left w:val="single" w:sz="4" w:space="0" w:color="auto"/>
              <w:bottom w:val="nil"/>
              <w:right w:val="single" w:sz="4" w:space="0" w:color="auto"/>
            </w:tcBorders>
            <w:vAlign w:val="center"/>
            <w:hideMark/>
          </w:tcPr>
          <w:p w14:paraId="22C15AE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single" w:sz="4" w:space="0" w:color="auto"/>
              <w:right w:val="single" w:sz="4" w:space="0" w:color="auto"/>
            </w:tcBorders>
            <w:vAlign w:val="center"/>
            <w:hideMark/>
          </w:tcPr>
          <w:p w14:paraId="6ECA535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Customs Delays</w:t>
            </w:r>
          </w:p>
        </w:tc>
        <w:tc>
          <w:tcPr>
            <w:tcW w:w="517" w:type="pct"/>
            <w:tcBorders>
              <w:top w:val="nil"/>
              <w:left w:val="nil"/>
              <w:bottom w:val="single" w:sz="4" w:space="0" w:color="auto"/>
              <w:right w:val="single" w:sz="4" w:space="0" w:color="auto"/>
            </w:tcBorders>
            <w:vAlign w:val="center"/>
            <w:hideMark/>
          </w:tcPr>
          <w:p w14:paraId="62ED477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Vessel delay at port</w:t>
            </w:r>
          </w:p>
        </w:tc>
        <w:tc>
          <w:tcPr>
            <w:tcW w:w="161" w:type="pct"/>
            <w:tcBorders>
              <w:top w:val="single" w:sz="4" w:space="0" w:color="auto"/>
              <w:left w:val="single" w:sz="4" w:space="0" w:color="auto"/>
              <w:bottom w:val="nil"/>
              <w:right w:val="single" w:sz="4" w:space="0" w:color="auto"/>
            </w:tcBorders>
            <w:shd w:val="clear" w:color="000000" w:fill="FFC000"/>
            <w:vAlign w:val="center"/>
            <w:hideMark/>
          </w:tcPr>
          <w:p w14:paraId="43DB860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57B2C18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Incorrect documentation submitted</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FB6DD8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single" w:sz="4" w:space="0" w:color="auto"/>
              <w:left w:val="nil"/>
              <w:bottom w:val="single" w:sz="4" w:space="0" w:color="auto"/>
              <w:right w:val="single" w:sz="4" w:space="0" w:color="auto"/>
            </w:tcBorders>
            <w:vAlign w:val="center"/>
            <w:hideMark/>
          </w:tcPr>
          <w:p w14:paraId="255CCE6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Pre-clear customs before vessel arrival</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466D06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75700B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vMerge w:val="restart"/>
            <w:tcBorders>
              <w:top w:val="single" w:sz="4" w:space="0" w:color="auto"/>
              <w:left w:val="single" w:sz="4" w:space="0" w:color="auto"/>
              <w:bottom w:val="single" w:sz="4" w:space="0" w:color="000000"/>
              <w:right w:val="single" w:sz="4" w:space="0" w:color="auto"/>
            </w:tcBorders>
            <w:vAlign w:val="center"/>
            <w:hideMark/>
          </w:tcPr>
          <w:p w14:paraId="4FC2ACD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Monitor tariff and regulations closely and work with </w:t>
            </w:r>
            <w:r w:rsidRPr="003D1BBB">
              <w:rPr>
                <w:rFonts w:ascii="Calibri" w:eastAsia="Times New Roman" w:hAnsi="Calibri" w:cs="Calibri"/>
                <w:kern w:val="0"/>
                <w:sz w:val="20"/>
                <w:szCs w:val="20"/>
                <w:lang w:eastAsia="en-GB"/>
                <w14:ligatures w14:val="none"/>
              </w:rPr>
              <w:lastRenderedPageBreak/>
              <w:t>custom control to form partnerships</w:t>
            </w:r>
          </w:p>
        </w:tc>
        <w:tc>
          <w:tcPr>
            <w:tcW w:w="528" w:type="pct"/>
            <w:vMerge w:val="restart"/>
            <w:tcBorders>
              <w:top w:val="single" w:sz="4" w:space="0" w:color="auto"/>
              <w:left w:val="single" w:sz="4" w:space="0" w:color="auto"/>
              <w:bottom w:val="single" w:sz="4" w:space="0" w:color="000000"/>
              <w:right w:val="single" w:sz="4" w:space="0" w:color="auto"/>
            </w:tcBorders>
            <w:vAlign w:val="center"/>
            <w:hideMark/>
          </w:tcPr>
          <w:p w14:paraId="7A6E925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Procurement &amp; Customs</w:t>
            </w:r>
          </w:p>
        </w:tc>
        <w:tc>
          <w:tcPr>
            <w:tcW w:w="85" w:type="pct"/>
            <w:vAlign w:val="center"/>
            <w:hideMark/>
          </w:tcPr>
          <w:p w14:paraId="7EF02D2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3E67A8F"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6C93A1E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104</w:t>
            </w:r>
          </w:p>
        </w:tc>
        <w:tc>
          <w:tcPr>
            <w:tcW w:w="433" w:type="pct"/>
            <w:vMerge/>
            <w:tcBorders>
              <w:top w:val="nil"/>
              <w:left w:val="single" w:sz="4" w:space="0" w:color="auto"/>
              <w:bottom w:val="nil"/>
              <w:right w:val="single" w:sz="4" w:space="0" w:color="auto"/>
            </w:tcBorders>
            <w:vAlign w:val="center"/>
            <w:hideMark/>
          </w:tcPr>
          <w:p w14:paraId="76B6504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auto"/>
              <w:right w:val="single" w:sz="4" w:space="0" w:color="auto"/>
            </w:tcBorders>
            <w:vAlign w:val="center"/>
            <w:hideMark/>
          </w:tcPr>
          <w:p w14:paraId="4B33040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tcBorders>
              <w:top w:val="nil"/>
              <w:left w:val="nil"/>
              <w:bottom w:val="single" w:sz="4" w:space="0" w:color="auto"/>
              <w:right w:val="single" w:sz="4" w:space="0" w:color="auto"/>
            </w:tcBorders>
            <w:vAlign w:val="center"/>
            <w:hideMark/>
          </w:tcPr>
          <w:p w14:paraId="7F2E054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Increased Demurrage costs</w:t>
            </w:r>
          </w:p>
        </w:tc>
        <w:tc>
          <w:tcPr>
            <w:tcW w:w="161" w:type="pct"/>
            <w:tcBorders>
              <w:top w:val="single" w:sz="4" w:space="0" w:color="auto"/>
              <w:left w:val="single" w:sz="4" w:space="0" w:color="auto"/>
              <w:bottom w:val="nil"/>
              <w:right w:val="single" w:sz="4" w:space="0" w:color="auto"/>
            </w:tcBorders>
            <w:shd w:val="clear" w:color="000000" w:fill="FFC000"/>
            <w:vAlign w:val="center"/>
            <w:hideMark/>
          </w:tcPr>
          <w:p w14:paraId="238CC63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6A9BFA2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Random Inspections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CD968E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3B9AA74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Spare supply of slab at PT should issues arise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711547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EE35AF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192</w:t>
            </w:r>
          </w:p>
        </w:tc>
        <w:tc>
          <w:tcPr>
            <w:tcW w:w="646" w:type="pct"/>
            <w:vMerge/>
            <w:tcBorders>
              <w:top w:val="single" w:sz="4" w:space="0" w:color="auto"/>
              <w:left w:val="single" w:sz="4" w:space="0" w:color="auto"/>
              <w:bottom w:val="single" w:sz="4" w:space="0" w:color="000000"/>
              <w:right w:val="single" w:sz="4" w:space="0" w:color="auto"/>
            </w:tcBorders>
            <w:vAlign w:val="center"/>
            <w:hideMark/>
          </w:tcPr>
          <w:p w14:paraId="63256C8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single" w:sz="4" w:space="0" w:color="auto"/>
              <w:left w:val="single" w:sz="4" w:space="0" w:color="auto"/>
              <w:bottom w:val="single" w:sz="4" w:space="0" w:color="000000"/>
              <w:right w:val="single" w:sz="4" w:space="0" w:color="auto"/>
            </w:tcBorders>
            <w:vAlign w:val="center"/>
            <w:hideMark/>
          </w:tcPr>
          <w:p w14:paraId="2DC0623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48857BA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81FB0B3"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7BF88A3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106</w:t>
            </w:r>
          </w:p>
        </w:tc>
        <w:tc>
          <w:tcPr>
            <w:tcW w:w="433" w:type="pct"/>
            <w:vMerge/>
            <w:tcBorders>
              <w:top w:val="nil"/>
              <w:left w:val="single" w:sz="4" w:space="0" w:color="auto"/>
              <w:bottom w:val="nil"/>
              <w:right w:val="single" w:sz="4" w:space="0" w:color="auto"/>
            </w:tcBorders>
            <w:vAlign w:val="center"/>
            <w:hideMark/>
          </w:tcPr>
          <w:p w14:paraId="08DAC6F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single" w:sz="4" w:space="0" w:color="000000"/>
              <w:right w:val="single" w:sz="4" w:space="0" w:color="auto"/>
            </w:tcBorders>
            <w:vAlign w:val="center"/>
            <w:hideMark/>
          </w:tcPr>
          <w:p w14:paraId="4C0F655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Inland transportation failures</w:t>
            </w:r>
          </w:p>
        </w:tc>
        <w:tc>
          <w:tcPr>
            <w:tcW w:w="517" w:type="pct"/>
            <w:vMerge w:val="restart"/>
            <w:tcBorders>
              <w:top w:val="nil"/>
              <w:left w:val="single" w:sz="4" w:space="0" w:color="auto"/>
              <w:bottom w:val="single" w:sz="4" w:space="0" w:color="000000"/>
              <w:right w:val="single" w:sz="4" w:space="0" w:color="auto"/>
            </w:tcBorders>
            <w:vAlign w:val="center"/>
            <w:hideMark/>
          </w:tcPr>
          <w:p w14:paraId="05B0A21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Slab damage</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6447F9A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3840F0E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road conditions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E65BB9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0FDA26C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Certified heavy-haul carriers are used with proven experience carrying slabs and heavy duty </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F0EB6D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288934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196</w:t>
            </w:r>
          </w:p>
        </w:tc>
        <w:tc>
          <w:tcPr>
            <w:tcW w:w="646" w:type="pct"/>
            <w:tcBorders>
              <w:top w:val="nil"/>
              <w:left w:val="nil"/>
              <w:bottom w:val="single" w:sz="4" w:space="0" w:color="auto"/>
              <w:right w:val="single" w:sz="4" w:space="0" w:color="auto"/>
            </w:tcBorders>
            <w:vAlign w:val="center"/>
            <w:hideMark/>
          </w:tcPr>
          <w:p w14:paraId="3C86970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Review agreements with rail industry to explore the options around increasing number of carriages delivered each week</w:t>
            </w:r>
          </w:p>
        </w:tc>
        <w:tc>
          <w:tcPr>
            <w:tcW w:w="528" w:type="pct"/>
            <w:tcBorders>
              <w:top w:val="nil"/>
              <w:left w:val="nil"/>
              <w:bottom w:val="single" w:sz="4" w:space="0" w:color="auto"/>
              <w:right w:val="single" w:sz="4" w:space="0" w:color="auto"/>
            </w:tcBorders>
            <w:vAlign w:val="center"/>
            <w:hideMark/>
          </w:tcPr>
          <w:p w14:paraId="125BF28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Rail Network &amp; Logistics</w:t>
            </w:r>
          </w:p>
        </w:tc>
        <w:tc>
          <w:tcPr>
            <w:tcW w:w="85" w:type="pct"/>
            <w:vAlign w:val="center"/>
            <w:hideMark/>
          </w:tcPr>
          <w:p w14:paraId="6C732357"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21201DC"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12CA92A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0069D3E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76F35C0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711F205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229562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6DA928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Poorly secured loads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A32EFC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F2640E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Haulage companies to provide photographic evidence of properly secured slabs to ensure the safety of goods and drivers on road/rail</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9947E9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0C921D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tcBorders>
              <w:top w:val="nil"/>
              <w:left w:val="nil"/>
              <w:bottom w:val="single" w:sz="4" w:space="0" w:color="auto"/>
              <w:right w:val="single" w:sz="4" w:space="0" w:color="auto"/>
            </w:tcBorders>
            <w:vAlign w:val="center"/>
            <w:hideMark/>
          </w:tcPr>
          <w:p w14:paraId="7F23739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Establish a carrier qualification programme (insurance, equipment spec, maintenance records, references) and maintain an approved carrier list.</w:t>
            </w:r>
          </w:p>
        </w:tc>
        <w:tc>
          <w:tcPr>
            <w:tcW w:w="528" w:type="pct"/>
            <w:tcBorders>
              <w:top w:val="nil"/>
              <w:left w:val="nil"/>
              <w:bottom w:val="single" w:sz="4" w:space="0" w:color="auto"/>
              <w:right w:val="single" w:sz="4" w:space="0" w:color="auto"/>
            </w:tcBorders>
            <w:vAlign w:val="center"/>
            <w:hideMark/>
          </w:tcPr>
          <w:p w14:paraId="0E1757A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308B7B9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41A5A73"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37DE4E3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666C0A4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59D2D4E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083F7C7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696981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5A550F9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Weather related issues (Heavy Rain, snow/ice)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C448D1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3CE4A44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Shipments are scheduled to avoid extreme weather that could degrade road conditions </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A7E651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4DF84F5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224</w:t>
            </w:r>
          </w:p>
        </w:tc>
        <w:tc>
          <w:tcPr>
            <w:tcW w:w="646" w:type="pct"/>
            <w:tcBorders>
              <w:top w:val="nil"/>
              <w:left w:val="nil"/>
              <w:bottom w:val="single" w:sz="4" w:space="0" w:color="auto"/>
              <w:right w:val="single" w:sz="4" w:space="0" w:color="auto"/>
            </w:tcBorders>
            <w:vAlign w:val="center"/>
            <w:hideMark/>
          </w:tcPr>
          <w:p w14:paraId="4A0964D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A pre-dispatch sign-off by a competent person is required and a photo log attached to the shipment record. Any loads without verification can be refused </w:t>
            </w:r>
          </w:p>
        </w:tc>
        <w:tc>
          <w:tcPr>
            <w:tcW w:w="528" w:type="pct"/>
            <w:tcBorders>
              <w:top w:val="nil"/>
              <w:left w:val="nil"/>
              <w:bottom w:val="single" w:sz="4" w:space="0" w:color="auto"/>
              <w:right w:val="single" w:sz="4" w:space="0" w:color="auto"/>
            </w:tcBorders>
            <w:vAlign w:val="center"/>
            <w:hideMark/>
          </w:tcPr>
          <w:p w14:paraId="656FA0C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Supplier &amp; Logistics</w:t>
            </w:r>
          </w:p>
        </w:tc>
        <w:tc>
          <w:tcPr>
            <w:tcW w:w="85" w:type="pct"/>
            <w:vAlign w:val="center"/>
            <w:hideMark/>
          </w:tcPr>
          <w:p w14:paraId="0678672A"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C766157"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120CBD5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109</w:t>
            </w:r>
          </w:p>
        </w:tc>
        <w:tc>
          <w:tcPr>
            <w:tcW w:w="433" w:type="pct"/>
            <w:vMerge/>
            <w:tcBorders>
              <w:top w:val="nil"/>
              <w:left w:val="single" w:sz="4" w:space="0" w:color="auto"/>
              <w:bottom w:val="nil"/>
              <w:right w:val="single" w:sz="4" w:space="0" w:color="auto"/>
            </w:tcBorders>
            <w:vAlign w:val="center"/>
            <w:hideMark/>
          </w:tcPr>
          <w:p w14:paraId="0DC8FBC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727042E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57C3A5E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Potential safety incident</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07C0973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w:t>
            </w:r>
          </w:p>
        </w:tc>
        <w:tc>
          <w:tcPr>
            <w:tcW w:w="614" w:type="pct"/>
            <w:tcBorders>
              <w:top w:val="nil"/>
              <w:left w:val="nil"/>
              <w:bottom w:val="single" w:sz="4" w:space="0" w:color="auto"/>
              <w:right w:val="single" w:sz="4" w:space="0" w:color="auto"/>
            </w:tcBorders>
            <w:vAlign w:val="center"/>
            <w:hideMark/>
          </w:tcPr>
          <w:p w14:paraId="0275DBF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Fatigue in personnel </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E847B6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hideMark/>
          </w:tcPr>
          <w:p w14:paraId="3B7F151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Carrier to comply with statutory hours </w:t>
            </w:r>
            <w:r w:rsidRPr="003D1BBB">
              <w:rPr>
                <w:rFonts w:ascii="Calibri" w:eastAsia="Times New Roman" w:hAnsi="Calibri" w:cs="Calibri"/>
                <w:kern w:val="0"/>
                <w:sz w:val="20"/>
                <w:szCs w:val="20"/>
                <w:lang w:eastAsia="en-GB"/>
                <w14:ligatures w14:val="none"/>
              </w:rPr>
              <w:lastRenderedPageBreak/>
              <w:t>of service as per agreement</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55992F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866CAC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315</w:t>
            </w:r>
          </w:p>
        </w:tc>
        <w:tc>
          <w:tcPr>
            <w:tcW w:w="646" w:type="pct"/>
            <w:tcBorders>
              <w:top w:val="nil"/>
              <w:left w:val="nil"/>
              <w:bottom w:val="single" w:sz="4" w:space="0" w:color="auto"/>
              <w:right w:val="single" w:sz="4" w:space="0" w:color="auto"/>
            </w:tcBorders>
            <w:hideMark/>
          </w:tcPr>
          <w:p w14:paraId="0A7DA94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Look to enforce with the carrier companies, a </w:t>
            </w:r>
            <w:proofErr w:type="gramStart"/>
            <w:r w:rsidRPr="003D1BBB">
              <w:rPr>
                <w:rFonts w:ascii="Calibri" w:eastAsia="Times New Roman" w:hAnsi="Calibri" w:cs="Calibri"/>
                <w:kern w:val="0"/>
                <w:sz w:val="20"/>
                <w:szCs w:val="20"/>
                <w:lang w:eastAsia="en-GB"/>
                <w14:ligatures w14:val="none"/>
              </w:rPr>
              <w:t xml:space="preserve">2 </w:t>
            </w:r>
            <w:r w:rsidRPr="003D1BBB">
              <w:rPr>
                <w:rFonts w:ascii="Calibri" w:eastAsia="Times New Roman" w:hAnsi="Calibri" w:cs="Calibri"/>
                <w:kern w:val="0"/>
                <w:sz w:val="20"/>
                <w:szCs w:val="20"/>
                <w:lang w:eastAsia="en-GB"/>
                <w14:ligatures w14:val="none"/>
              </w:rPr>
              <w:lastRenderedPageBreak/>
              <w:t>driver</w:t>
            </w:r>
            <w:proofErr w:type="gramEnd"/>
            <w:r w:rsidRPr="003D1BBB">
              <w:rPr>
                <w:rFonts w:ascii="Calibri" w:eastAsia="Times New Roman" w:hAnsi="Calibri" w:cs="Calibri"/>
                <w:kern w:val="0"/>
                <w:sz w:val="20"/>
                <w:szCs w:val="20"/>
                <w:lang w:eastAsia="en-GB"/>
                <w14:ligatures w14:val="none"/>
              </w:rPr>
              <w:t xml:space="preserve"> rule for long haul or </w:t>
            </w:r>
            <w:proofErr w:type="gramStart"/>
            <w:r w:rsidRPr="003D1BBB">
              <w:rPr>
                <w:rFonts w:ascii="Calibri" w:eastAsia="Times New Roman" w:hAnsi="Calibri" w:cs="Calibri"/>
                <w:kern w:val="0"/>
                <w:sz w:val="20"/>
                <w:szCs w:val="20"/>
                <w:lang w:eastAsia="en-GB"/>
                <w14:ligatures w14:val="none"/>
              </w:rPr>
              <w:t>high risk</w:t>
            </w:r>
            <w:proofErr w:type="gramEnd"/>
            <w:r w:rsidRPr="003D1BBB">
              <w:rPr>
                <w:rFonts w:ascii="Calibri" w:eastAsia="Times New Roman" w:hAnsi="Calibri" w:cs="Calibri"/>
                <w:kern w:val="0"/>
                <w:sz w:val="20"/>
                <w:szCs w:val="20"/>
                <w:lang w:eastAsia="en-GB"/>
                <w14:ligatures w14:val="none"/>
              </w:rPr>
              <w:t xml:space="preserve"> deliveries, where single driver fatigue poses a material safety risk</w:t>
            </w:r>
          </w:p>
        </w:tc>
        <w:tc>
          <w:tcPr>
            <w:tcW w:w="528" w:type="pct"/>
            <w:tcBorders>
              <w:top w:val="nil"/>
              <w:left w:val="nil"/>
              <w:bottom w:val="single" w:sz="4" w:space="0" w:color="auto"/>
              <w:right w:val="single" w:sz="4" w:space="0" w:color="auto"/>
            </w:tcBorders>
            <w:vAlign w:val="center"/>
            <w:hideMark/>
          </w:tcPr>
          <w:p w14:paraId="11D3EE1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Procurement &amp; Logistic Teams</w:t>
            </w:r>
          </w:p>
        </w:tc>
        <w:tc>
          <w:tcPr>
            <w:tcW w:w="85" w:type="pct"/>
            <w:vAlign w:val="center"/>
            <w:hideMark/>
          </w:tcPr>
          <w:p w14:paraId="0A61FEB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5E22EBE" w14:textId="77777777" w:rsidTr="00AA4D71">
        <w:trPr>
          <w:trHeight w:val="1040"/>
        </w:trPr>
        <w:tc>
          <w:tcPr>
            <w:tcW w:w="209" w:type="pct"/>
            <w:tcBorders>
              <w:top w:val="nil"/>
              <w:left w:val="single" w:sz="4" w:space="0" w:color="auto"/>
              <w:bottom w:val="single" w:sz="4" w:space="0" w:color="auto"/>
              <w:right w:val="single" w:sz="4" w:space="0" w:color="auto"/>
            </w:tcBorders>
            <w:noWrap/>
            <w:vAlign w:val="center"/>
            <w:hideMark/>
          </w:tcPr>
          <w:p w14:paraId="148127C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39E03A7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6A30998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657F0B9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5EC6C2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9FD2AB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scheduling that forces night driving or in bad weather</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05DA56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39FF76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Fatigue Risk Management Systems (FRMS) included in carrier contracts these are </w:t>
            </w:r>
            <w:proofErr w:type="gramStart"/>
            <w:r w:rsidRPr="003D1BBB">
              <w:rPr>
                <w:rFonts w:ascii="Calibri" w:eastAsia="Times New Roman" w:hAnsi="Calibri" w:cs="Calibri"/>
                <w:kern w:val="0"/>
                <w:sz w:val="20"/>
                <w:szCs w:val="20"/>
                <w:lang w:eastAsia="en-GB"/>
                <w14:ligatures w14:val="none"/>
              </w:rPr>
              <w:t>for  mandatory</w:t>
            </w:r>
            <w:proofErr w:type="gramEnd"/>
            <w:r w:rsidRPr="003D1BBB">
              <w:rPr>
                <w:rFonts w:ascii="Calibri" w:eastAsia="Times New Roman" w:hAnsi="Calibri" w:cs="Calibri"/>
                <w:kern w:val="0"/>
                <w:sz w:val="20"/>
                <w:szCs w:val="20"/>
                <w:lang w:eastAsia="en-GB"/>
                <w14:ligatures w14:val="none"/>
              </w:rPr>
              <w:t xml:space="preserve"> rest periods, shift limits and recovery time.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AE2013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B5608B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180</w:t>
            </w:r>
          </w:p>
        </w:tc>
        <w:tc>
          <w:tcPr>
            <w:tcW w:w="646" w:type="pct"/>
            <w:tcBorders>
              <w:top w:val="nil"/>
              <w:left w:val="nil"/>
              <w:bottom w:val="single" w:sz="4" w:space="0" w:color="auto"/>
              <w:right w:val="single" w:sz="4" w:space="0" w:color="auto"/>
            </w:tcBorders>
            <w:vAlign w:val="center"/>
            <w:hideMark/>
          </w:tcPr>
          <w:p w14:paraId="3E99AEB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Run joint safety workshops with carriers focused on fatigue mitigation, rest planning and emergency procedures. Capture lessons learned after any incident.</w:t>
            </w:r>
          </w:p>
        </w:tc>
        <w:tc>
          <w:tcPr>
            <w:tcW w:w="528" w:type="pct"/>
            <w:tcBorders>
              <w:top w:val="nil"/>
              <w:left w:val="nil"/>
              <w:bottom w:val="single" w:sz="4" w:space="0" w:color="auto"/>
              <w:right w:val="single" w:sz="4" w:space="0" w:color="auto"/>
            </w:tcBorders>
            <w:vAlign w:val="center"/>
            <w:hideMark/>
          </w:tcPr>
          <w:p w14:paraId="28D1B3C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Logistic Teams</w:t>
            </w:r>
          </w:p>
        </w:tc>
        <w:tc>
          <w:tcPr>
            <w:tcW w:w="85" w:type="pct"/>
            <w:vAlign w:val="center"/>
            <w:hideMark/>
          </w:tcPr>
          <w:p w14:paraId="0FEB6DD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1E528D0"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6128141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5998048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37F3B6F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1BC00E5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1F2A77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50FA99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driver training</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4E90D0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7BA46CF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Deliveries planned with realistic ETAs and buffer times to remove incentive for speeding or extended hours.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DF6751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2F6AFF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180</w:t>
            </w:r>
          </w:p>
        </w:tc>
        <w:tc>
          <w:tcPr>
            <w:tcW w:w="646" w:type="pct"/>
            <w:tcBorders>
              <w:top w:val="nil"/>
              <w:left w:val="nil"/>
              <w:bottom w:val="single" w:sz="4" w:space="0" w:color="auto"/>
              <w:right w:val="single" w:sz="4" w:space="0" w:color="auto"/>
            </w:tcBorders>
            <w:vAlign w:val="center"/>
            <w:hideMark/>
          </w:tcPr>
          <w:p w14:paraId="6CC9BB5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Conduct periodic roadside or depot-based checks of driver fitness and escalate any fatigue concern</w:t>
            </w:r>
          </w:p>
        </w:tc>
        <w:tc>
          <w:tcPr>
            <w:tcW w:w="528" w:type="pct"/>
            <w:tcBorders>
              <w:top w:val="nil"/>
              <w:left w:val="nil"/>
              <w:bottom w:val="single" w:sz="4" w:space="0" w:color="auto"/>
              <w:right w:val="single" w:sz="4" w:space="0" w:color="auto"/>
            </w:tcBorders>
            <w:vAlign w:val="center"/>
            <w:hideMark/>
          </w:tcPr>
          <w:p w14:paraId="122521A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Procurement &amp; </w:t>
            </w:r>
            <w:proofErr w:type="gramStart"/>
            <w:r w:rsidRPr="003D1BBB">
              <w:rPr>
                <w:rFonts w:ascii="Calibri" w:eastAsia="Times New Roman" w:hAnsi="Calibri" w:cs="Calibri"/>
                <w:kern w:val="0"/>
                <w:sz w:val="20"/>
                <w:szCs w:val="20"/>
                <w:lang w:eastAsia="en-GB"/>
                <w14:ligatures w14:val="none"/>
              </w:rPr>
              <w:t>Third Party</w:t>
            </w:r>
            <w:proofErr w:type="gramEnd"/>
            <w:r w:rsidRPr="003D1BBB">
              <w:rPr>
                <w:rFonts w:ascii="Calibri" w:eastAsia="Times New Roman" w:hAnsi="Calibri" w:cs="Calibri"/>
                <w:kern w:val="0"/>
                <w:sz w:val="20"/>
                <w:szCs w:val="20"/>
                <w:lang w:eastAsia="en-GB"/>
                <w14:ligatures w14:val="none"/>
              </w:rPr>
              <w:t xml:space="preserve"> Auditors</w:t>
            </w:r>
          </w:p>
        </w:tc>
        <w:tc>
          <w:tcPr>
            <w:tcW w:w="85" w:type="pct"/>
            <w:vAlign w:val="center"/>
            <w:hideMark/>
          </w:tcPr>
          <w:p w14:paraId="35888864"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EDCDBAA"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5F5B8E2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nil"/>
              <w:left w:val="single" w:sz="4" w:space="0" w:color="auto"/>
              <w:bottom w:val="nil"/>
              <w:right w:val="single" w:sz="4" w:space="0" w:color="auto"/>
            </w:tcBorders>
            <w:vAlign w:val="center"/>
            <w:hideMark/>
          </w:tcPr>
          <w:p w14:paraId="566938C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single" w:sz="4" w:space="0" w:color="000000"/>
              <w:right w:val="single" w:sz="4" w:space="0" w:color="auto"/>
            </w:tcBorders>
            <w:vAlign w:val="center"/>
            <w:hideMark/>
          </w:tcPr>
          <w:p w14:paraId="1DB4C0A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Insurance</w:t>
            </w:r>
          </w:p>
        </w:tc>
        <w:tc>
          <w:tcPr>
            <w:tcW w:w="517" w:type="pct"/>
            <w:vMerge w:val="restart"/>
            <w:tcBorders>
              <w:top w:val="nil"/>
              <w:left w:val="single" w:sz="4" w:space="0" w:color="auto"/>
              <w:bottom w:val="single" w:sz="4" w:space="0" w:color="auto"/>
              <w:right w:val="single" w:sz="4" w:space="0" w:color="auto"/>
            </w:tcBorders>
            <w:vAlign w:val="center"/>
            <w:hideMark/>
          </w:tcPr>
          <w:p w14:paraId="3A4F98A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Losses non recoverable in case of damage or loss at sea</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1A9F9A7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77F61E6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Policy lapses</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37FA08D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710" w:type="pct"/>
            <w:tcBorders>
              <w:top w:val="nil"/>
              <w:left w:val="nil"/>
              <w:bottom w:val="single" w:sz="4" w:space="0" w:color="auto"/>
              <w:right w:val="single" w:sz="4" w:space="0" w:color="auto"/>
            </w:tcBorders>
            <w:vAlign w:val="center"/>
            <w:hideMark/>
          </w:tcPr>
          <w:p w14:paraId="0E32512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Suppliers required to provide marine insurance certificates to cover any cargo lost at sea</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B60740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7E50EE9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96</w:t>
            </w:r>
          </w:p>
        </w:tc>
        <w:tc>
          <w:tcPr>
            <w:tcW w:w="646" w:type="pct"/>
            <w:tcBorders>
              <w:top w:val="nil"/>
              <w:left w:val="nil"/>
              <w:bottom w:val="single" w:sz="4" w:space="0" w:color="auto"/>
              <w:right w:val="single" w:sz="4" w:space="0" w:color="auto"/>
            </w:tcBorders>
            <w:vAlign w:val="center"/>
            <w:hideMark/>
          </w:tcPr>
          <w:p w14:paraId="01DED95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Routinely review terms of insurances in place and identify responsibilities clearly in the contracts</w:t>
            </w:r>
          </w:p>
        </w:tc>
        <w:tc>
          <w:tcPr>
            <w:tcW w:w="528" w:type="pct"/>
            <w:tcBorders>
              <w:top w:val="nil"/>
              <w:left w:val="nil"/>
              <w:bottom w:val="single" w:sz="4" w:space="0" w:color="auto"/>
              <w:right w:val="single" w:sz="4" w:space="0" w:color="auto"/>
            </w:tcBorders>
            <w:vAlign w:val="center"/>
            <w:hideMark/>
          </w:tcPr>
          <w:p w14:paraId="5D44FCC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3AA24925"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151A600"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79E4170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nil"/>
              <w:left w:val="single" w:sz="4" w:space="0" w:color="auto"/>
              <w:bottom w:val="nil"/>
              <w:right w:val="single" w:sz="4" w:space="0" w:color="auto"/>
            </w:tcBorders>
            <w:vAlign w:val="center"/>
            <w:hideMark/>
          </w:tcPr>
          <w:p w14:paraId="3E54FEC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5DBFD76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auto"/>
              <w:right w:val="single" w:sz="4" w:space="0" w:color="auto"/>
            </w:tcBorders>
            <w:vAlign w:val="center"/>
            <w:hideMark/>
          </w:tcPr>
          <w:p w14:paraId="23B7C84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C8B7CF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E4732B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Misunderstanding of terms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C71FF9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7C66D44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Automated alerts for policy renewal or expiry dates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FEA061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FF7EAE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nil"/>
              <w:right w:val="nil"/>
            </w:tcBorders>
            <w:vAlign w:val="center"/>
            <w:hideMark/>
          </w:tcPr>
          <w:p w14:paraId="04FC991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Implement a shared insurance verification register that records policy numbers, expiry </w:t>
            </w:r>
            <w:r w:rsidRPr="003D1BBB">
              <w:rPr>
                <w:rFonts w:ascii="Calibri" w:eastAsia="Times New Roman" w:hAnsi="Calibri" w:cs="Calibri"/>
                <w:kern w:val="0"/>
                <w:sz w:val="20"/>
                <w:szCs w:val="20"/>
                <w:lang w:eastAsia="en-GB"/>
                <w14:ligatures w14:val="none"/>
              </w:rPr>
              <w:lastRenderedPageBreak/>
              <w:t>dates, and insured cargo values.</w:t>
            </w:r>
          </w:p>
        </w:tc>
        <w:tc>
          <w:tcPr>
            <w:tcW w:w="528" w:type="pct"/>
            <w:tcBorders>
              <w:top w:val="nil"/>
              <w:left w:val="single" w:sz="4" w:space="0" w:color="auto"/>
              <w:bottom w:val="single" w:sz="4" w:space="0" w:color="auto"/>
              <w:right w:val="single" w:sz="4" w:space="0" w:color="auto"/>
            </w:tcBorders>
            <w:vAlign w:val="center"/>
            <w:hideMark/>
          </w:tcPr>
          <w:p w14:paraId="698A892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Procurement</w:t>
            </w:r>
          </w:p>
        </w:tc>
        <w:tc>
          <w:tcPr>
            <w:tcW w:w="85" w:type="pct"/>
            <w:vAlign w:val="center"/>
            <w:hideMark/>
          </w:tcPr>
          <w:p w14:paraId="02BDAAE4"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FCD28DA"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745A182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nil"/>
              <w:left w:val="single" w:sz="4" w:space="0" w:color="auto"/>
              <w:bottom w:val="nil"/>
              <w:right w:val="single" w:sz="4" w:space="0" w:color="auto"/>
            </w:tcBorders>
            <w:vAlign w:val="center"/>
            <w:hideMark/>
          </w:tcPr>
          <w:p w14:paraId="3F5E86C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286694D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02687CD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Legal disputes between Tata &amp; Supplier</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7D8AB05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4C9C61E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Ambiguous insurance responsibilities in contracts leading to liability disputes</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6640F5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710" w:type="pct"/>
            <w:tcBorders>
              <w:top w:val="nil"/>
              <w:left w:val="nil"/>
              <w:bottom w:val="single" w:sz="4" w:space="0" w:color="auto"/>
              <w:right w:val="single" w:sz="4" w:space="0" w:color="auto"/>
            </w:tcBorders>
            <w:vAlign w:val="center"/>
            <w:hideMark/>
          </w:tcPr>
          <w:p w14:paraId="67AC65B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Clearly defined liability and claim handling responsibilities within the supply agreement</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BC6649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50E93A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144</w:t>
            </w:r>
          </w:p>
        </w:tc>
        <w:tc>
          <w:tcPr>
            <w:tcW w:w="646" w:type="pct"/>
            <w:tcBorders>
              <w:top w:val="single" w:sz="4" w:space="0" w:color="auto"/>
              <w:left w:val="nil"/>
              <w:bottom w:val="single" w:sz="4" w:space="0" w:color="auto"/>
              <w:right w:val="single" w:sz="4" w:space="0" w:color="auto"/>
            </w:tcBorders>
            <w:vAlign w:val="center"/>
            <w:hideMark/>
          </w:tcPr>
          <w:p w14:paraId="7B44605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Develop a dispute resolution framework which is easy to follow specifying mediation and arbitration procedures</w:t>
            </w:r>
          </w:p>
        </w:tc>
        <w:tc>
          <w:tcPr>
            <w:tcW w:w="528" w:type="pct"/>
            <w:tcBorders>
              <w:top w:val="nil"/>
              <w:left w:val="nil"/>
              <w:bottom w:val="single" w:sz="4" w:space="0" w:color="auto"/>
              <w:right w:val="single" w:sz="4" w:space="0" w:color="auto"/>
            </w:tcBorders>
            <w:vAlign w:val="center"/>
            <w:hideMark/>
          </w:tcPr>
          <w:p w14:paraId="0930B33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2C56FA4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0334D41"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1CA4F49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7F48CE1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2717959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ED262C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8232F9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8E6D8B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Different legal jurisdictions between Tata Steel and international supplier</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4B153C0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710" w:type="pct"/>
            <w:tcBorders>
              <w:top w:val="nil"/>
              <w:left w:val="nil"/>
              <w:bottom w:val="single" w:sz="4" w:space="0" w:color="auto"/>
              <w:right w:val="single" w:sz="4" w:space="0" w:color="auto"/>
            </w:tcBorders>
            <w:vAlign w:val="center"/>
            <w:hideMark/>
          </w:tcPr>
          <w:p w14:paraId="08AD888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Clear jurisdiction clauses and dispute resolutions in all contracts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45B79A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457215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144</w:t>
            </w:r>
          </w:p>
        </w:tc>
        <w:tc>
          <w:tcPr>
            <w:tcW w:w="646" w:type="pct"/>
            <w:tcBorders>
              <w:top w:val="nil"/>
              <w:left w:val="nil"/>
              <w:bottom w:val="single" w:sz="4" w:space="0" w:color="auto"/>
              <w:right w:val="single" w:sz="4" w:space="0" w:color="auto"/>
            </w:tcBorders>
            <w:vAlign w:val="center"/>
            <w:hideMark/>
          </w:tcPr>
          <w:p w14:paraId="5DA6AB0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Assign a dedicated insurance and legal contract at Tata Steel Port Talbot to manage all marine insurance claims</w:t>
            </w:r>
          </w:p>
        </w:tc>
        <w:tc>
          <w:tcPr>
            <w:tcW w:w="528" w:type="pct"/>
            <w:tcBorders>
              <w:top w:val="nil"/>
              <w:left w:val="nil"/>
              <w:bottom w:val="single" w:sz="4" w:space="0" w:color="auto"/>
              <w:right w:val="single" w:sz="4" w:space="0" w:color="auto"/>
            </w:tcBorders>
            <w:vAlign w:val="center"/>
            <w:hideMark/>
          </w:tcPr>
          <w:p w14:paraId="5DFBC34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HR</w:t>
            </w:r>
          </w:p>
        </w:tc>
        <w:tc>
          <w:tcPr>
            <w:tcW w:w="85" w:type="pct"/>
            <w:vAlign w:val="center"/>
            <w:hideMark/>
          </w:tcPr>
          <w:p w14:paraId="1E800457"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FD4438B"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3B2793A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78591E4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0DEA654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743B269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C44164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B171D8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Discrepancy between party filing the claim and the party insured</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40D469F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710" w:type="pct"/>
            <w:tcBorders>
              <w:top w:val="nil"/>
              <w:left w:val="nil"/>
              <w:bottom w:val="single" w:sz="4" w:space="0" w:color="auto"/>
              <w:right w:val="single" w:sz="4" w:space="0" w:color="auto"/>
            </w:tcBorders>
            <w:vAlign w:val="center"/>
            <w:hideMark/>
          </w:tcPr>
          <w:p w14:paraId="2FF1B28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Joint insurance reviews between Tata and Suppliers before initiating new contracts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65B76D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DEA984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120</w:t>
            </w:r>
          </w:p>
        </w:tc>
        <w:tc>
          <w:tcPr>
            <w:tcW w:w="646" w:type="pct"/>
            <w:tcBorders>
              <w:top w:val="nil"/>
              <w:left w:val="nil"/>
              <w:bottom w:val="single" w:sz="4" w:space="0" w:color="auto"/>
              <w:right w:val="single" w:sz="4" w:space="0" w:color="auto"/>
            </w:tcBorders>
            <w:vAlign w:val="center"/>
            <w:hideMark/>
          </w:tcPr>
          <w:p w14:paraId="0BE0BFE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Continue to engage with external insurance advisors periodically to validate compliance and reduce risk of future disputes</w:t>
            </w:r>
          </w:p>
        </w:tc>
        <w:tc>
          <w:tcPr>
            <w:tcW w:w="528" w:type="pct"/>
            <w:tcBorders>
              <w:top w:val="nil"/>
              <w:left w:val="nil"/>
              <w:bottom w:val="single" w:sz="4" w:space="0" w:color="auto"/>
              <w:right w:val="single" w:sz="4" w:space="0" w:color="auto"/>
            </w:tcBorders>
            <w:vAlign w:val="center"/>
            <w:hideMark/>
          </w:tcPr>
          <w:p w14:paraId="482EA7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External Insurance advisors</w:t>
            </w:r>
          </w:p>
        </w:tc>
        <w:tc>
          <w:tcPr>
            <w:tcW w:w="85" w:type="pct"/>
            <w:vAlign w:val="center"/>
            <w:hideMark/>
          </w:tcPr>
          <w:p w14:paraId="40E86E17"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2F5A867"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7D30078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nil"/>
              <w:left w:val="single" w:sz="4" w:space="0" w:color="auto"/>
              <w:bottom w:val="nil"/>
              <w:right w:val="single" w:sz="4" w:space="0" w:color="auto"/>
            </w:tcBorders>
            <w:vAlign w:val="center"/>
            <w:hideMark/>
          </w:tcPr>
          <w:p w14:paraId="369CE22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nil"/>
              <w:right w:val="single" w:sz="4" w:space="0" w:color="auto"/>
            </w:tcBorders>
            <w:vAlign w:val="center"/>
            <w:hideMark/>
          </w:tcPr>
          <w:p w14:paraId="3B9D3A4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Strikes &amp; Political Unrest</w:t>
            </w:r>
          </w:p>
        </w:tc>
        <w:tc>
          <w:tcPr>
            <w:tcW w:w="517" w:type="pct"/>
            <w:tcBorders>
              <w:top w:val="nil"/>
              <w:left w:val="nil"/>
              <w:bottom w:val="single" w:sz="4" w:space="0" w:color="auto"/>
              <w:right w:val="single" w:sz="4" w:space="0" w:color="auto"/>
            </w:tcBorders>
            <w:vAlign w:val="center"/>
            <w:hideMark/>
          </w:tcPr>
          <w:p w14:paraId="19D27C0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Delays in loading/unloading</w:t>
            </w:r>
          </w:p>
        </w:tc>
        <w:tc>
          <w:tcPr>
            <w:tcW w:w="161" w:type="pct"/>
            <w:tcBorders>
              <w:top w:val="single" w:sz="4" w:space="0" w:color="auto"/>
              <w:left w:val="single" w:sz="4" w:space="0" w:color="auto"/>
              <w:bottom w:val="nil"/>
              <w:right w:val="single" w:sz="4" w:space="0" w:color="auto"/>
            </w:tcBorders>
            <w:shd w:val="clear" w:color="000000" w:fill="FFC000"/>
            <w:vAlign w:val="center"/>
            <w:hideMark/>
          </w:tcPr>
          <w:p w14:paraId="3AED138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3411F21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National strikes</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F82097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710" w:type="pct"/>
            <w:tcBorders>
              <w:top w:val="nil"/>
              <w:left w:val="nil"/>
              <w:bottom w:val="single" w:sz="4" w:space="0" w:color="auto"/>
              <w:right w:val="single" w:sz="4" w:space="0" w:color="auto"/>
            </w:tcBorders>
            <w:vAlign w:val="center"/>
            <w:hideMark/>
          </w:tcPr>
          <w:p w14:paraId="2AB3012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Diverse export ports and shipping lines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03F77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DE3D66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98</w:t>
            </w:r>
          </w:p>
        </w:tc>
        <w:tc>
          <w:tcPr>
            <w:tcW w:w="646" w:type="pct"/>
            <w:tcBorders>
              <w:top w:val="nil"/>
              <w:left w:val="nil"/>
              <w:bottom w:val="single" w:sz="4" w:space="0" w:color="auto"/>
              <w:right w:val="single" w:sz="4" w:space="0" w:color="auto"/>
            </w:tcBorders>
            <w:vAlign w:val="center"/>
            <w:hideMark/>
          </w:tcPr>
          <w:p w14:paraId="78A4181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Review contracts with suppliers and customers and look to include financial clauses into contracts to offset any fines if issues such as strikes arose</w:t>
            </w:r>
          </w:p>
        </w:tc>
        <w:tc>
          <w:tcPr>
            <w:tcW w:w="528" w:type="pct"/>
            <w:tcBorders>
              <w:top w:val="nil"/>
              <w:left w:val="nil"/>
              <w:bottom w:val="single" w:sz="4" w:space="0" w:color="auto"/>
              <w:right w:val="single" w:sz="4" w:space="0" w:color="auto"/>
            </w:tcBorders>
            <w:vAlign w:val="center"/>
            <w:hideMark/>
          </w:tcPr>
          <w:p w14:paraId="4A3CDD7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Suppliers &amp; Customer</w:t>
            </w:r>
          </w:p>
        </w:tc>
        <w:tc>
          <w:tcPr>
            <w:tcW w:w="85" w:type="pct"/>
            <w:vAlign w:val="center"/>
            <w:hideMark/>
          </w:tcPr>
          <w:p w14:paraId="1C08A6DA"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1943ACA" w14:textId="77777777" w:rsidTr="00AA4D71">
        <w:trPr>
          <w:trHeight w:val="1040"/>
        </w:trPr>
        <w:tc>
          <w:tcPr>
            <w:tcW w:w="209" w:type="pct"/>
            <w:tcBorders>
              <w:top w:val="nil"/>
              <w:left w:val="single" w:sz="4" w:space="0" w:color="auto"/>
              <w:bottom w:val="single" w:sz="4" w:space="0" w:color="auto"/>
              <w:right w:val="single" w:sz="4" w:space="0" w:color="auto"/>
            </w:tcBorders>
            <w:noWrap/>
            <w:vAlign w:val="center"/>
            <w:hideMark/>
          </w:tcPr>
          <w:p w14:paraId="754A3B8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#REF!</w:t>
            </w:r>
          </w:p>
        </w:tc>
        <w:tc>
          <w:tcPr>
            <w:tcW w:w="433" w:type="pct"/>
            <w:vMerge/>
            <w:tcBorders>
              <w:top w:val="nil"/>
              <w:left w:val="single" w:sz="4" w:space="0" w:color="auto"/>
              <w:bottom w:val="nil"/>
              <w:right w:val="single" w:sz="4" w:space="0" w:color="auto"/>
            </w:tcBorders>
            <w:vAlign w:val="center"/>
            <w:hideMark/>
          </w:tcPr>
          <w:p w14:paraId="3BDA882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49A61F6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tcBorders>
              <w:top w:val="nil"/>
              <w:left w:val="nil"/>
              <w:bottom w:val="single" w:sz="4" w:space="0" w:color="auto"/>
              <w:right w:val="single" w:sz="4" w:space="0" w:color="auto"/>
            </w:tcBorders>
            <w:vAlign w:val="center"/>
            <w:hideMark/>
          </w:tcPr>
          <w:p w14:paraId="050F871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Vessel Diversions</w:t>
            </w:r>
          </w:p>
        </w:tc>
        <w:tc>
          <w:tcPr>
            <w:tcW w:w="161" w:type="pct"/>
            <w:tcBorders>
              <w:top w:val="single" w:sz="4" w:space="0" w:color="auto"/>
              <w:left w:val="single" w:sz="4" w:space="0" w:color="auto"/>
              <w:bottom w:val="nil"/>
              <w:right w:val="single" w:sz="4" w:space="0" w:color="auto"/>
            </w:tcBorders>
            <w:shd w:val="clear" w:color="000000" w:fill="FFC000"/>
            <w:vAlign w:val="center"/>
            <w:hideMark/>
          </w:tcPr>
          <w:p w14:paraId="3FBE3A9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7FD9DC3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authority disputes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3E2EAE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35A523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Maintain a safety buffer of slab at PT which could supply downstream operations if the desired grade was available</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0B101D7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445F9E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196</w:t>
            </w:r>
          </w:p>
        </w:tc>
        <w:tc>
          <w:tcPr>
            <w:tcW w:w="646" w:type="pct"/>
            <w:tcBorders>
              <w:top w:val="nil"/>
              <w:left w:val="nil"/>
              <w:bottom w:val="nil"/>
              <w:right w:val="nil"/>
            </w:tcBorders>
            <w:vAlign w:val="center"/>
            <w:hideMark/>
          </w:tcPr>
          <w:p w14:paraId="0B91C15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Establish alternative port arrangements in nearby regions and engage in government and logistics networks to receive early notifications of disputes.</w:t>
            </w:r>
          </w:p>
        </w:tc>
        <w:tc>
          <w:tcPr>
            <w:tcW w:w="528" w:type="pct"/>
            <w:tcBorders>
              <w:top w:val="nil"/>
              <w:left w:val="single" w:sz="4" w:space="0" w:color="auto"/>
              <w:bottom w:val="single" w:sz="4" w:space="0" w:color="auto"/>
              <w:right w:val="single" w:sz="4" w:space="0" w:color="auto"/>
            </w:tcBorders>
            <w:vAlign w:val="center"/>
            <w:hideMark/>
          </w:tcPr>
          <w:p w14:paraId="71B2914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Government Officials, Logistics team</w:t>
            </w:r>
          </w:p>
        </w:tc>
        <w:tc>
          <w:tcPr>
            <w:tcW w:w="85" w:type="pct"/>
            <w:vAlign w:val="center"/>
            <w:hideMark/>
          </w:tcPr>
          <w:p w14:paraId="6A7B2701"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909AC3B"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7EA020A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nil"/>
              <w:left w:val="single" w:sz="4" w:space="0" w:color="auto"/>
              <w:bottom w:val="nil"/>
              <w:right w:val="single" w:sz="4" w:space="0" w:color="auto"/>
            </w:tcBorders>
            <w:vAlign w:val="center"/>
            <w:hideMark/>
          </w:tcPr>
          <w:p w14:paraId="6011E5F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29AFDDD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tcBorders>
              <w:top w:val="nil"/>
              <w:left w:val="nil"/>
              <w:bottom w:val="single" w:sz="4" w:space="0" w:color="auto"/>
              <w:right w:val="single" w:sz="4" w:space="0" w:color="auto"/>
            </w:tcBorders>
            <w:vAlign w:val="center"/>
            <w:hideMark/>
          </w:tcPr>
          <w:p w14:paraId="5ADF5CC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Extended lead times</w:t>
            </w:r>
          </w:p>
        </w:tc>
        <w:tc>
          <w:tcPr>
            <w:tcW w:w="161" w:type="pct"/>
            <w:tcBorders>
              <w:top w:val="single" w:sz="4" w:space="0" w:color="auto"/>
              <w:left w:val="single" w:sz="4" w:space="0" w:color="auto"/>
              <w:bottom w:val="nil"/>
              <w:right w:val="single" w:sz="4" w:space="0" w:color="auto"/>
            </w:tcBorders>
            <w:shd w:val="clear" w:color="000000" w:fill="FFC000"/>
            <w:vAlign w:val="center"/>
            <w:hideMark/>
          </w:tcPr>
          <w:p w14:paraId="45F6EA9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2C91F0A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Trade restrictions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5CA1C0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5A2C8F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Partnerships with customers, ability to engage in positive conversations and identify solutions should these issues arise</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105301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F135D5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196</w:t>
            </w:r>
          </w:p>
        </w:tc>
        <w:tc>
          <w:tcPr>
            <w:tcW w:w="646" w:type="pct"/>
            <w:tcBorders>
              <w:top w:val="single" w:sz="4" w:space="0" w:color="auto"/>
              <w:left w:val="nil"/>
              <w:bottom w:val="single" w:sz="4" w:space="0" w:color="auto"/>
              <w:right w:val="single" w:sz="4" w:space="0" w:color="auto"/>
            </w:tcBorders>
            <w:vAlign w:val="center"/>
            <w:hideMark/>
          </w:tcPr>
          <w:p w14:paraId="14F1A5A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Develop trade compliance monitoring strategy to reduce reliance on single trade routes.</w:t>
            </w:r>
          </w:p>
        </w:tc>
        <w:tc>
          <w:tcPr>
            <w:tcW w:w="528" w:type="pct"/>
            <w:tcBorders>
              <w:top w:val="nil"/>
              <w:left w:val="nil"/>
              <w:bottom w:val="single" w:sz="4" w:space="0" w:color="auto"/>
              <w:right w:val="single" w:sz="4" w:space="0" w:color="auto"/>
            </w:tcBorders>
            <w:vAlign w:val="center"/>
            <w:hideMark/>
          </w:tcPr>
          <w:p w14:paraId="156CF4F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w:t>
            </w:r>
          </w:p>
        </w:tc>
        <w:tc>
          <w:tcPr>
            <w:tcW w:w="85" w:type="pct"/>
            <w:vAlign w:val="center"/>
            <w:hideMark/>
          </w:tcPr>
          <w:p w14:paraId="0FFDDCB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913518C"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2321130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46E4955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tcBorders>
              <w:top w:val="single" w:sz="4" w:space="0" w:color="auto"/>
              <w:left w:val="nil"/>
              <w:bottom w:val="nil"/>
              <w:right w:val="single" w:sz="4" w:space="0" w:color="auto"/>
            </w:tcBorders>
            <w:vAlign w:val="center"/>
            <w:hideMark/>
          </w:tcPr>
          <w:p w14:paraId="4A43011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World Events</w:t>
            </w:r>
          </w:p>
        </w:tc>
        <w:tc>
          <w:tcPr>
            <w:tcW w:w="517" w:type="pct"/>
            <w:tcBorders>
              <w:top w:val="nil"/>
              <w:left w:val="nil"/>
              <w:bottom w:val="nil"/>
              <w:right w:val="single" w:sz="4" w:space="0" w:color="auto"/>
            </w:tcBorders>
            <w:vAlign w:val="center"/>
            <w:hideMark/>
          </w:tcPr>
          <w:p w14:paraId="078E27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production</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37AFBB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10</w:t>
            </w:r>
          </w:p>
        </w:tc>
        <w:tc>
          <w:tcPr>
            <w:tcW w:w="614" w:type="pct"/>
            <w:tcBorders>
              <w:top w:val="nil"/>
              <w:left w:val="nil"/>
              <w:bottom w:val="nil"/>
              <w:right w:val="single" w:sz="4" w:space="0" w:color="auto"/>
            </w:tcBorders>
            <w:vAlign w:val="center"/>
            <w:hideMark/>
          </w:tcPr>
          <w:p w14:paraId="5016CD8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War, Covid, Brexit</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15D89E0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710" w:type="pct"/>
            <w:tcBorders>
              <w:top w:val="nil"/>
              <w:left w:val="nil"/>
              <w:bottom w:val="single" w:sz="4" w:space="0" w:color="auto"/>
              <w:right w:val="single" w:sz="4" w:space="0" w:color="auto"/>
            </w:tcBorders>
            <w:vAlign w:val="center"/>
            <w:hideMark/>
          </w:tcPr>
          <w:p w14:paraId="3233131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None. Potential to stay up to date with world news in the hope of gaining market knowledge </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C6F203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E33717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vAlign w:val="center"/>
            <w:hideMark/>
          </w:tcPr>
          <w:p w14:paraId="16949E6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a wider supplier base which covers different continents, this would increase the chance of a safer supply chain</w:t>
            </w:r>
          </w:p>
        </w:tc>
        <w:tc>
          <w:tcPr>
            <w:tcW w:w="528" w:type="pct"/>
            <w:tcBorders>
              <w:top w:val="nil"/>
              <w:left w:val="nil"/>
              <w:bottom w:val="single" w:sz="4" w:space="0" w:color="auto"/>
              <w:right w:val="single" w:sz="4" w:space="0" w:color="auto"/>
            </w:tcBorders>
            <w:vAlign w:val="center"/>
            <w:hideMark/>
          </w:tcPr>
          <w:p w14:paraId="5E8D837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Suppliers</w:t>
            </w:r>
          </w:p>
        </w:tc>
        <w:tc>
          <w:tcPr>
            <w:tcW w:w="85" w:type="pct"/>
            <w:vAlign w:val="center"/>
            <w:hideMark/>
          </w:tcPr>
          <w:p w14:paraId="75FA942C"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8CFA969"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652C418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#REF!</w:t>
            </w:r>
          </w:p>
        </w:tc>
        <w:tc>
          <w:tcPr>
            <w:tcW w:w="433" w:type="pct"/>
            <w:vMerge/>
            <w:tcBorders>
              <w:top w:val="nil"/>
              <w:left w:val="single" w:sz="4" w:space="0" w:color="auto"/>
              <w:bottom w:val="nil"/>
              <w:right w:val="single" w:sz="4" w:space="0" w:color="auto"/>
            </w:tcBorders>
            <w:vAlign w:val="center"/>
            <w:hideMark/>
          </w:tcPr>
          <w:p w14:paraId="6DDB81F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single" w:sz="4" w:space="0" w:color="auto"/>
              <w:left w:val="single" w:sz="4" w:space="0" w:color="auto"/>
              <w:bottom w:val="nil"/>
              <w:right w:val="single" w:sz="4" w:space="0" w:color="auto"/>
            </w:tcBorders>
            <w:vAlign w:val="center"/>
            <w:hideMark/>
          </w:tcPr>
          <w:p w14:paraId="191575A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Health, Safety or Environmental Incident during logistics</w:t>
            </w:r>
          </w:p>
        </w:tc>
        <w:tc>
          <w:tcPr>
            <w:tcW w:w="517" w:type="pct"/>
            <w:vMerge w:val="restart"/>
            <w:tcBorders>
              <w:top w:val="single" w:sz="4" w:space="0" w:color="auto"/>
              <w:left w:val="single" w:sz="4" w:space="0" w:color="auto"/>
              <w:bottom w:val="single" w:sz="4" w:space="0" w:color="000000"/>
              <w:right w:val="single" w:sz="4" w:space="0" w:color="auto"/>
            </w:tcBorders>
            <w:vAlign w:val="center"/>
            <w:hideMark/>
          </w:tcPr>
          <w:p w14:paraId="674EBBC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Injury to crew members</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528627F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w:t>
            </w:r>
          </w:p>
        </w:tc>
        <w:tc>
          <w:tcPr>
            <w:tcW w:w="614" w:type="pct"/>
            <w:tcBorders>
              <w:top w:val="single" w:sz="4" w:space="0" w:color="auto"/>
              <w:left w:val="nil"/>
              <w:bottom w:val="single" w:sz="4" w:space="0" w:color="auto"/>
              <w:right w:val="single" w:sz="4" w:space="0" w:color="auto"/>
            </w:tcBorders>
            <w:vAlign w:val="center"/>
            <w:hideMark/>
          </w:tcPr>
          <w:p w14:paraId="7FB81FC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Unsafe handling</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5A8B29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43D94B9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Logistics partners adhere to the HSE standards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0236955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030AD84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252</w:t>
            </w:r>
          </w:p>
        </w:tc>
        <w:tc>
          <w:tcPr>
            <w:tcW w:w="646" w:type="pct"/>
            <w:tcBorders>
              <w:top w:val="nil"/>
              <w:left w:val="nil"/>
              <w:bottom w:val="single" w:sz="4" w:space="0" w:color="auto"/>
              <w:right w:val="single" w:sz="4" w:space="0" w:color="auto"/>
            </w:tcBorders>
            <w:vAlign w:val="center"/>
            <w:hideMark/>
          </w:tcPr>
          <w:p w14:paraId="5218212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Perform regular and non-regular audits of the loading ports to ensure adherence to safety rules</w:t>
            </w:r>
          </w:p>
        </w:tc>
        <w:tc>
          <w:tcPr>
            <w:tcW w:w="528" w:type="pct"/>
            <w:tcBorders>
              <w:top w:val="nil"/>
              <w:left w:val="nil"/>
              <w:bottom w:val="single" w:sz="4" w:space="0" w:color="auto"/>
              <w:right w:val="single" w:sz="4" w:space="0" w:color="auto"/>
            </w:tcBorders>
            <w:vAlign w:val="center"/>
            <w:hideMark/>
          </w:tcPr>
          <w:p w14:paraId="02BD456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Third Party Auditors &amp; Port personnel</w:t>
            </w:r>
          </w:p>
        </w:tc>
        <w:tc>
          <w:tcPr>
            <w:tcW w:w="85" w:type="pct"/>
            <w:vAlign w:val="center"/>
            <w:hideMark/>
          </w:tcPr>
          <w:p w14:paraId="321B9FD6"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9794FDC" w14:textId="77777777" w:rsidTr="00AA4D71">
        <w:trPr>
          <w:trHeight w:val="520"/>
        </w:trPr>
        <w:tc>
          <w:tcPr>
            <w:tcW w:w="209" w:type="pct"/>
            <w:tcBorders>
              <w:top w:val="nil"/>
              <w:left w:val="single" w:sz="4" w:space="0" w:color="auto"/>
              <w:bottom w:val="single" w:sz="4" w:space="0" w:color="auto"/>
              <w:right w:val="single" w:sz="4" w:space="0" w:color="auto"/>
            </w:tcBorders>
            <w:noWrap/>
            <w:vAlign w:val="center"/>
            <w:hideMark/>
          </w:tcPr>
          <w:p w14:paraId="01A31BB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w:t>
            </w:r>
          </w:p>
        </w:tc>
        <w:tc>
          <w:tcPr>
            <w:tcW w:w="433" w:type="pct"/>
            <w:vMerge/>
            <w:tcBorders>
              <w:top w:val="nil"/>
              <w:left w:val="single" w:sz="4" w:space="0" w:color="auto"/>
              <w:bottom w:val="nil"/>
              <w:right w:val="single" w:sz="4" w:space="0" w:color="auto"/>
            </w:tcBorders>
            <w:vAlign w:val="center"/>
            <w:hideMark/>
          </w:tcPr>
          <w:p w14:paraId="696B8EB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nil"/>
              <w:right w:val="single" w:sz="4" w:space="0" w:color="auto"/>
            </w:tcBorders>
            <w:vAlign w:val="center"/>
            <w:hideMark/>
          </w:tcPr>
          <w:p w14:paraId="5E4E6AF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0169F69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9260AE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237CDFB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PPE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89E48D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3B5D3B2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Logistics partners adhere to the HSE standards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2B2C88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FC3542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216</w:t>
            </w:r>
          </w:p>
        </w:tc>
        <w:tc>
          <w:tcPr>
            <w:tcW w:w="646" w:type="pct"/>
            <w:tcBorders>
              <w:top w:val="nil"/>
              <w:left w:val="nil"/>
              <w:bottom w:val="single" w:sz="4" w:space="0" w:color="auto"/>
              <w:right w:val="single" w:sz="4" w:space="0" w:color="auto"/>
            </w:tcBorders>
            <w:vAlign w:val="center"/>
            <w:hideMark/>
          </w:tcPr>
          <w:p w14:paraId="237F709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Environmental risk assessments required before each shipment. </w:t>
            </w:r>
          </w:p>
        </w:tc>
        <w:tc>
          <w:tcPr>
            <w:tcW w:w="528" w:type="pct"/>
            <w:tcBorders>
              <w:top w:val="nil"/>
              <w:left w:val="nil"/>
              <w:bottom w:val="single" w:sz="4" w:space="0" w:color="auto"/>
              <w:right w:val="single" w:sz="4" w:space="0" w:color="auto"/>
            </w:tcBorders>
            <w:vAlign w:val="center"/>
            <w:hideMark/>
          </w:tcPr>
          <w:p w14:paraId="6B0E882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Suppliers</w:t>
            </w:r>
          </w:p>
        </w:tc>
        <w:tc>
          <w:tcPr>
            <w:tcW w:w="85" w:type="pct"/>
            <w:vAlign w:val="center"/>
            <w:hideMark/>
          </w:tcPr>
          <w:p w14:paraId="278AF8D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DAE1638" w14:textId="77777777" w:rsidTr="00AA4D71">
        <w:trPr>
          <w:trHeight w:val="1040"/>
        </w:trPr>
        <w:tc>
          <w:tcPr>
            <w:tcW w:w="209" w:type="pct"/>
            <w:tcBorders>
              <w:top w:val="nil"/>
              <w:left w:val="single" w:sz="4" w:space="0" w:color="auto"/>
              <w:bottom w:val="single" w:sz="4" w:space="0" w:color="auto"/>
              <w:right w:val="single" w:sz="4" w:space="0" w:color="auto"/>
            </w:tcBorders>
            <w:noWrap/>
            <w:vAlign w:val="center"/>
            <w:hideMark/>
          </w:tcPr>
          <w:p w14:paraId="5DF9792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 </w:t>
            </w:r>
          </w:p>
        </w:tc>
        <w:tc>
          <w:tcPr>
            <w:tcW w:w="433" w:type="pct"/>
            <w:vMerge/>
            <w:tcBorders>
              <w:top w:val="nil"/>
              <w:left w:val="single" w:sz="4" w:space="0" w:color="auto"/>
              <w:bottom w:val="nil"/>
              <w:right w:val="single" w:sz="4" w:space="0" w:color="auto"/>
            </w:tcBorders>
            <w:vAlign w:val="center"/>
            <w:hideMark/>
          </w:tcPr>
          <w:p w14:paraId="46A9728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nil"/>
              <w:right w:val="single" w:sz="4" w:space="0" w:color="auto"/>
            </w:tcBorders>
            <w:vAlign w:val="center"/>
            <w:hideMark/>
          </w:tcPr>
          <w:p w14:paraId="6D9CA3E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2D499BF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BF1C0C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47D6EE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emergency response procedures</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5B14813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710" w:type="pct"/>
            <w:tcBorders>
              <w:top w:val="nil"/>
              <w:left w:val="nil"/>
              <w:bottom w:val="single" w:sz="4" w:space="0" w:color="auto"/>
              <w:right w:val="single" w:sz="4" w:space="0" w:color="auto"/>
            </w:tcBorders>
            <w:vAlign w:val="center"/>
            <w:hideMark/>
          </w:tcPr>
          <w:p w14:paraId="3CAEDB8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Logistics partners adhere to the HSE standards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B287FC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BBA651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108</w:t>
            </w:r>
          </w:p>
        </w:tc>
        <w:tc>
          <w:tcPr>
            <w:tcW w:w="646" w:type="pct"/>
            <w:tcBorders>
              <w:top w:val="nil"/>
              <w:left w:val="nil"/>
              <w:bottom w:val="single" w:sz="4" w:space="0" w:color="auto"/>
              <w:right w:val="single" w:sz="4" w:space="0" w:color="auto"/>
            </w:tcBorders>
            <w:vAlign w:val="center"/>
            <w:hideMark/>
          </w:tcPr>
          <w:p w14:paraId="38C5B40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Develop and test emergency response and contingency plans with logistics partners. Conduct periodic drills and assign clear roles and communication lines for response teams to reduce response time and downtime.</w:t>
            </w:r>
          </w:p>
        </w:tc>
        <w:tc>
          <w:tcPr>
            <w:tcW w:w="528" w:type="pct"/>
            <w:tcBorders>
              <w:top w:val="nil"/>
              <w:left w:val="nil"/>
              <w:bottom w:val="single" w:sz="4" w:space="0" w:color="auto"/>
              <w:right w:val="single" w:sz="4" w:space="0" w:color="auto"/>
            </w:tcBorders>
            <w:vAlign w:val="center"/>
            <w:hideMark/>
          </w:tcPr>
          <w:p w14:paraId="1397FD5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Logistic Teams</w:t>
            </w:r>
          </w:p>
        </w:tc>
        <w:tc>
          <w:tcPr>
            <w:tcW w:w="85" w:type="pct"/>
            <w:vAlign w:val="center"/>
            <w:hideMark/>
          </w:tcPr>
          <w:p w14:paraId="48DF683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1B5A357" w14:textId="77777777" w:rsidTr="00AA4D71">
        <w:trPr>
          <w:trHeight w:val="780"/>
        </w:trPr>
        <w:tc>
          <w:tcPr>
            <w:tcW w:w="209" w:type="pct"/>
            <w:tcBorders>
              <w:top w:val="nil"/>
              <w:left w:val="single" w:sz="4" w:space="0" w:color="auto"/>
              <w:bottom w:val="single" w:sz="4" w:space="0" w:color="auto"/>
              <w:right w:val="single" w:sz="4" w:space="0" w:color="auto"/>
            </w:tcBorders>
            <w:noWrap/>
            <w:vAlign w:val="center"/>
            <w:hideMark/>
          </w:tcPr>
          <w:p w14:paraId="5A972F1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136</w:t>
            </w:r>
          </w:p>
        </w:tc>
        <w:tc>
          <w:tcPr>
            <w:tcW w:w="433" w:type="pct"/>
            <w:vMerge/>
            <w:tcBorders>
              <w:top w:val="nil"/>
              <w:left w:val="single" w:sz="4" w:space="0" w:color="auto"/>
              <w:bottom w:val="nil"/>
              <w:right w:val="single" w:sz="4" w:space="0" w:color="auto"/>
            </w:tcBorders>
            <w:vAlign w:val="center"/>
            <w:hideMark/>
          </w:tcPr>
          <w:p w14:paraId="74F59F6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nil"/>
              <w:right w:val="single" w:sz="4" w:space="0" w:color="auto"/>
            </w:tcBorders>
            <w:vAlign w:val="center"/>
            <w:hideMark/>
          </w:tcPr>
          <w:p w14:paraId="0DF01DE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tcBorders>
              <w:top w:val="nil"/>
              <w:left w:val="nil"/>
              <w:bottom w:val="single" w:sz="4" w:space="0" w:color="auto"/>
              <w:right w:val="single" w:sz="4" w:space="0" w:color="auto"/>
            </w:tcBorders>
            <w:vAlign w:val="center"/>
            <w:hideMark/>
          </w:tcPr>
          <w:p w14:paraId="4FB84D2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Environmental fines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C75E03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w:t>
            </w:r>
          </w:p>
        </w:tc>
        <w:tc>
          <w:tcPr>
            <w:tcW w:w="614" w:type="pct"/>
            <w:tcBorders>
              <w:top w:val="nil"/>
              <w:left w:val="nil"/>
              <w:bottom w:val="single" w:sz="4" w:space="0" w:color="auto"/>
              <w:right w:val="single" w:sz="4" w:space="0" w:color="auto"/>
            </w:tcBorders>
            <w:vAlign w:val="center"/>
            <w:hideMark/>
          </w:tcPr>
          <w:p w14:paraId="012847A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Logistic partners failing to follow environmental regulations </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01525E4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710" w:type="pct"/>
            <w:tcBorders>
              <w:top w:val="nil"/>
              <w:left w:val="nil"/>
              <w:bottom w:val="single" w:sz="4" w:space="0" w:color="auto"/>
              <w:right w:val="single" w:sz="4" w:space="0" w:color="auto"/>
            </w:tcBorders>
            <w:vAlign w:val="center"/>
            <w:hideMark/>
          </w:tcPr>
          <w:p w14:paraId="4FF7F75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Logistic partners also require adherence to Tata Steel Health &amp; Safety measure</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6D82A9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DE5CE1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189</w:t>
            </w:r>
          </w:p>
        </w:tc>
        <w:tc>
          <w:tcPr>
            <w:tcW w:w="646" w:type="pct"/>
            <w:tcBorders>
              <w:top w:val="nil"/>
              <w:left w:val="nil"/>
              <w:bottom w:val="single" w:sz="4" w:space="0" w:color="auto"/>
              <w:right w:val="single" w:sz="4" w:space="0" w:color="auto"/>
            </w:tcBorders>
            <w:vAlign w:val="center"/>
            <w:hideMark/>
          </w:tcPr>
          <w:p w14:paraId="5421662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Establish a corrective action reporting process for any partner found in breach</w:t>
            </w:r>
          </w:p>
        </w:tc>
        <w:tc>
          <w:tcPr>
            <w:tcW w:w="528" w:type="pct"/>
            <w:tcBorders>
              <w:top w:val="nil"/>
              <w:left w:val="nil"/>
              <w:bottom w:val="single" w:sz="4" w:space="0" w:color="auto"/>
              <w:right w:val="single" w:sz="4" w:space="0" w:color="auto"/>
            </w:tcBorders>
            <w:vAlign w:val="center"/>
            <w:hideMark/>
          </w:tcPr>
          <w:p w14:paraId="2059FAA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36F0DF5C"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A306F94" w14:textId="77777777" w:rsidTr="00AA4D71">
        <w:trPr>
          <w:trHeight w:val="780"/>
        </w:trPr>
        <w:tc>
          <w:tcPr>
            <w:tcW w:w="209" w:type="pct"/>
            <w:tcBorders>
              <w:top w:val="nil"/>
              <w:left w:val="nil"/>
              <w:bottom w:val="nil"/>
              <w:right w:val="nil"/>
            </w:tcBorders>
            <w:noWrap/>
            <w:vAlign w:val="center"/>
            <w:hideMark/>
          </w:tcPr>
          <w:p w14:paraId="40480F0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val="restart"/>
            <w:tcBorders>
              <w:top w:val="single" w:sz="4" w:space="0" w:color="auto"/>
              <w:left w:val="single" w:sz="4" w:space="0" w:color="auto"/>
              <w:bottom w:val="single" w:sz="4" w:space="0" w:color="auto"/>
              <w:right w:val="single" w:sz="4" w:space="0" w:color="auto"/>
            </w:tcBorders>
            <w:vAlign w:val="center"/>
            <w:hideMark/>
          </w:tcPr>
          <w:p w14:paraId="27766CB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Storage of Slabs</w:t>
            </w:r>
          </w:p>
        </w:tc>
        <w:tc>
          <w:tcPr>
            <w:tcW w:w="485" w:type="pct"/>
            <w:vMerge w:val="restart"/>
            <w:tcBorders>
              <w:top w:val="single" w:sz="4" w:space="0" w:color="auto"/>
              <w:left w:val="single" w:sz="4" w:space="0" w:color="auto"/>
              <w:bottom w:val="single" w:sz="4" w:space="0" w:color="000000"/>
              <w:right w:val="single" w:sz="4" w:space="0" w:color="auto"/>
            </w:tcBorders>
            <w:vAlign w:val="center"/>
            <w:hideMark/>
          </w:tcPr>
          <w:p w14:paraId="05369B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Over stacking in stockyard</w:t>
            </w:r>
          </w:p>
        </w:tc>
        <w:tc>
          <w:tcPr>
            <w:tcW w:w="517" w:type="pct"/>
            <w:vMerge w:val="restart"/>
            <w:tcBorders>
              <w:top w:val="nil"/>
              <w:left w:val="single" w:sz="4" w:space="0" w:color="auto"/>
              <w:bottom w:val="single" w:sz="4" w:space="0" w:color="000000"/>
              <w:right w:val="single" w:sz="4" w:space="0" w:color="auto"/>
            </w:tcBorders>
            <w:vAlign w:val="center"/>
            <w:hideMark/>
          </w:tcPr>
          <w:p w14:paraId="1AE5310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Stack collapse causing major safety incidents or material damage</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6595E3A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w:t>
            </w:r>
          </w:p>
        </w:tc>
        <w:tc>
          <w:tcPr>
            <w:tcW w:w="614" w:type="pct"/>
            <w:tcBorders>
              <w:top w:val="nil"/>
              <w:left w:val="nil"/>
              <w:bottom w:val="single" w:sz="4" w:space="0" w:color="auto"/>
              <w:right w:val="single" w:sz="4" w:space="0" w:color="auto"/>
            </w:tcBorders>
            <w:vAlign w:val="center"/>
            <w:hideMark/>
          </w:tcPr>
          <w:p w14:paraId="424C6EC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ground bearing capacity assessment</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094225E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710" w:type="pct"/>
            <w:tcBorders>
              <w:top w:val="nil"/>
              <w:left w:val="nil"/>
              <w:bottom w:val="single" w:sz="4" w:space="0" w:color="auto"/>
              <w:right w:val="single" w:sz="4" w:space="0" w:color="auto"/>
            </w:tcBorders>
            <w:vAlign w:val="center"/>
            <w:hideMark/>
          </w:tcPr>
          <w:p w14:paraId="49B4DA7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Strict stacking procedures (Max height, alignment and base conditions)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A2D24D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0EB861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126</w:t>
            </w:r>
          </w:p>
        </w:tc>
        <w:tc>
          <w:tcPr>
            <w:tcW w:w="646" w:type="pct"/>
            <w:tcBorders>
              <w:top w:val="nil"/>
              <w:left w:val="nil"/>
              <w:bottom w:val="single" w:sz="4" w:space="0" w:color="auto"/>
              <w:right w:val="single" w:sz="4" w:space="0" w:color="auto"/>
            </w:tcBorders>
            <w:vAlign w:val="center"/>
            <w:hideMark/>
          </w:tcPr>
          <w:p w14:paraId="168380A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Introduce an electronic yard management control that prohibits stacking above safe heights, and can also record who authorised each lift for traceability</w:t>
            </w:r>
          </w:p>
        </w:tc>
        <w:tc>
          <w:tcPr>
            <w:tcW w:w="528" w:type="pct"/>
            <w:tcBorders>
              <w:top w:val="nil"/>
              <w:left w:val="nil"/>
              <w:bottom w:val="single" w:sz="4" w:space="0" w:color="auto"/>
              <w:right w:val="single" w:sz="4" w:space="0" w:color="auto"/>
            </w:tcBorders>
            <w:vAlign w:val="center"/>
            <w:hideMark/>
          </w:tcPr>
          <w:p w14:paraId="4DEBB3A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Mill production teams</w:t>
            </w:r>
          </w:p>
        </w:tc>
        <w:tc>
          <w:tcPr>
            <w:tcW w:w="85" w:type="pct"/>
            <w:vAlign w:val="center"/>
            <w:hideMark/>
          </w:tcPr>
          <w:p w14:paraId="6658DD5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648FE51" w14:textId="77777777" w:rsidTr="00AA4D71">
        <w:trPr>
          <w:trHeight w:val="1040"/>
        </w:trPr>
        <w:tc>
          <w:tcPr>
            <w:tcW w:w="209" w:type="pct"/>
            <w:tcBorders>
              <w:top w:val="nil"/>
              <w:left w:val="nil"/>
              <w:bottom w:val="nil"/>
              <w:right w:val="nil"/>
            </w:tcBorders>
            <w:noWrap/>
            <w:vAlign w:val="center"/>
            <w:hideMark/>
          </w:tcPr>
          <w:p w14:paraId="2F356F3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2FF83A9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0EB9F3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A49142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0979F1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3C0388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Failure to follow stacking pattern procedures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044C1C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8C9932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Safety barriers and exclusion zones around stacked areas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81F260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E036B4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216</w:t>
            </w:r>
          </w:p>
        </w:tc>
        <w:tc>
          <w:tcPr>
            <w:tcW w:w="646" w:type="pct"/>
            <w:tcBorders>
              <w:top w:val="nil"/>
              <w:left w:val="nil"/>
              <w:bottom w:val="single" w:sz="4" w:space="0" w:color="auto"/>
              <w:right w:val="single" w:sz="4" w:space="0" w:color="auto"/>
            </w:tcBorders>
            <w:vAlign w:val="center"/>
            <w:hideMark/>
          </w:tcPr>
          <w:p w14:paraId="6437899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Deploy routine spot audits of stacking operations with corrective coaching where deviations are found. Repeated </w:t>
            </w:r>
            <w:r w:rsidRPr="003D1BBB">
              <w:rPr>
                <w:rFonts w:ascii="Calibri" w:eastAsia="Times New Roman" w:hAnsi="Calibri" w:cs="Calibri"/>
                <w:kern w:val="0"/>
                <w:sz w:val="20"/>
                <w:szCs w:val="20"/>
                <w:lang w:eastAsia="en-GB"/>
                <w14:ligatures w14:val="none"/>
              </w:rPr>
              <w:lastRenderedPageBreak/>
              <w:t>breaches of compliance need to be escalated and recorded in performance dashboards</w:t>
            </w:r>
          </w:p>
        </w:tc>
        <w:tc>
          <w:tcPr>
            <w:tcW w:w="528" w:type="pct"/>
            <w:tcBorders>
              <w:top w:val="nil"/>
              <w:left w:val="nil"/>
              <w:bottom w:val="single" w:sz="4" w:space="0" w:color="auto"/>
              <w:right w:val="single" w:sz="4" w:space="0" w:color="auto"/>
            </w:tcBorders>
            <w:vAlign w:val="center"/>
            <w:hideMark/>
          </w:tcPr>
          <w:p w14:paraId="41A637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Mill Production teams, Port Talbot compliance teams</w:t>
            </w:r>
          </w:p>
        </w:tc>
        <w:tc>
          <w:tcPr>
            <w:tcW w:w="85" w:type="pct"/>
            <w:vAlign w:val="center"/>
            <w:hideMark/>
          </w:tcPr>
          <w:p w14:paraId="2098F057"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D083A81" w14:textId="77777777" w:rsidTr="00AA4D71">
        <w:trPr>
          <w:trHeight w:val="780"/>
        </w:trPr>
        <w:tc>
          <w:tcPr>
            <w:tcW w:w="209" w:type="pct"/>
            <w:tcBorders>
              <w:top w:val="nil"/>
              <w:left w:val="nil"/>
              <w:bottom w:val="nil"/>
              <w:right w:val="nil"/>
            </w:tcBorders>
            <w:noWrap/>
            <w:vAlign w:val="center"/>
            <w:hideMark/>
          </w:tcPr>
          <w:p w14:paraId="5951328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1B0D563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9B153A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52E2CEB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6220F9E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2620E2D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Waterlogging causing softening of the yard, reducing bearing capacity</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6AA77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4B50C2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Yard drainage installed and surface hardening concrete is used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09F454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9316ED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180</w:t>
            </w:r>
          </w:p>
        </w:tc>
        <w:tc>
          <w:tcPr>
            <w:tcW w:w="646" w:type="pct"/>
            <w:tcBorders>
              <w:top w:val="nil"/>
              <w:left w:val="nil"/>
              <w:bottom w:val="single" w:sz="4" w:space="0" w:color="auto"/>
              <w:right w:val="single" w:sz="4" w:space="0" w:color="auto"/>
            </w:tcBorders>
            <w:vAlign w:val="center"/>
            <w:hideMark/>
          </w:tcPr>
          <w:p w14:paraId="0876E55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Schedule seasonal and post extreme weather inspections of ground condition and base integrity, temporarily reduce stack heights or relocate stacks if ground condition has deteriorated</w:t>
            </w:r>
          </w:p>
        </w:tc>
        <w:tc>
          <w:tcPr>
            <w:tcW w:w="528" w:type="pct"/>
            <w:tcBorders>
              <w:top w:val="nil"/>
              <w:left w:val="nil"/>
              <w:bottom w:val="single" w:sz="4" w:space="0" w:color="auto"/>
              <w:right w:val="single" w:sz="4" w:space="0" w:color="auto"/>
            </w:tcBorders>
            <w:vAlign w:val="center"/>
            <w:hideMark/>
          </w:tcPr>
          <w:p w14:paraId="5449C26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Mill Production teams, Port Talbot compliance teams</w:t>
            </w:r>
          </w:p>
        </w:tc>
        <w:tc>
          <w:tcPr>
            <w:tcW w:w="85" w:type="pct"/>
            <w:vAlign w:val="center"/>
            <w:hideMark/>
          </w:tcPr>
          <w:p w14:paraId="2CB4BEC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5FEFBB8" w14:textId="77777777" w:rsidTr="00AA4D71">
        <w:trPr>
          <w:trHeight w:val="780"/>
        </w:trPr>
        <w:tc>
          <w:tcPr>
            <w:tcW w:w="209" w:type="pct"/>
            <w:tcBorders>
              <w:top w:val="nil"/>
              <w:left w:val="nil"/>
              <w:bottom w:val="nil"/>
              <w:right w:val="nil"/>
            </w:tcBorders>
            <w:noWrap/>
            <w:vAlign w:val="center"/>
            <w:hideMark/>
          </w:tcPr>
          <w:p w14:paraId="2FB928A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6D59549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170E774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21038E0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06C803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D7F26A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Time pressure leading to unsafe stacking practises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1FBA83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7E7233D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Mandatory training and certification for yard stacking crews, with team leader approving sign off on any deviation from SWP. </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E3C308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61E681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180</w:t>
            </w:r>
          </w:p>
        </w:tc>
        <w:tc>
          <w:tcPr>
            <w:tcW w:w="646" w:type="pct"/>
            <w:tcBorders>
              <w:top w:val="nil"/>
              <w:left w:val="nil"/>
              <w:bottom w:val="single" w:sz="4" w:space="0" w:color="auto"/>
              <w:right w:val="single" w:sz="4" w:space="0" w:color="auto"/>
            </w:tcBorders>
            <w:vAlign w:val="center"/>
            <w:hideMark/>
          </w:tcPr>
          <w:p w14:paraId="378CD58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Invest in an annual independent safety audit which includes structural review and publish any remediation plan with deadlines for any identified issues</w:t>
            </w:r>
          </w:p>
        </w:tc>
        <w:tc>
          <w:tcPr>
            <w:tcW w:w="528" w:type="pct"/>
            <w:tcBorders>
              <w:top w:val="nil"/>
              <w:left w:val="nil"/>
              <w:bottom w:val="single" w:sz="4" w:space="0" w:color="auto"/>
              <w:right w:val="single" w:sz="4" w:space="0" w:color="auto"/>
            </w:tcBorders>
            <w:vAlign w:val="center"/>
            <w:hideMark/>
          </w:tcPr>
          <w:p w14:paraId="30E7C62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Procurement &amp; </w:t>
            </w:r>
            <w:proofErr w:type="gramStart"/>
            <w:r w:rsidRPr="003D1BBB">
              <w:rPr>
                <w:rFonts w:ascii="Calibri" w:eastAsia="Times New Roman" w:hAnsi="Calibri" w:cs="Calibri"/>
                <w:kern w:val="0"/>
                <w:sz w:val="20"/>
                <w:szCs w:val="20"/>
                <w:lang w:eastAsia="en-GB"/>
                <w14:ligatures w14:val="none"/>
              </w:rPr>
              <w:t>Third Party</w:t>
            </w:r>
            <w:proofErr w:type="gramEnd"/>
            <w:r w:rsidRPr="003D1BBB">
              <w:rPr>
                <w:rFonts w:ascii="Calibri" w:eastAsia="Times New Roman" w:hAnsi="Calibri" w:cs="Calibri"/>
                <w:kern w:val="0"/>
                <w:sz w:val="20"/>
                <w:szCs w:val="20"/>
                <w:lang w:eastAsia="en-GB"/>
                <w14:ligatures w14:val="none"/>
              </w:rPr>
              <w:t xml:space="preserve"> Auditors</w:t>
            </w:r>
          </w:p>
        </w:tc>
        <w:tc>
          <w:tcPr>
            <w:tcW w:w="85" w:type="pct"/>
            <w:vAlign w:val="center"/>
            <w:hideMark/>
          </w:tcPr>
          <w:p w14:paraId="46AA800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092C493" w14:textId="77777777" w:rsidTr="00AA4D71">
        <w:trPr>
          <w:trHeight w:val="765"/>
        </w:trPr>
        <w:tc>
          <w:tcPr>
            <w:tcW w:w="209" w:type="pct"/>
            <w:tcBorders>
              <w:top w:val="nil"/>
              <w:left w:val="nil"/>
              <w:bottom w:val="nil"/>
              <w:right w:val="nil"/>
            </w:tcBorders>
            <w:noWrap/>
            <w:vAlign w:val="center"/>
            <w:hideMark/>
          </w:tcPr>
          <w:p w14:paraId="720B6D8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3B75A9E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2C042FC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37A9C0D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Deformation of lower slabs affecting rolling flatness and yield</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06586A0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08E93C0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Excessive stack height</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6B1BBE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B8360F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Strict stacking procedures (Max height, alignment and base conditions)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A2AE27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A3F55D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vMerge w:val="restart"/>
            <w:tcBorders>
              <w:top w:val="nil"/>
              <w:left w:val="single" w:sz="4" w:space="0" w:color="auto"/>
              <w:bottom w:val="single" w:sz="4" w:space="0" w:color="000000"/>
              <w:right w:val="single" w:sz="4" w:space="0" w:color="auto"/>
            </w:tcBorders>
            <w:vAlign w:val="center"/>
            <w:hideMark/>
          </w:tcPr>
          <w:p w14:paraId="6ACDB63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a measurement process for sample flatness checks (straightness/camber) on arrival for slabs from high-risk stacks and hold suspect slabs for reconditioning</w:t>
            </w:r>
          </w:p>
        </w:tc>
        <w:tc>
          <w:tcPr>
            <w:tcW w:w="528" w:type="pct"/>
            <w:vMerge w:val="restart"/>
            <w:tcBorders>
              <w:top w:val="nil"/>
              <w:left w:val="single" w:sz="4" w:space="0" w:color="auto"/>
              <w:bottom w:val="single" w:sz="4" w:space="0" w:color="000000"/>
              <w:right w:val="single" w:sz="4" w:space="0" w:color="auto"/>
            </w:tcBorders>
            <w:vAlign w:val="center"/>
            <w:hideMark/>
          </w:tcPr>
          <w:p w14:paraId="70D3EEA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&amp; Mill Production team</w:t>
            </w:r>
          </w:p>
        </w:tc>
        <w:tc>
          <w:tcPr>
            <w:tcW w:w="85" w:type="pct"/>
            <w:vAlign w:val="center"/>
            <w:hideMark/>
          </w:tcPr>
          <w:p w14:paraId="0D76C5E6"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91567F6" w14:textId="77777777" w:rsidTr="00AA4D71">
        <w:trPr>
          <w:trHeight w:val="520"/>
        </w:trPr>
        <w:tc>
          <w:tcPr>
            <w:tcW w:w="209" w:type="pct"/>
            <w:tcBorders>
              <w:top w:val="nil"/>
              <w:left w:val="nil"/>
              <w:bottom w:val="nil"/>
              <w:right w:val="nil"/>
            </w:tcBorders>
            <w:noWrap/>
            <w:vAlign w:val="center"/>
            <w:hideMark/>
          </w:tcPr>
          <w:p w14:paraId="398C01D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4B2F3EB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E84DED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7A66F14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A43B3D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256569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Prolonged stacking of slabs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5445D0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nil"/>
              <w:right w:val="single" w:sz="4" w:space="0" w:color="auto"/>
            </w:tcBorders>
            <w:vAlign w:val="center"/>
            <w:hideMark/>
          </w:tcPr>
          <w:p w14:paraId="5AB2D48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Slabs rolled based on deadline date and priority</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98F1A6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1F59EF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210</w:t>
            </w:r>
          </w:p>
        </w:tc>
        <w:tc>
          <w:tcPr>
            <w:tcW w:w="646" w:type="pct"/>
            <w:vMerge/>
            <w:tcBorders>
              <w:top w:val="nil"/>
              <w:left w:val="single" w:sz="4" w:space="0" w:color="auto"/>
              <w:bottom w:val="single" w:sz="4" w:space="0" w:color="000000"/>
              <w:right w:val="single" w:sz="4" w:space="0" w:color="auto"/>
            </w:tcBorders>
            <w:vAlign w:val="center"/>
            <w:hideMark/>
          </w:tcPr>
          <w:p w14:paraId="66E03BA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435C576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48928C19"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DB81934" w14:textId="77777777" w:rsidTr="00AA4D71">
        <w:trPr>
          <w:trHeight w:val="1040"/>
        </w:trPr>
        <w:tc>
          <w:tcPr>
            <w:tcW w:w="209" w:type="pct"/>
            <w:tcBorders>
              <w:top w:val="nil"/>
              <w:left w:val="nil"/>
              <w:bottom w:val="nil"/>
              <w:right w:val="nil"/>
            </w:tcBorders>
            <w:noWrap/>
            <w:vAlign w:val="center"/>
            <w:hideMark/>
          </w:tcPr>
          <w:p w14:paraId="054209C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517E071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AE2B12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15B22C8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6F634CD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F87185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Stacking incompatible slab geometries without readily available load distribution measures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CBC91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single" w:sz="4" w:space="0" w:color="auto"/>
              <w:left w:val="nil"/>
              <w:bottom w:val="nil"/>
              <w:right w:val="single" w:sz="4" w:space="0" w:color="auto"/>
            </w:tcBorders>
            <w:vAlign w:val="center"/>
            <w:hideMark/>
          </w:tcPr>
          <w:p w14:paraId="391381F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Yard block is designed to avoid mixed stacking of slab mismatches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C6DE02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E3E43C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210</w:t>
            </w:r>
          </w:p>
        </w:tc>
        <w:tc>
          <w:tcPr>
            <w:tcW w:w="646" w:type="pct"/>
            <w:tcBorders>
              <w:top w:val="nil"/>
              <w:left w:val="nil"/>
              <w:bottom w:val="nil"/>
              <w:right w:val="nil"/>
            </w:tcBorders>
            <w:vAlign w:val="center"/>
            <w:hideMark/>
          </w:tcPr>
          <w:p w14:paraId="15BB789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Quantify flatness non-conformances and capture data to find root cause</w:t>
            </w:r>
          </w:p>
        </w:tc>
        <w:tc>
          <w:tcPr>
            <w:tcW w:w="528" w:type="pct"/>
            <w:tcBorders>
              <w:top w:val="nil"/>
              <w:left w:val="single" w:sz="4" w:space="0" w:color="auto"/>
              <w:bottom w:val="single" w:sz="4" w:space="0" w:color="auto"/>
              <w:right w:val="single" w:sz="4" w:space="0" w:color="auto"/>
            </w:tcBorders>
            <w:vAlign w:val="center"/>
            <w:hideMark/>
          </w:tcPr>
          <w:p w14:paraId="540F363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66A0B12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1F9FB5B" w14:textId="77777777" w:rsidTr="00AA4D71">
        <w:trPr>
          <w:trHeight w:val="765"/>
        </w:trPr>
        <w:tc>
          <w:tcPr>
            <w:tcW w:w="209" w:type="pct"/>
            <w:tcBorders>
              <w:top w:val="nil"/>
              <w:left w:val="nil"/>
              <w:bottom w:val="nil"/>
              <w:right w:val="nil"/>
            </w:tcBorders>
            <w:noWrap/>
            <w:vAlign w:val="center"/>
            <w:hideMark/>
          </w:tcPr>
          <w:p w14:paraId="5AABAE0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0740A0C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nil"/>
              <w:right w:val="single" w:sz="4" w:space="0" w:color="auto"/>
            </w:tcBorders>
            <w:vAlign w:val="center"/>
            <w:hideMark/>
          </w:tcPr>
          <w:p w14:paraId="5564E8C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Exposure to weather</w:t>
            </w:r>
          </w:p>
        </w:tc>
        <w:tc>
          <w:tcPr>
            <w:tcW w:w="517" w:type="pct"/>
            <w:vMerge w:val="restart"/>
            <w:tcBorders>
              <w:top w:val="nil"/>
              <w:left w:val="single" w:sz="4" w:space="0" w:color="auto"/>
              <w:bottom w:val="single" w:sz="4" w:space="0" w:color="000000"/>
              <w:right w:val="single" w:sz="4" w:space="0" w:color="auto"/>
            </w:tcBorders>
            <w:vAlign w:val="center"/>
            <w:hideMark/>
          </w:tcPr>
          <w:p w14:paraId="1B4214A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Surface corrosion</w:t>
            </w:r>
          </w:p>
        </w:tc>
        <w:tc>
          <w:tcPr>
            <w:tcW w:w="161" w:type="pct"/>
            <w:vMerge w:val="restart"/>
            <w:tcBorders>
              <w:top w:val="single" w:sz="4" w:space="0" w:color="auto"/>
              <w:left w:val="single" w:sz="4" w:space="0" w:color="auto"/>
              <w:bottom w:val="nil"/>
              <w:right w:val="single" w:sz="4" w:space="0" w:color="auto"/>
            </w:tcBorders>
            <w:shd w:val="clear" w:color="000000" w:fill="FFFF00"/>
            <w:vAlign w:val="center"/>
            <w:hideMark/>
          </w:tcPr>
          <w:p w14:paraId="511DEFC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614" w:type="pct"/>
            <w:tcBorders>
              <w:top w:val="nil"/>
              <w:left w:val="nil"/>
              <w:bottom w:val="single" w:sz="4" w:space="0" w:color="auto"/>
              <w:right w:val="single" w:sz="4" w:space="0" w:color="auto"/>
            </w:tcBorders>
            <w:vAlign w:val="center"/>
            <w:hideMark/>
          </w:tcPr>
          <w:p w14:paraId="048575B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Prolonged exposure to salt-laden conditions or rain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F02036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vMerge w:val="restart"/>
            <w:tcBorders>
              <w:top w:val="single" w:sz="4" w:space="0" w:color="auto"/>
              <w:left w:val="single" w:sz="4" w:space="0" w:color="auto"/>
              <w:bottom w:val="single" w:sz="4" w:space="0" w:color="000000"/>
              <w:right w:val="single" w:sz="4" w:space="0" w:color="auto"/>
            </w:tcBorders>
            <w:vAlign w:val="center"/>
            <w:hideMark/>
          </w:tcPr>
          <w:p w14:paraId="5B49BEB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High performance, breathable coverings are used if slabs are stored outside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727529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A9772D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180</w:t>
            </w:r>
          </w:p>
        </w:tc>
        <w:tc>
          <w:tcPr>
            <w:tcW w:w="646" w:type="pct"/>
            <w:vMerge w:val="restart"/>
            <w:tcBorders>
              <w:top w:val="single" w:sz="4" w:space="0" w:color="auto"/>
              <w:left w:val="single" w:sz="4" w:space="0" w:color="auto"/>
              <w:bottom w:val="single" w:sz="4" w:space="0" w:color="000000"/>
              <w:right w:val="single" w:sz="4" w:space="0" w:color="auto"/>
            </w:tcBorders>
            <w:vAlign w:val="center"/>
            <w:hideMark/>
          </w:tcPr>
          <w:p w14:paraId="1F1CBC9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Enhance yard storage system to ensure slabs are stored under cover, improve organisation so that when slabs are due to be </w:t>
            </w:r>
            <w:proofErr w:type="gramStart"/>
            <w:r w:rsidRPr="003D1BBB">
              <w:rPr>
                <w:rFonts w:ascii="Calibri" w:eastAsia="Times New Roman" w:hAnsi="Calibri" w:cs="Calibri"/>
                <w:kern w:val="0"/>
                <w:sz w:val="20"/>
                <w:szCs w:val="20"/>
                <w:lang w:eastAsia="en-GB"/>
                <w14:ligatures w14:val="none"/>
              </w:rPr>
              <w:t>rolled</w:t>
            </w:r>
            <w:proofErr w:type="gramEnd"/>
            <w:r w:rsidRPr="003D1BBB">
              <w:rPr>
                <w:rFonts w:ascii="Calibri" w:eastAsia="Times New Roman" w:hAnsi="Calibri" w:cs="Calibri"/>
                <w:kern w:val="0"/>
                <w:sz w:val="20"/>
                <w:szCs w:val="20"/>
                <w:lang w:eastAsia="en-GB"/>
                <w14:ligatures w14:val="none"/>
              </w:rPr>
              <w:t xml:space="preserve"> they are moved to space easiest for manoeuvre</w:t>
            </w:r>
          </w:p>
        </w:tc>
        <w:tc>
          <w:tcPr>
            <w:tcW w:w="528" w:type="pct"/>
            <w:vMerge w:val="restart"/>
            <w:tcBorders>
              <w:top w:val="nil"/>
              <w:left w:val="single" w:sz="4" w:space="0" w:color="auto"/>
              <w:bottom w:val="single" w:sz="4" w:space="0" w:color="000000"/>
              <w:right w:val="single" w:sz="4" w:space="0" w:color="auto"/>
            </w:tcBorders>
            <w:vAlign w:val="center"/>
            <w:hideMark/>
          </w:tcPr>
          <w:p w14:paraId="2C7B4EF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&amp; Mill Production team</w:t>
            </w:r>
          </w:p>
        </w:tc>
        <w:tc>
          <w:tcPr>
            <w:tcW w:w="85" w:type="pct"/>
            <w:vAlign w:val="center"/>
            <w:hideMark/>
          </w:tcPr>
          <w:p w14:paraId="1190FB0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74BBE48" w14:textId="77777777" w:rsidTr="00AA4D71">
        <w:trPr>
          <w:trHeight w:val="260"/>
        </w:trPr>
        <w:tc>
          <w:tcPr>
            <w:tcW w:w="209" w:type="pct"/>
            <w:tcBorders>
              <w:top w:val="nil"/>
              <w:left w:val="nil"/>
              <w:bottom w:val="nil"/>
              <w:right w:val="nil"/>
            </w:tcBorders>
            <w:noWrap/>
            <w:vAlign w:val="center"/>
            <w:hideMark/>
          </w:tcPr>
          <w:p w14:paraId="6E2C890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3D92C45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4284124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5FBF111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FFFF95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5A0CA7B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slab coverings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289F02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vMerge/>
            <w:tcBorders>
              <w:top w:val="single" w:sz="4" w:space="0" w:color="auto"/>
              <w:left w:val="single" w:sz="4" w:space="0" w:color="auto"/>
              <w:bottom w:val="single" w:sz="4" w:space="0" w:color="000000"/>
              <w:right w:val="single" w:sz="4" w:space="0" w:color="auto"/>
            </w:tcBorders>
            <w:vAlign w:val="center"/>
            <w:hideMark/>
          </w:tcPr>
          <w:p w14:paraId="70CF644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F47F78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6EECA6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150</w:t>
            </w:r>
          </w:p>
        </w:tc>
        <w:tc>
          <w:tcPr>
            <w:tcW w:w="646" w:type="pct"/>
            <w:vMerge/>
            <w:tcBorders>
              <w:top w:val="single" w:sz="4" w:space="0" w:color="auto"/>
              <w:left w:val="single" w:sz="4" w:space="0" w:color="auto"/>
              <w:bottom w:val="single" w:sz="4" w:space="0" w:color="000000"/>
              <w:right w:val="single" w:sz="4" w:space="0" w:color="auto"/>
            </w:tcBorders>
            <w:vAlign w:val="center"/>
            <w:hideMark/>
          </w:tcPr>
          <w:p w14:paraId="71D6E61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5C4708E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2C2D777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EEBCDED" w14:textId="77777777" w:rsidTr="00AA4D71">
        <w:trPr>
          <w:trHeight w:val="780"/>
        </w:trPr>
        <w:tc>
          <w:tcPr>
            <w:tcW w:w="209" w:type="pct"/>
            <w:tcBorders>
              <w:top w:val="nil"/>
              <w:left w:val="nil"/>
              <w:bottom w:val="nil"/>
              <w:right w:val="nil"/>
            </w:tcBorders>
            <w:noWrap/>
            <w:vAlign w:val="center"/>
            <w:hideMark/>
          </w:tcPr>
          <w:p w14:paraId="5FCFABA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3CF8AA7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2AB062A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BC6AA0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F76330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48F5A0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Failure to apply temporary corrosion inhibitors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A7D558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547ACA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Suppliers apply approved temporary corrosion inhibitors and provide photographic evidence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9B6955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C8C50A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144</w:t>
            </w:r>
          </w:p>
        </w:tc>
        <w:tc>
          <w:tcPr>
            <w:tcW w:w="646" w:type="pct"/>
            <w:vMerge/>
            <w:tcBorders>
              <w:top w:val="single" w:sz="4" w:space="0" w:color="auto"/>
              <w:left w:val="single" w:sz="4" w:space="0" w:color="auto"/>
              <w:bottom w:val="single" w:sz="4" w:space="0" w:color="000000"/>
              <w:right w:val="single" w:sz="4" w:space="0" w:color="auto"/>
            </w:tcBorders>
            <w:vAlign w:val="center"/>
            <w:hideMark/>
          </w:tcPr>
          <w:p w14:paraId="5DFEB78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0FD4DF4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7485DFE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75A22B9" w14:textId="77777777" w:rsidTr="00AA4D71">
        <w:trPr>
          <w:trHeight w:val="1300"/>
        </w:trPr>
        <w:tc>
          <w:tcPr>
            <w:tcW w:w="209" w:type="pct"/>
            <w:tcBorders>
              <w:top w:val="nil"/>
              <w:left w:val="nil"/>
              <w:bottom w:val="nil"/>
              <w:right w:val="nil"/>
            </w:tcBorders>
            <w:noWrap/>
            <w:vAlign w:val="center"/>
            <w:hideMark/>
          </w:tcPr>
          <w:p w14:paraId="4747E6A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2C692BB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59BE5C5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76E9B8D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Higher mill cleaning requirements</w:t>
            </w:r>
          </w:p>
        </w:tc>
        <w:tc>
          <w:tcPr>
            <w:tcW w:w="161" w:type="pct"/>
            <w:vMerge w:val="restart"/>
            <w:tcBorders>
              <w:top w:val="single" w:sz="4" w:space="0" w:color="auto"/>
              <w:left w:val="single" w:sz="4" w:space="0" w:color="auto"/>
              <w:bottom w:val="nil"/>
              <w:right w:val="single" w:sz="4" w:space="0" w:color="auto"/>
            </w:tcBorders>
            <w:shd w:val="clear" w:color="000000" w:fill="FFFF00"/>
            <w:vAlign w:val="center"/>
            <w:hideMark/>
          </w:tcPr>
          <w:p w14:paraId="7F66041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614" w:type="pct"/>
            <w:tcBorders>
              <w:top w:val="nil"/>
              <w:left w:val="nil"/>
              <w:bottom w:val="single" w:sz="4" w:space="0" w:color="auto"/>
              <w:right w:val="single" w:sz="4" w:space="0" w:color="auto"/>
            </w:tcBorders>
            <w:vAlign w:val="center"/>
            <w:hideMark/>
          </w:tcPr>
          <w:p w14:paraId="07B913A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Arrival of slabs with salt deposits or oil/grease residues requiring additional mechanical or chemical cleaning</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232861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474E02B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Clearly defined surface condition required in line with acceptance criteria</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6CAAD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85BAB4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150</w:t>
            </w:r>
          </w:p>
        </w:tc>
        <w:tc>
          <w:tcPr>
            <w:tcW w:w="646" w:type="pct"/>
            <w:tcBorders>
              <w:top w:val="nil"/>
              <w:left w:val="nil"/>
              <w:bottom w:val="single" w:sz="4" w:space="0" w:color="auto"/>
              <w:right w:val="single" w:sz="4" w:space="0" w:color="auto"/>
            </w:tcBorders>
            <w:vAlign w:val="center"/>
            <w:hideMark/>
          </w:tcPr>
          <w:p w14:paraId="6FC660D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Site configuration could be improved to route inbound slabs first to inspection and wash stations prior to furnace entry</w:t>
            </w:r>
          </w:p>
        </w:tc>
        <w:tc>
          <w:tcPr>
            <w:tcW w:w="528" w:type="pct"/>
            <w:tcBorders>
              <w:top w:val="nil"/>
              <w:left w:val="nil"/>
              <w:bottom w:val="single" w:sz="4" w:space="0" w:color="auto"/>
              <w:right w:val="single" w:sz="4" w:space="0" w:color="auto"/>
            </w:tcBorders>
            <w:vAlign w:val="center"/>
            <w:hideMark/>
          </w:tcPr>
          <w:p w14:paraId="287DEBC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&amp; Mill Production team</w:t>
            </w:r>
          </w:p>
        </w:tc>
        <w:tc>
          <w:tcPr>
            <w:tcW w:w="85" w:type="pct"/>
            <w:vAlign w:val="center"/>
            <w:hideMark/>
          </w:tcPr>
          <w:p w14:paraId="01CBED45"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CF417DE" w14:textId="77777777" w:rsidTr="00AA4D71">
        <w:trPr>
          <w:trHeight w:val="520"/>
        </w:trPr>
        <w:tc>
          <w:tcPr>
            <w:tcW w:w="209" w:type="pct"/>
            <w:tcBorders>
              <w:top w:val="nil"/>
              <w:left w:val="nil"/>
              <w:bottom w:val="nil"/>
              <w:right w:val="nil"/>
            </w:tcBorders>
            <w:noWrap/>
            <w:vAlign w:val="center"/>
            <w:hideMark/>
          </w:tcPr>
          <w:p w14:paraId="27F2BE9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26869E3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15702F6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0BD78A4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66E1822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44BE48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Insufficient wash/cleaning capacity at Port talbot</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E8A1D7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3398B6E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Dedicated wash/degrease bays at Port Talbot with scalable capacity </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4AD3B2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4C3C18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120</w:t>
            </w:r>
          </w:p>
        </w:tc>
        <w:tc>
          <w:tcPr>
            <w:tcW w:w="646" w:type="pct"/>
            <w:vMerge w:val="restart"/>
            <w:tcBorders>
              <w:top w:val="nil"/>
              <w:left w:val="single" w:sz="4" w:space="0" w:color="auto"/>
              <w:bottom w:val="single" w:sz="4" w:space="0" w:color="000000"/>
              <w:right w:val="single" w:sz="4" w:space="0" w:color="auto"/>
            </w:tcBorders>
            <w:vAlign w:val="center"/>
            <w:hideMark/>
          </w:tcPr>
          <w:p w14:paraId="64E3466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Integrate surface condition checks into the yard management system and train yard staff on rapid triage to prioritise cleaning</w:t>
            </w:r>
          </w:p>
        </w:tc>
        <w:tc>
          <w:tcPr>
            <w:tcW w:w="528" w:type="pct"/>
            <w:vMerge w:val="restart"/>
            <w:tcBorders>
              <w:top w:val="nil"/>
              <w:left w:val="single" w:sz="4" w:space="0" w:color="auto"/>
              <w:bottom w:val="single" w:sz="4" w:space="0" w:color="000000"/>
              <w:right w:val="single" w:sz="4" w:space="0" w:color="auto"/>
            </w:tcBorders>
            <w:vAlign w:val="center"/>
            <w:hideMark/>
          </w:tcPr>
          <w:p w14:paraId="7E0FF33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&amp; Mill Production team</w:t>
            </w:r>
          </w:p>
        </w:tc>
        <w:tc>
          <w:tcPr>
            <w:tcW w:w="85" w:type="pct"/>
            <w:vAlign w:val="center"/>
            <w:hideMark/>
          </w:tcPr>
          <w:p w14:paraId="44F382F7"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C576EBE" w14:textId="77777777" w:rsidTr="00AA4D71">
        <w:trPr>
          <w:trHeight w:val="780"/>
        </w:trPr>
        <w:tc>
          <w:tcPr>
            <w:tcW w:w="209" w:type="pct"/>
            <w:tcBorders>
              <w:top w:val="nil"/>
              <w:left w:val="nil"/>
              <w:bottom w:val="nil"/>
              <w:right w:val="nil"/>
            </w:tcBorders>
            <w:noWrap/>
            <w:vAlign w:val="center"/>
            <w:hideMark/>
          </w:tcPr>
          <w:p w14:paraId="4B448D3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1FE9801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5BE3024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2EDAA85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57A0AC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5FCF62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agreed acceptance criteria leading to variable cleaning decisions on arrival</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47ADE1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08A65E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Clearly defined surface condition required in line with acceptance criteria</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181B8D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89DEFB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180</w:t>
            </w:r>
          </w:p>
        </w:tc>
        <w:tc>
          <w:tcPr>
            <w:tcW w:w="646" w:type="pct"/>
            <w:vMerge/>
            <w:tcBorders>
              <w:top w:val="nil"/>
              <w:left w:val="single" w:sz="4" w:space="0" w:color="auto"/>
              <w:bottom w:val="single" w:sz="4" w:space="0" w:color="000000"/>
              <w:right w:val="single" w:sz="4" w:space="0" w:color="auto"/>
            </w:tcBorders>
            <w:vAlign w:val="center"/>
            <w:hideMark/>
          </w:tcPr>
          <w:p w14:paraId="7E0336C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5C5A03B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044DEBB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0A6594A" w14:textId="77777777" w:rsidTr="00AA4D71">
        <w:trPr>
          <w:trHeight w:val="780"/>
        </w:trPr>
        <w:tc>
          <w:tcPr>
            <w:tcW w:w="209" w:type="pct"/>
            <w:tcBorders>
              <w:top w:val="nil"/>
              <w:left w:val="nil"/>
              <w:bottom w:val="nil"/>
              <w:right w:val="nil"/>
            </w:tcBorders>
            <w:noWrap/>
            <w:vAlign w:val="center"/>
            <w:hideMark/>
          </w:tcPr>
          <w:p w14:paraId="0140448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19915F7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single" w:sz="4" w:space="0" w:color="auto"/>
              <w:left w:val="single" w:sz="4" w:space="0" w:color="auto"/>
              <w:bottom w:val="nil"/>
              <w:right w:val="single" w:sz="4" w:space="0" w:color="auto"/>
            </w:tcBorders>
            <w:vAlign w:val="center"/>
            <w:hideMark/>
          </w:tcPr>
          <w:p w14:paraId="7907EDB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Loss of identification </w:t>
            </w:r>
          </w:p>
        </w:tc>
        <w:tc>
          <w:tcPr>
            <w:tcW w:w="517" w:type="pct"/>
            <w:vMerge w:val="restart"/>
            <w:tcBorders>
              <w:top w:val="nil"/>
              <w:left w:val="single" w:sz="4" w:space="0" w:color="auto"/>
              <w:bottom w:val="single" w:sz="4" w:space="0" w:color="auto"/>
              <w:right w:val="single" w:sz="4" w:space="0" w:color="auto"/>
            </w:tcBorders>
            <w:vAlign w:val="center"/>
            <w:hideMark/>
          </w:tcPr>
          <w:p w14:paraId="40382FA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Traceability loss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468926E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noWrap/>
            <w:vAlign w:val="center"/>
            <w:hideMark/>
          </w:tcPr>
          <w:p w14:paraId="16A67B2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tag adhesion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BD078F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57BC783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Use of industrial grade, weather resistant paint for labelling of slabs to help aid clear identification</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45D88F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435C262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245</w:t>
            </w:r>
          </w:p>
        </w:tc>
        <w:tc>
          <w:tcPr>
            <w:tcW w:w="646" w:type="pct"/>
            <w:tcBorders>
              <w:top w:val="nil"/>
              <w:left w:val="nil"/>
              <w:bottom w:val="single" w:sz="4" w:space="0" w:color="auto"/>
              <w:right w:val="single" w:sz="4" w:space="0" w:color="auto"/>
            </w:tcBorders>
            <w:vAlign w:val="center"/>
            <w:hideMark/>
          </w:tcPr>
          <w:p w14:paraId="413159E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Look to swap to a barcode/RFID system which can be linked to a digital database</w:t>
            </w:r>
          </w:p>
        </w:tc>
        <w:tc>
          <w:tcPr>
            <w:tcW w:w="528" w:type="pct"/>
            <w:tcBorders>
              <w:top w:val="nil"/>
              <w:left w:val="nil"/>
              <w:bottom w:val="single" w:sz="4" w:space="0" w:color="auto"/>
              <w:right w:val="single" w:sz="4" w:space="0" w:color="auto"/>
            </w:tcBorders>
            <w:vAlign w:val="center"/>
            <w:hideMark/>
          </w:tcPr>
          <w:p w14:paraId="1D52A65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Procurement, Technical teams, external contractors </w:t>
            </w:r>
          </w:p>
        </w:tc>
        <w:tc>
          <w:tcPr>
            <w:tcW w:w="85" w:type="pct"/>
            <w:vAlign w:val="center"/>
            <w:hideMark/>
          </w:tcPr>
          <w:p w14:paraId="06C3627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DD647C7" w14:textId="77777777" w:rsidTr="00AA4D71">
        <w:trPr>
          <w:trHeight w:val="780"/>
        </w:trPr>
        <w:tc>
          <w:tcPr>
            <w:tcW w:w="209" w:type="pct"/>
            <w:tcBorders>
              <w:top w:val="nil"/>
              <w:left w:val="nil"/>
              <w:bottom w:val="nil"/>
              <w:right w:val="nil"/>
            </w:tcBorders>
            <w:noWrap/>
            <w:vAlign w:val="center"/>
            <w:hideMark/>
          </w:tcPr>
          <w:p w14:paraId="58BC135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423FF2C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nil"/>
              <w:right w:val="single" w:sz="4" w:space="0" w:color="auto"/>
            </w:tcBorders>
            <w:vAlign w:val="center"/>
            <w:hideMark/>
          </w:tcPr>
          <w:p w14:paraId="2A51E99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auto"/>
              <w:right w:val="single" w:sz="4" w:space="0" w:color="auto"/>
            </w:tcBorders>
            <w:vAlign w:val="center"/>
            <w:hideMark/>
          </w:tcPr>
          <w:p w14:paraId="237B97F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78151C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72ABC2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Human error during yard entry</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D80BF8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2F40104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Staff are trained and competence checks are confirmed on a quarterly basis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47BC7DA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52C788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245</w:t>
            </w:r>
          </w:p>
        </w:tc>
        <w:tc>
          <w:tcPr>
            <w:tcW w:w="646" w:type="pct"/>
            <w:tcBorders>
              <w:top w:val="nil"/>
              <w:left w:val="nil"/>
              <w:bottom w:val="single" w:sz="4" w:space="0" w:color="auto"/>
              <w:right w:val="single" w:sz="4" w:space="0" w:color="auto"/>
            </w:tcBorders>
            <w:vAlign w:val="center"/>
            <w:hideMark/>
          </w:tcPr>
          <w:p w14:paraId="3618DA9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Look to swap to a barcode/RFID system which can be linked to a digital database</w:t>
            </w:r>
          </w:p>
        </w:tc>
        <w:tc>
          <w:tcPr>
            <w:tcW w:w="528" w:type="pct"/>
            <w:tcBorders>
              <w:top w:val="nil"/>
              <w:left w:val="nil"/>
              <w:bottom w:val="single" w:sz="4" w:space="0" w:color="auto"/>
              <w:right w:val="single" w:sz="4" w:space="0" w:color="auto"/>
            </w:tcBorders>
            <w:vAlign w:val="center"/>
            <w:hideMark/>
          </w:tcPr>
          <w:p w14:paraId="72869CE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Procurement, Technical teams, external contractors </w:t>
            </w:r>
          </w:p>
        </w:tc>
        <w:tc>
          <w:tcPr>
            <w:tcW w:w="85" w:type="pct"/>
            <w:vAlign w:val="center"/>
            <w:hideMark/>
          </w:tcPr>
          <w:p w14:paraId="313D75A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FBDE245" w14:textId="77777777" w:rsidTr="00AA4D71">
        <w:trPr>
          <w:trHeight w:val="780"/>
        </w:trPr>
        <w:tc>
          <w:tcPr>
            <w:tcW w:w="209" w:type="pct"/>
            <w:tcBorders>
              <w:top w:val="nil"/>
              <w:left w:val="nil"/>
              <w:bottom w:val="nil"/>
              <w:right w:val="nil"/>
            </w:tcBorders>
            <w:noWrap/>
            <w:vAlign w:val="center"/>
            <w:hideMark/>
          </w:tcPr>
          <w:p w14:paraId="408C702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66B7D10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nil"/>
              <w:right w:val="single" w:sz="4" w:space="0" w:color="auto"/>
            </w:tcBorders>
            <w:vAlign w:val="center"/>
            <w:hideMark/>
          </w:tcPr>
          <w:p w14:paraId="34DBB8B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auto"/>
              <w:right w:val="single" w:sz="4" w:space="0" w:color="auto"/>
            </w:tcBorders>
            <w:vAlign w:val="center"/>
            <w:hideMark/>
          </w:tcPr>
          <w:p w14:paraId="6C4AFC6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3C2022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4D8E95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Corrosion or dirt obscuring markings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07C3BF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1914732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Slabs labelled with heat number multiple times on each side of slab to maximise chances of visible id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091860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9CF16C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210</w:t>
            </w:r>
          </w:p>
        </w:tc>
        <w:tc>
          <w:tcPr>
            <w:tcW w:w="646" w:type="pct"/>
            <w:tcBorders>
              <w:top w:val="nil"/>
              <w:left w:val="nil"/>
              <w:bottom w:val="single" w:sz="4" w:space="0" w:color="auto"/>
              <w:right w:val="single" w:sz="4" w:space="0" w:color="auto"/>
            </w:tcBorders>
            <w:vAlign w:val="center"/>
            <w:hideMark/>
          </w:tcPr>
          <w:p w14:paraId="08AA9E0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Look to swap to a barcode/RFID system which can be linked to a digital database</w:t>
            </w:r>
          </w:p>
        </w:tc>
        <w:tc>
          <w:tcPr>
            <w:tcW w:w="528" w:type="pct"/>
            <w:tcBorders>
              <w:top w:val="nil"/>
              <w:left w:val="nil"/>
              <w:bottom w:val="single" w:sz="4" w:space="0" w:color="auto"/>
              <w:right w:val="single" w:sz="4" w:space="0" w:color="auto"/>
            </w:tcBorders>
            <w:vAlign w:val="center"/>
            <w:hideMark/>
          </w:tcPr>
          <w:p w14:paraId="147D271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Procurement, Technical teams, external contractors </w:t>
            </w:r>
          </w:p>
        </w:tc>
        <w:tc>
          <w:tcPr>
            <w:tcW w:w="85" w:type="pct"/>
            <w:vAlign w:val="center"/>
            <w:hideMark/>
          </w:tcPr>
          <w:p w14:paraId="20509DAE"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20255CE" w14:textId="77777777" w:rsidTr="00AA4D71">
        <w:trPr>
          <w:trHeight w:val="765"/>
        </w:trPr>
        <w:tc>
          <w:tcPr>
            <w:tcW w:w="209" w:type="pct"/>
            <w:tcBorders>
              <w:top w:val="nil"/>
              <w:left w:val="nil"/>
              <w:bottom w:val="nil"/>
              <w:right w:val="nil"/>
            </w:tcBorders>
            <w:noWrap/>
            <w:vAlign w:val="center"/>
            <w:hideMark/>
          </w:tcPr>
          <w:p w14:paraId="429E448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4CB822F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single" w:sz="4" w:space="0" w:color="auto"/>
              <w:left w:val="single" w:sz="4" w:space="0" w:color="auto"/>
              <w:bottom w:val="single" w:sz="4" w:space="0" w:color="000000"/>
              <w:right w:val="single" w:sz="4" w:space="0" w:color="auto"/>
            </w:tcBorders>
            <w:vAlign w:val="center"/>
            <w:hideMark/>
          </w:tcPr>
          <w:p w14:paraId="4F217C5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Mechanical Damage during internal transport (Cranes etc)</w:t>
            </w:r>
          </w:p>
        </w:tc>
        <w:tc>
          <w:tcPr>
            <w:tcW w:w="517" w:type="pct"/>
            <w:vMerge w:val="restart"/>
            <w:tcBorders>
              <w:top w:val="nil"/>
              <w:left w:val="single" w:sz="4" w:space="0" w:color="auto"/>
              <w:bottom w:val="single" w:sz="4" w:space="0" w:color="000000"/>
              <w:right w:val="single" w:sz="4" w:space="0" w:color="auto"/>
            </w:tcBorders>
            <w:vAlign w:val="center"/>
            <w:hideMark/>
          </w:tcPr>
          <w:p w14:paraId="52AB50E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Surface impact damage from dropped slabs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114B4BB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10A576B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Sudden vehicle braking</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6C90BC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59D57FF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Vehicle speed limit with brake speed installed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E9B538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7DFC38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210</w:t>
            </w:r>
          </w:p>
        </w:tc>
        <w:tc>
          <w:tcPr>
            <w:tcW w:w="646" w:type="pct"/>
            <w:tcBorders>
              <w:top w:val="nil"/>
              <w:left w:val="nil"/>
              <w:bottom w:val="single" w:sz="4" w:space="0" w:color="auto"/>
              <w:right w:val="single" w:sz="4" w:space="0" w:color="auto"/>
            </w:tcBorders>
            <w:vAlign w:val="center"/>
            <w:hideMark/>
          </w:tcPr>
          <w:p w14:paraId="3E5DAE8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Integrate telematics to monitor harsh braking /acceleration events and use data to coach and train drivers/operators</w:t>
            </w:r>
          </w:p>
        </w:tc>
        <w:tc>
          <w:tcPr>
            <w:tcW w:w="528" w:type="pct"/>
            <w:tcBorders>
              <w:top w:val="nil"/>
              <w:left w:val="nil"/>
              <w:bottom w:val="single" w:sz="4" w:space="0" w:color="auto"/>
              <w:right w:val="single" w:sz="4" w:space="0" w:color="auto"/>
            </w:tcBorders>
            <w:vAlign w:val="center"/>
            <w:hideMark/>
          </w:tcPr>
          <w:p w14:paraId="2AFDFEC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Mill production team</w:t>
            </w:r>
          </w:p>
        </w:tc>
        <w:tc>
          <w:tcPr>
            <w:tcW w:w="85" w:type="pct"/>
            <w:vAlign w:val="center"/>
            <w:hideMark/>
          </w:tcPr>
          <w:p w14:paraId="6D243B42"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3B2D992" w14:textId="77777777" w:rsidTr="00AA4D71">
        <w:trPr>
          <w:trHeight w:val="765"/>
        </w:trPr>
        <w:tc>
          <w:tcPr>
            <w:tcW w:w="209" w:type="pct"/>
            <w:tcBorders>
              <w:top w:val="nil"/>
              <w:left w:val="nil"/>
              <w:bottom w:val="nil"/>
              <w:right w:val="nil"/>
            </w:tcBorders>
            <w:noWrap/>
            <w:vAlign w:val="center"/>
            <w:hideMark/>
          </w:tcPr>
          <w:p w14:paraId="4EA279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4A090BE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581A966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0F07CB9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919930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252B52F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load restraint</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A1A56C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2F80A92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Standardised securing procedures adhered to</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5E5025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D98D6D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vMerge w:val="restart"/>
            <w:tcBorders>
              <w:top w:val="nil"/>
              <w:left w:val="single" w:sz="4" w:space="0" w:color="auto"/>
              <w:bottom w:val="single" w:sz="4" w:space="0" w:color="000000"/>
              <w:right w:val="single" w:sz="4" w:space="0" w:color="auto"/>
            </w:tcBorders>
            <w:vAlign w:val="center"/>
            <w:hideMark/>
          </w:tcPr>
          <w:p w14:paraId="1B77F34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Track impact damage incidents in a defect register and corrective actions are required from responsible teams</w:t>
            </w:r>
          </w:p>
        </w:tc>
        <w:tc>
          <w:tcPr>
            <w:tcW w:w="528" w:type="pct"/>
            <w:vMerge w:val="restart"/>
            <w:tcBorders>
              <w:top w:val="nil"/>
              <w:left w:val="single" w:sz="4" w:space="0" w:color="auto"/>
              <w:bottom w:val="single" w:sz="4" w:space="0" w:color="000000"/>
              <w:right w:val="single" w:sz="4" w:space="0" w:color="auto"/>
            </w:tcBorders>
            <w:vAlign w:val="center"/>
            <w:hideMark/>
          </w:tcPr>
          <w:p w14:paraId="63BC51D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team</w:t>
            </w:r>
          </w:p>
        </w:tc>
        <w:tc>
          <w:tcPr>
            <w:tcW w:w="85" w:type="pct"/>
            <w:vAlign w:val="center"/>
            <w:hideMark/>
          </w:tcPr>
          <w:p w14:paraId="4A9C92A6"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B3F3FD8" w14:textId="77777777" w:rsidTr="00AA4D71">
        <w:trPr>
          <w:trHeight w:val="765"/>
        </w:trPr>
        <w:tc>
          <w:tcPr>
            <w:tcW w:w="209" w:type="pct"/>
            <w:tcBorders>
              <w:top w:val="nil"/>
              <w:left w:val="nil"/>
              <w:bottom w:val="nil"/>
              <w:right w:val="nil"/>
            </w:tcBorders>
            <w:noWrap/>
            <w:vAlign w:val="center"/>
            <w:hideMark/>
          </w:tcPr>
          <w:p w14:paraId="2F51AC2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6B452BA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57A8925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7901EF9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A51363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89ABFF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Slabs stacked without anti slip material </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3C33F9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546B948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Anti slip mats are in use and inspected before performing as per procedure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E2E68A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5724F9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vMerge/>
            <w:tcBorders>
              <w:top w:val="nil"/>
              <w:left w:val="single" w:sz="4" w:space="0" w:color="auto"/>
              <w:bottom w:val="single" w:sz="4" w:space="0" w:color="000000"/>
              <w:right w:val="single" w:sz="4" w:space="0" w:color="auto"/>
            </w:tcBorders>
            <w:vAlign w:val="center"/>
            <w:hideMark/>
          </w:tcPr>
          <w:p w14:paraId="5D64748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71D63D1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42F3BA4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A76EDFD" w14:textId="77777777" w:rsidTr="00AA4D71">
        <w:trPr>
          <w:trHeight w:val="780"/>
        </w:trPr>
        <w:tc>
          <w:tcPr>
            <w:tcW w:w="209" w:type="pct"/>
            <w:tcBorders>
              <w:top w:val="nil"/>
              <w:left w:val="nil"/>
              <w:bottom w:val="nil"/>
              <w:right w:val="nil"/>
            </w:tcBorders>
            <w:noWrap/>
            <w:vAlign w:val="center"/>
            <w:hideMark/>
          </w:tcPr>
          <w:p w14:paraId="6480FE7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43AEC92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236810F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6A60DE1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Potential injury to personnel</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21347E2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10</w:t>
            </w:r>
          </w:p>
        </w:tc>
        <w:tc>
          <w:tcPr>
            <w:tcW w:w="614" w:type="pct"/>
            <w:tcBorders>
              <w:top w:val="nil"/>
              <w:left w:val="nil"/>
              <w:bottom w:val="single" w:sz="4" w:space="0" w:color="auto"/>
              <w:right w:val="single" w:sz="4" w:space="0" w:color="auto"/>
            </w:tcBorders>
            <w:vAlign w:val="center"/>
            <w:hideMark/>
          </w:tcPr>
          <w:p w14:paraId="75D7A22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visibility</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C74E77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5BE1BC7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Adequate lighting systems in place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E09010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A78EF1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tcBorders>
              <w:top w:val="nil"/>
              <w:left w:val="nil"/>
              <w:bottom w:val="single" w:sz="4" w:space="0" w:color="auto"/>
              <w:right w:val="single" w:sz="4" w:space="0" w:color="auto"/>
            </w:tcBorders>
            <w:vAlign w:val="center"/>
            <w:hideMark/>
          </w:tcPr>
          <w:p w14:paraId="4C7909E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Improve on disciplinary and positive </w:t>
            </w:r>
            <w:r w:rsidRPr="003D1BBB">
              <w:rPr>
                <w:rFonts w:ascii="Calibri" w:eastAsia="Times New Roman" w:hAnsi="Calibri" w:cs="Calibri"/>
                <w:kern w:val="0"/>
                <w:sz w:val="20"/>
                <w:szCs w:val="20"/>
                <w:lang w:eastAsia="en-GB"/>
                <w14:ligatures w14:val="none"/>
              </w:rPr>
              <w:lastRenderedPageBreak/>
              <w:t>reinforcement policies tied to adherence to exclusion zones and safety permits</w:t>
            </w:r>
          </w:p>
        </w:tc>
        <w:tc>
          <w:tcPr>
            <w:tcW w:w="528" w:type="pct"/>
            <w:tcBorders>
              <w:top w:val="nil"/>
              <w:left w:val="nil"/>
              <w:bottom w:val="nil"/>
              <w:right w:val="single" w:sz="4" w:space="0" w:color="auto"/>
            </w:tcBorders>
            <w:vAlign w:val="center"/>
            <w:hideMark/>
          </w:tcPr>
          <w:p w14:paraId="5A7E379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Local level management site wide</w:t>
            </w:r>
          </w:p>
        </w:tc>
        <w:tc>
          <w:tcPr>
            <w:tcW w:w="85" w:type="pct"/>
            <w:vAlign w:val="center"/>
            <w:hideMark/>
          </w:tcPr>
          <w:p w14:paraId="37267C2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8BB195F" w14:textId="77777777" w:rsidTr="00AA4D71">
        <w:trPr>
          <w:trHeight w:val="780"/>
        </w:trPr>
        <w:tc>
          <w:tcPr>
            <w:tcW w:w="209" w:type="pct"/>
            <w:tcBorders>
              <w:top w:val="nil"/>
              <w:left w:val="nil"/>
              <w:bottom w:val="nil"/>
              <w:right w:val="nil"/>
            </w:tcBorders>
            <w:noWrap/>
            <w:vAlign w:val="center"/>
            <w:hideMark/>
          </w:tcPr>
          <w:p w14:paraId="1F94F7B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30F054D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0EF4884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561C545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7DCA44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697691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Inexperienced operators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9A6CE9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0F50B57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All personnel are trained in hazard identification and safe loading practise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64EC06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637A99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tcBorders>
              <w:top w:val="nil"/>
              <w:left w:val="nil"/>
              <w:bottom w:val="single" w:sz="4" w:space="0" w:color="auto"/>
              <w:right w:val="single" w:sz="4" w:space="0" w:color="auto"/>
            </w:tcBorders>
            <w:vAlign w:val="center"/>
            <w:hideMark/>
          </w:tcPr>
          <w:p w14:paraId="10713FC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Routine behavioural observations and audits across all shifts to ensure the compliance from internal personnel</w:t>
            </w:r>
          </w:p>
        </w:tc>
        <w:tc>
          <w:tcPr>
            <w:tcW w:w="528" w:type="pct"/>
            <w:tcBorders>
              <w:top w:val="single" w:sz="4" w:space="0" w:color="auto"/>
              <w:left w:val="nil"/>
              <w:bottom w:val="nil"/>
              <w:right w:val="single" w:sz="4" w:space="0" w:color="auto"/>
            </w:tcBorders>
            <w:vAlign w:val="center"/>
            <w:hideMark/>
          </w:tcPr>
          <w:p w14:paraId="63A9555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Local level management site wide</w:t>
            </w:r>
          </w:p>
        </w:tc>
        <w:tc>
          <w:tcPr>
            <w:tcW w:w="85" w:type="pct"/>
            <w:vAlign w:val="center"/>
            <w:hideMark/>
          </w:tcPr>
          <w:p w14:paraId="723AE6F4"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E9036D7" w14:textId="77777777" w:rsidTr="00AA4D71">
        <w:trPr>
          <w:trHeight w:val="1040"/>
        </w:trPr>
        <w:tc>
          <w:tcPr>
            <w:tcW w:w="209" w:type="pct"/>
            <w:tcBorders>
              <w:top w:val="nil"/>
              <w:left w:val="nil"/>
              <w:bottom w:val="nil"/>
              <w:right w:val="nil"/>
            </w:tcBorders>
            <w:noWrap/>
            <w:vAlign w:val="center"/>
            <w:hideMark/>
          </w:tcPr>
          <w:p w14:paraId="1CC93FB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6F9ECA3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39BF8AC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043C9B9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4299D6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B88AFC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communication between crane operators and ground crew (No radios/signalling)</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5CBDE3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291A146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Standardised protocols are used included personal radios for clear communications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88D23C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09A1A4B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tcBorders>
              <w:top w:val="nil"/>
              <w:left w:val="nil"/>
              <w:bottom w:val="single" w:sz="4" w:space="0" w:color="auto"/>
              <w:right w:val="single" w:sz="4" w:space="0" w:color="auto"/>
            </w:tcBorders>
            <w:vAlign w:val="center"/>
            <w:hideMark/>
          </w:tcPr>
          <w:p w14:paraId="1939C9A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Conduct future simulated emergency rescue drills for slab handling incidents and update rescue procedures accordingly</w:t>
            </w:r>
          </w:p>
        </w:tc>
        <w:tc>
          <w:tcPr>
            <w:tcW w:w="528" w:type="pct"/>
            <w:tcBorders>
              <w:top w:val="single" w:sz="4" w:space="0" w:color="auto"/>
              <w:left w:val="nil"/>
              <w:bottom w:val="nil"/>
              <w:right w:val="single" w:sz="4" w:space="0" w:color="auto"/>
            </w:tcBorders>
            <w:vAlign w:val="center"/>
            <w:hideMark/>
          </w:tcPr>
          <w:p w14:paraId="58F9706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Local level management site wide</w:t>
            </w:r>
          </w:p>
        </w:tc>
        <w:tc>
          <w:tcPr>
            <w:tcW w:w="85" w:type="pct"/>
            <w:vAlign w:val="center"/>
            <w:hideMark/>
          </w:tcPr>
          <w:p w14:paraId="7459A80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A340FF5" w14:textId="77777777" w:rsidTr="00AA4D71">
        <w:trPr>
          <w:trHeight w:val="780"/>
        </w:trPr>
        <w:tc>
          <w:tcPr>
            <w:tcW w:w="209" w:type="pct"/>
            <w:tcBorders>
              <w:top w:val="nil"/>
              <w:left w:val="nil"/>
              <w:bottom w:val="nil"/>
              <w:right w:val="nil"/>
            </w:tcBorders>
            <w:noWrap/>
            <w:vAlign w:val="center"/>
            <w:hideMark/>
          </w:tcPr>
          <w:p w14:paraId="6D949A5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78F2CDD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15CF3B8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4A2B40B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Downtime for investigation &amp; clean-up</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785FBAA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w:t>
            </w:r>
          </w:p>
        </w:tc>
        <w:tc>
          <w:tcPr>
            <w:tcW w:w="614" w:type="pct"/>
            <w:tcBorders>
              <w:top w:val="nil"/>
              <w:left w:val="nil"/>
              <w:bottom w:val="single" w:sz="4" w:space="0" w:color="auto"/>
              <w:right w:val="single" w:sz="4" w:space="0" w:color="auto"/>
            </w:tcBorders>
            <w:vAlign w:val="center"/>
            <w:hideMark/>
          </w:tcPr>
          <w:p w14:paraId="0B88554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Accidents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83CA96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A3BFD7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Readily accessible spill kits, lifting recovery equipment and trained response teams at yard locations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A7742F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C504F2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216</w:t>
            </w:r>
          </w:p>
        </w:tc>
        <w:tc>
          <w:tcPr>
            <w:tcW w:w="646" w:type="pct"/>
            <w:tcBorders>
              <w:top w:val="nil"/>
              <w:left w:val="nil"/>
              <w:bottom w:val="single" w:sz="4" w:space="0" w:color="auto"/>
              <w:right w:val="single" w:sz="4" w:space="0" w:color="auto"/>
            </w:tcBorders>
            <w:vAlign w:val="center"/>
            <w:hideMark/>
          </w:tcPr>
          <w:p w14:paraId="4FF8593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Create a defined incident response agreement which indicates the time to secure, time to clean and time to resume and test this procedure on a quarterly basis</w:t>
            </w:r>
          </w:p>
        </w:tc>
        <w:tc>
          <w:tcPr>
            <w:tcW w:w="528" w:type="pct"/>
            <w:tcBorders>
              <w:top w:val="single" w:sz="4" w:space="0" w:color="auto"/>
              <w:left w:val="nil"/>
              <w:bottom w:val="nil"/>
              <w:right w:val="single" w:sz="4" w:space="0" w:color="auto"/>
            </w:tcBorders>
            <w:vAlign w:val="center"/>
            <w:hideMark/>
          </w:tcPr>
          <w:p w14:paraId="05835D9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Local level management site wide</w:t>
            </w:r>
          </w:p>
        </w:tc>
        <w:tc>
          <w:tcPr>
            <w:tcW w:w="85" w:type="pct"/>
            <w:vAlign w:val="center"/>
            <w:hideMark/>
          </w:tcPr>
          <w:p w14:paraId="1BAB0037"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AD4A10E" w14:textId="77777777" w:rsidTr="00AA4D71">
        <w:trPr>
          <w:trHeight w:val="780"/>
        </w:trPr>
        <w:tc>
          <w:tcPr>
            <w:tcW w:w="209" w:type="pct"/>
            <w:tcBorders>
              <w:top w:val="nil"/>
              <w:left w:val="nil"/>
              <w:bottom w:val="nil"/>
              <w:right w:val="nil"/>
            </w:tcBorders>
            <w:noWrap/>
            <w:vAlign w:val="center"/>
            <w:hideMark/>
          </w:tcPr>
          <w:p w14:paraId="0A54D28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731DDC3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5B96DD6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5B8E97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61E1A91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2921956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onsite resource to respond quickly</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86E52E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0B6F861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Trained staff on a concise incident response plan (Contain, Isolate, Report) that minimises production impact</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0780B3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852A47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180</w:t>
            </w:r>
          </w:p>
        </w:tc>
        <w:tc>
          <w:tcPr>
            <w:tcW w:w="646" w:type="pct"/>
            <w:tcBorders>
              <w:top w:val="nil"/>
              <w:left w:val="nil"/>
              <w:bottom w:val="single" w:sz="4" w:space="0" w:color="auto"/>
              <w:right w:val="single" w:sz="4" w:space="0" w:color="auto"/>
            </w:tcBorders>
            <w:vAlign w:val="center"/>
            <w:hideMark/>
          </w:tcPr>
          <w:p w14:paraId="057CCD5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a streamlined investigation protocol so production is minimised</w:t>
            </w:r>
          </w:p>
        </w:tc>
        <w:tc>
          <w:tcPr>
            <w:tcW w:w="528" w:type="pct"/>
            <w:tcBorders>
              <w:top w:val="single" w:sz="4" w:space="0" w:color="auto"/>
              <w:left w:val="nil"/>
              <w:bottom w:val="nil"/>
              <w:right w:val="single" w:sz="4" w:space="0" w:color="auto"/>
            </w:tcBorders>
            <w:vAlign w:val="center"/>
            <w:hideMark/>
          </w:tcPr>
          <w:p w14:paraId="1FDD4C9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Local level management site wide</w:t>
            </w:r>
          </w:p>
        </w:tc>
        <w:tc>
          <w:tcPr>
            <w:tcW w:w="85" w:type="pct"/>
            <w:vAlign w:val="center"/>
            <w:hideMark/>
          </w:tcPr>
          <w:p w14:paraId="07D0A849"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1051395" w14:textId="77777777" w:rsidTr="00AA4D71">
        <w:trPr>
          <w:trHeight w:val="780"/>
        </w:trPr>
        <w:tc>
          <w:tcPr>
            <w:tcW w:w="209" w:type="pct"/>
            <w:tcBorders>
              <w:top w:val="nil"/>
              <w:left w:val="nil"/>
              <w:bottom w:val="nil"/>
              <w:right w:val="nil"/>
            </w:tcBorders>
            <w:noWrap/>
            <w:vAlign w:val="center"/>
            <w:hideMark/>
          </w:tcPr>
          <w:p w14:paraId="7A337A3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23E3770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85B120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08D05EE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CD4B5A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748BDC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incident workflows causing delays in authorisation to resume operations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CA632E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EFC4C3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Standardised workflows with required fields to ensure documentation is correctly completed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004DAE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54FCD7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216</w:t>
            </w:r>
          </w:p>
        </w:tc>
        <w:tc>
          <w:tcPr>
            <w:tcW w:w="646" w:type="pct"/>
            <w:tcBorders>
              <w:top w:val="nil"/>
              <w:left w:val="nil"/>
              <w:bottom w:val="single" w:sz="4" w:space="0" w:color="auto"/>
              <w:right w:val="single" w:sz="4" w:space="0" w:color="auto"/>
            </w:tcBorders>
            <w:vAlign w:val="center"/>
            <w:hideMark/>
          </w:tcPr>
          <w:p w14:paraId="4189B1A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Collect and analyse downtime and cleanup costs, use the data to prioritise preventive investments</w:t>
            </w:r>
          </w:p>
        </w:tc>
        <w:tc>
          <w:tcPr>
            <w:tcW w:w="528" w:type="pct"/>
            <w:tcBorders>
              <w:top w:val="single" w:sz="4" w:space="0" w:color="auto"/>
              <w:left w:val="nil"/>
              <w:bottom w:val="single" w:sz="4" w:space="0" w:color="auto"/>
              <w:right w:val="single" w:sz="4" w:space="0" w:color="auto"/>
            </w:tcBorders>
            <w:vAlign w:val="center"/>
            <w:hideMark/>
          </w:tcPr>
          <w:p w14:paraId="5A72588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team</w:t>
            </w:r>
          </w:p>
        </w:tc>
        <w:tc>
          <w:tcPr>
            <w:tcW w:w="85" w:type="pct"/>
            <w:vAlign w:val="center"/>
            <w:hideMark/>
          </w:tcPr>
          <w:p w14:paraId="6FBBC1C2"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E4C6B67" w14:textId="77777777" w:rsidTr="00AA4D71">
        <w:trPr>
          <w:trHeight w:val="780"/>
        </w:trPr>
        <w:tc>
          <w:tcPr>
            <w:tcW w:w="209" w:type="pct"/>
            <w:tcBorders>
              <w:top w:val="nil"/>
              <w:left w:val="nil"/>
              <w:bottom w:val="nil"/>
              <w:right w:val="nil"/>
            </w:tcBorders>
            <w:noWrap/>
            <w:vAlign w:val="center"/>
            <w:hideMark/>
          </w:tcPr>
          <w:p w14:paraId="0ACD086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76C7557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single" w:sz="4" w:space="0" w:color="000000"/>
              <w:right w:val="single" w:sz="4" w:space="0" w:color="auto"/>
            </w:tcBorders>
            <w:vAlign w:val="center"/>
            <w:hideMark/>
          </w:tcPr>
          <w:p w14:paraId="58279DF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Fire Damage</w:t>
            </w:r>
          </w:p>
        </w:tc>
        <w:tc>
          <w:tcPr>
            <w:tcW w:w="517" w:type="pct"/>
            <w:tcBorders>
              <w:top w:val="nil"/>
              <w:left w:val="nil"/>
              <w:bottom w:val="single" w:sz="4" w:space="0" w:color="auto"/>
              <w:right w:val="single" w:sz="4" w:space="0" w:color="auto"/>
            </w:tcBorders>
            <w:vAlign w:val="center"/>
            <w:hideMark/>
          </w:tcPr>
          <w:p w14:paraId="02E3C27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Surface damage to slabs</w:t>
            </w:r>
          </w:p>
        </w:tc>
        <w:tc>
          <w:tcPr>
            <w:tcW w:w="161" w:type="pct"/>
            <w:tcBorders>
              <w:top w:val="single" w:sz="4" w:space="0" w:color="auto"/>
              <w:left w:val="single" w:sz="4" w:space="0" w:color="auto"/>
              <w:bottom w:val="nil"/>
              <w:right w:val="single" w:sz="4" w:space="0" w:color="auto"/>
            </w:tcBorders>
            <w:shd w:val="clear" w:color="000000" w:fill="FFC000"/>
            <w:vAlign w:val="center"/>
            <w:hideMark/>
          </w:tcPr>
          <w:p w14:paraId="76A7BF0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1C59003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Hot work such as welding, grinding carried out to close to slabs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D69E1B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0205425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Hot work zones are segregated from slabs with physical barriers in place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ECEA5B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8B7904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192</w:t>
            </w:r>
          </w:p>
        </w:tc>
        <w:tc>
          <w:tcPr>
            <w:tcW w:w="646" w:type="pct"/>
            <w:tcBorders>
              <w:top w:val="nil"/>
              <w:left w:val="nil"/>
              <w:bottom w:val="single" w:sz="4" w:space="0" w:color="auto"/>
              <w:right w:val="single" w:sz="4" w:space="0" w:color="auto"/>
            </w:tcBorders>
            <w:vAlign w:val="center"/>
            <w:hideMark/>
          </w:tcPr>
          <w:p w14:paraId="3527EDB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Review the standard for hot work permit process and ensure it remains adequate. Continue to record and investigate any spark related near misses</w:t>
            </w:r>
          </w:p>
        </w:tc>
        <w:tc>
          <w:tcPr>
            <w:tcW w:w="528" w:type="pct"/>
            <w:tcBorders>
              <w:top w:val="nil"/>
              <w:left w:val="nil"/>
              <w:bottom w:val="single" w:sz="4" w:space="0" w:color="auto"/>
              <w:right w:val="single" w:sz="4" w:space="0" w:color="auto"/>
            </w:tcBorders>
            <w:vAlign w:val="center"/>
            <w:hideMark/>
          </w:tcPr>
          <w:p w14:paraId="57D8004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team &amp; Compliance department</w:t>
            </w:r>
          </w:p>
        </w:tc>
        <w:tc>
          <w:tcPr>
            <w:tcW w:w="85" w:type="pct"/>
            <w:vAlign w:val="center"/>
            <w:hideMark/>
          </w:tcPr>
          <w:p w14:paraId="148F08AC"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9ECF456" w14:textId="77777777" w:rsidTr="00AA4D71">
        <w:trPr>
          <w:trHeight w:val="780"/>
        </w:trPr>
        <w:tc>
          <w:tcPr>
            <w:tcW w:w="209" w:type="pct"/>
            <w:tcBorders>
              <w:top w:val="nil"/>
              <w:left w:val="nil"/>
              <w:bottom w:val="nil"/>
              <w:right w:val="nil"/>
            </w:tcBorders>
            <w:noWrap/>
            <w:vAlign w:val="center"/>
            <w:hideMark/>
          </w:tcPr>
          <w:p w14:paraId="64C11BB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5F52333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6F84CEF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tcBorders>
              <w:top w:val="nil"/>
              <w:left w:val="nil"/>
              <w:bottom w:val="single" w:sz="4" w:space="0" w:color="auto"/>
              <w:right w:val="single" w:sz="4" w:space="0" w:color="auto"/>
            </w:tcBorders>
            <w:vAlign w:val="center"/>
            <w:hideMark/>
          </w:tcPr>
          <w:p w14:paraId="5504430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Metallurgical changes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F8C3C0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61E7EC9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Storage of combustible materials near slabs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96CA6C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78475AD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Robust 5s standards are kept on site, with specified areas and waste bins which are separated from slabs </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475B51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2B00C7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tcBorders>
              <w:top w:val="nil"/>
              <w:left w:val="nil"/>
              <w:bottom w:val="single" w:sz="4" w:space="0" w:color="auto"/>
              <w:right w:val="single" w:sz="4" w:space="0" w:color="auto"/>
            </w:tcBorders>
            <w:vAlign w:val="center"/>
            <w:hideMark/>
          </w:tcPr>
          <w:p w14:paraId="06DC03E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Implement an environment incident response plan that includes air quality monitoring </w:t>
            </w:r>
          </w:p>
        </w:tc>
        <w:tc>
          <w:tcPr>
            <w:tcW w:w="528" w:type="pct"/>
            <w:tcBorders>
              <w:top w:val="nil"/>
              <w:left w:val="nil"/>
              <w:bottom w:val="single" w:sz="4" w:space="0" w:color="auto"/>
              <w:right w:val="single" w:sz="4" w:space="0" w:color="auto"/>
            </w:tcBorders>
            <w:vAlign w:val="center"/>
            <w:hideMark/>
          </w:tcPr>
          <w:p w14:paraId="418EB5B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Port Talbot technical team &amp; Emergency services </w:t>
            </w:r>
          </w:p>
        </w:tc>
        <w:tc>
          <w:tcPr>
            <w:tcW w:w="85" w:type="pct"/>
            <w:vAlign w:val="center"/>
            <w:hideMark/>
          </w:tcPr>
          <w:p w14:paraId="1ADE36E7"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9C27548" w14:textId="77777777" w:rsidTr="00AA4D71">
        <w:trPr>
          <w:trHeight w:val="1040"/>
        </w:trPr>
        <w:tc>
          <w:tcPr>
            <w:tcW w:w="209" w:type="pct"/>
            <w:tcBorders>
              <w:top w:val="nil"/>
              <w:left w:val="nil"/>
              <w:bottom w:val="nil"/>
              <w:right w:val="nil"/>
            </w:tcBorders>
            <w:noWrap/>
            <w:vAlign w:val="center"/>
            <w:hideMark/>
          </w:tcPr>
          <w:p w14:paraId="72667ED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611C60F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18C07E0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tcBorders>
              <w:top w:val="nil"/>
              <w:left w:val="nil"/>
              <w:bottom w:val="single" w:sz="4" w:space="0" w:color="auto"/>
              <w:right w:val="single" w:sz="4" w:space="0" w:color="auto"/>
            </w:tcBorders>
            <w:vAlign w:val="center"/>
            <w:hideMark/>
          </w:tcPr>
          <w:p w14:paraId="2BAFC96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Environmental emissions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1CD6B3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1097538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Fires or hot work near slab producing smoke which trigger community/regulatory complaints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86B67F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6B810C8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Hot work zones are segregated from slabs with physical barriers in place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0C9A88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352F9A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140</w:t>
            </w:r>
          </w:p>
        </w:tc>
        <w:tc>
          <w:tcPr>
            <w:tcW w:w="646" w:type="pct"/>
            <w:tcBorders>
              <w:top w:val="nil"/>
              <w:left w:val="nil"/>
              <w:bottom w:val="single" w:sz="4" w:space="0" w:color="auto"/>
              <w:right w:val="single" w:sz="4" w:space="0" w:color="auto"/>
            </w:tcBorders>
            <w:vAlign w:val="center"/>
            <w:hideMark/>
          </w:tcPr>
          <w:p w14:paraId="0140D89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Engage in local environment authority meetings to proactively agree response thresholds </w:t>
            </w:r>
          </w:p>
        </w:tc>
        <w:tc>
          <w:tcPr>
            <w:tcW w:w="528" w:type="pct"/>
            <w:tcBorders>
              <w:top w:val="nil"/>
              <w:left w:val="nil"/>
              <w:bottom w:val="single" w:sz="4" w:space="0" w:color="auto"/>
              <w:right w:val="single" w:sz="4" w:space="0" w:color="auto"/>
            </w:tcBorders>
            <w:vAlign w:val="center"/>
            <w:hideMark/>
          </w:tcPr>
          <w:p w14:paraId="2FC0ABB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Port Talbot technical team &amp; Emergency services </w:t>
            </w:r>
          </w:p>
        </w:tc>
        <w:tc>
          <w:tcPr>
            <w:tcW w:w="85" w:type="pct"/>
            <w:vAlign w:val="center"/>
            <w:hideMark/>
          </w:tcPr>
          <w:p w14:paraId="0D881CB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1DE2570" w14:textId="77777777" w:rsidTr="00AA4D71">
        <w:trPr>
          <w:trHeight w:val="1040"/>
        </w:trPr>
        <w:tc>
          <w:tcPr>
            <w:tcW w:w="209" w:type="pct"/>
            <w:tcBorders>
              <w:top w:val="nil"/>
              <w:left w:val="nil"/>
              <w:bottom w:val="nil"/>
              <w:right w:val="nil"/>
            </w:tcBorders>
            <w:noWrap/>
            <w:vAlign w:val="center"/>
            <w:hideMark/>
          </w:tcPr>
          <w:p w14:paraId="741A105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26F22FE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nil"/>
              <w:right w:val="single" w:sz="4" w:space="0" w:color="auto"/>
            </w:tcBorders>
            <w:vAlign w:val="center"/>
            <w:hideMark/>
          </w:tcPr>
          <w:p w14:paraId="3424774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Contamination from ground (Oil, Debris, etc)</w:t>
            </w:r>
          </w:p>
        </w:tc>
        <w:tc>
          <w:tcPr>
            <w:tcW w:w="517" w:type="pct"/>
            <w:vMerge w:val="restart"/>
            <w:tcBorders>
              <w:top w:val="nil"/>
              <w:left w:val="single" w:sz="4" w:space="0" w:color="auto"/>
              <w:bottom w:val="single" w:sz="4" w:space="0" w:color="000000"/>
              <w:right w:val="single" w:sz="4" w:space="0" w:color="auto"/>
            </w:tcBorders>
            <w:vAlign w:val="center"/>
            <w:hideMark/>
          </w:tcPr>
          <w:p w14:paraId="7600A7C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Contamination of reheating furnaces refractories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12312DA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03B00CC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Dirt, Oil, Debris transferred from unclean yard surfaces onto slab which will then burn off in furnace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3E5C90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715D58D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Scheduled yard cleaning programs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5255D3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576A4D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539E57A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Future project is to capture furnace refractory maintenance costs which are believed to be from contaminated slabs </w:t>
            </w:r>
            <w:r w:rsidRPr="003D1BBB">
              <w:rPr>
                <w:rFonts w:ascii="Calibri" w:eastAsia="Times New Roman" w:hAnsi="Calibri" w:cs="Calibri"/>
                <w:kern w:val="0"/>
                <w:sz w:val="20"/>
                <w:szCs w:val="20"/>
                <w:lang w:eastAsia="en-GB"/>
                <w14:ligatures w14:val="none"/>
              </w:rPr>
              <w:lastRenderedPageBreak/>
              <w:t>and look at ways to improve the process</w:t>
            </w:r>
          </w:p>
        </w:tc>
        <w:tc>
          <w:tcPr>
            <w:tcW w:w="528" w:type="pct"/>
            <w:tcBorders>
              <w:top w:val="nil"/>
              <w:left w:val="nil"/>
              <w:bottom w:val="single" w:sz="4" w:space="0" w:color="auto"/>
              <w:right w:val="single" w:sz="4" w:space="0" w:color="auto"/>
            </w:tcBorders>
            <w:vAlign w:val="center"/>
            <w:hideMark/>
          </w:tcPr>
          <w:p w14:paraId="7C952DB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Port talbot technical teams</w:t>
            </w:r>
          </w:p>
        </w:tc>
        <w:tc>
          <w:tcPr>
            <w:tcW w:w="85" w:type="pct"/>
            <w:vAlign w:val="center"/>
            <w:hideMark/>
          </w:tcPr>
          <w:p w14:paraId="02084225"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0106E26" w14:textId="77777777" w:rsidTr="00AA4D71">
        <w:trPr>
          <w:trHeight w:val="765"/>
        </w:trPr>
        <w:tc>
          <w:tcPr>
            <w:tcW w:w="209" w:type="pct"/>
            <w:tcBorders>
              <w:top w:val="nil"/>
              <w:left w:val="nil"/>
              <w:bottom w:val="nil"/>
              <w:right w:val="nil"/>
            </w:tcBorders>
            <w:noWrap/>
            <w:vAlign w:val="center"/>
            <w:hideMark/>
          </w:tcPr>
          <w:p w14:paraId="124F02A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7C2647D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639DF3C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3D9D942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6148550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2EF20F3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Infrequent yard cleaning allowing </w:t>
            </w:r>
            <w:proofErr w:type="spellStart"/>
            <w:r w:rsidRPr="003D1BBB">
              <w:rPr>
                <w:rFonts w:ascii="Calibri" w:eastAsia="Times New Roman" w:hAnsi="Calibri" w:cs="Calibri"/>
                <w:kern w:val="0"/>
                <w:sz w:val="20"/>
                <w:szCs w:val="20"/>
                <w:lang w:eastAsia="en-GB"/>
                <w14:ligatures w14:val="none"/>
              </w:rPr>
              <w:t>build up</w:t>
            </w:r>
            <w:proofErr w:type="spellEnd"/>
            <w:r w:rsidRPr="003D1BBB">
              <w:rPr>
                <w:rFonts w:ascii="Calibri" w:eastAsia="Times New Roman" w:hAnsi="Calibri" w:cs="Calibri"/>
                <w:kern w:val="0"/>
                <w:sz w:val="20"/>
                <w:szCs w:val="20"/>
                <w:lang w:eastAsia="en-GB"/>
                <w14:ligatures w14:val="none"/>
              </w:rPr>
              <w:t xml:space="preserve"> of contaminants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73E4A2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4BAFBB9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 oily equipment or materials to be stored near the slabs is the standard which is set</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FBB9E1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BADA2B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5F481AB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Install an inspection zone where inbound slabs are visually checked and cleaned before furnace feed to minimise risk of contamination</w:t>
            </w:r>
          </w:p>
        </w:tc>
        <w:tc>
          <w:tcPr>
            <w:tcW w:w="528" w:type="pct"/>
            <w:tcBorders>
              <w:top w:val="nil"/>
              <w:left w:val="nil"/>
              <w:bottom w:val="single" w:sz="4" w:space="0" w:color="auto"/>
              <w:right w:val="single" w:sz="4" w:space="0" w:color="auto"/>
            </w:tcBorders>
            <w:vAlign w:val="center"/>
            <w:hideMark/>
          </w:tcPr>
          <w:p w14:paraId="6C35252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Mill production team</w:t>
            </w:r>
          </w:p>
        </w:tc>
        <w:tc>
          <w:tcPr>
            <w:tcW w:w="85" w:type="pct"/>
            <w:vAlign w:val="center"/>
            <w:hideMark/>
          </w:tcPr>
          <w:p w14:paraId="4DDF7175"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FD7B249" w14:textId="77777777" w:rsidTr="00AA4D71">
        <w:trPr>
          <w:trHeight w:val="510"/>
        </w:trPr>
        <w:tc>
          <w:tcPr>
            <w:tcW w:w="209" w:type="pct"/>
            <w:tcBorders>
              <w:top w:val="nil"/>
              <w:left w:val="nil"/>
              <w:bottom w:val="nil"/>
              <w:right w:val="nil"/>
            </w:tcBorders>
            <w:noWrap/>
            <w:vAlign w:val="center"/>
            <w:hideMark/>
          </w:tcPr>
          <w:p w14:paraId="615E56B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7B3152B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2E3F251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477E27A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Defects in rolled product surface</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4DC37AF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5F51655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Hydraulic fluid leaks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0AAA8D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3E1CAE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Drip trays installed under parked hydraulic equipment to monitor for any leaks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D4C2B0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E1BEDD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vMerge w:val="restart"/>
            <w:tcBorders>
              <w:top w:val="nil"/>
              <w:left w:val="single" w:sz="4" w:space="0" w:color="auto"/>
              <w:bottom w:val="single" w:sz="4" w:space="0" w:color="000000"/>
              <w:right w:val="single" w:sz="4" w:space="0" w:color="auto"/>
            </w:tcBorders>
            <w:vAlign w:val="center"/>
            <w:hideMark/>
          </w:tcPr>
          <w:p w14:paraId="307FDE1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Improve inspection procedures on all equipment relating to lifting of slabs</w:t>
            </w:r>
          </w:p>
        </w:tc>
        <w:tc>
          <w:tcPr>
            <w:tcW w:w="528" w:type="pct"/>
            <w:vMerge w:val="restart"/>
            <w:tcBorders>
              <w:top w:val="nil"/>
              <w:left w:val="single" w:sz="4" w:space="0" w:color="auto"/>
              <w:bottom w:val="single" w:sz="4" w:space="0" w:color="000000"/>
              <w:right w:val="single" w:sz="4" w:space="0" w:color="auto"/>
            </w:tcBorders>
            <w:vAlign w:val="center"/>
            <w:hideMark/>
          </w:tcPr>
          <w:p w14:paraId="34771C4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Compliance Department</w:t>
            </w:r>
          </w:p>
        </w:tc>
        <w:tc>
          <w:tcPr>
            <w:tcW w:w="85" w:type="pct"/>
            <w:vAlign w:val="center"/>
            <w:hideMark/>
          </w:tcPr>
          <w:p w14:paraId="58848B0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0445058" w14:textId="77777777" w:rsidTr="00AA4D71">
        <w:trPr>
          <w:trHeight w:val="1040"/>
        </w:trPr>
        <w:tc>
          <w:tcPr>
            <w:tcW w:w="209" w:type="pct"/>
            <w:tcBorders>
              <w:top w:val="nil"/>
              <w:left w:val="nil"/>
              <w:bottom w:val="nil"/>
              <w:right w:val="nil"/>
            </w:tcBorders>
            <w:noWrap/>
            <w:vAlign w:val="center"/>
            <w:hideMark/>
          </w:tcPr>
          <w:p w14:paraId="40DF93A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5C31491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69CE9B4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3627C00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DFF4A4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35D0547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maintenance of lifting gear or vehicle beds that transfer oils during handling procedures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44428B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5DA36F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Routine maintenance is performed on lifting equipment</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F7B76B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E858A1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vMerge/>
            <w:tcBorders>
              <w:top w:val="nil"/>
              <w:left w:val="single" w:sz="4" w:space="0" w:color="auto"/>
              <w:bottom w:val="single" w:sz="4" w:space="0" w:color="000000"/>
              <w:right w:val="single" w:sz="4" w:space="0" w:color="auto"/>
            </w:tcBorders>
            <w:vAlign w:val="center"/>
            <w:hideMark/>
          </w:tcPr>
          <w:p w14:paraId="141079B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5719383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7D8E89A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AEC4662" w14:textId="77777777" w:rsidTr="00AA4D71">
        <w:trPr>
          <w:trHeight w:val="520"/>
        </w:trPr>
        <w:tc>
          <w:tcPr>
            <w:tcW w:w="209" w:type="pct"/>
            <w:tcBorders>
              <w:top w:val="nil"/>
              <w:left w:val="nil"/>
              <w:bottom w:val="nil"/>
              <w:right w:val="nil"/>
            </w:tcBorders>
            <w:noWrap/>
            <w:vAlign w:val="center"/>
            <w:hideMark/>
          </w:tcPr>
          <w:p w14:paraId="37CB171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0542708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single" w:sz="4" w:space="0" w:color="auto"/>
              <w:left w:val="single" w:sz="4" w:space="0" w:color="auto"/>
              <w:bottom w:val="single" w:sz="4" w:space="0" w:color="000000"/>
              <w:right w:val="single" w:sz="4" w:space="0" w:color="auto"/>
            </w:tcBorders>
            <w:vAlign w:val="center"/>
            <w:hideMark/>
          </w:tcPr>
          <w:p w14:paraId="60E3BF5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Unauthorised Access</w:t>
            </w:r>
          </w:p>
        </w:tc>
        <w:tc>
          <w:tcPr>
            <w:tcW w:w="517" w:type="pct"/>
            <w:vMerge w:val="restart"/>
            <w:tcBorders>
              <w:top w:val="nil"/>
              <w:left w:val="single" w:sz="4" w:space="0" w:color="auto"/>
              <w:bottom w:val="single" w:sz="4" w:space="0" w:color="000000"/>
              <w:right w:val="single" w:sz="4" w:space="0" w:color="auto"/>
            </w:tcBorders>
            <w:vAlign w:val="center"/>
            <w:hideMark/>
          </w:tcPr>
          <w:p w14:paraId="1C302D5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Damaged materials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7F48606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16A7750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perimeter fencing</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140B80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AE19AE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Fencing installed around site, with controlled gated access into </w:t>
            </w:r>
            <w:proofErr w:type="gramStart"/>
            <w:r w:rsidRPr="003D1BBB">
              <w:rPr>
                <w:rFonts w:ascii="Calibri" w:eastAsia="Times New Roman" w:hAnsi="Calibri" w:cs="Calibri"/>
                <w:kern w:val="0"/>
                <w:sz w:val="20"/>
                <w:szCs w:val="20"/>
                <w:lang w:eastAsia="en-GB"/>
                <w14:ligatures w14:val="none"/>
              </w:rPr>
              <w:t>high risk</w:t>
            </w:r>
            <w:proofErr w:type="gramEnd"/>
            <w:r w:rsidRPr="003D1BBB">
              <w:rPr>
                <w:rFonts w:ascii="Calibri" w:eastAsia="Times New Roman" w:hAnsi="Calibri" w:cs="Calibri"/>
                <w:kern w:val="0"/>
                <w:sz w:val="20"/>
                <w:szCs w:val="20"/>
                <w:lang w:eastAsia="en-GB"/>
                <w14:ligatures w14:val="none"/>
              </w:rPr>
              <w:t xml:space="preserve"> areas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C002AA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0D71B60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224</w:t>
            </w:r>
          </w:p>
        </w:tc>
        <w:tc>
          <w:tcPr>
            <w:tcW w:w="646" w:type="pct"/>
            <w:tcBorders>
              <w:top w:val="nil"/>
              <w:left w:val="nil"/>
              <w:bottom w:val="single" w:sz="4" w:space="0" w:color="auto"/>
              <w:right w:val="single" w:sz="4" w:space="0" w:color="auto"/>
            </w:tcBorders>
            <w:vAlign w:val="center"/>
            <w:hideMark/>
          </w:tcPr>
          <w:p w14:paraId="5E61884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Upgrade site wide security system with surveillance team to monitor CCTV</w:t>
            </w:r>
          </w:p>
        </w:tc>
        <w:tc>
          <w:tcPr>
            <w:tcW w:w="528" w:type="pct"/>
            <w:tcBorders>
              <w:top w:val="nil"/>
              <w:left w:val="nil"/>
              <w:bottom w:val="single" w:sz="4" w:space="0" w:color="auto"/>
              <w:right w:val="single" w:sz="4" w:space="0" w:color="auto"/>
            </w:tcBorders>
            <w:vAlign w:val="center"/>
            <w:hideMark/>
          </w:tcPr>
          <w:p w14:paraId="5EB511A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Security &amp; IT Department</w:t>
            </w:r>
          </w:p>
        </w:tc>
        <w:tc>
          <w:tcPr>
            <w:tcW w:w="85" w:type="pct"/>
            <w:vAlign w:val="center"/>
            <w:hideMark/>
          </w:tcPr>
          <w:p w14:paraId="63735762"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3BBBC65" w14:textId="77777777" w:rsidTr="00AA4D71">
        <w:trPr>
          <w:trHeight w:val="520"/>
        </w:trPr>
        <w:tc>
          <w:tcPr>
            <w:tcW w:w="209" w:type="pct"/>
            <w:tcBorders>
              <w:top w:val="nil"/>
              <w:left w:val="nil"/>
              <w:bottom w:val="nil"/>
              <w:right w:val="nil"/>
            </w:tcBorders>
            <w:noWrap/>
            <w:vAlign w:val="center"/>
            <w:hideMark/>
          </w:tcPr>
          <w:p w14:paraId="3554FA2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180CF71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446F25A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7704A01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77F123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30EB6D5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Security patrols not frequent enough</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2CDE7B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403F13C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Site security </w:t>
            </w:r>
            <w:proofErr w:type="gramStart"/>
            <w:r w:rsidRPr="003D1BBB">
              <w:rPr>
                <w:rFonts w:ascii="Calibri" w:eastAsia="Times New Roman" w:hAnsi="Calibri" w:cs="Calibri"/>
                <w:kern w:val="0"/>
                <w:sz w:val="20"/>
                <w:szCs w:val="20"/>
                <w:lang w:eastAsia="en-GB"/>
                <w14:ligatures w14:val="none"/>
              </w:rPr>
              <w:t>operate</w:t>
            </w:r>
            <w:proofErr w:type="gramEnd"/>
            <w:r w:rsidRPr="003D1BBB">
              <w:rPr>
                <w:rFonts w:ascii="Calibri" w:eastAsia="Times New Roman" w:hAnsi="Calibri" w:cs="Calibri"/>
                <w:kern w:val="0"/>
                <w:sz w:val="20"/>
                <w:szCs w:val="20"/>
                <w:lang w:eastAsia="en-GB"/>
                <w14:ligatures w14:val="none"/>
              </w:rPr>
              <w:t xml:space="preserve"> 24/7 with regular patrols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4EE75B6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CAAD75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224</w:t>
            </w:r>
          </w:p>
        </w:tc>
        <w:tc>
          <w:tcPr>
            <w:tcW w:w="646" w:type="pct"/>
            <w:tcBorders>
              <w:top w:val="nil"/>
              <w:left w:val="nil"/>
              <w:bottom w:val="single" w:sz="4" w:space="0" w:color="auto"/>
              <w:right w:val="single" w:sz="4" w:space="0" w:color="auto"/>
            </w:tcBorders>
            <w:vAlign w:val="center"/>
            <w:hideMark/>
          </w:tcPr>
          <w:p w14:paraId="6113D24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Introduce a motion detection system which will notify security staff</w:t>
            </w:r>
          </w:p>
        </w:tc>
        <w:tc>
          <w:tcPr>
            <w:tcW w:w="528" w:type="pct"/>
            <w:tcBorders>
              <w:top w:val="nil"/>
              <w:left w:val="nil"/>
              <w:bottom w:val="single" w:sz="4" w:space="0" w:color="auto"/>
              <w:right w:val="single" w:sz="4" w:space="0" w:color="auto"/>
            </w:tcBorders>
            <w:vAlign w:val="center"/>
            <w:hideMark/>
          </w:tcPr>
          <w:p w14:paraId="5078194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Security &amp; IT Department</w:t>
            </w:r>
          </w:p>
        </w:tc>
        <w:tc>
          <w:tcPr>
            <w:tcW w:w="85" w:type="pct"/>
            <w:vAlign w:val="center"/>
            <w:hideMark/>
          </w:tcPr>
          <w:p w14:paraId="2A6DDCC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97CE27D" w14:textId="77777777" w:rsidTr="00AA4D71">
        <w:trPr>
          <w:trHeight w:val="520"/>
        </w:trPr>
        <w:tc>
          <w:tcPr>
            <w:tcW w:w="209" w:type="pct"/>
            <w:tcBorders>
              <w:top w:val="nil"/>
              <w:left w:val="nil"/>
              <w:bottom w:val="nil"/>
              <w:right w:val="nil"/>
            </w:tcBorders>
            <w:noWrap/>
            <w:vAlign w:val="center"/>
            <w:hideMark/>
          </w:tcPr>
          <w:p w14:paraId="6437636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3BEE4CA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3FFF666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4085F0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033433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19A5CE5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deterrents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8E914F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70D697F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CCTV system and alarms in place to warn off intruders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390636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05413DE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224</w:t>
            </w:r>
          </w:p>
        </w:tc>
        <w:tc>
          <w:tcPr>
            <w:tcW w:w="646" w:type="pct"/>
            <w:tcBorders>
              <w:top w:val="nil"/>
              <w:left w:val="nil"/>
              <w:bottom w:val="single" w:sz="4" w:space="0" w:color="auto"/>
              <w:right w:val="single" w:sz="4" w:space="0" w:color="auto"/>
            </w:tcBorders>
            <w:vAlign w:val="center"/>
            <w:hideMark/>
          </w:tcPr>
          <w:p w14:paraId="32F0B3A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Improve lighting and visibility across yard areas, aiming </w:t>
            </w:r>
            <w:r w:rsidRPr="003D1BBB">
              <w:rPr>
                <w:rFonts w:ascii="Calibri" w:eastAsia="Times New Roman" w:hAnsi="Calibri" w:cs="Calibri"/>
                <w:kern w:val="0"/>
                <w:sz w:val="20"/>
                <w:szCs w:val="20"/>
                <w:lang w:eastAsia="en-GB"/>
                <w14:ligatures w14:val="none"/>
              </w:rPr>
              <w:lastRenderedPageBreak/>
              <w:t>for blind spots near slabs</w:t>
            </w:r>
          </w:p>
        </w:tc>
        <w:tc>
          <w:tcPr>
            <w:tcW w:w="528" w:type="pct"/>
            <w:tcBorders>
              <w:top w:val="nil"/>
              <w:left w:val="nil"/>
              <w:bottom w:val="single" w:sz="4" w:space="0" w:color="auto"/>
              <w:right w:val="single" w:sz="4" w:space="0" w:color="auto"/>
            </w:tcBorders>
            <w:vAlign w:val="center"/>
            <w:hideMark/>
          </w:tcPr>
          <w:p w14:paraId="5728638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Security &amp; IT Department</w:t>
            </w:r>
          </w:p>
        </w:tc>
        <w:tc>
          <w:tcPr>
            <w:tcW w:w="85" w:type="pct"/>
            <w:vAlign w:val="center"/>
            <w:hideMark/>
          </w:tcPr>
          <w:p w14:paraId="43803BA4"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AFFFBD4" w14:textId="77777777" w:rsidTr="00AA4D71">
        <w:trPr>
          <w:trHeight w:val="520"/>
        </w:trPr>
        <w:tc>
          <w:tcPr>
            <w:tcW w:w="209" w:type="pct"/>
            <w:tcBorders>
              <w:top w:val="nil"/>
              <w:left w:val="nil"/>
              <w:bottom w:val="nil"/>
              <w:right w:val="nil"/>
            </w:tcBorders>
            <w:noWrap/>
            <w:vAlign w:val="center"/>
            <w:hideMark/>
          </w:tcPr>
          <w:p w14:paraId="37099C1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06B51D0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D27821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1FB773F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Damaged identification tags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5BE7C37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65434B3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Vandalism</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61A8FDF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710" w:type="pct"/>
            <w:tcBorders>
              <w:top w:val="nil"/>
              <w:left w:val="nil"/>
              <w:bottom w:val="single" w:sz="4" w:space="0" w:color="auto"/>
              <w:right w:val="single" w:sz="4" w:space="0" w:color="auto"/>
            </w:tcBorders>
            <w:vAlign w:val="center"/>
            <w:hideMark/>
          </w:tcPr>
          <w:p w14:paraId="2B23615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Site security </w:t>
            </w:r>
            <w:proofErr w:type="gramStart"/>
            <w:r w:rsidRPr="003D1BBB">
              <w:rPr>
                <w:rFonts w:ascii="Calibri" w:eastAsia="Times New Roman" w:hAnsi="Calibri" w:cs="Calibri"/>
                <w:kern w:val="0"/>
                <w:sz w:val="20"/>
                <w:szCs w:val="20"/>
                <w:lang w:eastAsia="en-GB"/>
                <w14:ligatures w14:val="none"/>
              </w:rPr>
              <w:t>operate</w:t>
            </w:r>
            <w:proofErr w:type="gramEnd"/>
            <w:r w:rsidRPr="003D1BBB">
              <w:rPr>
                <w:rFonts w:ascii="Calibri" w:eastAsia="Times New Roman" w:hAnsi="Calibri" w:cs="Calibri"/>
                <w:kern w:val="0"/>
                <w:sz w:val="20"/>
                <w:szCs w:val="20"/>
                <w:lang w:eastAsia="en-GB"/>
                <w14:ligatures w14:val="none"/>
              </w:rPr>
              <w:t xml:space="preserve"> 24/7 with regular patrols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75A2F6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9DA6D3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96</w:t>
            </w:r>
          </w:p>
        </w:tc>
        <w:tc>
          <w:tcPr>
            <w:tcW w:w="646" w:type="pct"/>
            <w:tcBorders>
              <w:top w:val="nil"/>
              <w:left w:val="nil"/>
              <w:bottom w:val="single" w:sz="4" w:space="0" w:color="auto"/>
              <w:right w:val="single" w:sz="4" w:space="0" w:color="auto"/>
            </w:tcBorders>
            <w:vAlign w:val="center"/>
            <w:hideMark/>
          </w:tcPr>
          <w:p w14:paraId="3B9CEA8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Upgrade entry systems to include controlled ID verification linked to employee clock in card</w:t>
            </w:r>
          </w:p>
        </w:tc>
        <w:tc>
          <w:tcPr>
            <w:tcW w:w="528" w:type="pct"/>
            <w:tcBorders>
              <w:top w:val="nil"/>
              <w:left w:val="nil"/>
              <w:bottom w:val="single" w:sz="4" w:space="0" w:color="auto"/>
              <w:right w:val="single" w:sz="4" w:space="0" w:color="auto"/>
            </w:tcBorders>
            <w:vAlign w:val="center"/>
            <w:hideMark/>
          </w:tcPr>
          <w:p w14:paraId="0DDD966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Security &amp; IT Department</w:t>
            </w:r>
          </w:p>
        </w:tc>
        <w:tc>
          <w:tcPr>
            <w:tcW w:w="85" w:type="pct"/>
            <w:vAlign w:val="center"/>
            <w:hideMark/>
          </w:tcPr>
          <w:p w14:paraId="08DEEB92"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48D04EA" w14:textId="77777777" w:rsidTr="00AA4D71">
        <w:trPr>
          <w:trHeight w:val="780"/>
        </w:trPr>
        <w:tc>
          <w:tcPr>
            <w:tcW w:w="209" w:type="pct"/>
            <w:tcBorders>
              <w:top w:val="nil"/>
              <w:left w:val="nil"/>
              <w:bottom w:val="nil"/>
              <w:right w:val="nil"/>
            </w:tcBorders>
            <w:noWrap/>
            <w:vAlign w:val="center"/>
            <w:hideMark/>
          </w:tcPr>
          <w:p w14:paraId="796CF24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63971D7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3751C3A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56CAE52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40C712E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302D88D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tag protection making them vulnerable to weather or tampering</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DE7F7F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2720F11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Slabs labelled with heat number multiple times on each side of slab</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5CCB1F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8D4A26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192</w:t>
            </w:r>
          </w:p>
        </w:tc>
        <w:tc>
          <w:tcPr>
            <w:tcW w:w="646" w:type="pct"/>
            <w:tcBorders>
              <w:top w:val="nil"/>
              <w:left w:val="nil"/>
              <w:bottom w:val="single" w:sz="4" w:space="0" w:color="auto"/>
              <w:right w:val="single" w:sz="4" w:space="0" w:color="auto"/>
            </w:tcBorders>
            <w:vAlign w:val="center"/>
            <w:hideMark/>
          </w:tcPr>
          <w:p w14:paraId="606645E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Explore use of RFID/barcode tagging which is integrated into a yard management system</w:t>
            </w:r>
          </w:p>
        </w:tc>
        <w:tc>
          <w:tcPr>
            <w:tcW w:w="528" w:type="pct"/>
            <w:tcBorders>
              <w:top w:val="nil"/>
              <w:left w:val="nil"/>
              <w:bottom w:val="single" w:sz="4" w:space="0" w:color="auto"/>
              <w:right w:val="single" w:sz="4" w:space="0" w:color="auto"/>
            </w:tcBorders>
            <w:vAlign w:val="center"/>
            <w:hideMark/>
          </w:tcPr>
          <w:p w14:paraId="4E952AA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Security &amp; IT Department</w:t>
            </w:r>
          </w:p>
        </w:tc>
        <w:tc>
          <w:tcPr>
            <w:tcW w:w="85" w:type="pct"/>
            <w:vAlign w:val="center"/>
            <w:hideMark/>
          </w:tcPr>
          <w:p w14:paraId="4B9314A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E5312D6" w14:textId="77777777" w:rsidTr="00AA4D71">
        <w:trPr>
          <w:trHeight w:val="780"/>
        </w:trPr>
        <w:tc>
          <w:tcPr>
            <w:tcW w:w="209" w:type="pct"/>
            <w:tcBorders>
              <w:top w:val="nil"/>
              <w:left w:val="nil"/>
              <w:bottom w:val="nil"/>
              <w:right w:val="nil"/>
            </w:tcBorders>
            <w:noWrap/>
            <w:vAlign w:val="center"/>
            <w:hideMark/>
          </w:tcPr>
          <w:p w14:paraId="11027D9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2798077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0E63D16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nil"/>
              <w:right w:val="single" w:sz="4" w:space="0" w:color="auto"/>
            </w:tcBorders>
            <w:vAlign w:val="center"/>
            <w:hideMark/>
          </w:tcPr>
          <w:p w14:paraId="266610F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Safety risks</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34A5FA2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w:t>
            </w:r>
          </w:p>
        </w:tc>
        <w:tc>
          <w:tcPr>
            <w:tcW w:w="614" w:type="pct"/>
            <w:tcBorders>
              <w:top w:val="nil"/>
              <w:left w:val="nil"/>
              <w:bottom w:val="single" w:sz="4" w:space="0" w:color="auto"/>
              <w:right w:val="single" w:sz="4" w:space="0" w:color="auto"/>
            </w:tcBorders>
            <w:vAlign w:val="center"/>
            <w:hideMark/>
          </w:tcPr>
          <w:p w14:paraId="5E7A478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Unauthorised personnel entering restricted zones leading to injury</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4175AC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5F01DEA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Manual sign in to restricted zones is required on site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5C88C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9AFF78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216</w:t>
            </w:r>
          </w:p>
        </w:tc>
        <w:tc>
          <w:tcPr>
            <w:tcW w:w="646" w:type="pct"/>
            <w:tcBorders>
              <w:top w:val="nil"/>
              <w:left w:val="nil"/>
              <w:bottom w:val="single" w:sz="4" w:space="0" w:color="auto"/>
              <w:right w:val="single" w:sz="4" w:space="0" w:color="auto"/>
            </w:tcBorders>
            <w:vAlign w:val="center"/>
            <w:hideMark/>
          </w:tcPr>
          <w:p w14:paraId="4EB8B95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Upgrade entry systems to include controlled ID verification linked to employee clock in card</w:t>
            </w:r>
          </w:p>
        </w:tc>
        <w:tc>
          <w:tcPr>
            <w:tcW w:w="528" w:type="pct"/>
            <w:tcBorders>
              <w:top w:val="nil"/>
              <w:left w:val="nil"/>
              <w:bottom w:val="single" w:sz="4" w:space="0" w:color="auto"/>
              <w:right w:val="single" w:sz="4" w:space="0" w:color="auto"/>
            </w:tcBorders>
            <w:vAlign w:val="center"/>
            <w:hideMark/>
          </w:tcPr>
          <w:p w14:paraId="1FABCFC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Security &amp; IT Department</w:t>
            </w:r>
          </w:p>
        </w:tc>
        <w:tc>
          <w:tcPr>
            <w:tcW w:w="85" w:type="pct"/>
            <w:vAlign w:val="center"/>
            <w:hideMark/>
          </w:tcPr>
          <w:p w14:paraId="1D4F82A1"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BA6F1BD" w14:textId="77777777" w:rsidTr="00AA4D71">
        <w:trPr>
          <w:trHeight w:val="520"/>
        </w:trPr>
        <w:tc>
          <w:tcPr>
            <w:tcW w:w="209" w:type="pct"/>
            <w:tcBorders>
              <w:top w:val="nil"/>
              <w:left w:val="nil"/>
              <w:bottom w:val="nil"/>
              <w:right w:val="nil"/>
            </w:tcBorders>
            <w:noWrap/>
            <w:vAlign w:val="center"/>
            <w:hideMark/>
          </w:tcPr>
          <w:p w14:paraId="2406660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2483C1B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6DAAD69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4DF7C55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55A439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2DFDF6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visibility in dark conditions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18A73A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77844D9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Adequate lighting systems in place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9A2B92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2A7139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180</w:t>
            </w:r>
          </w:p>
        </w:tc>
        <w:tc>
          <w:tcPr>
            <w:tcW w:w="646" w:type="pct"/>
            <w:tcBorders>
              <w:top w:val="nil"/>
              <w:left w:val="nil"/>
              <w:bottom w:val="single" w:sz="4" w:space="0" w:color="auto"/>
              <w:right w:val="single" w:sz="4" w:space="0" w:color="auto"/>
            </w:tcBorders>
            <w:vAlign w:val="center"/>
            <w:hideMark/>
          </w:tcPr>
          <w:p w14:paraId="3EA8828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Future plan is to look at upgrading lighting system to LED lighting so that it is a higher intensity </w:t>
            </w:r>
          </w:p>
        </w:tc>
        <w:tc>
          <w:tcPr>
            <w:tcW w:w="528" w:type="pct"/>
            <w:tcBorders>
              <w:top w:val="nil"/>
              <w:left w:val="nil"/>
              <w:bottom w:val="single" w:sz="4" w:space="0" w:color="auto"/>
              <w:right w:val="single" w:sz="4" w:space="0" w:color="auto"/>
            </w:tcBorders>
            <w:vAlign w:val="center"/>
            <w:hideMark/>
          </w:tcPr>
          <w:p w14:paraId="61A4E8C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Security &amp; IT Department</w:t>
            </w:r>
          </w:p>
        </w:tc>
        <w:tc>
          <w:tcPr>
            <w:tcW w:w="85" w:type="pct"/>
            <w:vAlign w:val="center"/>
            <w:hideMark/>
          </w:tcPr>
          <w:p w14:paraId="0E833C24"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128A904" w14:textId="77777777" w:rsidTr="00AA4D71">
        <w:trPr>
          <w:trHeight w:val="520"/>
        </w:trPr>
        <w:tc>
          <w:tcPr>
            <w:tcW w:w="209" w:type="pct"/>
            <w:tcBorders>
              <w:top w:val="nil"/>
              <w:left w:val="nil"/>
              <w:bottom w:val="nil"/>
              <w:right w:val="nil"/>
            </w:tcBorders>
            <w:noWrap/>
            <w:vAlign w:val="center"/>
            <w:hideMark/>
          </w:tcPr>
          <w:p w14:paraId="2E94D67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1EF5A32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507FC60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single" w:sz="4" w:space="0" w:color="auto"/>
              <w:left w:val="single" w:sz="4" w:space="0" w:color="auto"/>
              <w:bottom w:val="single" w:sz="4" w:space="0" w:color="000000"/>
              <w:right w:val="single" w:sz="4" w:space="0" w:color="auto"/>
            </w:tcBorders>
            <w:vAlign w:val="center"/>
            <w:hideMark/>
          </w:tcPr>
          <w:p w14:paraId="50DE199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Reputational risks</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7387D3F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9</w:t>
            </w:r>
          </w:p>
        </w:tc>
        <w:tc>
          <w:tcPr>
            <w:tcW w:w="614" w:type="pct"/>
            <w:tcBorders>
              <w:top w:val="nil"/>
              <w:left w:val="nil"/>
              <w:bottom w:val="single" w:sz="4" w:space="0" w:color="auto"/>
              <w:right w:val="single" w:sz="4" w:space="0" w:color="auto"/>
            </w:tcBorders>
            <w:vAlign w:val="center"/>
            <w:hideMark/>
          </w:tcPr>
          <w:p w14:paraId="3CDCD54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Negative publicity</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EEFA19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4A172E0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None</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64D3B9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0BF3545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288</w:t>
            </w:r>
          </w:p>
        </w:tc>
        <w:tc>
          <w:tcPr>
            <w:tcW w:w="646" w:type="pct"/>
            <w:tcBorders>
              <w:top w:val="nil"/>
              <w:left w:val="nil"/>
              <w:bottom w:val="single" w:sz="4" w:space="0" w:color="auto"/>
              <w:right w:val="single" w:sz="4" w:space="0" w:color="auto"/>
            </w:tcBorders>
            <w:vAlign w:val="center"/>
            <w:hideMark/>
          </w:tcPr>
          <w:p w14:paraId="10F8453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Introduce a robust visitor and contractor registration process which is documented on a digital platform</w:t>
            </w:r>
          </w:p>
        </w:tc>
        <w:tc>
          <w:tcPr>
            <w:tcW w:w="528" w:type="pct"/>
            <w:tcBorders>
              <w:top w:val="nil"/>
              <w:left w:val="nil"/>
              <w:bottom w:val="single" w:sz="4" w:space="0" w:color="auto"/>
              <w:right w:val="single" w:sz="4" w:space="0" w:color="auto"/>
            </w:tcBorders>
            <w:vAlign w:val="center"/>
            <w:hideMark/>
          </w:tcPr>
          <w:p w14:paraId="1F84D34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Security &amp; IT Department</w:t>
            </w:r>
          </w:p>
        </w:tc>
        <w:tc>
          <w:tcPr>
            <w:tcW w:w="85" w:type="pct"/>
            <w:vAlign w:val="center"/>
            <w:hideMark/>
          </w:tcPr>
          <w:p w14:paraId="45AA4BB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056F422" w14:textId="77777777" w:rsidTr="00AA4D71">
        <w:trPr>
          <w:trHeight w:val="780"/>
        </w:trPr>
        <w:tc>
          <w:tcPr>
            <w:tcW w:w="209" w:type="pct"/>
            <w:tcBorders>
              <w:top w:val="nil"/>
              <w:left w:val="nil"/>
              <w:bottom w:val="nil"/>
              <w:right w:val="nil"/>
            </w:tcBorders>
            <w:noWrap/>
            <w:vAlign w:val="center"/>
            <w:hideMark/>
          </w:tcPr>
          <w:p w14:paraId="7FE8D4F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22400C9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0E308BB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776D03E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C3AE07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9C2670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Slow response to security incidents due to short staff</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1F79F6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73AA47A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Security and large parts of site work on a 24/7 basis ensuring </w:t>
            </w:r>
            <w:r w:rsidRPr="003D1BBB">
              <w:rPr>
                <w:rFonts w:ascii="Calibri" w:eastAsia="Times New Roman" w:hAnsi="Calibri" w:cs="Calibri"/>
                <w:kern w:val="0"/>
                <w:sz w:val="20"/>
                <w:szCs w:val="20"/>
                <w:lang w:eastAsia="en-GB"/>
                <w14:ligatures w14:val="none"/>
              </w:rPr>
              <w:lastRenderedPageBreak/>
              <w:t>areas of activity are manned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68B64F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0CAE85B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216</w:t>
            </w:r>
          </w:p>
        </w:tc>
        <w:tc>
          <w:tcPr>
            <w:tcW w:w="646" w:type="pct"/>
            <w:tcBorders>
              <w:top w:val="nil"/>
              <w:left w:val="nil"/>
              <w:bottom w:val="single" w:sz="4" w:space="0" w:color="auto"/>
              <w:right w:val="single" w:sz="4" w:space="0" w:color="auto"/>
            </w:tcBorders>
            <w:vAlign w:val="center"/>
            <w:hideMark/>
          </w:tcPr>
          <w:p w14:paraId="1E4DB49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Roll out regular training and courses to staff to </w:t>
            </w:r>
            <w:r w:rsidRPr="003D1BBB">
              <w:rPr>
                <w:rFonts w:ascii="Calibri" w:eastAsia="Times New Roman" w:hAnsi="Calibri" w:cs="Calibri"/>
                <w:kern w:val="0"/>
                <w:sz w:val="20"/>
                <w:szCs w:val="20"/>
                <w:lang w:eastAsia="en-GB"/>
                <w14:ligatures w14:val="none"/>
              </w:rPr>
              <w:lastRenderedPageBreak/>
              <w:t>encourage them to report any suspicious activities</w:t>
            </w:r>
          </w:p>
        </w:tc>
        <w:tc>
          <w:tcPr>
            <w:tcW w:w="528" w:type="pct"/>
            <w:tcBorders>
              <w:top w:val="nil"/>
              <w:left w:val="nil"/>
              <w:bottom w:val="single" w:sz="4" w:space="0" w:color="auto"/>
              <w:right w:val="single" w:sz="4" w:space="0" w:color="auto"/>
            </w:tcBorders>
            <w:vAlign w:val="center"/>
            <w:hideMark/>
          </w:tcPr>
          <w:p w14:paraId="26152A1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Local level management site wide</w:t>
            </w:r>
          </w:p>
        </w:tc>
        <w:tc>
          <w:tcPr>
            <w:tcW w:w="85" w:type="pct"/>
            <w:vAlign w:val="center"/>
            <w:hideMark/>
          </w:tcPr>
          <w:p w14:paraId="14FD9C04"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92CB3DF" w14:textId="77777777" w:rsidTr="00AA4D71">
        <w:trPr>
          <w:trHeight w:val="780"/>
        </w:trPr>
        <w:tc>
          <w:tcPr>
            <w:tcW w:w="209" w:type="pct"/>
            <w:tcBorders>
              <w:top w:val="nil"/>
              <w:left w:val="nil"/>
              <w:bottom w:val="nil"/>
              <w:right w:val="nil"/>
            </w:tcBorders>
            <w:noWrap/>
            <w:vAlign w:val="center"/>
            <w:hideMark/>
          </w:tcPr>
          <w:p w14:paraId="02E09C6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7DDD3CB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single" w:sz="4" w:space="0" w:color="000000"/>
              <w:right w:val="single" w:sz="4" w:space="0" w:color="auto"/>
            </w:tcBorders>
            <w:vAlign w:val="center"/>
            <w:hideMark/>
          </w:tcPr>
          <w:p w14:paraId="2B6FFB4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Equipment breakdowns</w:t>
            </w:r>
          </w:p>
        </w:tc>
        <w:tc>
          <w:tcPr>
            <w:tcW w:w="517" w:type="pct"/>
            <w:vMerge w:val="restart"/>
            <w:tcBorders>
              <w:top w:val="nil"/>
              <w:left w:val="single" w:sz="4" w:space="0" w:color="auto"/>
              <w:bottom w:val="single" w:sz="4" w:space="0" w:color="auto"/>
              <w:right w:val="single" w:sz="4" w:space="0" w:color="auto"/>
            </w:tcBorders>
            <w:vAlign w:val="center"/>
            <w:hideMark/>
          </w:tcPr>
          <w:p w14:paraId="02078A7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Delays in rolling operations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7657CF7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21C013E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preventative maintenance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0C9654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710" w:type="pct"/>
            <w:tcBorders>
              <w:top w:val="nil"/>
              <w:left w:val="nil"/>
              <w:bottom w:val="single" w:sz="4" w:space="0" w:color="auto"/>
              <w:right w:val="single" w:sz="4" w:space="0" w:color="auto"/>
            </w:tcBorders>
            <w:vAlign w:val="center"/>
            <w:hideMark/>
          </w:tcPr>
          <w:p w14:paraId="294044F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Preventative maintenance carried out on a routine basis</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1A38E1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A8E6BE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tcBorders>
              <w:top w:val="nil"/>
              <w:left w:val="nil"/>
              <w:bottom w:val="single" w:sz="4" w:space="0" w:color="auto"/>
              <w:right w:val="single" w:sz="4" w:space="0" w:color="auto"/>
            </w:tcBorders>
            <w:vAlign w:val="center"/>
            <w:hideMark/>
          </w:tcPr>
          <w:p w14:paraId="64CD960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Replace obsolete equipment through CAPEX investment plan</w:t>
            </w:r>
          </w:p>
        </w:tc>
        <w:tc>
          <w:tcPr>
            <w:tcW w:w="528" w:type="pct"/>
            <w:tcBorders>
              <w:top w:val="nil"/>
              <w:left w:val="nil"/>
              <w:bottom w:val="single" w:sz="4" w:space="0" w:color="auto"/>
              <w:right w:val="single" w:sz="4" w:space="0" w:color="auto"/>
            </w:tcBorders>
            <w:vAlign w:val="center"/>
            <w:hideMark/>
          </w:tcPr>
          <w:p w14:paraId="3E01EEC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Local level management site wide</w:t>
            </w:r>
          </w:p>
        </w:tc>
        <w:tc>
          <w:tcPr>
            <w:tcW w:w="85" w:type="pct"/>
            <w:vAlign w:val="center"/>
            <w:hideMark/>
          </w:tcPr>
          <w:p w14:paraId="6B32066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A897054" w14:textId="77777777" w:rsidTr="00AA4D71">
        <w:trPr>
          <w:trHeight w:val="780"/>
        </w:trPr>
        <w:tc>
          <w:tcPr>
            <w:tcW w:w="209" w:type="pct"/>
            <w:tcBorders>
              <w:top w:val="nil"/>
              <w:left w:val="nil"/>
              <w:bottom w:val="nil"/>
              <w:right w:val="nil"/>
            </w:tcBorders>
            <w:noWrap/>
            <w:vAlign w:val="center"/>
            <w:hideMark/>
          </w:tcPr>
          <w:p w14:paraId="42FD680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0E8C8B5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40C973C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auto"/>
              <w:right w:val="single" w:sz="4" w:space="0" w:color="auto"/>
            </w:tcBorders>
            <w:vAlign w:val="center"/>
            <w:hideMark/>
          </w:tcPr>
          <w:p w14:paraId="0B6C3CF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26C949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2A8E620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Ageing /outdated mechanical or electrical systems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3530D8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710" w:type="pct"/>
            <w:tcBorders>
              <w:top w:val="nil"/>
              <w:left w:val="nil"/>
              <w:bottom w:val="single" w:sz="4" w:space="0" w:color="auto"/>
              <w:right w:val="single" w:sz="4" w:space="0" w:color="auto"/>
            </w:tcBorders>
            <w:vAlign w:val="center"/>
            <w:hideMark/>
          </w:tcPr>
          <w:p w14:paraId="143A678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Digital management is used to track asset health (SAP)</w:t>
            </w:r>
          </w:p>
        </w:tc>
        <w:tc>
          <w:tcPr>
            <w:tcW w:w="16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1FA2996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BE506A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tcBorders>
              <w:top w:val="nil"/>
              <w:left w:val="nil"/>
              <w:bottom w:val="single" w:sz="4" w:space="0" w:color="auto"/>
              <w:right w:val="single" w:sz="4" w:space="0" w:color="auto"/>
            </w:tcBorders>
            <w:vAlign w:val="center"/>
            <w:hideMark/>
          </w:tcPr>
          <w:p w14:paraId="5C3DDC0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Implement </w:t>
            </w:r>
            <w:proofErr w:type="spellStart"/>
            <w:proofErr w:type="gramStart"/>
            <w:r w:rsidRPr="003D1BBB">
              <w:rPr>
                <w:rFonts w:ascii="Calibri" w:eastAsia="Times New Roman" w:hAnsi="Calibri" w:cs="Calibri"/>
                <w:kern w:val="0"/>
                <w:sz w:val="20"/>
                <w:szCs w:val="20"/>
                <w:lang w:eastAsia="en-GB"/>
                <w14:ligatures w14:val="none"/>
              </w:rPr>
              <w:t>a</w:t>
            </w:r>
            <w:proofErr w:type="spellEnd"/>
            <w:proofErr w:type="gramEnd"/>
            <w:r w:rsidRPr="003D1BBB">
              <w:rPr>
                <w:rFonts w:ascii="Calibri" w:eastAsia="Times New Roman" w:hAnsi="Calibri" w:cs="Calibri"/>
                <w:kern w:val="0"/>
                <w:sz w:val="20"/>
                <w:szCs w:val="20"/>
                <w:lang w:eastAsia="en-GB"/>
                <w14:ligatures w14:val="none"/>
              </w:rPr>
              <w:t xml:space="preserve"> asset criticality assessment to prioritise maintenance resources effectively</w:t>
            </w:r>
          </w:p>
        </w:tc>
        <w:tc>
          <w:tcPr>
            <w:tcW w:w="528" w:type="pct"/>
            <w:tcBorders>
              <w:top w:val="nil"/>
              <w:left w:val="nil"/>
              <w:bottom w:val="single" w:sz="4" w:space="0" w:color="auto"/>
              <w:right w:val="single" w:sz="4" w:space="0" w:color="auto"/>
            </w:tcBorders>
            <w:vAlign w:val="center"/>
            <w:hideMark/>
          </w:tcPr>
          <w:p w14:paraId="4C2F202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Local level management site wide</w:t>
            </w:r>
          </w:p>
        </w:tc>
        <w:tc>
          <w:tcPr>
            <w:tcW w:w="85" w:type="pct"/>
            <w:vAlign w:val="center"/>
            <w:hideMark/>
          </w:tcPr>
          <w:p w14:paraId="46F1850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6179045" w14:textId="77777777" w:rsidTr="00AA4D71">
        <w:trPr>
          <w:trHeight w:val="780"/>
        </w:trPr>
        <w:tc>
          <w:tcPr>
            <w:tcW w:w="209" w:type="pct"/>
            <w:tcBorders>
              <w:top w:val="nil"/>
              <w:left w:val="nil"/>
              <w:bottom w:val="nil"/>
              <w:right w:val="nil"/>
            </w:tcBorders>
            <w:noWrap/>
            <w:vAlign w:val="center"/>
            <w:hideMark/>
          </w:tcPr>
          <w:p w14:paraId="45A719F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369CBFB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3673FA9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auto"/>
              <w:right w:val="single" w:sz="4" w:space="0" w:color="auto"/>
            </w:tcBorders>
            <w:vAlign w:val="center"/>
            <w:hideMark/>
          </w:tcPr>
          <w:p w14:paraId="1A62542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4942D3A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23BD863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Insufficient operator knowledge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8D254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77ED7F6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Operators trained to perform inspections and report abnormalities promptly</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D3D98D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F1D44D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50E7237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Establish cross functional review meetings between maintenance and production to monitor downtime trends</w:t>
            </w:r>
          </w:p>
        </w:tc>
        <w:tc>
          <w:tcPr>
            <w:tcW w:w="528" w:type="pct"/>
            <w:tcBorders>
              <w:top w:val="nil"/>
              <w:left w:val="nil"/>
              <w:bottom w:val="single" w:sz="4" w:space="0" w:color="auto"/>
              <w:right w:val="single" w:sz="4" w:space="0" w:color="auto"/>
            </w:tcBorders>
            <w:vAlign w:val="center"/>
            <w:hideMark/>
          </w:tcPr>
          <w:p w14:paraId="4E48054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Local level management site wide</w:t>
            </w:r>
          </w:p>
        </w:tc>
        <w:tc>
          <w:tcPr>
            <w:tcW w:w="85" w:type="pct"/>
            <w:vAlign w:val="center"/>
            <w:hideMark/>
          </w:tcPr>
          <w:p w14:paraId="3BFEB94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2845406" w14:textId="77777777" w:rsidTr="00AA4D71">
        <w:trPr>
          <w:trHeight w:val="780"/>
        </w:trPr>
        <w:tc>
          <w:tcPr>
            <w:tcW w:w="209" w:type="pct"/>
            <w:tcBorders>
              <w:top w:val="nil"/>
              <w:left w:val="nil"/>
              <w:bottom w:val="nil"/>
              <w:right w:val="nil"/>
            </w:tcBorders>
            <w:noWrap/>
            <w:vAlign w:val="center"/>
            <w:hideMark/>
          </w:tcPr>
          <w:p w14:paraId="410683F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3201F0A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0F7A008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auto"/>
              <w:right w:val="single" w:sz="4" w:space="0" w:color="auto"/>
            </w:tcBorders>
            <w:vAlign w:val="center"/>
            <w:hideMark/>
          </w:tcPr>
          <w:p w14:paraId="5673D87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543623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51C62F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Absence of predictive tools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D0CE53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52C30A6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Predictive maintenance and condition monitoring implemented to avoid sudden critical failures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F7423C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58D993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643C43A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Continue to monitor predictive maintenance tool to ensure its validity </w:t>
            </w:r>
          </w:p>
        </w:tc>
        <w:tc>
          <w:tcPr>
            <w:tcW w:w="528" w:type="pct"/>
            <w:tcBorders>
              <w:top w:val="nil"/>
              <w:left w:val="nil"/>
              <w:bottom w:val="single" w:sz="4" w:space="0" w:color="auto"/>
              <w:right w:val="single" w:sz="4" w:space="0" w:color="auto"/>
            </w:tcBorders>
            <w:vAlign w:val="center"/>
            <w:hideMark/>
          </w:tcPr>
          <w:p w14:paraId="76FC21A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teams</w:t>
            </w:r>
          </w:p>
        </w:tc>
        <w:tc>
          <w:tcPr>
            <w:tcW w:w="85" w:type="pct"/>
            <w:vAlign w:val="center"/>
            <w:hideMark/>
          </w:tcPr>
          <w:p w14:paraId="41A2EDA9"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E03B3EF" w14:textId="77777777" w:rsidTr="00AA4D71">
        <w:trPr>
          <w:trHeight w:val="780"/>
        </w:trPr>
        <w:tc>
          <w:tcPr>
            <w:tcW w:w="209" w:type="pct"/>
            <w:tcBorders>
              <w:top w:val="nil"/>
              <w:left w:val="nil"/>
              <w:bottom w:val="nil"/>
              <w:right w:val="nil"/>
            </w:tcBorders>
            <w:noWrap/>
            <w:vAlign w:val="center"/>
            <w:hideMark/>
          </w:tcPr>
          <w:p w14:paraId="499825A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6CEA19D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6BEF201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4FAE959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Increased risk of unsafe manual intervention</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77AD216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47E7A06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Equipment downtime forcing manual handling </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C01283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7370CAE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Strong partnerships with maintenance contractors to help aid mechanical/electrical breakdowns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924E29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715E9F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tcBorders>
              <w:top w:val="nil"/>
              <w:left w:val="nil"/>
              <w:bottom w:val="single" w:sz="4" w:space="0" w:color="auto"/>
              <w:right w:val="single" w:sz="4" w:space="0" w:color="auto"/>
            </w:tcBorders>
            <w:vAlign w:val="center"/>
            <w:hideMark/>
          </w:tcPr>
          <w:p w14:paraId="0EBD6F2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Conduct regular audits of contractors/maintenance staff to ensure they are working in a safe manner</w:t>
            </w:r>
          </w:p>
        </w:tc>
        <w:tc>
          <w:tcPr>
            <w:tcW w:w="528" w:type="pct"/>
            <w:tcBorders>
              <w:top w:val="nil"/>
              <w:left w:val="nil"/>
              <w:bottom w:val="single" w:sz="4" w:space="0" w:color="auto"/>
              <w:right w:val="single" w:sz="4" w:space="0" w:color="auto"/>
            </w:tcBorders>
            <w:vAlign w:val="center"/>
            <w:hideMark/>
          </w:tcPr>
          <w:p w14:paraId="145E6E3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Compliance Department</w:t>
            </w:r>
          </w:p>
        </w:tc>
        <w:tc>
          <w:tcPr>
            <w:tcW w:w="85" w:type="pct"/>
            <w:vAlign w:val="center"/>
            <w:hideMark/>
          </w:tcPr>
          <w:p w14:paraId="05B6B9D4"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69F05C2" w14:textId="77777777" w:rsidTr="00AA4D71">
        <w:trPr>
          <w:trHeight w:val="780"/>
        </w:trPr>
        <w:tc>
          <w:tcPr>
            <w:tcW w:w="209" w:type="pct"/>
            <w:tcBorders>
              <w:top w:val="nil"/>
              <w:left w:val="nil"/>
              <w:bottom w:val="nil"/>
              <w:right w:val="nil"/>
            </w:tcBorders>
            <w:noWrap/>
            <w:vAlign w:val="center"/>
            <w:hideMark/>
          </w:tcPr>
          <w:p w14:paraId="7F1AC15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40775D6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3E47009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4EDDE2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470FE7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2DE0370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Insufficient automation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DAC398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2326A63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SWP's maintained for any manual interventions needed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CC24C3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4F3A0F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240</w:t>
            </w:r>
          </w:p>
        </w:tc>
        <w:tc>
          <w:tcPr>
            <w:tcW w:w="646" w:type="pct"/>
            <w:tcBorders>
              <w:top w:val="nil"/>
              <w:left w:val="nil"/>
              <w:bottom w:val="single" w:sz="4" w:space="0" w:color="auto"/>
              <w:right w:val="single" w:sz="4" w:space="0" w:color="auto"/>
            </w:tcBorders>
            <w:vAlign w:val="center"/>
            <w:hideMark/>
          </w:tcPr>
          <w:p w14:paraId="717317A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Ensure the SWP's remain up to date and valid for undergoing any tasks</w:t>
            </w:r>
          </w:p>
        </w:tc>
        <w:tc>
          <w:tcPr>
            <w:tcW w:w="528" w:type="pct"/>
            <w:tcBorders>
              <w:top w:val="nil"/>
              <w:left w:val="nil"/>
              <w:bottom w:val="single" w:sz="4" w:space="0" w:color="auto"/>
              <w:right w:val="single" w:sz="4" w:space="0" w:color="auto"/>
            </w:tcBorders>
            <w:vAlign w:val="center"/>
            <w:hideMark/>
          </w:tcPr>
          <w:p w14:paraId="675EEEB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Local level management site wide</w:t>
            </w:r>
          </w:p>
        </w:tc>
        <w:tc>
          <w:tcPr>
            <w:tcW w:w="85" w:type="pct"/>
            <w:vAlign w:val="center"/>
            <w:hideMark/>
          </w:tcPr>
          <w:p w14:paraId="3FF8609C"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18C8FCF" w14:textId="77777777" w:rsidTr="00AA4D71">
        <w:trPr>
          <w:trHeight w:val="780"/>
        </w:trPr>
        <w:tc>
          <w:tcPr>
            <w:tcW w:w="209" w:type="pct"/>
            <w:tcBorders>
              <w:top w:val="nil"/>
              <w:left w:val="nil"/>
              <w:bottom w:val="nil"/>
              <w:right w:val="nil"/>
            </w:tcBorders>
            <w:noWrap/>
            <w:vAlign w:val="center"/>
            <w:hideMark/>
          </w:tcPr>
          <w:p w14:paraId="0DACA91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33DF810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single" w:sz="4" w:space="0" w:color="000000"/>
              <w:right w:val="single" w:sz="4" w:space="0" w:color="auto"/>
            </w:tcBorders>
            <w:vAlign w:val="center"/>
            <w:hideMark/>
          </w:tcPr>
          <w:p w14:paraId="20654FF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69BA9F6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7834F3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382244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Inadequate supervision during reactive maintenance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2B5AB7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3E7F52D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Shift Manager/Team Leader to oversee reactive maintenance with regular Point of work risk assessment (POWRA) carried out</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598CF1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424DF49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tcBorders>
              <w:top w:val="nil"/>
              <w:left w:val="nil"/>
              <w:bottom w:val="single" w:sz="4" w:space="0" w:color="auto"/>
              <w:right w:val="single" w:sz="4" w:space="0" w:color="auto"/>
            </w:tcBorders>
            <w:vAlign w:val="center"/>
            <w:hideMark/>
          </w:tcPr>
          <w:p w14:paraId="43ADC82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Improvement needed for reviewing POWRA and documenting these better</w:t>
            </w:r>
          </w:p>
        </w:tc>
        <w:tc>
          <w:tcPr>
            <w:tcW w:w="528" w:type="pct"/>
            <w:tcBorders>
              <w:top w:val="nil"/>
              <w:left w:val="nil"/>
              <w:bottom w:val="single" w:sz="4" w:space="0" w:color="auto"/>
              <w:right w:val="single" w:sz="4" w:space="0" w:color="auto"/>
            </w:tcBorders>
            <w:vAlign w:val="center"/>
            <w:hideMark/>
          </w:tcPr>
          <w:p w14:paraId="7CE57FC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Local level management site wide</w:t>
            </w:r>
          </w:p>
        </w:tc>
        <w:tc>
          <w:tcPr>
            <w:tcW w:w="85" w:type="pct"/>
            <w:vAlign w:val="center"/>
            <w:hideMark/>
          </w:tcPr>
          <w:p w14:paraId="0B64B551"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D3CFCAA" w14:textId="77777777" w:rsidTr="00AA4D71">
        <w:trPr>
          <w:trHeight w:val="780"/>
        </w:trPr>
        <w:tc>
          <w:tcPr>
            <w:tcW w:w="209" w:type="pct"/>
            <w:tcBorders>
              <w:top w:val="nil"/>
              <w:left w:val="nil"/>
              <w:bottom w:val="nil"/>
              <w:right w:val="nil"/>
            </w:tcBorders>
            <w:noWrap/>
            <w:vAlign w:val="center"/>
            <w:hideMark/>
          </w:tcPr>
          <w:p w14:paraId="7875D88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5C01B00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nil"/>
              <w:right w:val="single" w:sz="4" w:space="0" w:color="auto"/>
            </w:tcBorders>
            <w:vAlign w:val="center"/>
            <w:hideMark/>
          </w:tcPr>
          <w:p w14:paraId="47CBD54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Internal communication failure</w:t>
            </w:r>
          </w:p>
        </w:tc>
        <w:tc>
          <w:tcPr>
            <w:tcW w:w="517" w:type="pct"/>
            <w:vMerge w:val="restart"/>
            <w:tcBorders>
              <w:top w:val="nil"/>
              <w:left w:val="single" w:sz="4" w:space="0" w:color="auto"/>
              <w:bottom w:val="nil"/>
              <w:right w:val="single" w:sz="4" w:space="0" w:color="auto"/>
            </w:tcBorders>
            <w:vAlign w:val="center"/>
            <w:hideMark/>
          </w:tcPr>
          <w:p w14:paraId="71C2474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Wrong slabs delivered to furnace</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453669D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5387CD6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Reliance on manual communication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BDFAFE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6F6BEF5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Daily coordination meetings between logistics, Quality and mill operations to confirm slab priority sequence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AC9757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DACD53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210</w:t>
            </w:r>
          </w:p>
        </w:tc>
        <w:tc>
          <w:tcPr>
            <w:tcW w:w="646" w:type="pct"/>
            <w:tcBorders>
              <w:top w:val="nil"/>
              <w:left w:val="nil"/>
              <w:bottom w:val="single" w:sz="4" w:space="0" w:color="auto"/>
              <w:right w:val="single" w:sz="4" w:space="0" w:color="auto"/>
            </w:tcBorders>
            <w:vAlign w:val="center"/>
            <w:hideMark/>
          </w:tcPr>
          <w:p w14:paraId="2A7C572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Use visual management tools to display real time loading information</w:t>
            </w:r>
          </w:p>
        </w:tc>
        <w:tc>
          <w:tcPr>
            <w:tcW w:w="528" w:type="pct"/>
            <w:tcBorders>
              <w:top w:val="nil"/>
              <w:left w:val="nil"/>
              <w:bottom w:val="single" w:sz="4" w:space="0" w:color="auto"/>
              <w:right w:val="single" w:sz="4" w:space="0" w:color="auto"/>
            </w:tcBorders>
            <w:vAlign w:val="center"/>
            <w:hideMark/>
          </w:tcPr>
          <w:p w14:paraId="7F293C0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Local level management site wide</w:t>
            </w:r>
          </w:p>
        </w:tc>
        <w:tc>
          <w:tcPr>
            <w:tcW w:w="85" w:type="pct"/>
            <w:vAlign w:val="center"/>
            <w:hideMark/>
          </w:tcPr>
          <w:p w14:paraId="6BF0BAD9"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3E7255A" w14:textId="77777777" w:rsidTr="00AA4D71">
        <w:trPr>
          <w:trHeight w:val="780"/>
        </w:trPr>
        <w:tc>
          <w:tcPr>
            <w:tcW w:w="209" w:type="pct"/>
            <w:tcBorders>
              <w:top w:val="nil"/>
              <w:left w:val="nil"/>
              <w:bottom w:val="nil"/>
              <w:right w:val="nil"/>
            </w:tcBorders>
            <w:noWrap/>
            <w:vAlign w:val="center"/>
            <w:hideMark/>
          </w:tcPr>
          <w:p w14:paraId="77B5B38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10B58E4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2020D97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nil"/>
              <w:right w:val="single" w:sz="4" w:space="0" w:color="auto"/>
            </w:tcBorders>
            <w:vAlign w:val="center"/>
            <w:hideMark/>
          </w:tcPr>
          <w:p w14:paraId="2742AA1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4384906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FA5451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integration between yard inventory systems and production team</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257821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422712F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Standardised communication protocols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0102AD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7480CB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621B979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Integrate a digital yard management system with a barcode/RFID scanning at each transfer point to ensure correct slab identification</w:t>
            </w:r>
          </w:p>
        </w:tc>
        <w:tc>
          <w:tcPr>
            <w:tcW w:w="528" w:type="pct"/>
            <w:tcBorders>
              <w:top w:val="nil"/>
              <w:left w:val="nil"/>
              <w:bottom w:val="single" w:sz="4" w:space="0" w:color="auto"/>
              <w:right w:val="single" w:sz="4" w:space="0" w:color="auto"/>
            </w:tcBorders>
            <w:vAlign w:val="center"/>
            <w:hideMark/>
          </w:tcPr>
          <w:p w14:paraId="5792C1D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team</w:t>
            </w:r>
          </w:p>
        </w:tc>
        <w:tc>
          <w:tcPr>
            <w:tcW w:w="85" w:type="pct"/>
            <w:vAlign w:val="center"/>
            <w:hideMark/>
          </w:tcPr>
          <w:p w14:paraId="3423FE7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48EC4D7" w14:textId="77777777" w:rsidTr="00AA4D71">
        <w:trPr>
          <w:trHeight w:val="780"/>
        </w:trPr>
        <w:tc>
          <w:tcPr>
            <w:tcW w:w="209" w:type="pct"/>
            <w:tcBorders>
              <w:top w:val="nil"/>
              <w:left w:val="nil"/>
              <w:bottom w:val="nil"/>
              <w:right w:val="nil"/>
            </w:tcBorders>
            <w:noWrap/>
            <w:vAlign w:val="center"/>
            <w:hideMark/>
          </w:tcPr>
          <w:p w14:paraId="3590D80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10BC07F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single" w:sz="4" w:space="0" w:color="auto"/>
              <w:left w:val="single" w:sz="4" w:space="0" w:color="auto"/>
              <w:bottom w:val="single" w:sz="4" w:space="0" w:color="000000"/>
              <w:right w:val="single" w:sz="4" w:space="0" w:color="auto"/>
            </w:tcBorders>
            <w:vAlign w:val="center"/>
            <w:hideMark/>
          </w:tcPr>
          <w:p w14:paraId="188B5C6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Health &amp; Safety</w:t>
            </w:r>
          </w:p>
        </w:tc>
        <w:tc>
          <w:tcPr>
            <w:tcW w:w="517" w:type="pct"/>
            <w:vMerge w:val="restart"/>
            <w:tcBorders>
              <w:top w:val="single" w:sz="4" w:space="0" w:color="auto"/>
              <w:left w:val="single" w:sz="4" w:space="0" w:color="auto"/>
              <w:bottom w:val="single" w:sz="4" w:space="0" w:color="000000"/>
              <w:right w:val="single" w:sz="4" w:space="0" w:color="auto"/>
            </w:tcBorders>
            <w:vAlign w:val="center"/>
            <w:hideMark/>
          </w:tcPr>
          <w:p w14:paraId="356415E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Injury/Fatality</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5BA869B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10</w:t>
            </w:r>
          </w:p>
        </w:tc>
        <w:tc>
          <w:tcPr>
            <w:tcW w:w="614" w:type="pct"/>
            <w:tcBorders>
              <w:top w:val="nil"/>
              <w:left w:val="nil"/>
              <w:bottom w:val="single" w:sz="4" w:space="0" w:color="auto"/>
              <w:right w:val="single" w:sz="4" w:space="0" w:color="auto"/>
            </w:tcBorders>
            <w:vAlign w:val="center"/>
            <w:hideMark/>
          </w:tcPr>
          <w:p w14:paraId="66ECCA4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segregation from operations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517F69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235C6DB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Designated walkways and vehicle routes with physical barriers in place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BEA551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7CFD32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300</w:t>
            </w:r>
          </w:p>
        </w:tc>
        <w:tc>
          <w:tcPr>
            <w:tcW w:w="646" w:type="pct"/>
            <w:tcBorders>
              <w:top w:val="nil"/>
              <w:left w:val="nil"/>
              <w:bottom w:val="single" w:sz="4" w:space="0" w:color="auto"/>
              <w:right w:val="single" w:sz="4" w:space="0" w:color="auto"/>
            </w:tcBorders>
            <w:vAlign w:val="center"/>
            <w:hideMark/>
          </w:tcPr>
          <w:p w14:paraId="5AE4AA6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Potential for a redesign of the </w:t>
            </w:r>
            <w:proofErr w:type="gramStart"/>
            <w:r w:rsidRPr="003D1BBB">
              <w:rPr>
                <w:rFonts w:ascii="Calibri" w:eastAsia="Times New Roman" w:hAnsi="Calibri" w:cs="Calibri"/>
                <w:kern w:val="0"/>
                <w:sz w:val="20"/>
                <w:szCs w:val="20"/>
                <w:lang w:eastAsia="en-GB"/>
                <w14:ligatures w14:val="none"/>
              </w:rPr>
              <w:t>high risk</w:t>
            </w:r>
            <w:proofErr w:type="gramEnd"/>
            <w:r w:rsidRPr="003D1BBB">
              <w:rPr>
                <w:rFonts w:ascii="Calibri" w:eastAsia="Times New Roman" w:hAnsi="Calibri" w:cs="Calibri"/>
                <w:kern w:val="0"/>
                <w:sz w:val="20"/>
                <w:szCs w:val="20"/>
                <w:lang w:eastAsia="en-GB"/>
                <w14:ligatures w14:val="none"/>
              </w:rPr>
              <w:t xml:space="preserve"> areas, look to implement personal code for authorised staff</w:t>
            </w:r>
          </w:p>
        </w:tc>
        <w:tc>
          <w:tcPr>
            <w:tcW w:w="528" w:type="pct"/>
            <w:tcBorders>
              <w:top w:val="nil"/>
              <w:left w:val="nil"/>
              <w:bottom w:val="single" w:sz="4" w:space="0" w:color="auto"/>
              <w:right w:val="single" w:sz="4" w:space="0" w:color="auto"/>
            </w:tcBorders>
            <w:vAlign w:val="center"/>
            <w:hideMark/>
          </w:tcPr>
          <w:p w14:paraId="116926F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Local level management site wide</w:t>
            </w:r>
          </w:p>
        </w:tc>
        <w:tc>
          <w:tcPr>
            <w:tcW w:w="85" w:type="pct"/>
            <w:vAlign w:val="center"/>
            <w:hideMark/>
          </w:tcPr>
          <w:p w14:paraId="0A081EB5"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0028B6E" w14:textId="77777777" w:rsidTr="00AA4D71">
        <w:trPr>
          <w:trHeight w:val="780"/>
        </w:trPr>
        <w:tc>
          <w:tcPr>
            <w:tcW w:w="209" w:type="pct"/>
            <w:tcBorders>
              <w:top w:val="nil"/>
              <w:left w:val="nil"/>
              <w:bottom w:val="nil"/>
              <w:right w:val="nil"/>
            </w:tcBorders>
            <w:noWrap/>
            <w:vAlign w:val="center"/>
            <w:hideMark/>
          </w:tcPr>
          <w:p w14:paraId="24226A1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574BA85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0C85610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73E914F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4FD5975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501B3E7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Complacency</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03849F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4A7AC12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Daily toolbox talks, near misses reporting and red stripes to ensure personnel stay alert to dangers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24FE98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EBDBD8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300</w:t>
            </w:r>
          </w:p>
        </w:tc>
        <w:tc>
          <w:tcPr>
            <w:tcW w:w="646" w:type="pct"/>
            <w:tcBorders>
              <w:top w:val="nil"/>
              <w:left w:val="nil"/>
              <w:bottom w:val="single" w:sz="4" w:space="0" w:color="auto"/>
              <w:right w:val="single" w:sz="4" w:space="0" w:color="auto"/>
            </w:tcBorders>
            <w:vAlign w:val="center"/>
            <w:hideMark/>
          </w:tcPr>
          <w:p w14:paraId="401C985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Monitor compliance through CCTV and escalate repeated breaches</w:t>
            </w:r>
          </w:p>
        </w:tc>
        <w:tc>
          <w:tcPr>
            <w:tcW w:w="528" w:type="pct"/>
            <w:tcBorders>
              <w:top w:val="nil"/>
              <w:left w:val="nil"/>
              <w:bottom w:val="single" w:sz="4" w:space="0" w:color="auto"/>
              <w:right w:val="single" w:sz="4" w:space="0" w:color="auto"/>
            </w:tcBorders>
            <w:vAlign w:val="center"/>
            <w:hideMark/>
          </w:tcPr>
          <w:p w14:paraId="240D399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Local level management site wide</w:t>
            </w:r>
          </w:p>
        </w:tc>
        <w:tc>
          <w:tcPr>
            <w:tcW w:w="85" w:type="pct"/>
            <w:vAlign w:val="center"/>
            <w:hideMark/>
          </w:tcPr>
          <w:p w14:paraId="2A664219"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70C325D" w14:textId="77777777" w:rsidTr="00AA4D71">
        <w:trPr>
          <w:trHeight w:val="780"/>
        </w:trPr>
        <w:tc>
          <w:tcPr>
            <w:tcW w:w="209" w:type="pct"/>
            <w:tcBorders>
              <w:top w:val="nil"/>
              <w:left w:val="nil"/>
              <w:bottom w:val="nil"/>
              <w:right w:val="nil"/>
            </w:tcBorders>
            <w:noWrap/>
            <w:vAlign w:val="center"/>
            <w:hideMark/>
          </w:tcPr>
          <w:p w14:paraId="6CABC65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14E4C71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27B7260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3839F45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25F90B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740620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PPE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BFE59D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37C8C9F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Adequate PPE inventory stocked with staff trained on mandatory PPE standard</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CF9128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A4879F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250</w:t>
            </w:r>
          </w:p>
        </w:tc>
        <w:tc>
          <w:tcPr>
            <w:tcW w:w="646" w:type="pct"/>
            <w:tcBorders>
              <w:top w:val="nil"/>
              <w:left w:val="nil"/>
              <w:bottom w:val="single" w:sz="4" w:space="0" w:color="auto"/>
              <w:right w:val="single" w:sz="4" w:space="0" w:color="auto"/>
            </w:tcBorders>
            <w:vAlign w:val="center"/>
            <w:hideMark/>
          </w:tcPr>
          <w:p w14:paraId="797AF58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Team leaders/Shift managers need to drive compliance for PPE and challenge staff not adhering to standard</w:t>
            </w:r>
          </w:p>
        </w:tc>
        <w:tc>
          <w:tcPr>
            <w:tcW w:w="528" w:type="pct"/>
            <w:tcBorders>
              <w:top w:val="nil"/>
              <w:left w:val="nil"/>
              <w:bottom w:val="single" w:sz="4" w:space="0" w:color="auto"/>
              <w:right w:val="single" w:sz="4" w:space="0" w:color="auto"/>
            </w:tcBorders>
            <w:vAlign w:val="center"/>
            <w:hideMark/>
          </w:tcPr>
          <w:p w14:paraId="7D2A3A3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Local level management site wide</w:t>
            </w:r>
          </w:p>
        </w:tc>
        <w:tc>
          <w:tcPr>
            <w:tcW w:w="85" w:type="pct"/>
            <w:vAlign w:val="center"/>
            <w:hideMark/>
          </w:tcPr>
          <w:p w14:paraId="5808720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7E748AE" w14:textId="77777777" w:rsidTr="00AA4D71">
        <w:trPr>
          <w:trHeight w:val="780"/>
        </w:trPr>
        <w:tc>
          <w:tcPr>
            <w:tcW w:w="209" w:type="pct"/>
            <w:tcBorders>
              <w:top w:val="nil"/>
              <w:left w:val="nil"/>
              <w:bottom w:val="nil"/>
              <w:right w:val="nil"/>
            </w:tcBorders>
            <w:noWrap/>
            <w:vAlign w:val="center"/>
            <w:hideMark/>
          </w:tcPr>
          <w:p w14:paraId="09F50B3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18BC8A1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1409411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4211AD9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B3D958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449F53A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Night shift operations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F59438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0E80505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 lone working rule. Lighting audits conducted on a weekly basis to ensure the areas of operations are well lit</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B95BE5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AB4E38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240</w:t>
            </w:r>
          </w:p>
        </w:tc>
        <w:tc>
          <w:tcPr>
            <w:tcW w:w="646" w:type="pct"/>
            <w:tcBorders>
              <w:top w:val="nil"/>
              <w:left w:val="nil"/>
              <w:bottom w:val="single" w:sz="4" w:space="0" w:color="auto"/>
              <w:right w:val="single" w:sz="4" w:space="0" w:color="auto"/>
            </w:tcBorders>
            <w:vAlign w:val="center"/>
            <w:hideMark/>
          </w:tcPr>
          <w:p w14:paraId="388A9C7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Future plan is to look at upgrading lighting system to LED lighting so that it is a higher intensity </w:t>
            </w:r>
          </w:p>
        </w:tc>
        <w:tc>
          <w:tcPr>
            <w:tcW w:w="528" w:type="pct"/>
            <w:tcBorders>
              <w:top w:val="nil"/>
              <w:left w:val="nil"/>
              <w:bottom w:val="single" w:sz="4" w:space="0" w:color="auto"/>
              <w:right w:val="single" w:sz="4" w:space="0" w:color="auto"/>
            </w:tcBorders>
            <w:vAlign w:val="center"/>
            <w:hideMark/>
          </w:tcPr>
          <w:p w14:paraId="38A1984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Security &amp; IT Department</w:t>
            </w:r>
          </w:p>
        </w:tc>
        <w:tc>
          <w:tcPr>
            <w:tcW w:w="85" w:type="pct"/>
            <w:vAlign w:val="center"/>
            <w:hideMark/>
          </w:tcPr>
          <w:p w14:paraId="2A5C098E"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40870CA" w14:textId="77777777" w:rsidTr="00AA4D71">
        <w:trPr>
          <w:trHeight w:val="780"/>
        </w:trPr>
        <w:tc>
          <w:tcPr>
            <w:tcW w:w="209" w:type="pct"/>
            <w:tcBorders>
              <w:top w:val="nil"/>
              <w:left w:val="nil"/>
              <w:bottom w:val="nil"/>
              <w:right w:val="nil"/>
            </w:tcBorders>
            <w:noWrap/>
            <w:vAlign w:val="center"/>
            <w:hideMark/>
          </w:tcPr>
          <w:p w14:paraId="6EDC089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0A433AD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5036033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4326CB3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HSE Investigations</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424E120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10</w:t>
            </w:r>
          </w:p>
        </w:tc>
        <w:tc>
          <w:tcPr>
            <w:tcW w:w="614" w:type="pct"/>
            <w:tcBorders>
              <w:top w:val="nil"/>
              <w:left w:val="nil"/>
              <w:bottom w:val="single" w:sz="4" w:space="0" w:color="auto"/>
              <w:right w:val="single" w:sz="4" w:space="0" w:color="auto"/>
            </w:tcBorders>
            <w:vAlign w:val="center"/>
            <w:hideMark/>
          </w:tcPr>
          <w:p w14:paraId="48179B9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Financial Penalties</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4CB80CE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710" w:type="pct"/>
            <w:tcBorders>
              <w:top w:val="nil"/>
              <w:left w:val="nil"/>
              <w:bottom w:val="single" w:sz="4" w:space="0" w:color="auto"/>
              <w:right w:val="single" w:sz="4" w:space="0" w:color="auto"/>
            </w:tcBorders>
            <w:vAlign w:val="center"/>
            <w:hideMark/>
          </w:tcPr>
          <w:p w14:paraId="4BD2C93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Full training, maintenance, permit to work and risk assessments available on request </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07EF72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1DCBD1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vAlign w:val="center"/>
            <w:hideMark/>
          </w:tcPr>
          <w:p w14:paraId="1C4F8D2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Establish </w:t>
            </w:r>
            <w:proofErr w:type="spellStart"/>
            <w:proofErr w:type="gramStart"/>
            <w:r w:rsidRPr="003D1BBB">
              <w:rPr>
                <w:rFonts w:ascii="Calibri" w:eastAsia="Times New Roman" w:hAnsi="Calibri" w:cs="Calibri"/>
                <w:kern w:val="0"/>
                <w:sz w:val="20"/>
                <w:szCs w:val="20"/>
                <w:lang w:eastAsia="en-GB"/>
                <w14:ligatures w14:val="none"/>
              </w:rPr>
              <w:t>a</w:t>
            </w:r>
            <w:proofErr w:type="spellEnd"/>
            <w:proofErr w:type="gramEnd"/>
            <w:r w:rsidRPr="003D1BBB">
              <w:rPr>
                <w:rFonts w:ascii="Calibri" w:eastAsia="Times New Roman" w:hAnsi="Calibri" w:cs="Calibri"/>
                <w:kern w:val="0"/>
                <w:sz w:val="20"/>
                <w:szCs w:val="20"/>
                <w:lang w:eastAsia="en-GB"/>
                <w14:ligatures w14:val="none"/>
              </w:rPr>
              <w:t xml:space="preserve"> investigation procedure with trained internal investigators and legal support</w:t>
            </w:r>
          </w:p>
        </w:tc>
        <w:tc>
          <w:tcPr>
            <w:tcW w:w="528" w:type="pct"/>
            <w:tcBorders>
              <w:top w:val="nil"/>
              <w:left w:val="nil"/>
              <w:bottom w:val="single" w:sz="4" w:space="0" w:color="auto"/>
              <w:right w:val="single" w:sz="4" w:space="0" w:color="auto"/>
            </w:tcBorders>
            <w:vAlign w:val="center"/>
            <w:hideMark/>
          </w:tcPr>
          <w:p w14:paraId="32E6CA9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Compliance Department</w:t>
            </w:r>
          </w:p>
        </w:tc>
        <w:tc>
          <w:tcPr>
            <w:tcW w:w="85" w:type="pct"/>
            <w:vAlign w:val="center"/>
            <w:hideMark/>
          </w:tcPr>
          <w:p w14:paraId="5AF5D565"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6EE7895" w14:textId="77777777" w:rsidTr="00AA4D71">
        <w:trPr>
          <w:trHeight w:val="780"/>
        </w:trPr>
        <w:tc>
          <w:tcPr>
            <w:tcW w:w="209" w:type="pct"/>
            <w:tcBorders>
              <w:top w:val="nil"/>
              <w:left w:val="nil"/>
              <w:bottom w:val="nil"/>
              <w:right w:val="nil"/>
            </w:tcBorders>
            <w:noWrap/>
            <w:vAlign w:val="center"/>
            <w:hideMark/>
          </w:tcPr>
          <w:p w14:paraId="72DBBAD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729BB28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5A1DD38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4548586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3734A8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8FE9C8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Reputational Damage</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5AC769B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w:t>
            </w:r>
          </w:p>
        </w:tc>
        <w:tc>
          <w:tcPr>
            <w:tcW w:w="710" w:type="pct"/>
            <w:tcBorders>
              <w:top w:val="nil"/>
              <w:left w:val="nil"/>
              <w:bottom w:val="single" w:sz="4" w:space="0" w:color="auto"/>
              <w:right w:val="single" w:sz="4" w:space="0" w:color="auto"/>
            </w:tcBorders>
            <w:vAlign w:val="center"/>
            <w:hideMark/>
          </w:tcPr>
          <w:p w14:paraId="2F30662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None</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ECCC97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15A343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160</w:t>
            </w:r>
          </w:p>
        </w:tc>
        <w:tc>
          <w:tcPr>
            <w:tcW w:w="646" w:type="pct"/>
            <w:tcBorders>
              <w:top w:val="nil"/>
              <w:left w:val="nil"/>
              <w:bottom w:val="single" w:sz="4" w:space="0" w:color="auto"/>
              <w:right w:val="single" w:sz="4" w:space="0" w:color="auto"/>
            </w:tcBorders>
            <w:vAlign w:val="center"/>
            <w:hideMark/>
          </w:tcPr>
          <w:p w14:paraId="3C914B2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Introduce running </w:t>
            </w:r>
            <w:proofErr w:type="gramStart"/>
            <w:r w:rsidRPr="003D1BBB">
              <w:rPr>
                <w:rFonts w:ascii="Calibri" w:eastAsia="Times New Roman" w:hAnsi="Calibri" w:cs="Calibri"/>
                <w:kern w:val="0"/>
                <w:sz w:val="20"/>
                <w:szCs w:val="20"/>
                <w:lang w:eastAsia="en-GB"/>
                <w14:ligatures w14:val="none"/>
              </w:rPr>
              <w:t>scenario based</w:t>
            </w:r>
            <w:proofErr w:type="gramEnd"/>
            <w:r w:rsidRPr="003D1BBB">
              <w:rPr>
                <w:rFonts w:ascii="Calibri" w:eastAsia="Times New Roman" w:hAnsi="Calibri" w:cs="Calibri"/>
                <w:kern w:val="0"/>
                <w:sz w:val="20"/>
                <w:szCs w:val="20"/>
                <w:lang w:eastAsia="en-GB"/>
                <w14:ligatures w14:val="none"/>
              </w:rPr>
              <w:t xml:space="preserve"> exercises with HSE and legal teams to improve response readiness</w:t>
            </w:r>
          </w:p>
        </w:tc>
        <w:tc>
          <w:tcPr>
            <w:tcW w:w="528" w:type="pct"/>
            <w:tcBorders>
              <w:top w:val="nil"/>
              <w:left w:val="nil"/>
              <w:bottom w:val="single" w:sz="4" w:space="0" w:color="auto"/>
              <w:right w:val="single" w:sz="4" w:space="0" w:color="auto"/>
            </w:tcBorders>
            <w:vAlign w:val="center"/>
            <w:hideMark/>
          </w:tcPr>
          <w:p w14:paraId="2CFC69E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Compliance Department</w:t>
            </w:r>
          </w:p>
        </w:tc>
        <w:tc>
          <w:tcPr>
            <w:tcW w:w="85" w:type="pct"/>
            <w:vAlign w:val="center"/>
            <w:hideMark/>
          </w:tcPr>
          <w:p w14:paraId="6A77F492"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4328092" w14:textId="77777777" w:rsidTr="00AA4D71">
        <w:trPr>
          <w:trHeight w:val="1560"/>
        </w:trPr>
        <w:tc>
          <w:tcPr>
            <w:tcW w:w="209" w:type="pct"/>
            <w:tcBorders>
              <w:top w:val="nil"/>
              <w:left w:val="nil"/>
              <w:bottom w:val="nil"/>
              <w:right w:val="nil"/>
            </w:tcBorders>
            <w:noWrap/>
            <w:vAlign w:val="center"/>
            <w:hideMark/>
          </w:tcPr>
          <w:p w14:paraId="5594A30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4240090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2DA7538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073CDAF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Shutdown for safety inspection</w:t>
            </w:r>
          </w:p>
        </w:tc>
        <w:tc>
          <w:tcPr>
            <w:tcW w:w="161" w:type="pct"/>
            <w:vMerge w:val="restart"/>
            <w:tcBorders>
              <w:top w:val="single" w:sz="4" w:space="0" w:color="auto"/>
              <w:left w:val="single" w:sz="4" w:space="0" w:color="auto"/>
              <w:bottom w:val="nil"/>
              <w:right w:val="single" w:sz="4" w:space="0" w:color="auto"/>
            </w:tcBorders>
            <w:shd w:val="clear" w:color="000000" w:fill="FF0000"/>
            <w:vAlign w:val="center"/>
            <w:hideMark/>
          </w:tcPr>
          <w:p w14:paraId="44A8AC3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10</w:t>
            </w:r>
          </w:p>
        </w:tc>
        <w:tc>
          <w:tcPr>
            <w:tcW w:w="614" w:type="pct"/>
            <w:tcBorders>
              <w:top w:val="nil"/>
              <w:left w:val="nil"/>
              <w:bottom w:val="single" w:sz="4" w:space="0" w:color="auto"/>
              <w:right w:val="single" w:sz="4" w:space="0" w:color="auto"/>
            </w:tcBorders>
            <w:vAlign w:val="center"/>
            <w:hideMark/>
          </w:tcPr>
          <w:p w14:paraId="15E3913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Unplanned stoppage</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5646157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710" w:type="pct"/>
            <w:tcBorders>
              <w:top w:val="nil"/>
              <w:left w:val="nil"/>
              <w:bottom w:val="single" w:sz="4" w:space="0" w:color="auto"/>
              <w:right w:val="single" w:sz="4" w:space="0" w:color="auto"/>
            </w:tcBorders>
            <w:vAlign w:val="center"/>
            <w:hideMark/>
          </w:tcPr>
          <w:p w14:paraId="59B32C9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Predictive maintenance and condition monitoring implemented to avoid sudden critical failures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49C2379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ADC093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210</w:t>
            </w:r>
          </w:p>
        </w:tc>
        <w:tc>
          <w:tcPr>
            <w:tcW w:w="646" w:type="pct"/>
            <w:tcBorders>
              <w:top w:val="nil"/>
              <w:left w:val="nil"/>
              <w:bottom w:val="single" w:sz="4" w:space="0" w:color="auto"/>
              <w:right w:val="single" w:sz="4" w:space="0" w:color="auto"/>
            </w:tcBorders>
            <w:vAlign w:val="center"/>
            <w:hideMark/>
          </w:tcPr>
          <w:p w14:paraId="265AE0B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Prepare a business continuity plan that includes safe temporary measures and rapid remediation options to minimise downtimes</w:t>
            </w:r>
          </w:p>
        </w:tc>
        <w:tc>
          <w:tcPr>
            <w:tcW w:w="528" w:type="pct"/>
            <w:tcBorders>
              <w:top w:val="nil"/>
              <w:left w:val="nil"/>
              <w:bottom w:val="single" w:sz="4" w:space="0" w:color="auto"/>
              <w:right w:val="single" w:sz="4" w:space="0" w:color="auto"/>
            </w:tcBorders>
            <w:vAlign w:val="center"/>
            <w:hideMark/>
          </w:tcPr>
          <w:p w14:paraId="076AD25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Compliance Department, Mill production team, Port Talbot technical</w:t>
            </w:r>
          </w:p>
        </w:tc>
        <w:tc>
          <w:tcPr>
            <w:tcW w:w="85" w:type="pct"/>
            <w:vAlign w:val="center"/>
            <w:hideMark/>
          </w:tcPr>
          <w:p w14:paraId="2814775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6348629" w14:textId="77777777" w:rsidTr="00AA4D71">
        <w:trPr>
          <w:trHeight w:val="780"/>
        </w:trPr>
        <w:tc>
          <w:tcPr>
            <w:tcW w:w="209" w:type="pct"/>
            <w:tcBorders>
              <w:top w:val="nil"/>
              <w:left w:val="nil"/>
              <w:bottom w:val="nil"/>
              <w:right w:val="nil"/>
            </w:tcBorders>
            <w:noWrap/>
            <w:vAlign w:val="center"/>
            <w:hideMark/>
          </w:tcPr>
          <w:p w14:paraId="107B3D9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62F616C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15D3C89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78C3714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CDE30A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2FE1C0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Lost Production</w:t>
            </w:r>
          </w:p>
        </w:tc>
        <w:tc>
          <w:tcPr>
            <w:tcW w:w="2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19857DB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3</w:t>
            </w:r>
          </w:p>
        </w:tc>
        <w:tc>
          <w:tcPr>
            <w:tcW w:w="710" w:type="pct"/>
            <w:tcBorders>
              <w:top w:val="nil"/>
              <w:left w:val="nil"/>
              <w:bottom w:val="single" w:sz="4" w:space="0" w:color="auto"/>
              <w:right w:val="single" w:sz="4" w:space="0" w:color="auto"/>
            </w:tcBorders>
            <w:vAlign w:val="center"/>
            <w:hideMark/>
          </w:tcPr>
          <w:p w14:paraId="31350BE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A </w:t>
            </w:r>
            <w:proofErr w:type="gramStart"/>
            <w:r w:rsidRPr="003D1BBB">
              <w:rPr>
                <w:rFonts w:ascii="Calibri" w:eastAsia="Times New Roman" w:hAnsi="Calibri" w:cs="Calibri"/>
                <w:kern w:val="0"/>
                <w:sz w:val="20"/>
                <w:szCs w:val="20"/>
                <w:lang w:eastAsia="en-GB"/>
                <w14:ligatures w14:val="none"/>
              </w:rPr>
              <w:t>safety  database</w:t>
            </w:r>
            <w:proofErr w:type="gramEnd"/>
            <w:r w:rsidRPr="003D1BBB">
              <w:rPr>
                <w:rFonts w:ascii="Calibri" w:eastAsia="Times New Roman" w:hAnsi="Calibri" w:cs="Calibri"/>
                <w:kern w:val="0"/>
                <w:sz w:val="20"/>
                <w:szCs w:val="20"/>
                <w:lang w:eastAsia="en-GB"/>
                <w14:ligatures w14:val="none"/>
              </w:rPr>
              <w:t xml:space="preserve"> is used and reviewed on a daily basis with any concerns raised in morning meetings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B178E9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1C6FF1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210</w:t>
            </w:r>
          </w:p>
        </w:tc>
        <w:tc>
          <w:tcPr>
            <w:tcW w:w="646" w:type="pct"/>
            <w:tcBorders>
              <w:top w:val="nil"/>
              <w:left w:val="nil"/>
              <w:bottom w:val="single" w:sz="4" w:space="0" w:color="auto"/>
              <w:right w:val="single" w:sz="4" w:space="0" w:color="auto"/>
            </w:tcBorders>
            <w:vAlign w:val="center"/>
            <w:hideMark/>
          </w:tcPr>
          <w:p w14:paraId="3A35F2D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Pre agree with regulators on inspection protocols and provide timely evidence of corrective actions to avoid protracted shutdowns</w:t>
            </w:r>
          </w:p>
        </w:tc>
        <w:tc>
          <w:tcPr>
            <w:tcW w:w="528" w:type="pct"/>
            <w:tcBorders>
              <w:top w:val="nil"/>
              <w:left w:val="nil"/>
              <w:bottom w:val="single" w:sz="4" w:space="0" w:color="auto"/>
              <w:right w:val="single" w:sz="4" w:space="0" w:color="auto"/>
            </w:tcBorders>
            <w:vAlign w:val="center"/>
            <w:hideMark/>
          </w:tcPr>
          <w:p w14:paraId="42B142B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Compliance Department</w:t>
            </w:r>
          </w:p>
        </w:tc>
        <w:tc>
          <w:tcPr>
            <w:tcW w:w="85" w:type="pct"/>
            <w:vAlign w:val="center"/>
            <w:hideMark/>
          </w:tcPr>
          <w:p w14:paraId="2559844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4E5E962" w14:textId="77777777" w:rsidTr="00AA4D71">
        <w:trPr>
          <w:trHeight w:val="520"/>
        </w:trPr>
        <w:tc>
          <w:tcPr>
            <w:tcW w:w="209" w:type="pct"/>
            <w:tcBorders>
              <w:top w:val="nil"/>
              <w:left w:val="nil"/>
              <w:bottom w:val="nil"/>
              <w:right w:val="nil"/>
            </w:tcBorders>
            <w:noWrap/>
            <w:vAlign w:val="center"/>
            <w:hideMark/>
          </w:tcPr>
          <w:p w14:paraId="580BC21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val="restart"/>
            <w:tcBorders>
              <w:top w:val="nil"/>
              <w:left w:val="single" w:sz="4" w:space="0" w:color="auto"/>
              <w:bottom w:val="single" w:sz="4" w:space="0" w:color="000000"/>
              <w:right w:val="single" w:sz="4" w:space="0" w:color="auto"/>
            </w:tcBorders>
            <w:vAlign w:val="center"/>
            <w:hideMark/>
          </w:tcPr>
          <w:p w14:paraId="5621B51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Mill operations</w:t>
            </w:r>
          </w:p>
        </w:tc>
        <w:tc>
          <w:tcPr>
            <w:tcW w:w="485" w:type="pct"/>
            <w:vMerge w:val="restart"/>
            <w:tcBorders>
              <w:top w:val="nil"/>
              <w:left w:val="single" w:sz="4" w:space="0" w:color="auto"/>
              <w:bottom w:val="nil"/>
              <w:right w:val="single" w:sz="4" w:space="0" w:color="auto"/>
            </w:tcBorders>
            <w:vAlign w:val="center"/>
            <w:hideMark/>
          </w:tcPr>
          <w:p w14:paraId="662DDB5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Internal Defects</w:t>
            </w:r>
          </w:p>
        </w:tc>
        <w:tc>
          <w:tcPr>
            <w:tcW w:w="517" w:type="pct"/>
            <w:tcBorders>
              <w:top w:val="nil"/>
              <w:left w:val="nil"/>
              <w:bottom w:val="nil"/>
              <w:right w:val="single" w:sz="4" w:space="0" w:color="auto"/>
            </w:tcBorders>
            <w:vAlign w:val="center"/>
            <w:hideMark/>
          </w:tcPr>
          <w:p w14:paraId="0843C51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Serious quality defects</w:t>
            </w:r>
          </w:p>
        </w:tc>
        <w:tc>
          <w:tcPr>
            <w:tcW w:w="161" w:type="pct"/>
            <w:tcBorders>
              <w:top w:val="single" w:sz="4" w:space="0" w:color="auto"/>
              <w:left w:val="single" w:sz="4" w:space="0" w:color="auto"/>
              <w:bottom w:val="nil"/>
              <w:right w:val="single" w:sz="4" w:space="0" w:color="auto"/>
            </w:tcBorders>
            <w:shd w:val="clear" w:color="000000" w:fill="FFC000"/>
            <w:vAlign w:val="center"/>
            <w:hideMark/>
          </w:tcPr>
          <w:p w14:paraId="2AEBBC5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30A56B6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practices at supplier site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51592A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vMerge w:val="restart"/>
            <w:tcBorders>
              <w:top w:val="nil"/>
              <w:left w:val="single" w:sz="4" w:space="0" w:color="auto"/>
              <w:bottom w:val="single" w:sz="4" w:space="0" w:color="000000"/>
              <w:right w:val="single" w:sz="4" w:space="0" w:color="auto"/>
            </w:tcBorders>
            <w:vAlign w:val="center"/>
            <w:hideMark/>
          </w:tcPr>
          <w:p w14:paraId="37A6DFE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None. Although supplier provide certificate for all slab specifications</w:t>
            </w: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7E8DB0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B27EFF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224</w:t>
            </w:r>
          </w:p>
        </w:tc>
        <w:tc>
          <w:tcPr>
            <w:tcW w:w="646" w:type="pct"/>
            <w:tcBorders>
              <w:top w:val="nil"/>
              <w:left w:val="nil"/>
              <w:bottom w:val="single" w:sz="4" w:space="0" w:color="auto"/>
              <w:right w:val="single" w:sz="4" w:space="0" w:color="auto"/>
            </w:tcBorders>
            <w:vAlign w:val="center"/>
            <w:hideMark/>
          </w:tcPr>
          <w:p w14:paraId="262DAEB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ultrasonic testing on all slabs pre-rolling</w:t>
            </w:r>
          </w:p>
        </w:tc>
        <w:tc>
          <w:tcPr>
            <w:tcW w:w="528" w:type="pct"/>
            <w:tcBorders>
              <w:top w:val="nil"/>
              <w:left w:val="nil"/>
              <w:bottom w:val="single" w:sz="4" w:space="0" w:color="auto"/>
              <w:right w:val="single" w:sz="4" w:space="0" w:color="auto"/>
            </w:tcBorders>
            <w:vAlign w:val="center"/>
            <w:hideMark/>
          </w:tcPr>
          <w:p w14:paraId="4193C5F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team</w:t>
            </w:r>
          </w:p>
        </w:tc>
        <w:tc>
          <w:tcPr>
            <w:tcW w:w="85" w:type="pct"/>
            <w:vAlign w:val="center"/>
            <w:hideMark/>
          </w:tcPr>
          <w:p w14:paraId="5D1DA23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E6EBFAF" w14:textId="77777777" w:rsidTr="00AA4D71">
        <w:trPr>
          <w:trHeight w:val="520"/>
        </w:trPr>
        <w:tc>
          <w:tcPr>
            <w:tcW w:w="209" w:type="pct"/>
            <w:tcBorders>
              <w:top w:val="nil"/>
              <w:left w:val="nil"/>
              <w:bottom w:val="nil"/>
              <w:right w:val="nil"/>
            </w:tcBorders>
            <w:noWrap/>
            <w:vAlign w:val="center"/>
            <w:hideMark/>
          </w:tcPr>
          <w:p w14:paraId="13372BA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46931B8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149322A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tcBorders>
              <w:top w:val="single" w:sz="4" w:space="0" w:color="auto"/>
              <w:left w:val="nil"/>
              <w:bottom w:val="single" w:sz="4" w:space="0" w:color="auto"/>
              <w:right w:val="single" w:sz="4" w:space="0" w:color="auto"/>
            </w:tcBorders>
            <w:vAlign w:val="center"/>
            <w:hideMark/>
          </w:tcPr>
          <w:p w14:paraId="6BA4D44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Rejection during ultrasonic inspection stage</w:t>
            </w:r>
          </w:p>
        </w:tc>
        <w:tc>
          <w:tcPr>
            <w:tcW w:w="161" w:type="pct"/>
            <w:tcBorders>
              <w:top w:val="single" w:sz="4" w:space="0" w:color="auto"/>
              <w:left w:val="single" w:sz="4" w:space="0" w:color="auto"/>
              <w:bottom w:val="nil"/>
              <w:right w:val="single" w:sz="4" w:space="0" w:color="auto"/>
            </w:tcBorders>
            <w:shd w:val="clear" w:color="000000" w:fill="FFC000"/>
            <w:vAlign w:val="center"/>
            <w:hideMark/>
          </w:tcPr>
          <w:p w14:paraId="2D718F4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7893443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Trapped gases, improper heat treatment</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4AD5B4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vMerge/>
            <w:tcBorders>
              <w:top w:val="nil"/>
              <w:left w:val="single" w:sz="4" w:space="0" w:color="auto"/>
              <w:bottom w:val="single" w:sz="4" w:space="0" w:color="000000"/>
              <w:right w:val="single" w:sz="4" w:space="0" w:color="auto"/>
            </w:tcBorders>
            <w:vAlign w:val="center"/>
            <w:hideMark/>
          </w:tcPr>
          <w:p w14:paraId="4994B17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8687B1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0B480EC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224</w:t>
            </w:r>
          </w:p>
        </w:tc>
        <w:tc>
          <w:tcPr>
            <w:tcW w:w="646" w:type="pct"/>
            <w:tcBorders>
              <w:top w:val="nil"/>
              <w:left w:val="nil"/>
              <w:bottom w:val="single" w:sz="4" w:space="0" w:color="auto"/>
              <w:right w:val="single" w:sz="4" w:space="0" w:color="auto"/>
            </w:tcBorders>
            <w:vAlign w:val="center"/>
            <w:hideMark/>
          </w:tcPr>
          <w:p w14:paraId="666BE32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More stringent certification from supplier</w:t>
            </w:r>
          </w:p>
        </w:tc>
        <w:tc>
          <w:tcPr>
            <w:tcW w:w="528" w:type="pct"/>
            <w:tcBorders>
              <w:top w:val="nil"/>
              <w:left w:val="nil"/>
              <w:bottom w:val="single" w:sz="4" w:space="0" w:color="auto"/>
              <w:right w:val="single" w:sz="4" w:space="0" w:color="auto"/>
            </w:tcBorders>
            <w:vAlign w:val="center"/>
            <w:hideMark/>
          </w:tcPr>
          <w:p w14:paraId="53F70AF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&amp; Supplier</w:t>
            </w:r>
          </w:p>
        </w:tc>
        <w:tc>
          <w:tcPr>
            <w:tcW w:w="85" w:type="pct"/>
            <w:vAlign w:val="center"/>
            <w:hideMark/>
          </w:tcPr>
          <w:p w14:paraId="476D7D5A"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CAC98E4" w14:textId="77777777" w:rsidTr="00AA4D71">
        <w:trPr>
          <w:trHeight w:val="780"/>
        </w:trPr>
        <w:tc>
          <w:tcPr>
            <w:tcW w:w="209" w:type="pct"/>
            <w:tcBorders>
              <w:top w:val="nil"/>
              <w:left w:val="nil"/>
              <w:bottom w:val="nil"/>
              <w:right w:val="nil"/>
            </w:tcBorders>
            <w:noWrap/>
            <w:vAlign w:val="center"/>
            <w:hideMark/>
          </w:tcPr>
          <w:p w14:paraId="09BC7C3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1EF4E83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single" w:sz="4" w:space="0" w:color="auto"/>
              <w:left w:val="single" w:sz="4" w:space="0" w:color="auto"/>
              <w:bottom w:val="nil"/>
              <w:right w:val="single" w:sz="4" w:space="0" w:color="auto"/>
            </w:tcBorders>
            <w:vAlign w:val="center"/>
            <w:hideMark/>
          </w:tcPr>
          <w:p w14:paraId="347DA1A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Roller Damage</w:t>
            </w:r>
          </w:p>
        </w:tc>
        <w:tc>
          <w:tcPr>
            <w:tcW w:w="517" w:type="pct"/>
            <w:vMerge w:val="restart"/>
            <w:tcBorders>
              <w:top w:val="nil"/>
              <w:left w:val="single" w:sz="4" w:space="0" w:color="auto"/>
              <w:bottom w:val="single" w:sz="4" w:space="0" w:color="000000"/>
              <w:right w:val="single" w:sz="4" w:space="0" w:color="auto"/>
            </w:tcBorders>
            <w:vAlign w:val="center"/>
            <w:hideMark/>
          </w:tcPr>
          <w:p w14:paraId="52B07B4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Higher maintenance costs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577668A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74998CE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Inclusion of tramp elements in slab</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1C0847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11A79D5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Tramp elements are stated by supplier certification, and checked by internal process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64B8B4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B2A6AD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240</w:t>
            </w:r>
          </w:p>
        </w:tc>
        <w:tc>
          <w:tcPr>
            <w:tcW w:w="646" w:type="pct"/>
            <w:vMerge w:val="restart"/>
            <w:tcBorders>
              <w:top w:val="nil"/>
              <w:left w:val="single" w:sz="4" w:space="0" w:color="auto"/>
              <w:bottom w:val="single" w:sz="4" w:space="0" w:color="000000"/>
              <w:right w:val="single" w:sz="4" w:space="0" w:color="auto"/>
            </w:tcBorders>
            <w:vAlign w:val="center"/>
            <w:hideMark/>
          </w:tcPr>
          <w:p w14:paraId="2550E03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Introduce a roll wear monitoring system which can detect any wear on the rollers prior to failure</w:t>
            </w:r>
          </w:p>
        </w:tc>
        <w:tc>
          <w:tcPr>
            <w:tcW w:w="528" w:type="pct"/>
            <w:vMerge w:val="restart"/>
            <w:tcBorders>
              <w:top w:val="nil"/>
              <w:left w:val="single" w:sz="4" w:space="0" w:color="auto"/>
              <w:bottom w:val="single" w:sz="4" w:space="0" w:color="000000"/>
              <w:right w:val="single" w:sz="4" w:space="0" w:color="auto"/>
            </w:tcBorders>
            <w:vAlign w:val="center"/>
            <w:hideMark/>
          </w:tcPr>
          <w:p w14:paraId="2AB592D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teams</w:t>
            </w:r>
          </w:p>
        </w:tc>
        <w:tc>
          <w:tcPr>
            <w:tcW w:w="85" w:type="pct"/>
            <w:vAlign w:val="center"/>
            <w:hideMark/>
          </w:tcPr>
          <w:p w14:paraId="12CF102F"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086DE66" w14:textId="77777777" w:rsidTr="00AA4D71">
        <w:trPr>
          <w:trHeight w:val="780"/>
        </w:trPr>
        <w:tc>
          <w:tcPr>
            <w:tcW w:w="209" w:type="pct"/>
            <w:tcBorders>
              <w:top w:val="nil"/>
              <w:left w:val="nil"/>
              <w:bottom w:val="nil"/>
              <w:right w:val="nil"/>
            </w:tcBorders>
            <w:noWrap/>
            <w:vAlign w:val="center"/>
            <w:hideMark/>
          </w:tcPr>
          <w:p w14:paraId="7472370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5CB6A77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nil"/>
              <w:right w:val="single" w:sz="4" w:space="0" w:color="auto"/>
            </w:tcBorders>
            <w:vAlign w:val="center"/>
            <w:hideMark/>
          </w:tcPr>
          <w:p w14:paraId="6644686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6966639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1807F48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43C698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Inadequate upstream cleaning system </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CA970B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2B56861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Inspection of slabs upon completion of cleaning to ensure they are suitable for next stage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163A14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62F417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192</w:t>
            </w:r>
          </w:p>
        </w:tc>
        <w:tc>
          <w:tcPr>
            <w:tcW w:w="646" w:type="pct"/>
            <w:vMerge/>
            <w:tcBorders>
              <w:top w:val="nil"/>
              <w:left w:val="single" w:sz="4" w:space="0" w:color="auto"/>
              <w:bottom w:val="single" w:sz="4" w:space="0" w:color="000000"/>
              <w:right w:val="single" w:sz="4" w:space="0" w:color="auto"/>
            </w:tcBorders>
            <w:vAlign w:val="center"/>
            <w:hideMark/>
          </w:tcPr>
          <w:p w14:paraId="6DEE504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6A8BD2B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1120C08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2F14646" w14:textId="77777777" w:rsidTr="00AA4D71">
        <w:trPr>
          <w:trHeight w:val="1040"/>
        </w:trPr>
        <w:tc>
          <w:tcPr>
            <w:tcW w:w="209" w:type="pct"/>
            <w:tcBorders>
              <w:top w:val="nil"/>
              <w:left w:val="nil"/>
              <w:bottom w:val="nil"/>
              <w:right w:val="nil"/>
            </w:tcBorders>
            <w:noWrap/>
            <w:vAlign w:val="center"/>
            <w:hideMark/>
          </w:tcPr>
          <w:p w14:paraId="410EC35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6E69146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single" w:sz="4" w:space="0" w:color="auto"/>
              <w:left w:val="single" w:sz="4" w:space="0" w:color="auto"/>
              <w:bottom w:val="single" w:sz="4" w:space="0" w:color="000000"/>
              <w:right w:val="single" w:sz="4" w:space="0" w:color="auto"/>
            </w:tcBorders>
            <w:vAlign w:val="center"/>
            <w:hideMark/>
          </w:tcPr>
          <w:p w14:paraId="5041BDC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Poor shape</w:t>
            </w:r>
          </w:p>
        </w:tc>
        <w:tc>
          <w:tcPr>
            <w:tcW w:w="517" w:type="pct"/>
            <w:vMerge w:val="restart"/>
            <w:tcBorders>
              <w:top w:val="nil"/>
              <w:left w:val="single" w:sz="4" w:space="0" w:color="auto"/>
              <w:bottom w:val="single" w:sz="4" w:space="0" w:color="000000"/>
              <w:right w:val="single" w:sz="4" w:space="0" w:color="auto"/>
            </w:tcBorders>
            <w:vAlign w:val="center"/>
            <w:hideMark/>
          </w:tcPr>
          <w:p w14:paraId="0519E12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Reduced Yield</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4CDF133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24F12FD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Non uniform thickness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3C47B6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33BE2E4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Slabs sorted and grouped prior to rolling </w:t>
            </w:r>
            <w:proofErr w:type="gramStart"/>
            <w:r w:rsidRPr="003D1BBB">
              <w:rPr>
                <w:rFonts w:ascii="Calibri" w:eastAsia="Times New Roman" w:hAnsi="Calibri" w:cs="Calibri"/>
                <w:kern w:val="0"/>
                <w:sz w:val="20"/>
                <w:szCs w:val="20"/>
                <w:lang w:eastAsia="en-GB"/>
                <w14:ligatures w14:val="none"/>
              </w:rPr>
              <w:t>operations,</w:t>
            </w:r>
            <w:proofErr w:type="gramEnd"/>
            <w:r w:rsidRPr="003D1BBB">
              <w:rPr>
                <w:rFonts w:ascii="Calibri" w:eastAsia="Times New Roman" w:hAnsi="Calibri" w:cs="Calibri"/>
                <w:kern w:val="0"/>
                <w:sz w:val="20"/>
                <w:szCs w:val="20"/>
                <w:lang w:eastAsia="en-GB"/>
                <w14:ligatures w14:val="none"/>
              </w:rPr>
              <w:t xml:space="preserve"> high risks slabs are marked and communicated in regular meetings to explore options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2012A5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1C1097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0595023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Yield losses can be captured by slab ID and feed information into supplier corrective action reports</w:t>
            </w:r>
          </w:p>
        </w:tc>
        <w:tc>
          <w:tcPr>
            <w:tcW w:w="528" w:type="pct"/>
            <w:tcBorders>
              <w:top w:val="nil"/>
              <w:left w:val="nil"/>
              <w:bottom w:val="single" w:sz="4" w:space="0" w:color="auto"/>
              <w:right w:val="single" w:sz="4" w:space="0" w:color="auto"/>
            </w:tcBorders>
            <w:vAlign w:val="center"/>
            <w:hideMark/>
          </w:tcPr>
          <w:p w14:paraId="40836FC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team</w:t>
            </w:r>
          </w:p>
        </w:tc>
        <w:tc>
          <w:tcPr>
            <w:tcW w:w="85" w:type="pct"/>
            <w:vAlign w:val="center"/>
            <w:hideMark/>
          </w:tcPr>
          <w:p w14:paraId="0D63A658"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4B9A79A" w14:textId="77777777" w:rsidTr="00AA4D71">
        <w:trPr>
          <w:trHeight w:val="780"/>
        </w:trPr>
        <w:tc>
          <w:tcPr>
            <w:tcW w:w="209" w:type="pct"/>
            <w:tcBorders>
              <w:top w:val="nil"/>
              <w:left w:val="nil"/>
              <w:bottom w:val="nil"/>
              <w:right w:val="nil"/>
            </w:tcBorders>
            <w:noWrap/>
            <w:vAlign w:val="center"/>
            <w:hideMark/>
          </w:tcPr>
          <w:p w14:paraId="3D21D02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553A86F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41595B3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1C0C6B5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237F1B89"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5E50275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Variable lubrication across slab surface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401326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7CF698E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Consistent lubrication protocols are followed </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B55358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EF2704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210</w:t>
            </w:r>
          </w:p>
        </w:tc>
        <w:tc>
          <w:tcPr>
            <w:tcW w:w="646" w:type="pct"/>
            <w:tcBorders>
              <w:top w:val="nil"/>
              <w:left w:val="nil"/>
              <w:bottom w:val="single" w:sz="4" w:space="0" w:color="auto"/>
              <w:right w:val="single" w:sz="4" w:space="0" w:color="auto"/>
            </w:tcBorders>
            <w:vAlign w:val="center"/>
            <w:hideMark/>
          </w:tcPr>
          <w:p w14:paraId="25CB1D0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Install automatic roll bending system to avoid repeated uneven deformation</w:t>
            </w:r>
          </w:p>
        </w:tc>
        <w:tc>
          <w:tcPr>
            <w:tcW w:w="528" w:type="pct"/>
            <w:tcBorders>
              <w:top w:val="nil"/>
              <w:left w:val="nil"/>
              <w:bottom w:val="single" w:sz="4" w:space="0" w:color="auto"/>
              <w:right w:val="single" w:sz="4" w:space="0" w:color="auto"/>
            </w:tcBorders>
            <w:vAlign w:val="center"/>
            <w:hideMark/>
          </w:tcPr>
          <w:p w14:paraId="7C25745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Mill Production Team &amp; Port Talbot Technical</w:t>
            </w:r>
          </w:p>
        </w:tc>
        <w:tc>
          <w:tcPr>
            <w:tcW w:w="85" w:type="pct"/>
            <w:vAlign w:val="center"/>
            <w:hideMark/>
          </w:tcPr>
          <w:p w14:paraId="43EC8BB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FC37AD2" w14:textId="77777777" w:rsidTr="00AA4D71">
        <w:trPr>
          <w:trHeight w:val="780"/>
        </w:trPr>
        <w:tc>
          <w:tcPr>
            <w:tcW w:w="209" w:type="pct"/>
            <w:tcBorders>
              <w:top w:val="nil"/>
              <w:left w:val="nil"/>
              <w:bottom w:val="nil"/>
              <w:right w:val="nil"/>
            </w:tcBorders>
            <w:noWrap/>
            <w:vAlign w:val="center"/>
            <w:hideMark/>
          </w:tcPr>
          <w:p w14:paraId="415FA5E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0D6C321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0AC94A8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673E130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36C235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695BFB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Thermal gradients in the slab at entry produce uneven strain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9E89EE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C24F2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Uniform furnace soak times and slab surface temperature monitored throughout the process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075897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8270E0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168</w:t>
            </w:r>
          </w:p>
        </w:tc>
        <w:tc>
          <w:tcPr>
            <w:tcW w:w="646" w:type="pct"/>
            <w:tcBorders>
              <w:top w:val="nil"/>
              <w:left w:val="nil"/>
              <w:bottom w:val="single" w:sz="4" w:space="0" w:color="auto"/>
              <w:right w:val="single" w:sz="4" w:space="0" w:color="auto"/>
            </w:tcBorders>
            <w:vAlign w:val="center"/>
            <w:hideMark/>
          </w:tcPr>
          <w:p w14:paraId="1D51985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Run trial phases on any new material from new suppliers, this will ensure you achieve correct parameters when it comes to real material</w:t>
            </w:r>
          </w:p>
        </w:tc>
        <w:tc>
          <w:tcPr>
            <w:tcW w:w="528" w:type="pct"/>
            <w:tcBorders>
              <w:top w:val="nil"/>
              <w:left w:val="nil"/>
              <w:bottom w:val="single" w:sz="4" w:space="0" w:color="auto"/>
              <w:right w:val="single" w:sz="4" w:space="0" w:color="auto"/>
            </w:tcBorders>
            <w:vAlign w:val="center"/>
            <w:hideMark/>
          </w:tcPr>
          <w:p w14:paraId="5E4E99E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Mill production team</w:t>
            </w:r>
          </w:p>
        </w:tc>
        <w:tc>
          <w:tcPr>
            <w:tcW w:w="85" w:type="pct"/>
            <w:vAlign w:val="center"/>
            <w:hideMark/>
          </w:tcPr>
          <w:p w14:paraId="0873DBCA"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26699429" w14:textId="77777777" w:rsidTr="00AA4D71">
        <w:trPr>
          <w:trHeight w:val="1040"/>
        </w:trPr>
        <w:tc>
          <w:tcPr>
            <w:tcW w:w="209" w:type="pct"/>
            <w:tcBorders>
              <w:top w:val="nil"/>
              <w:left w:val="nil"/>
              <w:bottom w:val="nil"/>
              <w:right w:val="nil"/>
            </w:tcBorders>
            <w:noWrap/>
            <w:vAlign w:val="center"/>
            <w:hideMark/>
          </w:tcPr>
          <w:p w14:paraId="694BAB1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16EFABA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03983F9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02CD5B1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Customer complaints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1B2CD1F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217F71D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Cold spots in furnace due to inaccurate zone control </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13FC4D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766F1D4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Furnace zone controls are calibrated and validated on a routine basis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FC24CD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C09875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240</w:t>
            </w:r>
          </w:p>
        </w:tc>
        <w:tc>
          <w:tcPr>
            <w:tcW w:w="646" w:type="pct"/>
            <w:tcBorders>
              <w:top w:val="nil"/>
              <w:left w:val="nil"/>
              <w:bottom w:val="single" w:sz="4" w:space="0" w:color="auto"/>
              <w:right w:val="single" w:sz="4" w:space="0" w:color="auto"/>
            </w:tcBorders>
            <w:vAlign w:val="center"/>
            <w:hideMark/>
          </w:tcPr>
          <w:p w14:paraId="14996B1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Integrate furnace temperature feedback into mill setpoint selection so rolling parameters adapt to actual slab temperature. Enhanced automation</w:t>
            </w:r>
          </w:p>
        </w:tc>
        <w:tc>
          <w:tcPr>
            <w:tcW w:w="528" w:type="pct"/>
            <w:tcBorders>
              <w:top w:val="nil"/>
              <w:left w:val="nil"/>
              <w:bottom w:val="single" w:sz="4" w:space="0" w:color="auto"/>
              <w:right w:val="single" w:sz="4" w:space="0" w:color="auto"/>
            </w:tcBorders>
            <w:vAlign w:val="center"/>
            <w:hideMark/>
          </w:tcPr>
          <w:p w14:paraId="5CAE5FF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Mill production team and IT Services</w:t>
            </w:r>
          </w:p>
        </w:tc>
        <w:tc>
          <w:tcPr>
            <w:tcW w:w="85" w:type="pct"/>
            <w:vAlign w:val="center"/>
            <w:hideMark/>
          </w:tcPr>
          <w:p w14:paraId="28A393C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9EEC787" w14:textId="77777777" w:rsidTr="00AA4D71">
        <w:trPr>
          <w:trHeight w:val="1040"/>
        </w:trPr>
        <w:tc>
          <w:tcPr>
            <w:tcW w:w="209" w:type="pct"/>
            <w:tcBorders>
              <w:top w:val="nil"/>
              <w:left w:val="nil"/>
              <w:bottom w:val="nil"/>
              <w:right w:val="nil"/>
            </w:tcBorders>
            <w:noWrap/>
            <w:vAlign w:val="center"/>
            <w:hideMark/>
          </w:tcPr>
          <w:p w14:paraId="3B65B25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4776F44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3986A86E"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7DF84CD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9A9B05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3DE0108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Slow transfer times from furnace to mill allowing temperature drop in parts of slab</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7E76AC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63F83CA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Maximum transfer time windows are defined with expected standards adhered too</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53C46E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47A1E5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240</w:t>
            </w:r>
          </w:p>
        </w:tc>
        <w:tc>
          <w:tcPr>
            <w:tcW w:w="646" w:type="pct"/>
            <w:tcBorders>
              <w:top w:val="nil"/>
              <w:left w:val="nil"/>
              <w:bottom w:val="single" w:sz="4" w:space="0" w:color="auto"/>
              <w:right w:val="single" w:sz="4" w:space="0" w:color="auto"/>
            </w:tcBorders>
            <w:vAlign w:val="center"/>
            <w:hideMark/>
          </w:tcPr>
          <w:p w14:paraId="4BEB799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Continue with root cause analysis for each complaint, but improve process by correlating with furnace logs to identify systemic issues, and prioritising corrective maintenance</w:t>
            </w:r>
          </w:p>
        </w:tc>
        <w:tc>
          <w:tcPr>
            <w:tcW w:w="528" w:type="pct"/>
            <w:tcBorders>
              <w:top w:val="nil"/>
              <w:left w:val="nil"/>
              <w:bottom w:val="single" w:sz="4" w:space="0" w:color="auto"/>
              <w:right w:val="single" w:sz="4" w:space="0" w:color="auto"/>
            </w:tcBorders>
            <w:vAlign w:val="center"/>
            <w:hideMark/>
          </w:tcPr>
          <w:p w14:paraId="23A4DC0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team</w:t>
            </w:r>
          </w:p>
        </w:tc>
        <w:tc>
          <w:tcPr>
            <w:tcW w:w="85" w:type="pct"/>
            <w:vAlign w:val="center"/>
            <w:hideMark/>
          </w:tcPr>
          <w:p w14:paraId="069A5656"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48EE30E" w14:textId="77777777" w:rsidTr="00AA4D71">
        <w:trPr>
          <w:trHeight w:val="765"/>
        </w:trPr>
        <w:tc>
          <w:tcPr>
            <w:tcW w:w="209" w:type="pct"/>
            <w:tcBorders>
              <w:top w:val="nil"/>
              <w:left w:val="nil"/>
              <w:bottom w:val="nil"/>
              <w:right w:val="nil"/>
            </w:tcBorders>
            <w:noWrap/>
            <w:vAlign w:val="center"/>
            <w:hideMark/>
          </w:tcPr>
          <w:p w14:paraId="08697F4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52449C9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2D37FF8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5851EFF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Rework/Scrap</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5A7003D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164F330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Incorrect mill parameters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765860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vMerge w:val="restart"/>
            <w:tcBorders>
              <w:top w:val="nil"/>
              <w:left w:val="single" w:sz="4" w:space="0" w:color="auto"/>
              <w:bottom w:val="single" w:sz="4" w:space="0" w:color="000000"/>
              <w:right w:val="single" w:sz="4" w:space="0" w:color="auto"/>
            </w:tcBorders>
            <w:vAlign w:val="center"/>
            <w:hideMark/>
          </w:tcPr>
          <w:p w14:paraId="0CD3CFB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Operators are trained on standardised procedure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4D4DEE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578E11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vMerge w:val="restart"/>
            <w:tcBorders>
              <w:top w:val="nil"/>
              <w:left w:val="single" w:sz="4" w:space="0" w:color="auto"/>
              <w:bottom w:val="single" w:sz="4" w:space="0" w:color="000000"/>
              <w:right w:val="single" w:sz="4" w:space="0" w:color="auto"/>
            </w:tcBorders>
            <w:vAlign w:val="center"/>
            <w:hideMark/>
          </w:tcPr>
          <w:p w14:paraId="69603BF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Introduce a pre-rolling system, which models the imported slab travelling through the mill and what the effects will be on specific slab grades at set parameters</w:t>
            </w:r>
          </w:p>
        </w:tc>
        <w:tc>
          <w:tcPr>
            <w:tcW w:w="528" w:type="pct"/>
            <w:vMerge w:val="restart"/>
            <w:tcBorders>
              <w:top w:val="nil"/>
              <w:left w:val="single" w:sz="4" w:space="0" w:color="auto"/>
              <w:bottom w:val="single" w:sz="4" w:space="0" w:color="000000"/>
              <w:right w:val="single" w:sz="4" w:space="0" w:color="auto"/>
            </w:tcBorders>
            <w:vAlign w:val="center"/>
            <w:hideMark/>
          </w:tcPr>
          <w:p w14:paraId="2BEA7D2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team, mill production team &amp; IT Services</w:t>
            </w:r>
          </w:p>
        </w:tc>
        <w:tc>
          <w:tcPr>
            <w:tcW w:w="85" w:type="pct"/>
            <w:vAlign w:val="center"/>
            <w:hideMark/>
          </w:tcPr>
          <w:p w14:paraId="5DD02100"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69A0C8BE" w14:textId="77777777" w:rsidTr="00AA4D71">
        <w:trPr>
          <w:trHeight w:val="520"/>
        </w:trPr>
        <w:tc>
          <w:tcPr>
            <w:tcW w:w="209" w:type="pct"/>
            <w:tcBorders>
              <w:top w:val="nil"/>
              <w:left w:val="nil"/>
              <w:bottom w:val="nil"/>
              <w:right w:val="nil"/>
            </w:tcBorders>
            <w:noWrap/>
            <w:vAlign w:val="center"/>
            <w:hideMark/>
          </w:tcPr>
          <w:p w14:paraId="48A952B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22D662D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159B76D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082B566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019D57C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C3E0C6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Insufficient operator knowledge</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36F408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vMerge/>
            <w:tcBorders>
              <w:top w:val="nil"/>
              <w:left w:val="single" w:sz="4" w:space="0" w:color="auto"/>
              <w:bottom w:val="single" w:sz="4" w:space="0" w:color="000000"/>
              <w:right w:val="single" w:sz="4" w:space="0" w:color="auto"/>
            </w:tcBorders>
            <w:vAlign w:val="center"/>
            <w:hideMark/>
          </w:tcPr>
          <w:p w14:paraId="1E0AA63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996514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6B8384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vMerge/>
            <w:tcBorders>
              <w:top w:val="nil"/>
              <w:left w:val="single" w:sz="4" w:space="0" w:color="auto"/>
              <w:bottom w:val="single" w:sz="4" w:space="0" w:color="000000"/>
              <w:right w:val="single" w:sz="4" w:space="0" w:color="auto"/>
            </w:tcBorders>
            <w:vAlign w:val="center"/>
            <w:hideMark/>
          </w:tcPr>
          <w:p w14:paraId="5454CE5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547BEC4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3124BE2E"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29FF1EE" w14:textId="77777777" w:rsidTr="00AA4D71">
        <w:trPr>
          <w:trHeight w:val="520"/>
        </w:trPr>
        <w:tc>
          <w:tcPr>
            <w:tcW w:w="209" w:type="pct"/>
            <w:tcBorders>
              <w:top w:val="nil"/>
              <w:left w:val="nil"/>
              <w:bottom w:val="nil"/>
              <w:right w:val="nil"/>
            </w:tcBorders>
            <w:noWrap/>
            <w:vAlign w:val="center"/>
            <w:hideMark/>
          </w:tcPr>
          <w:p w14:paraId="58421FA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7BC5227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54C7C5B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0EF89D7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2BE1A4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203D2A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Lack of decision support</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7B5A3B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3E577DA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Slabs which are require </w:t>
            </w:r>
            <w:proofErr w:type="spellStart"/>
            <w:r w:rsidRPr="003D1BBB">
              <w:rPr>
                <w:rFonts w:ascii="Calibri" w:eastAsia="Times New Roman" w:hAnsi="Calibri" w:cs="Calibri"/>
                <w:kern w:val="0"/>
                <w:sz w:val="20"/>
                <w:szCs w:val="20"/>
                <w:lang w:eastAsia="en-GB"/>
                <w14:ligatures w14:val="none"/>
              </w:rPr>
              <w:t>non standard</w:t>
            </w:r>
            <w:proofErr w:type="spellEnd"/>
            <w:r w:rsidRPr="003D1BBB">
              <w:rPr>
                <w:rFonts w:ascii="Calibri" w:eastAsia="Times New Roman" w:hAnsi="Calibri" w:cs="Calibri"/>
                <w:kern w:val="0"/>
                <w:sz w:val="20"/>
                <w:szCs w:val="20"/>
                <w:lang w:eastAsia="en-GB"/>
                <w14:ligatures w14:val="none"/>
              </w:rPr>
              <w:t xml:space="preserve"> practise are highlighted in regular meetings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3D7C410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2D8008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240</w:t>
            </w:r>
          </w:p>
        </w:tc>
        <w:tc>
          <w:tcPr>
            <w:tcW w:w="646" w:type="pct"/>
            <w:vMerge/>
            <w:tcBorders>
              <w:top w:val="nil"/>
              <w:left w:val="single" w:sz="4" w:space="0" w:color="auto"/>
              <w:bottom w:val="single" w:sz="4" w:space="0" w:color="000000"/>
              <w:right w:val="single" w:sz="4" w:space="0" w:color="auto"/>
            </w:tcBorders>
            <w:vAlign w:val="center"/>
            <w:hideMark/>
          </w:tcPr>
          <w:p w14:paraId="1398804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28" w:type="pct"/>
            <w:vMerge/>
            <w:tcBorders>
              <w:top w:val="nil"/>
              <w:left w:val="single" w:sz="4" w:space="0" w:color="auto"/>
              <w:bottom w:val="single" w:sz="4" w:space="0" w:color="000000"/>
              <w:right w:val="single" w:sz="4" w:space="0" w:color="auto"/>
            </w:tcBorders>
            <w:vAlign w:val="center"/>
            <w:hideMark/>
          </w:tcPr>
          <w:p w14:paraId="5C7ED43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85" w:type="pct"/>
            <w:vAlign w:val="center"/>
            <w:hideMark/>
          </w:tcPr>
          <w:p w14:paraId="08A08F2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76AC810C" w14:textId="77777777" w:rsidTr="00AA4D71">
        <w:trPr>
          <w:trHeight w:val="1040"/>
        </w:trPr>
        <w:tc>
          <w:tcPr>
            <w:tcW w:w="209" w:type="pct"/>
            <w:tcBorders>
              <w:top w:val="nil"/>
              <w:left w:val="nil"/>
              <w:bottom w:val="nil"/>
              <w:right w:val="nil"/>
            </w:tcBorders>
            <w:noWrap/>
            <w:vAlign w:val="center"/>
            <w:hideMark/>
          </w:tcPr>
          <w:p w14:paraId="1D11047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30E5FEC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nil"/>
              <w:left w:val="single" w:sz="4" w:space="0" w:color="auto"/>
              <w:bottom w:val="nil"/>
              <w:right w:val="single" w:sz="4" w:space="0" w:color="auto"/>
            </w:tcBorders>
            <w:vAlign w:val="center"/>
            <w:hideMark/>
          </w:tcPr>
          <w:p w14:paraId="026B400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Data Capture</w:t>
            </w:r>
          </w:p>
        </w:tc>
        <w:tc>
          <w:tcPr>
            <w:tcW w:w="517" w:type="pct"/>
            <w:vMerge w:val="restart"/>
            <w:tcBorders>
              <w:top w:val="nil"/>
              <w:left w:val="single" w:sz="4" w:space="0" w:color="auto"/>
              <w:bottom w:val="single" w:sz="4" w:space="0" w:color="000000"/>
              <w:right w:val="single" w:sz="4" w:space="0" w:color="auto"/>
            </w:tcBorders>
            <w:vAlign w:val="center"/>
            <w:hideMark/>
          </w:tcPr>
          <w:p w14:paraId="6784276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Loss of traceability</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53E98D7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41E4EB4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Mismatched ID's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62366A7"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1725D64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Slab ID's follow a standardised coding system which is linked to Port Talbot internal system</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19B4CA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DD9304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240</w:t>
            </w:r>
          </w:p>
        </w:tc>
        <w:tc>
          <w:tcPr>
            <w:tcW w:w="646" w:type="pct"/>
            <w:tcBorders>
              <w:top w:val="nil"/>
              <w:left w:val="nil"/>
              <w:bottom w:val="single" w:sz="4" w:space="0" w:color="auto"/>
              <w:right w:val="single" w:sz="4" w:space="0" w:color="auto"/>
            </w:tcBorders>
            <w:vAlign w:val="center"/>
            <w:hideMark/>
          </w:tcPr>
          <w:p w14:paraId="701D42A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Deploy an automated traceability system mapping the imported slab </w:t>
            </w:r>
            <w:proofErr w:type="gramStart"/>
            <w:r w:rsidRPr="003D1BBB">
              <w:rPr>
                <w:rFonts w:ascii="Calibri" w:eastAsia="Times New Roman" w:hAnsi="Calibri" w:cs="Calibri"/>
                <w:kern w:val="0"/>
                <w:sz w:val="20"/>
                <w:szCs w:val="20"/>
                <w:lang w:eastAsia="en-GB"/>
                <w14:ligatures w14:val="none"/>
              </w:rPr>
              <w:t>ID's</w:t>
            </w:r>
            <w:proofErr w:type="gramEnd"/>
            <w:r w:rsidRPr="003D1BBB">
              <w:rPr>
                <w:rFonts w:ascii="Calibri" w:eastAsia="Times New Roman" w:hAnsi="Calibri" w:cs="Calibri"/>
                <w:kern w:val="0"/>
                <w:sz w:val="20"/>
                <w:szCs w:val="20"/>
                <w:lang w:eastAsia="en-GB"/>
                <w14:ligatures w14:val="none"/>
              </w:rPr>
              <w:t xml:space="preserve"> to Port Talbot internal codes from dispatch through to rolling</w:t>
            </w:r>
          </w:p>
        </w:tc>
        <w:tc>
          <w:tcPr>
            <w:tcW w:w="528" w:type="pct"/>
            <w:tcBorders>
              <w:top w:val="nil"/>
              <w:left w:val="nil"/>
              <w:bottom w:val="single" w:sz="4" w:space="0" w:color="auto"/>
              <w:right w:val="single" w:sz="4" w:space="0" w:color="auto"/>
            </w:tcBorders>
            <w:vAlign w:val="center"/>
            <w:hideMark/>
          </w:tcPr>
          <w:p w14:paraId="2D9298A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Mill Production team &amp; IT Services</w:t>
            </w:r>
          </w:p>
        </w:tc>
        <w:tc>
          <w:tcPr>
            <w:tcW w:w="85" w:type="pct"/>
            <w:vAlign w:val="center"/>
            <w:hideMark/>
          </w:tcPr>
          <w:p w14:paraId="6BF6D093"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F48E679" w14:textId="77777777" w:rsidTr="00AA4D71">
        <w:trPr>
          <w:trHeight w:val="1040"/>
        </w:trPr>
        <w:tc>
          <w:tcPr>
            <w:tcW w:w="209" w:type="pct"/>
            <w:tcBorders>
              <w:top w:val="nil"/>
              <w:left w:val="nil"/>
              <w:bottom w:val="nil"/>
              <w:right w:val="nil"/>
            </w:tcBorders>
            <w:noWrap/>
            <w:vAlign w:val="center"/>
            <w:hideMark/>
          </w:tcPr>
          <w:p w14:paraId="52DFAE0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6A25434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3293B03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66DD4178"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5125779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256A351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Separate IT systems between suppliers, logistics and production. (Not shared or live data)</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682E37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165DCDC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Internal system at port talbot is a shared service with regular meetings to raise any issues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7AB70D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715522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192</w:t>
            </w:r>
          </w:p>
        </w:tc>
        <w:tc>
          <w:tcPr>
            <w:tcW w:w="646" w:type="pct"/>
            <w:tcBorders>
              <w:top w:val="nil"/>
              <w:left w:val="nil"/>
              <w:bottom w:val="single" w:sz="4" w:space="0" w:color="auto"/>
              <w:right w:val="single" w:sz="4" w:space="0" w:color="auto"/>
            </w:tcBorders>
            <w:vAlign w:val="center"/>
            <w:hideMark/>
          </w:tcPr>
          <w:p w14:paraId="07FE99A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Develop a traceability dashboard displaying live material status and movement history, moving away from manual tasks</w:t>
            </w:r>
          </w:p>
        </w:tc>
        <w:tc>
          <w:tcPr>
            <w:tcW w:w="528" w:type="pct"/>
            <w:tcBorders>
              <w:top w:val="nil"/>
              <w:left w:val="nil"/>
              <w:bottom w:val="single" w:sz="4" w:space="0" w:color="auto"/>
              <w:right w:val="single" w:sz="4" w:space="0" w:color="auto"/>
            </w:tcBorders>
            <w:vAlign w:val="center"/>
            <w:hideMark/>
          </w:tcPr>
          <w:p w14:paraId="4D58BD7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Mill Production team &amp; IT Services</w:t>
            </w:r>
          </w:p>
        </w:tc>
        <w:tc>
          <w:tcPr>
            <w:tcW w:w="85" w:type="pct"/>
            <w:vAlign w:val="center"/>
            <w:hideMark/>
          </w:tcPr>
          <w:p w14:paraId="606A0B85"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AB66E88" w14:textId="77777777" w:rsidTr="00AA4D71">
        <w:trPr>
          <w:trHeight w:val="1040"/>
        </w:trPr>
        <w:tc>
          <w:tcPr>
            <w:tcW w:w="209" w:type="pct"/>
            <w:tcBorders>
              <w:top w:val="nil"/>
              <w:left w:val="nil"/>
              <w:bottom w:val="nil"/>
              <w:right w:val="nil"/>
            </w:tcBorders>
            <w:noWrap/>
            <w:vAlign w:val="center"/>
            <w:hideMark/>
          </w:tcPr>
          <w:p w14:paraId="0ABEA52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4ED2599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76C3542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3E7FA69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Quality reporting gaps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4226F40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6B6B9B9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Test data is captured manually and stored in local departments not available to all departments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A3C9F7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710" w:type="pct"/>
            <w:tcBorders>
              <w:top w:val="nil"/>
              <w:left w:val="nil"/>
              <w:bottom w:val="single" w:sz="4" w:space="0" w:color="auto"/>
              <w:right w:val="single" w:sz="4" w:space="0" w:color="auto"/>
            </w:tcBorders>
            <w:vAlign w:val="center"/>
            <w:hideMark/>
          </w:tcPr>
          <w:p w14:paraId="22BD4C5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Test results are normally stored on internal database or emailed to internal customer upon completion</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326E92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6CBF39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210</w:t>
            </w:r>
          </w:p>
        </w:tc>
        <w:tc>
          <w:tcPr>
            <w:tcW w:w="646" w:type="pct"/>
            <w:tcBorders>
              <w:top w:val="nil"/>
              <w:left w:val="nil"/>
              <w:bottom w:val="single" w:sz="4" w:space="0" w:color="auto"/>
              <w:right w:val="single" w:sz="4" w:space="0" w:color="auto"/>
            </w:tcBorders>
            <w:vAlign w:val="center"/>
            <w:hideMark/>
          </w:tcPr>
          <w:p w14:paraId="294D6B1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Introduce a digital quality data system that enables downstream operations to gain insights at a real time tracker</w:t>
            </w:r>
          </w:p>
        </w:tc>
        <w:tc>
          <w:tcPr>
            <w:tcW w:w="528" w:type="pct"/>
            <w:tcBorders>
              <w:top w:val="nil"/>
              <w:left w:val="nil"/>
              <w:bottom w:val="single" w:sz="4" w:space="0" w:color="auto"/>
              <w:right w:val="single" w:sz="4" w:space="0" w:color="auto"/>
            </w:tcBorders>
            <w:vAlign w:val="center"/>
            <w:hideMark/>
          </w:tcPr>
          <w:p w14:paraId="1A12D6E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IT Services</w:t>
            </w:r>
          </w:p>
        </w:tc>
        <w:tc>
          <w:tcPr>
            <w:tcW w:w="85" w:type="pct"/>
            <w:vAlign w:val="center"/>
            <w:hideMark/>
          </w:tcPr>
          <w:p w14:paraId="5FCC466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3FAFEAE9" w14:textId="77777777" w:rsidTr="00AA4D71">
        <w:trPr>
          <w:trHeight w:val="780"/>
        </w:trPr>
        <w:tc>
          <w:tcPr>
            <w:tcW w:w="209" w:type="pct"/>
            <w:tcBorders>
              <w:top w:val="nil"/>
              <w:left w:val="nil"/>
              <w:bottom w:val="nil"/>
              <w:right w:val="nil"/>
            </w:tcBorders>
            <w:noWrap/>
            <w:vAlign w:val="center"/>
            <w:hideMark/>
          </w:tcPr>
          <w:p w14:paraId="03BB345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3FD2EA4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nil"/>
              <w:left w:val="single" w:sz="4" w:space="0" w:color="auto"/>
              <w:bottom w:val="nil"/>
              <w:right w:val="single" w:sz="4" w:space="0" w:color="auto"/>
            </w:tcBorders>
            <w:vAlign w:val="center"/>
            <w:hideMark/>
          </w:tcPr>
          <w:p w14:paraId="1971AFDC"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3974422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C1A5A4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5A05877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Tests results missing on slab</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12BCDB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28805A6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All reporting system </w:t>
            </w:r>
            <w:proofErr w:type="gramStart"/>
            <w:r w:rsidRPr="003D1BBB">
              <w:rPr>
                <w:rFonts w:ascii="Calibri" w:eastAsia="Times New Roman" w:hAnsi="Calibri" w:cs="Calibri"/>
                <w:kern w:val="0"/>
                <w:sz w:val="20"/>
                <w:szCs w:val="20"/>
                <w:lang w:eastAsia="en-GB"/>
                <w14:ligatures w14:val="none"/>
              </w:rPr>
              <w:t>include</w:t>
            </w:r>
            <w:proofErr w:type="gramEnd"/>
            <w:r w:rsidRPr="003D1BBB">
              <w:rPr>
                <w:rFonts w:ascii="Calibri" w:eastAsia="Times New Roman" w:hAnsi="Calibri" w:cs="Calibri"/>
                <w:kern w:val="0"/>
                <w:sz w:val="20"/>
                <w:szCs w:val="20"/>
                <w:lang w:eastAsia="en-GB"/>
                <w14:ligatures w14:val="none"/>
              </w:rPr>
              <w:t xml:space="preserve"> required fields not allowing completion until filed correctly</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F19B2C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7EB87E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21CA8BE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Create automated alerts for deviations from specification to enable rapid intervention</w:t>
            </w:r>
          </w:p>
        </w:tc>
        <w:tc>
          <w:tcPr>
            <w:tcW w:w="528" w:type="pct"/>
            <w:tcBorders>
              <w:top w:val="nil"/>
              <w:left w:val="nil"/>
              <w:bottom w:val="single" w:sz="4" w:space="0" w:color="auto"/>
              <w:right w:val="single" w:sz="4" w:space="0" w:color="auto"/>
            </w:tcBorders>
            <w:vAlign w:val="center"/>
            <w:hideMark/>
          </w:tcPr>
          <w:p w14:paraId="7266F49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IT Services</w:t>
            </w:r>
          </w:p>
        </w:tc>
        <w:tc>
          <w:tcPr>
            <w:tcW w:w="85" w:type="pct"/>
            <w:vAlign w:val="center"/>
            <w:hideMark/>
          </w:tcPr>
          <w:p w14:paraId="72C30BFD"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1BC72D79" w14:textId="77777777" w:rsidTr="00AA4D71">
        <w:trPr>
          <w:trHeight w:val="1040"/>
        </w:trPr>
        <w:tc>
          <w:tcPr>
            <w:tcW w:w="209" w:type="pct"/>
            <w:tcBorders>
              <w:top w:val="nil"/>
              <w:left w:val="nil"/>
              <w:bottom w:val="nil"/>
              <w:right w:val="nil"/>
            </w:tcBorders>
            <w:noWrap/>
            <w:vAlign w:val="center"/>
            <w:hideMark/>
          </w:tcPr>
          <w:p w14:paraId="5AD3CC2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0A4CCAE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single" w:sz="4" w:space="0" w:color="auto"/>
              <w:left w:val="single" w:sz="4" w:space="0" w:color="auto"/>
              <w:bottom w:val="nil"/>
              <w:right w:val="single" w:sz="4" w:space="0" w:color="auto"/>
            </w:tcBorders>
            <w:vAlign w:val="center"/>
            <w:hideMark/>
          </w:tcPr>
          <w:p w14:paraId="3F105FE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Reheat Furnace Queue delays</w:t>
            </w:r>
          </w:p>
        </w:tc>
        <w:tc>
          <w:tcPr>
            <w:tcW w:w="517" w:type="pct"/>
            <w:vMerge w:val="restart"/>
            <w:tcBorders>
              <w:top w:val="nil"/>
              <w:left w:val="single" w:sz="4" w:space="0" w:color="auto"/>
              <w:bottom w:val="single" w:sz="4" w:space="0" w:color="000000"/>
              <w:right w:val="single" w:sz="4" w:space="0" w:color="auto"/>
            </w:tcBorders>
            <w:vAlign w:val="center"/>
            <w:hideMark/>
          </w:tcPr>
          <w:p w14:paraId="723CCB6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Furnace inefficiencies</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21552DF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5BD1A2C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Incoming batches contain slabs of differing chemistries or thickness that require different parameters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45E15F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787D799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Slabs are </w:t>
            </w:r>
            <w:proofErr w:type="spellStart"/>
            <w:r w:rsidRPr="003D1BBB">
              <w:rPr>
                <w:rFonts w:ascii="Calibri" w:eastAsia="Times New Roman" w:hAnsi="Calibri" w:cs="Calibri"/>
                <w:kern w:val="0"/>
                <w:sz w:val="20"/>
                <w:szCs w:val="20"/>
                <w:lang w:eastAsia="en-GB"/>
                <w14:ligatures w14:val="none"/>
              </w:rPr>
              <w:t>pre sorted</w:t>
            </w:r>
            <w:proofErr w:type="spellEnd"/>
            <w:r w:rsidRPr="003D1BBB">
              <w:rPr>
                <w:rFonts w:ascii="Calibri" w:eastAsia="Times New Roman" w:hAnsi="Calibri" w:cs="Calibri"/>
                <w:kern w:val="0"/>
                <w:sz w:val="20"/>
                <w:szCs w:val="20"/>
                <w:lang w:eastAsia="en-GB"/>
                <w14:ligatures w14:val="none"/>
              </w:rPr>
              <w:t xml:space="preserve"> and segregated by reported chemistry and thickness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0AFC14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1956AB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0C2C171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Define a standard reheat parameter process which related to specific grades and slab families, such as chemistry, thickness and supplier history</w:t>
            </w:r>
          </w:p>
        </w:tc>
        <w:tc>
          <w:tcPr>
            <w:tcW w:w="528" w:type="pct"/>
            <w:tcBorders>
              <w:top w:val="nil"/>
              <w:left w:val="nil"/>
              <w:bottom w:val="single" w:sz="4" w:space="0" w:color="auto"/>
              <w:right w:val="single" w:sz="4" w:space="0" w:color="auto"/>
            </w:tcBorders>
            <w:vAlign w:val="center"/>
            <w:hideMark/>
          </w:tcPr>
          <w:p w14:paraId="127DE71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0316C66E"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ED02901" w14:textId="77777777" w:rsidTr="00AA4D71">
        <w:trPr>
          <w:trHeight w:val="780"/>
        </w:trPr>
        <w:tc>
          <w:tcPr>
            <w:tcW w:w="209" w:type="pct"/>
            <w:tcBorders>
              <w:top w:val="nil"/>
              <w:left w:val="nil"/>
              <w:bottom w:val="nil"/>
              <w:right w:val="nil"/>
            </w:tcBorders>
            <w:noWrap/>
            <w:vAlign w:val="center"/>
            <w:hideMark/>
          </w:tcPr>
          <w:p w14:paraId="432847B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7B52F56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nil"/>
              <w:right w:val="single" w:sz="4" w:space="0" w:color="auto"/>
            </w:tcBorders>
            <w:vAlign w:val="center"/>
            <w:hideMark/>
          </w:tcPr>
          <w:p w14:paraId="389DD27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19A06C9D"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A7371CB"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79E1396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Manual scheduling that mixes incompatible slabs to meet throughput targets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064419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31362789"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Regular meetings between scheduling and mill operations take place to achieve the most efficient route to roll slabs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597842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0B53CF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63F061B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further tracking into furnace efficiency metrics by batch type and adjust scheduling parameters to reduce number of changeovers</w:t>
            </w:r>
          </w:p>
        </w:tc>
        <w:tc>
          <w:tcPr>
            <w:tcW w:w="528" w:type="pct"/>
            <w:tcBorders>
              <w:top w:val="nil"/>
              <w:left w:val="nil"/>
              <w:bottom w:val="single" w:sz="4" w:space="0" w:color="auto"/>
              <w:right w:val="single" w:sz="4" w:space="0" w:color="auto"/>
            </w:tcBorders>
            <w:vAlign w:val="center"/>
            <w:hideMark/>
          </w:tcPr>
          <w:p w14:paraId="17E173B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Mill production team</w:t>
            </w:r>
          </w:p>
        </w:tc>
        <w:tc>
          <w:tcPr>
            <w:tcW w:w="85" w:type="pct"/>
            <w:vAlign w:val="center"/>
            <w:hideMark/>
          </w:tcPr>
          <w:p w14:paraId="3F21CD5C"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02F03168" w14:textId="77777777" w:rsidTr="00AA4D71">
        <w:trPr>
          <w:trHeight w:val="520"/>
        </w:trPr>
        <w:tc>
          <w:tcPr>
            <w:tcW w:w="209" w:type="pct"/>
            <w:tcBorders>
              <w:top w:val="nil"/>
              <w:left w:val="nil"/>
              <w:bottom w:val="nil"/>
              <w:right w:val="nil"/>
            </w:tcBorders>
            <w:noWrap/>
            <w:vAlign w:val="center"/>
            <w:hideMark/>
          </w:tcPr>
          <w:p w14:paraId="62C1B20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3BD785E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val="restart"/>
            <w:tcBorders>
              <w:top w:val="single" w:sz="4" w:space="0" w:color="auto"/>
              <w:left w:val="single" w:sz="4" w:space="0" w:color="auto"/>
              <w:bottom w:val="single" w:sz="4" w:space="0" w:color="auto"/>
              <w:right w:val="single" w:sz="4" w:space="0" w:color="auto"/>
            </w:tcBorders>
            <w:vAlign w:val="center"/>
            <w:hideMark/>
          </w:tcPr>
          <w:p w14:paraId="5638636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Awaiting lab results</w:t>
            </w:r>
          </w:p>
        </w:tc>
        <w:tc>
          <w:tcPr>
            <w:tcW w:w="517" w:type="pct"/>
            <w:vMerge w:val="restart"/>
            <w:tcBorders>
              <w:top w:val="nil"/>
              <w:left w:val="single" w:sz="4" w:space="0" w:color="auto"/>
              <w:bottom w:val="single" w:sz="4" w:space="0" w:color="000000"/>
              <w:right w:val="single" w:sz="4" w:space="0" w:color="auto"/>
            </w:tcBorders>
            <w:vAlign w:val="center"/>
            <w:hideMark/>
          </w:tcPr>
          <w:p w14:paraId="4C495B2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Delay of rolling imported slab</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3539C12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7</w:t>
            </w:r>
          </w:p>
        </w:tc>
        <w:tc>
          <w:tcPr>
            <w:tcW w:w="614" w:type="pct"/>
            <w:tcBorders>
              <w:top w:val="nil"/>
              <w:left w:val="nil"/>
              <w:bottom w:val="single" w:sz="4" w:space="0" w:color="auto"/>
              <w:right w:val="single" w:sz="4" w:space="0" w:color="auto"/>
            </w:tcBorders>
            <w:vAlign w:val="center"/>
            <w:hideMark/>
          </w:tcPr>
          <w:p w14:paraId="03B2D50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Lab results do not match supplier certification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EA400D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74C0AC3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Lab follows ISO standards and SWP's with </w:t>
            </w:r>
            <w:proofErr w:type="gramStart"/>
            <w:r w:rsidRPr="003D1BBB">
              <w:rPr>
                <w:rFonts w:ascii="Calibri" w:eastAsia="Times New Roman" w:hAnsi="Calibri" w:cs="Calibri"/>
                <w:kern w:val="0"/>
                <w:sz w:val="20"/>
                <w:szCs w:val="20"/>
                <w:lang w:eastAsia="en-GB"/>
                <w14:ligatures w14:val="none"/>
              </w:rPr>
              <w:t>up to date</w:t>
            </w:r>
            <w:proofErr w:type="gramEnd"/>
            <w:r w:rsidRPr="003D1BBB">
              <w:rPr>
                <w:rFonts w:ascii="Calibri" w:eastAsia="Times New Roman" w:hAnsi="Calibri" w:cs="Calibri"/>
                <w:kern w:val="0"/>
                <w:sz w:val="20"/>
                <w:szCs w:val="20"/>
                <w:lang w:eastAsia="en-GB"/>
                <w14:ligatures w14:val="none"/>
              </w:rPr>
              <w:t xml:space="preserve"> calibration records </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1E9AB24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FB6764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05E57BB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a hold and release policy, slab does not feed to furnace until inbound verification is complete</w:t>
            </w:r>
          </w:p>
        </w:tc>
        <w:tc>
          <w:tcPr>
            <w:tcW w:w="528" w:type="pct"/>
            <w:tcBorders>
              <w:top w:val="nil"/>
              <w:left w:val="nil"/>
              <w:bottom w:val="single" w:sz="4" w:space="0" w:color="auto"/>
              <w:right w:val="single" w:sz="4" w:space="0" w:color="auto"/>
            </w:tcBorders>
            <w:vAlign w:val="center"/>
            <w:hideMark/>
          </w:tcPr>
          <w:p w14:paraId="4FC8964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w:t>
            </w:r>
          </w:p>
        </w:tc>
        <w:tc>
          <w:tcPr>
            <w:tcW w:w="85" w:type="pct"/>
            <w:vAlign w:val="center"/>
            <w:hideMark/>
          </w:tcPr>
          <w:p w14:paraId="5D3986AB"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C092D52" w14:textId="77777777" w:rsidTr="00AA4D71">
        <w:trPr>
          <w:trHeight w:val="780"/>
        </w:trPr>
        <w:tc>
          <w:tcPr>
            <w:tcW w:w="209" w:type="pct"/>
            <w:tcBorders>
              <w:top w:val="nil"/>
              <w:left w:val="nil"/>
              <w:bottom w:val="nil"/>
              <w:right w:val="nil"/>
            </w:tcBorders>
            <w:noWrap/>
            <w:vAlign w:val="center"/>
            <w:hideMark/>
          </w:tcPr>
          <w:p w14:paraId="53A409B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5716A93F"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1B67C3F5"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76D56152"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73038664"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6947910D"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Laboratory error, calibration drift on analyser</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994A11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55F616B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Lab equipment maintained on a frequent basis, with all calibration records </w:t>
            </w:r>
            <w:r w:rsidRPr="003D1BBB">
              <w:rPr>
                <w:rFonts w:ascii="Calibri" w:eastAsia="Times New Roman" w:hAnsi="Calibri" w:cs="Calibri"/>
                <w:kern w:val="0"/>
                <w:sz w:val="20"/>
                <w:szCs w:val="20"/>
                <w:lang w:eastAsia="en-GB"/>
                <w14:ligatures w14:val="none"/>
              </w:rPr>
              <w:lastRenderedPageBreak/>
              <w:t>stored for future reference</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CD1B55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5</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74274636"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175</w:t>
            </w:r>
          </w:p>
        </w:tc>
        <w:tc>
          <w:tcPr>
            <w:tcW w:w="646" w:type="pct"/>
            <w:tcBorders>
              <w:top w:val="nil"/>
              <w:left w:val="nil"/>
              <w:bottom w:val="single" w:sz="4" w:space="0" w:color="auto"/>
              <w:right w:val="single" w:sz="4" w:space="0" w:color="auto"/>
            </w:tcBorders>
            <w:vAlign w:val="center"/>
            <w:hideMark/>
          </w:tcPr>
          <w:p w14:paraId="21BD83E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 xml:space="preserve">Introduce </w:t>
            </w:r>
            <w:proofErr w:type="spellStart"/>
            <w:proofErr w:type="gramStart"/>
            <w:r w:rsidRPr="003D1BBB">
              <w:rPr>
                <w:rFonts w:ascii="Calibri" w:eastAsia="Times New Roman" w:hAnsi="Calibri" w:cs="Calibri"/>
                <w:kern w:val="0"/>
                <w:sz w:val="20"/>
                <w:szCs w:val="20"/>
                <w:lang w:eastAsia="en-GB"/>
                <w14:ligatures w14:val="none"/>
              </w:rPr>
              <w:t>a</w:t>
            </w:r>
            <w:proofErr w:type="spellEnd"/>
            <w:proofErr w:type="gramEnd"/>
            <w:r w:rsidRPr="003D1BBB">
              <w:rPr>
                <w:rFonts w:ascii="Calibri" w:eastAsia="Times New Roman" w:hAnsi="Calibri" w:cs="Calibri"/>
                <w:kern w:val="0"/>
                <w:sz w:val="20"/>
                <w:szCs w:val="20"/>
                <w:lang w:eastAsia="en-GB"/>
                <w14:ligatures w14:val="none"/>
              </w:rPr>
              <w:t xml:space="preserve"> expedited testing protocol, analyse the chemistry of incoming slab via </w:t>
            </w:r>
            <w:r w:rsidRPr="003D1BBB">
              <w:rPr>
                <w:rFonts w:ascii="Calibri" w:eastAsia="Times New Roman" w:hAnsi="Calibri" w:cs="Calibri"/>
                <w:kern w:val="0"/>
                <w:sz w:val="20"/>
                <w:szCs w:val="20"/>
                <w:lang w:eastAsia="en-GB"/>
                <w14:ligatures w14:val="none"/>
              </w:rPr>
              <w:lastRenderedPageBreak/>
              <w:t>Optical emission spectroscopy to ensure the slab is the correct grade</w:t>
            </w:r>
          </w:p>
        </w:tc>
        <w:tc>
          <w:tcPr>
            <w:tcW w:w="528" w:type="pct"/>
            <w:tcBorders>
              <w:top w:val="nil"/>
              <w:left w:val="nil"/>
              <w:bottom w:val="single" w:sz="4" w:space="0" w:color="auto"/>
              <w:right w:val="single" w:sz="4" w:space="0" w:color="auto"/>
            </w:tcBorders>
            <w:vAlign w:val="center"/>
            <w:hideMark/>
          </w:tcPr>
          <w:p w14:paraId="7E78DE6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lastRenderedPageBreak/>
              <w:t>Port talbot technical, mill production team</w:t>
            </w:r>
          </w:p>
        </w:tc>
        <w:tc>
          <w:tcPr>
            <w:tcW w:w="85" w:type="pct"/>
            <w:vAlign w:val="center"/>
            <w:hideMark/>
          </w:tcPr>
          <w:p w14:paraId="7DF8C777"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4138FE5C" w14:textId="77777777" w:rsidTr="00AA4D71">
        <w:trPr>
          <w:trHeight w:val="1300"/>
        </w:trPr>
        <w:tc>
          <w:tcPr>
            <w:tcW w:w="209" w:type="pct"/>
            <w:tcBorders>
              <w:top w:val="nil"/>
              <w:left w:val="nil"/>
              <w:bottom w:val="nil"/>
              <w:right w:val="nil"/>
            </w:tcBorders>
            <w:noWrap/>
            <w:vAlign w:val="center"/>
            <w:hideMark/>
          </w:tcPr>
          <w:p w14:paraId="171C7DD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3B13FC17"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08BAE28A"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val="restart"/>
            <w:tcBorders>
              <w:top w:val="nil"/>
              <w:left w:val="single" w:sz="4" w:space="0" w:color="auto"/>
              <w:bottom w:val="single" w:sz="4" w:space="0" w:color="000000"/>
              <w:right w:val="single" w:sz="4" w:space="0" w:color="auto"/>
            </w:tcBorders>
            <w:vAlign w:val="center"/>
            <w:hideMark/>
          </w:tcPr>
          <w:p w14:paraId="049175FE"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Rolling at a loss due to incorrect grade</w:t>
            </w:r>
          </w:p>
        </w:tc>
        <w:tc>
          <w:tcPr>
            <w:tcW w:w="161" w:type="pct"/>
            <w:vMerge w:val="restart"/>
            <w:tcBorders>
              <w:top w:val="single" w:sz="4" w:space="0" w:color="auto"/>
              <w:left w:val="single" w:sz="4" w:space="0" w:color="auto"/>
              <w:bottom w:val="nil"/>
              <w:right w:val="single" w:sz="4" w:space="0" w:color="auto"/>
            </w:tcBorders>
            <w:shd w:val="clear" w:color="000000" w:fill="FFC000"/>
            <w:vAlign w:val="center"/>
            <w:hideMark/>
          </w:tcPr>
          <w:p w14:paraId="5B684B0B"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8</w:t>
            </w:r>
          </w:p>
        </w:tc>
        <w:tc>
          <w:tcPr>
            <w:tcW w:w="614" w:type="pct"/>
            <w:tcBorders>
              <w:top w:val="nil"/>
              <w:left w:val="nil"/>
              <w:bottom w:val="single" w:sz="4" w:space="0" w:color="auto"/>
              <w:right w:val="single" w:sz="4" w:space="0" w:color="auto"/>
            </w:tcBorders>
            <w:vAlign w:val="center"/>
            <w:hideMark/>
          </w:tcPr>
          <w:p w14:paraId="4B13C08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Mill certificate holds incorrect results (Tensile/hardness values)</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FCF067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710" w:type="pct"/>
            <w:tcBorders>
              <w:top w:val="nil"/>
              <w:left w:val="nil"/>
              <w:bottom w:val="single" w:sz="4" w:space="0" w:color="auto"/>
              <w:right w:val="single" w:sz="4" w:space="0" w:color="auto"/>
            </w:tcBorders>
            <w:vAlign w:val="center"/>
            <w:hideMark/>
          </w:tcPr>
          <w:p w14:paraId="5436E46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Mechanical test data is retained with reference to the slab ID's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8E45A71"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5</w:t>
            </w:r>
          </w:p>
        </w:tc>
        <w:tc>
          <w:tcPr>
            <w:tcW w:w="22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4B6E8EE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200</w:t>
            </w:r>
          </w:p>
        </w:tc>
        <w:tc>
          <w:tcPr>
            <w:tcW w:w="646" w:type="pct"/>
            <w:tcBorders>
              <w:top w:val="nil"/>
              <w:left w:val="nil"/>
              <w:bottom w:val="single" w:sz="4" w:space="0" w:color="auto"/>
              <w:right w:val="single" w:sz="4" w:space="0" w:color="auto"/>
            </w:tcBorders>
            <w:vAlign w:val="center"/>
            <w:hideMark/>
          </w:tcPr>
          <w:p w14:paraId="6B6CCBF8"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Implement a process which is followed if slabs are below specification, trigger supplier corrective action which may involve compensation</w:t>
            </w:r>
          </w:p>
        </w:tc>
        <w:tc>
          <w:tcPr>
            <w:tcW w:w="528" w:type="pct"/>
            <w:tcBorders>
              <w:top w:val="nil"/>
              <w:left w:val="nil"/>
              <w:bottom w:val="single" w:sz="4" w:space="0" w:color="auto"/>
              <w:right w:val="single" w:sz="4" w:space="0" w:color="auto"/>
            </w:tcBorders>
            <w:vAlign w:val="center"/>
            <w:hideMark/>
          </w:tcPr>
          <w:p w14:paraId="47D9CEB2"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Procurement, Port Talbot Technical Team, Compliance department &amp; Supplier</w:t>
            </w:r>
          </w:p>
        </w:tc>
        <w:tc>
          <w:tcPr>
            <w:tcW w:w="85" w:type="pct"/>
            <w:vAlign w:val="center"/>
            <w:hideMark/>
          </w:tcPr>
          <w:p w14:paraId="09DB6832" w14:textId="77777777" w:rsidR="002D5C82" w:rsidRPr="003D1BBB" w:rsidRDefault="002D5C82" w:rsidP="00AA4D71">
            <w:pPr>
              <w:spacing w:after="0" w:line="240" w:lineRule="auto"/>
              <w:rPr>
                <w:rFonts w:ascii="Times New Roman" w:eastAsia="Times New Roman" w:hAnsi="Times New Roman" w:cs="Times New Roman"/>
                <w:kern w:val="0"/>
                <w:sz w:val="20"/>
                <w:szCs w:val="20"/>
                <w:lang w:eastAsia="en-GB"/>
                <w14:ligatures w14:val="none"/>
              </w:rPr>
            </w:pPr>
          </w:p>
        </w:tc>
      </w:tr>
      <w:tr w:rsidR="002D5C82" w:rsidRPr="003D1BBB" w14:paraId="5AF2999F" w14:textId="77777777" w:rsidTr="00AA4D71">
        <w:trPr>
          <w:trHeight w:val="1040"/>
        </w:trPr>
        <w:tc>
          <w:tcPr>
            <w:tcW w:w="209" w:type="pct"/>
            <w:tcBorders>
              <w:top w:val="nil"/>
              <w:left w:val="nil"/>
              <w:bottom w:val="nil"/>
              <w:right w:val="nil"/>
            </w:tcBorders>
            <w:noWrap/>
            <w:vAlign w:val="center"/>
            <w:hideMark/>
          </w:tcPr>
          <w:p w14:paraId="4282F21A"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p>
        </w:tc>
        <w:tc>
          <w:tcPr>
            <w:tcW w:w="433" w:type="pct"/>
            <w:vMerge/>
            <w:tcBorders>
              <w:top w:val="nil"/>
              <w:left w:val="single" w:sz="4" w:space="0" w:color="auto"/>
              <w:bottom w:val="single" w:sz="4" w:space="0" w:color="000000"/>
              <w:right w:val="single" w:sz="4" w:space="0" w:color="auto"/>
            </w:tcBorders>
            <w:vAlign w:val="center"/>
            <w:hideMark/>
          </w:tcPr>
          <w:p w14:paraId="348EB1C1"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6145F893"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517" w:type="pct"/>
            <w:vMerge/>
            <w:tcBorders>
              <w:top w:val="nil"/>
              <w:left w:val="single" w:sz="4" w:space="0" w:color="auto"/>
              <w:bottom w:val="single" w:sz="4" w:space="0" w:color="000000"/>
              <w:right w:val="single" w:sz="4" w:space="0" w:color="auto"/>
            </w:tcBorders>
            <w:vAlign w:val="center"/>
            <w:hideMark/>
          </w:tcPr>
          <w:p w14:paraId="545E19D6"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161" w:type="pct"/>
            <w:vMerge/>
            <w:tcBorders>
              <w:top w:val="single" w:sz="4" w:space="0" w:color="auto"/>
              <w:left w:val="single" w:sz="4" w:space="0" w:color="auto"/>
              <w:bottom w:val="nil"/>
              <w:right w:val="single" w:sz="4" w:space="0" w:color="auto"/>
            </w:tcBorders>
            <w:vAlign w:val="center"/>
            <w:hideMark/>
          </w:tcPr>
          <w:p w14:paraId="3911F8F0" w14:textId="77777777" w:rsidR="002D5C82" w:rsidRPr="003D1BBB" w:rsidRDefault="002D5C82" w:rsidP="00AA4D71">
            <w:pPr>
              <w:spacing w:after="0" w:line="240" w:lineRule="auto"/>
              <w:rPr>
                <w:rFonts w:ascii="Calibri" w:eastAsia="Times New Roman" w:hAnsi="Calibri" w:cs="Calibri"/>
                <w:kern w:val="0"/>
                <w:sz w:val="20"/>
                <w:szCs w:val="20"/>
                <w:lang w:eastAsia="en-GB"/>
                <w14:ligatures w14:val="none"/>
              </w:rPr>
            </w:pPr>
          </w:p>
        </w:tc>
        <w:tc>
          <w:tcPr>
            <w:tcW w:w="614" w:type="pct"/>
            <w:tcBorders>
              <w:top w:val="nil"/>
              <w:left w:val="nil"/>
              <w:bottom w:val="single" w:sz="4" w:space="0" w:color="auto"/>
              <w:right w:val="single" w:sz="4" w:space="0" w:color="auto"/>
            </w:tcBorders>
            <w:vAlign w:val="center"/>
            <w:hideMark/>
          </w:tcPr>
          <w:p w14:paraId="0187F2F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Downstream parameters not adjusted for actual slab condition</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5781D203"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4</w:t>
            </w:r>
          </w:p>
        </w:tc>
        <w:tc>
          <w:tcPr>
            <w:tcW w:w="710" w:type="pct"/>
            <w:tcBorders>
              <w:top w:val="nil"/>
              <w:left w:val="nil"/>
              <w:bottom w:val="single" w:sz="4" w:space="0" w:color="auto"/>
              <w:right w:val="single" w:sz="4" w:space="0" w:color="auto"/>
            </w:tcBorders>
            <w:vAlign w:val="center"/>
            <w:hideMark/>
          </w:tcPr>
          <w:p w14:paraId="2A62B1D5"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Mill parameters standardised for specific grades</w:t>
            </w:r>
          </w:p>
        </w:tc>
        <w:tc>
          <w:tcPr>
            <w:tcW w:w="16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74CF72C"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6</w:t>
            </w:r>
          </w:p>
        </w:tc>
        <w:tc>
          <w:tcPr>
            <w:tcW w:w="22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4EB30EB4"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192</w:t>
            </w:r>
          </w:p>
        </w:tc>
        <w:tc>
          <w:tcPr>
            <w:tcW w:w="646" w:type="pct"/>
            <w:tcBorders>
              <w:top w:val="nil"/>
              <w:left w:val="nil"/>
              <w:bottom w:val="single" w:sz="4" w:space="0" w:color="auto"/>
              <w:right w:val="single" w:sz="4" w:space="0" w:color="auto"/>
            </w:tcBorders>
            <w:vAlign w:val="center"/>
            <w:hideMark/>
          </w:tcPr>
          <w:p w14:paraId="4647E050"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Update process control to feed inbound mechanical test results automatically into the mill control system so rolling parameters adapt in real time. Log incidents and revise supplier acceptance criteria as needed.</w:t>
            </w:r>
          </w:p>
        </w:tc>
        <w:tc>
          <w:tcPr>
            <w:tcW w:w="528" w:type="pct"/>
            <w:tcBorders>
              <w:top w:val="nil"/>
              <w:left w:val="nil"/>
              <w:bottom w:val="single" w:sz="4" w:space="0" w:color="auto"/>
              <w:right w:val="single" w:sz="4" w:space="0" w:color="auto"/>
            </w:tcBorders>
            <w:vAlign w:val="center"/>
            <w:hideMark/>
          </w:tcPr>
          <w:p w14:paraId="4E753D7F" w14:textId="77777777" w:rsidR="002D5C82" w:rsidRPr="003D1BBB" w:rsidRDefault="002D5C82" w:rsidP="00AA4D71">
            <w:pPr>
              <w:spacing w:after="0" w:line="240" w:lineRule="auto"/>
              <w:jc w:val="center"/>
              <w:rPr>
                <w:rFonts w:ascii="Calibri" w:eastAsia="Times New Roman" w:hAnsi="Calibri" w:cs="Calibri"/>
                <w:kern w:val="0"/>
                <w:sz w:val="20"/>
                <w:szCs w:val="20"/>
                <w:lang w:eastAsia="en-GB"/>
                <w14:ligatures w14:val="none"/>
              </w:rPr>
            </w:pPr>
            <w:r w:rsidRPr="003D1BBB">
              <w:rPr>
                <w:rFonts w:ascii="Calibri" w:eastAsia="Times New Roman" w:hAnsi="Calibri" w:cs="Calibri"/>
                <w:kern w:val="0"/>
                <w:sz w:val="20"/>
                <w:szCs w:val="20"/>
                <w:lang w:eastAsia="en-GB"/>
                <w14:ligatures w14:val="none"/>
              </w:rPr>
              <w:t>Port talbot technical, mill production team &amp; IT Services</w:t>
            </w:r>
          </w:p>
        </w:tc>
        <w:tc>
          <w:tcPr>
            <w:tcW w:w="85" w:type="pct"/>
            <w:vAlign w:val="center"/>
            <w:hideMark/>
          </w:tcPr>
          <w:p w14:paraId="02C50237" w14:textId="77777777" w:rsidR="002D5C82" w:rsidRPr="003D1BBB" w:rsidRDefault="002D5C82" w:rsidP="002D5C82">
            <w:pPr>
              <w:keepNext/>
              <w:spacing w:after="0" w:line="240" w:lineRule="auto"/>
              <w:rPr>
                <w:rFonts w:ascii="Times New Roman" w:eastAsia="Times New Roman" w:hAnsi="Times New Roman" w:cs="Times New Roman"/>
                <w:kern w:val="0"/>
                <w:sz w:val="20"/>
                <w:szCs w:val="20"/>
                <w:lang w:eastAsia="en-GB"/>
                <w14:ligatures w14:val="none"/>
              </w:rPr>
            </w:pPr>
          </w:p>
        </w:tc>
      </w:tr>
    </w:tbl>
    <w:p w14:paraId="0D8B9F3A" w14:textId="5F11AE89" w:rsidR="00207F00" w:rsidRDefault="002D5C82" w:rsidP="002D5C82">
      <w:pPr>
        <w:pStyle w:val="Caption"/>
        <w:rPr>
          <w:rFonts w:cstheme="minorHAnsi"/>
          <w:bCs/>
          <w:sz w:val="24"/>
          <w:szCs w:val="24"/>
          <w:u w:val="single"/>
        </w:rPr>
      </w:pPr>
      <w:bookmarkStart w:id="13" w:name="_Toc214299333"/>
      <w:r>
        <w:t xml:space="preserve">Table </w:t>
      </w:r>
      <w:fldSimple w:instr=" SEQ Table \* ARABIC ">
        <w:r w:rsidR="000A7B00">
          <w:rPr>
            <w:noProof/>
          </w:rPr>
          <w:t>1</w:t>
        </w:r>
      </w:fldSimple>
      <w:r>
        <w:t xml:space="preserve"> - Failure Mode &amp; Effects Analysis on Imported Slab</w:t>
      </w:r>
      <w:bookmarkEnd w:id="13"/>
    </w:p>
    <w:p w14:paraId="76603BED" w14:textId="77777777" w:rsidR="00207F00" w:rsidRDefault="00207F00" w:rsidP="005E5F18">
      <w:pPr>
        <w:jc w:val="both"/>
        <w:rPr>
          <w:rFonts w:cstheme="minorHAnsi"/>
          <w:bCs/>
          <w:sz w:val="24"/>
          <w:szCs w:val="24"/>
          <w:u w:val="single"/>
        </w:rPr>
      </w:pPr>
    </w:p>
    <w:p w14:paraId="2F5CBA84" w14:textId="77777777" w:rsidR="00207F00" w:rsidRDefault="00207F00" w:rsidP="005E5F18">
      <w:pPr>
        <w:jc w:val="both"/>
        <w:rPr>
          <w:rFonts w:cstheme="minorHAnsi"/>
          <w:bCs/>
          <w:sz w:val="24"/>
          <w:szCs w:val="24"/>
          <w:u w:val="single"/>
        </w:rPr>
      </w:pPr>
    </w:p>
    <w:p w14:paraId="56A7C890" w14:textId="77777777" w:rsidR="00FA06D2" w:rsidRDefault="00FA06D2" w:rsidP="005E5F18">
      <w:pPr>
        <w:jc w:val="both"/>
        <w:rPr>
          <w:rFonts w:cstheme="minorHAnsi"/>
          <w:bCs/>
          <w:sz w:val="24"/>
          <w:szCs w:val="24"/>
          <w:u w:val="single"/>
        </w:rPr>
        <w:sectPr w:rsidR="00FA06D2" w:rsidSect="00947C79">
          <w:pgSz w:w="16838" w:h="11906" w:orient="landscape"/>
          <w:pgMar w:top="1440" w:right="1440" w:bottom="1440" w:left="1440" w:header="720" w:footer="720" w:gutter="0"/>
          <w:cols w:space="720"/>
          <w:docGrid w:linePitch="360"/>
        </w:sectPr>
      </w:pPr>
    </w:p>
    <w:p w14:paraId="7C8BE68B" w14:textId="04D3ECC0" w:rsidR="00EE196C" w:rsidRDefault="002A14C0" w:rsidP="00FC2373">
      <w:pPr>
        <w:pStyle w:val="Heading2"/>
        <w:spacing w:line="360" w:lineRule="auto"/>
      </w:pPr>
      <w:bookmarkStart w:id="14" w:name="_Toc214299351"/>
      <w:r>
        <w:lastRenderedPageBreak/>
        <w:t>3</w:t>
      </w:r>
      <w:r w:rsidR="00827C8D">
        <w:t>.</w:t>
      </w:r>
      <w:r w:rsidR="00936C4E">
        <w:t>3</w:t>
      </w:r>
      <w:r w:rsidR="00827C8D">
        <w:t xml:space="preserve"> </w:t>
      </w:r>
      <w:r w:rsidR="005F6C19" w:rsidRPr="005F6C19">
        <w:t>Severity</w:t>
      </w:r>
      <w:bookmarkEnd w:id="14"/>
    </w:p>
    <w:p w14:paraId="1F6AE53F" w14:textId="770D9381" w:rsidR="002D5C82" w:rsidRPr="002D5C82" w:rsidRDefault="002D5C82" w:rsidP="002D5C82">
      <w:pPr>
        <w:spacing w:line="360" w:lineRule="auto"/>
        <w:jc w:val="both"/>
        <w:rPr>
          <w:rFonts w:cstheme="minorHAnsi"/>
          <w:bCs/>
          <w:sz w:val="24"/>
          <w:szCs w:val="24"/>
        </w:rPr>
      </w:pPr>
      <w:r w:rsidRPr="002D5C82">
        <w:rPr>
          <w:rFonts w:cstheme="minorHAnsi"/>
          <w:bCs/>
          <w:sz w:val="24"/>
          <w:szCs w:val="24"/>
        </w:rPr>
        <w:t xml:space="preserve">Severity is defined as the potential impact of a failure mode on operational performance or customer outcomes. In this analysis, high-severity failures are characterised by substantial disruptions to the supply of steel slabs, which may interrupt production at Port Talbot or negatively affect downstream customers. As shown in table 4, examples such as supplier transport disruptions have the potential to cause significant operational downtime, financial losses, and reputational damage. Severity ratings are allocated on a scale from 1 to 10, with higher values indicating more serious implications for supply continuity, cost efficiency, or product quality, this is shown below in Table </w:t>
      </w:r>
      <w:r>
        <w:rPr>
          <w:rFonts w:cstheme="minorHAnsi"/>
          <w:bCs/>
          <w:sz w:val="24"/>
          <w:szCs w:val="24"/>
        </w:rPr>
        <w:t>2</w:t>
      </w:r>
      <w:r w:rsidRPr="002D5C82">
        <w:rPr>
          <w:rFonts w:cstheme="minorHAnsi"/>
          <w:bCs/>
          <w:sz w:val="24"/>
          <w:szCs w:val="24"/>
        </w:rPr>
        <w:t>.</w:t>
      </w:r>
    </w:p>
    <w:tbl>
      <w:tblPr>
        <w:tblW w:w="8560" w:type="dxa"/>
        <w:tblLook w:val="04A0" w:firstRow="1" w:lastRow="0" w:firstColumn="1" w:lastColumn="0" w:noHBand="0" w:noVBand="1"/>
      </w:tblPr>
      <w:tblGrid>
        <w:gridCol w:w="880"/>
        <w:gridCol w:w="1460"/>
        <w:gridCol w:w="6220"/>
      </w:tblGrid>
      <w:tr w:rsidR="000652BC" w:rsidRPr="000652BC" w14:paraId="2BC9BB1D" w14:textId="77777777" w:rsidTr="000652BC">
        <w:trPr>
          <w:trHeight w:val="300"/>
        </w:trPr>
        <w:tc>
          <w:tcPr>
            <w:tcW w:w="8560" w:type="dxa"/>
            <w:gridSpan w:val="3"/>
            <w:tcBorders>
              <w:top w:val="single" w:sz="8" w:space="0" w:color="auto"/>
              <w:left w:val="single" w:sz="8" w:space="0" w:color="auto"/>
              <w:bottom w:val="single" w:sz="8" w:space="0" w:color="auto"/>
              <w:right w:val="single" w:sz="8" w:space="0" w:color="000000"/>
            </w:tcBorders>
            <w:shd w:val="clear" w:color="000000" w:fill="1F497D"/>
            <w:noWrap/>
            <w:vAlign w:val="center"/>
            <w:hideMark/>
          </w:tcPr>
          <w:p w14:paraId="3E57078E" w14:textId="77777777" w:rsidR="000652BC" w:rsidRPr="000652BC" w:rsidRDefault="000652BC" w:rsidP="000652BC">
            <w:pPr>
              <w:spacing w:after="0" w:line="240" w:lineRule="auto"/>
              <w:jc w:val="center"/>
              <w:rPr>
                <w:rFonts w:ascii="Calibri" w:eastAsia="Times New Roman" w:hAnsi="Calibri" w:cs="Calibri"/>
                <w:b/>
                <w:bCs/>
                <w:color w:val="FFFFFF"/>
                <w:kern w:val="0"/>
                <w:sz w:val="18"/>
                <w:szCs w:val="18"/>
                <w:lang w:eastAsia="en-GB"/>
                <w14:ligatures w14:val="none"/>
              </w:rPr>
            </w:pPr>
            <w:r w:rsidRPr="000652BC">
              <w:rPr>
                <w:rFonts w:ascii="Calibri" w:eastAsia="Times New Roman" w:hAnsi="Calibri" w:cs="Calibri"/>
                <w:b/>
                <w:bCs/>
                <w:color w:val="FFFFFF"/>
                <w:kern w:val="0"/>
                <w:sz w:val="18"/>
                <w:szCs w:val="18"/>
                <w:lang w:eastAsia="en-GB"/>
                <w14:ligatures w14:val="none"/>
              </w:rPr>
              <w:t>Process General Evaluation Criteria Severity (S)</w:t>
            </w:r>
          </w:p>
        </w:tc>
      </w:tr>
      <w:tr w:rsidR="000652BC" w:rsidRPr="000652BC" w14:paraId="13A1B2E2" w14:textId="77777777" w:rsidTr="000652BC">
        <w:trPr>
          <w:trHeight w:val="300"/>
        </w:trPr>
        <w:tc>
          <w:tcPr>
            <w:tcW w:w="880" w:type="dxa"/>
            <w:tcBorders>
              <w:top w:val="nil"/>
              <w:left w:val="single" w:sz="8" w:space="0" w:color="auto"/>
              <w:bottom w:val="nil"/>
              <w:right w:val="nil"/>
            </w:tcBorders>
            <w:shd w:val="clear" w:color="000000" w:fill="4BACC6"/>
            <w:noWrap/>
            <w:vAlign w:val="center"/>
            <w:hideMark/>
          </w:tcPr>
          <w:p w14:paraId="751C09EB" w14:textId="77777777" w:rsidR="000652BC" w:rsidRPr="000652BC" w:rsidRDefault="000652BC" w:rsidP="000652BC">
            <w:pPr>
              <w:spacing w:after="0" w:line="240" w:lineRule="auto"/>
              <w:jc w:val="center"/>
              <w:rPr>
                <w:rFonts w:ascii="Calibri" w:eastAsia="Times New Roman" w:hAnsi="Calibri" w:cs="Calibri"/>
                <w:color w:val="FFFFFF"/>
                <w:kern w:val="0"/>
                <w:sz w:val="18"/>
                <w:szCs w:val="18"/>
                <w:lang w:eastAsia="en-GB"/>
                <w14:ligatures w14:val="none"/>
              </w:rPr>
            </w:pPr>
            <w:r w:rsidRPr="000652BC">
              <w:rPr>
                <w:rFonts w:ascii="Calibri" w:eastAsia="Times New Roman" w:hAnsi="Calibri" w:cs="Calibri"/>
                <w:color w:val="FFFFFF"/>
                <w:kern w:val="0"/>
                <w:sz w:val="18"/>
                <w:szCs w:val="18"/>
                <w:lang w:eastAsia="en-GB"/>
                <w14:ligatures w14:val="none"/>
              </w:rPr>
              <w:t>S</w:t>
            </w:r>
          </w:p>
        </w:tc>
        <w:tc>
          <w:tcPr>
            <w:tcW w:w="1460" w:type="dxa"/>
            <w:tcBorders>
              <w:top w:val="nil"/>
              <w:left w:val="single" w:sz="8" w:space="0" w:color="auto"/>
              <w:bottom w:val="nil"/>
              <w:right w:val="single" w:sz="8" w:space="0" w:color="auto"/>
            </w:tcBorders>
            <w:shd w:val="clear" w:color="000000" w:fill="4BACC6"/>
            <w:noWrap/>
            <w:vAlign w:val="center"/>
            <w:hideMark/>
          </w:tcPr>
          <w:p w14:paraId="4FB57A06" w14:textId="77777777" w:rsidR="000652BC" w:rsidRPr="000652BC" w:rsidRDefault="000652BC" w:rsidP="000652BC">
            <w:pPr>
              <w:spacing w:after="0" w:line="240" w:lineRule="auto"/>
              <w:jc w:val="center"/>
              <w:rPr>
                <w:rFonts w:ascii="Calibri" w:eastAsia="Times New Roman" w:hAnsi="Calibri" w:cs="Calibri"/>
                <w:color w:val="FFFFFF"/>
                <w:kern w:val="0"/>
                <w:sz w:val="18"/>
                <w:szCs w:val="18"/>
                <w:lang w:eastAsia="en-GB"/>
                <w14:ligatures w14:val="none"/>
              </w:rPr>
            </w:pPr>
            <w:r w:rsidRPr="000652BC">
              <w:rPr>
                <w:rFonts w:ascii="Calibri" w:eastAsia="Times New Roman" w:hAnsi="Calibri" w:cs="Calibri"/>
                <w:color w:val="FFFFFF"/>
                <w:kern w:val="0"/>
                <w:sz w:val="18"/>
                <w:szCs w:val="18"/>
                <w:lang w:eastAsia="en-GB"/>
                <w14:ligatures w14:val="none"/>
              </w:rPr>
              <w:t>Effect</w:t>
            </w:r>
          </w:p>
        </w:tc>
        <w:tc>
          <w:tcPr>
            <w:tcW w:w="6220" w:type="dxa"/>
            <w:tcBorders>
              <w:top w:val="nil"/>
              <w:left w:val="nil"/>
              <w:bottom w:val="nil"/>
              <w:right w:val="single" w:sz="8" w:space="0" w:color="auto"/>
            </w:tcBorders>
            <w:shd w:val="clear" w:color="000000" w:fill="4BACC6"/>
            <w:vAlign w:val="center"/>
            <w:hideMark/>
          </w:tcPr>
          <w:p w14:paraId="0017298D" w14:textId="77777777" w:rsidR="000652BC" w:rsidRPr="000652BC" w:rsidRDefault="000652BC" w:rsidP="000652BC">
            <w:pPr>
              <w:spacing w:after="0" w:line="240" w:lineRule="auto"/>
              <w:jc w:val="center"/>
              <w:rPr>
                <w:rFonts w:ascii="Calibri" w:eastAsia="Times New Roman" w:hAnsi="Calibri" w:cs="Calibri"/>
                <w:color w:val="FFFFFF"/>
                <w:kern w:val="0"/>
                <w:sz w:val="18"/>
                <w:szCs w:val="18"/>
                <w:lang w:eastAsia="en-GB"/>
                <w14:ligatures w14:val="none"/>
              </w:rPr>
            </w:pPr>
            <w:r w:rsidRPr="000652BC">
              <w:rPr>
                <w:rFonts w:ascii="Calibri" w:eastAsia="Times New Roman" w:hAnsi="Calibri" w:cs="Calibri"/>
                <w:color w:val="FFFFFF"/>
                <w:kern w:val="0"/>
                <w:sz w:val="18"/>
                <w:szCs w:val="18"/>
                <w:lang w:eastAsia="en-GB"/>
                <w14:ligatures w14:val="none"/>
              </w:rPr>
              <w:t>Impact to Supply Chain</w:t>
            </w:r>
          </w:p>
        </w:tc>
      </w:tr>
      <w:tr w:rsidR="000652BC" w:rsidRPr="000652BC" w14:paraId="37678B03" w14:textId="77777777" w:rsidTr="000652BC">
        <w:trPr>
          <w:trHeight w:val="900"/>
        </w:trPr>
        <w:tc>
          <w:tcPr>
            <w:tcW w:w="880" w:type="dxa"/>
            <w:tcBorders>
              <w:top w:val="single" w:sz="8" w:space="0" w:color="auto"/>
              <w:left w:val="single" w:sz="8" w:space="0" w:color="auto"/>
              <w:bottom w:val="single" w:sz="4" w:space="0" w:color="auto"/>
              <w:right w:val="single" w:sz="4" w:space="0" w:color="auto"/>
            </w:tcBorders>
            <w:shd w:val="clear" w:color="000000" w:fill="FF0000"/>
            <w:vAlign w:val="center"/>
            <w:hideMark/>
          </w:tcPr>
          <w:p w14:paraId="3D584578"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10</w:t>
            </w:r>
          </w:p>
        </w:tc>
        <w:tc>
          <w:tcPr>
            <w:tcW w:w="1460" w:type="dxa"/>
            <w:vMerge w:val="restart"/>
            <w:tcBorders>
              <w:top w:val="single" w:sz="8" w:space="0" w:color="auto"/>
              <w:left w:val="single" w:sz="4" w:space="0" w:color="auto"/>
              <w:bottom w:val="single" w:sz="8" w:space="0" w:color="000000"/>
              <w:right w:val="nil"/>
            </w:tcBorders>
            <w:shd w:val="clear" w:color="000000" w:fill="FF0000"/>
            <w:vAlign w:val="center"/>
            <w:hideMark/>
          </w:tcPr>
          <w:p w14:paraId="7E6DEB05"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High</w:t>
            </w:r>
          </w:p>
        </w:tc>
        <w:tc>
          <w:tcPr>
            <w:tcW w:w="6220" w:type="dxa"/>
            <w:vMerge w:val="restart"/>
            <w:tcBorders>
              <w:top w:val="single" w:sz="4" w:space="0" w:color="auto"/>
              <w:left w:val="single" w:sz="4" w:space="0" w:color="auto"/>
              <w:bottom w:val="single" w:sz="8" w:space="0" w:color="000000"/>
              <w:right w:val="single" w:sz="8" w:space="0" w:color="auto"/>
            </w:tcBorders>
            <w:shd w:val="clear" w:color="000000" w:fill="FFB5A3"/>
            <w:vAlign w:val="center"/>
            <w:hideMark/>
          </w:tcPr>
          <w:p w14:paraId="59DE120E" w14:textId="77777777" w:rsidR="000652BC" w:rsidRPr="000652BC" w:rsidRDefault="000652BC" w:rsidP="000652BC">
            <w:pPr>
              <w:spacing w:after="0" w:line="240" w:lineRule="auto"/>
              <w:jc w:val="center"/>
              <w:rPr>
                <w:rFonts w:ascii="Calibri" w:eastAsia="Times New Roman" w:hAnsi="Calibri" w:cs="Calibri"/>
                <w:kern w:val="0"/>
                <w:sz w:val="18"/>
                <w:szCs w:val="18"/>
                <w:lang w:eastAsia="en-GB"/>
                <w14:ligatures w14:val="none"/>
              </w:rPr>
            </w:pPr>
            <w:r w:rsidRPr="002D5C82">
              <w:rPr>
                <w:rFonts w:ascii="Calibri" w:eastAsia="Times New Roman" w:hAnsi="Calibri" w:cs="Calibri"/>
                <w:kern w:val="0"/>
                <w:sz w:val="18"/>
                <w:szCs w:val="18"/>
                <w:lang w:eastAsia="en-GB"/>
                <w14:ligatures w14:val="none"/>
              </w:rPr>
              <w:t>The disruption causes a full shutdown of a critical function or the entire supply chain, leading to major financial loss, reputational damage, regulatory penalties, and possible risks to worker health and safety.</w:t>
            </w:r>
          </w:p>
        </w:tc>
      </w:tr>
      <w:tr w:rsidR="000652BC" w:rsidRPr="000652BC" w14:paraId="2952D08F" w14:textId="77777777" w:rsidTr="000652BC">
        <w:trPr>
          <w:trHeight w:val="465"/>
        </w:trPr>
        <w:tc>
          <w:tcPr>
            <w:tcW w:w="880" w:type="dxa"/>
            <w:tcBorders>
              <w:top w:val="nil"/>
              <w:left w:val="single" w:sz="8" w:space="0" w:color="auto"/>
              <w:bottom w:val="single" w:sz="8" w:space="0" w:color="auto"/>
              <w:right w:val="single" w:sz="4" w:space="0" w:color="auto"/>
            </w:tcBorders>
            <w:shd w:val="clear" w:color="000000" w:fill="FF0000"/>
            <w:vAlign w:val="center"/>
            <w:hideMark/>
          </w:tcPr>
          <w:p w14:paraId="1A4CC975"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9</w:t>
            </w:r>
          </w:p>
        </w:tc>
        <w:tc>
          <w:tcPr>
            <w:tcW w:w="1460" w:type="dxa"/>
            <w:vMerge/>
            <w:tcBorders>
              <w:top w:val="single" w:sz="8" w:space="0" w:color="auto"/>
              <w:left w:val="single" w:sz="4" w:space="0" w:color="auto"/>
              <w:bottom w:val="single" w:sz="8" w:space="0" w:color="000000"/>
              <w:right w:val="nil"/>
            </w:tcBorders>
            <w:vAlign w:val="center"/>
            <w:hideMark/>
          </w:tcPr>
          <w:p w14:paraId="0ED95F67" w14:textId="77777777" w:rsidR="000652BC" w:rsidRPr="00DB5B58" w:rsidRDefault="000652BC" w:rsidP="000652BC">
            <w:pPr>
              <w:spacing w:after="0" w:line="240" w:lineRule="auto"/>
              <w:rPr>
                <w:rFonts w:ascii="Calibri" w:eastAsia="Times New Roman" w:hAnsi="Calibri" w:cs="Calibri"/>
                <w:b/>
                <w:bCs/>
                <w:color w:val="000000"/>
                <w:kern w:val="0"/>
                <w:sz w:val="18"/>
                <w:szCs w:val="18"/>
                <w:lang w:eastAsia="en-GB"/>
                <w14:ligatures w14:val="none"/>
              </w:rPr>
            </w:pPr>
          </w:p>
        </w:tc>
        <w:tc>
          <w:tcPr>
            <w:tcW w:w="6220" w:type="dxa"/>
            <w:vMerge/>
            <w:tcBorders>
              <w:top w:val="single" w:sz="4" w:space="0" w:color="auto"/>
              <w:left w:val="single" w:sz="4" w:space="0" w:color="auto"/>
              <w:bottom w:val="single" w:sz="8" w:space="0" w:color="000000"/>
              <w:right w:val="single" w:sz="8" w:space="0" w:color="auto"/>
            </w:tcBorders>
            <w:vAlign w:val="center"/>
            <w:hideMark/>
          </w:tcPr>
          <w:p w14:paraId="442DBA59" w14:textId="77777777" w:rsidR="000652BC" w:rsidRPr="000652BC" w:rsidRDefault="000652BC" w:rsidP="000652BC">
            <w:pPr>
              <w:spacing w:after="0" w:line="240" w:lineRule="auto"/>
              <w:rPr>
                <w:rFonts w:ascii="Calibri" w:eastAsia="Times New Roman" w:hAnsi="Calibri" w:cs="Calibri"/>
                <w:kern w:val="0"/>
                <w:sz w:val="18"/>
                <w:szCs w:val="18"/>
                <w:lang w:eastAsia="en-GB"/>
                <w14:ligatures w14:val="none"/>
              </w:rPr>
            </w:pPr>
          </w:p>
        </w:tc>
      </w:tr>
      <w:tr w:rsidR="000652BC" w:rsidRPr="000652BC" w14:paraId="1D260F78" w14:textId="77777777" w:rsidTr="000652BC">
        <w:trPr>
          <w:trHeight w:val="2025"/>
        </w:trPr>
        <w:tc>
          <w:tcPr>
            <w:tcW w:w="880" w:type="dxa"/>
            <w:tcBorders>
              <w:top w:val="nil"/>
              <w:left w:val="single" w:sz="8" w:space="0" w:color="auto"/>
              <w:bottom w:val="single" w:sz="4" w:space="0" w:color="auto"/>
              <w:right w:val="single" w:sz="4" w:space="0" w:color="auto"/>
            </w:tcBorders>
            <w:shd w:val="clear" w:color="000000" w:fill="E26B0A"/>
            <w:vAlign w:val="center"/>
            <w:hideMark/>
          </w:tcPr>
          <w:p w14:paraId="6917CAD3"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8</w:t>
            </w:r>
          </w:p>
        </w:tc>
        <w:tc>
          <w:tcPr>
            <w:tcW w:w="1460" w:type="dxa"/>
            <w:vMerge w:val="restart"/>
            <w:tcBorders>
              <w:top w:val="nil"/>
              <w:left w:val="single" w:sz="4" w:space="0" w:color="auto"/>
              <w:bottom w:val="single" w:sz="8" w:space="0" w:color="000000"/>
              <w:right w:val="single" w:sz="4" w:space="0" w:color="auto"/>
            </w:tcBorders>
            <w:shd w:val="clear" w:color="000000" w:fill="E26B0A"/>
            <w:vAlign w:val="center"/>
            <w:hideMark/>
          </w:tcPr>
          <w:p w14:paraId="50CCE86D"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Moderately high</w:t>
            </w:r>
          </w:p>
        </w:tc>
        <w:tc>
          <w:tcPr>
            <w:tcW w:w="6220" w:type="dxa"/>
            <w:vMerge w:val="restart"/>
            <w:tcBorders>
              <w:top w:val="nil"/>
              <w:left w:val="single" w:sz="4" w:space="0" w:color="auto"/>
              <w:bottom w:val="single" w:sz="8" w:space="0" w:color="000000"/>
              <w:right w:val="single" w:sz="8" w:space="0" w:color="auto"/>
            </w:tcBorders>
            <w:shd w:val="clear" w:color="000000" w:fill="FCD5B4"/>
            <w:vAlign w:val="center"/>
            <w:hideMark/>
          </w:tcPr>
          <w:p w14:paraId="5FFD8D64" w14:textId="77777777" w:rsidR="000652BC" w:rsidRPr="000652BC" w:rsidRDefault="000652BC" w:rsidP="000652BC">
            <w:pPr>
              <w:spacing w:after="0" w:line="240" w:lineRule="auto"/>
              <w:jc w:val="center"/>
              <w:rPr>
                <w:rFonts w:ascii="Calibri" w:eastAsia="Times New Roman" w:hAnsi="Calibri" w:cs="Calibri"/>
                <w:color w:val="000000"/>
                <w:kern w:val="0"/>
                <w:sz w:val="18"/>
                <w:szCs w:val="18"/>
                <w:lang w:eastAsia="en-GB"/>
                <w14:ligatures w14:val="none"/>
              </w:rPr>
            </w:pPr>
            <w:r w:rsidRPr="002D5C82">
              <w:rPr>
                <w:rFonts w:ascii="Calibri" w:eastAsia="Times New Roman" w:hAnsi="Calibri" w:cs="Calibri"/>
                <w:kern w:val="0"/>
                <w:sz w:val="18"/>
                <w:szCs w:val="18"/>
                <w:lang w:eastAsia="en-GB"/>
                <w14:ligatures w14:val="none"/>
              </w:rPr>
              <w:t>Entire or partial production may need to be scrapped, with risks of regulatory non-compliance or ongoing worker safety issues. These failures disrupt normal operations, slow throughput, and require extra labour. The resulting delays can significantly affect key business functions, cause major financial loss, reduce customer satisfaction, and attract negative attention.</w:t>
            </w:r>
          </w:p>
        </w:tc>
      </w:tr>
      <w:tr w:rsidR="000652BC" w:rsidRPr="000652BC" w14:paraId="59E45B47" w14:textId="77777777" w:rsidTr="000652BC">
        <w:trPr>
          <w:trHeight w:val="1140"/>
        </w:trPr>
        <w:tc>
          <w:tcPr>
            <w:tcW w:w="880" w:type="dxa"/>
            <w:tcBorders>
              <w:top w:val="nil"/>
              <w:left w:val="single" w:sz="8" w:space="0" w:color="auto"/>
              <w:bottom w:val="single" w:sz="8" w:space="0" w:color="auto"/>
              <w:right w:val="single" w:sz="4" w:space="0" w:color="auto"/>
            </w:tcBorders>
            <w:shd w:val="clear" w:color="000000" w:fill="E26B0A"/>
            <w:vAlign w:val="center"/>
            <w:hideMark/>
          </w:tcPr>
          <w:p w14:paraId="582C35C6"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7</w:t>
            </w:r>
          </w:p>
        </w:tc>
        <w:tc>
          <w:tcPr>
            <w:tcW w:w="1460" w:type="dxa"/>
            <w:vMerge/>
            <w:tcBorders>
              <w:top w:val="nil"/>
              <w:left w:val="single" w:sz="4" w:space="0" w:color="auto"/>
              <w:bottom w:val="single" w:sz="8" w:space="0" w:color="000000"/>
              <w:right w:val="single" w:sz="4" w:space="0" w:color="auto"/>
            </w:tcBorders>
            <w:vAlign w:val="center"/>
            <w:hideMark/>
          </w:tcPr>
          <w:p w14:paraId="3317DC33" w14:textId="77777777" w:rsidR="000652BC" w:rsidRPr="00DB5B58" w:rsidRDefault="000652BC" w:rsidP="000652BC">
            <w:pPr>
              <w:spacing w:after="0" w:line="240" w:lineRule="auto"/>
              <w:rPr>
                <w:rFonts w:ascii="Calibri" w:eastAsia="Times New Roman" w:hAnsi="Calibri" w:cs="Calibri"/>
                <w:b/>
                <w:bCs/>
                <w:color w:val="000000"/>
                <w:kern w:val="0"/>
                <w:sz w:val="18"/>
                <w:szCs w:val="18"/>
                <w:lang w:eastAsia="en-GB"/>
                <w14:ligatures w14:val="none"/>
              </w:rPr>
            </w:pPr>
          </w:p>
        </w:tc>
        <w:tc>
          <w:tcPr>
            <w:tcW w:w="6220" w:type="dxa"/>
            <w:vMerge/>
            <w:tcBorders>
              <w:top w:val="nil"/>
              <w:left w:val="single" w:sz="4" w:space="0" w:color="auto"/>
              <w:bottom w:val="single" w:sz="8" w:space="0" w:color="000000"/>
              <w:right w:val="single" w:sz="8" w:space="0" w:color="auto"/>
            </w:tcBorders>
            <w:vAlign w:val="center"/>
            <w:hideMark/>
          </w:tcPr>
          <w:p w14:paraId="35676041" w14:textId="77777777" w:rsidR="000652BC" w:rsidRPr="000652BC" w:rsidRDefault="000652BC" w:rsidP="000652BC">
            <w:pPr>
              <w:spacing w:after="0" w:line="240" w:lineRule="auto"/>
              <w:rPr>
                <w:rFonts w:ascii="Calibri" w:eastAsia="Times New Roman" w:hAnsi="Calibri" w:cs="Calibri"/>
                <w:color w:val="000000"/>
                <w:kern w:val="0"/>
                <w:sz w:val="18"/>
                <w:szCs w:val="18"/>
                <w:lang w:eastAsia="en-GB"/>
                <w14:ligatures w14:val="none"/>
              </w:rPr>
            </w:pPr>
          </w:p>
        </w:tc>
      </w:tr>
      <w:tr w:rsidR="000652BC" w:rsidRPr="000652BC" w14:paraId="3C2D2DA9" w14:textId="77777777" w:rsidTr="000652BC">
        <w:trPr>
          <w:trHeight w:val="450"/>
        </w:trPr>
        <w:tc>
          <w:tcPr>
            <w:tcW w:w="880" w:type="dxa"/>
            <w:tcBorders>
              <w:top w:val="nil"/>
              <w:left w:val="single" w:sz="8" w:space="0" w:color="auto"/>
              <w:bottom w:val="single" w:sz="4" w:space="0" w:color="auto"/>
              <w:right w:val="single" w:sz="4" w:space="0" w:color="auto"/>
            </w:tcBorders>
            <w:shd w:val="clear" w:color="000000" w:fill="FFC000"/>
            <w:vAlign w:val="center"/>
            <w:hideMark/>
          </w:tcPr>
          <w:p w14:paraId="288E9F71"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6</w:t>
            </w:r>
          </w:p>
        </w:tc>
        <w:tc>
          <w:tcPr>
            <w:tcW w:w="1460" w:type="dxa"/>
            <w:vMerge w:val="restart"/>
            <w:tcBorders>
              <w:top w:val="nil"/>
              <w:left w:val="single" w:sz="4" w:space="0" w:color="auto"/>
              <w:bottom w:val="single" w:sz="8" w:space="0" w:color="000000"/>
              <w:right w:val="single" w:sz="4" w:space="0" w:color="auto"/>
            </w:tcBorders>
            <w:shd w:val="clear" w:color="000000" w:fill="FFC000"/>
            <w:vAlign w:val="center"/>
            <w:hideMark/>
          </w:tcPr>
          <w:p w14:paraId="02877411"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Moderately Low</w:t>
            </w:r>
          </w:p>
        </w:tc>
        <w:tc>
          <w:tcPr>
            <w:tcW w:w="6220" w:type="dxa"/>
            <w:vMerge w:val="restart"/>
            <w:tcBorders>
              <w:top w:val="nil"/>
              <w:left w:val="single" w:sz="4" w:space="0" w:color="auto"/>
              <w:bottom w:val="single" w:sz="8" w:space="0" w:color="000000"/>
              <w:right w:val="single" w:sz="8" w:space="0" w:color="auto"/>
            </w:tcBorders>
            <w:shd w:val="clear" w:color="000000" w:fill="FEF3CE"/>
            <w:vAlign w:val="center"/>
            <w:hideMark/>
          </w:tcPr>
          <w:p w14:paraId="217C64A1" w14:textId="77777777" w:rsidR="000652BC" w:rsidRPr="000652BC" w:rsidRDefault="000652BC" w:rsidP="000652BC">
            <w:pPr>
              <w:spacing w:after="0" w:line="240" w:lineRule="auto"/>
              <w:jc w:val="center"/>
              <w:rPr>
                <w:rFonts w:ascii="Calibri" w:eastAsia="Times New Roman" w:hAnsi="Calibri" w:cs="Calibri"/>
                <w:color w:val="000000"/>
                <w:kern w:val="0"/>
                <w:sz w:val="18"/>
                <w:szCs w:val="18"/>
                <w:lang w:eastAsia="en-GB"/>
                <w14:ligatures w14:val="none"/>
              </w:rPr>
            </w:pPr>
            <w:r w:rsidRPr="002D5C82">
              <w:rPr>
                <w:rFonts w:ascii="Calibri" w:eastAsia="Times New Roman" w:hAnsi="Calibri" w:cs="Calibri"/>
                <w:kern w:val="0"/>
                <w:sz w:val="18"/>
                <w:szCs w:val="18"/>
                <w:lang w:eastAsia="en-GB"/>
                <w14:ligatures w14:val="none"/>
              </w:rPr>
              <w:t>All or part of the production may need offline or in-station rework before processing. The disruption causes moderate performance issues or delays, leads to manageable financial loss, inconvenience for customers, and requires effort to put temporary fixes in place.</w:t>
            </w:r>
          </w:p>
        </w:tc>
      </w:tr>
      <w:tr w:rsidR="000652BC" w:rsidRPr="000652BC" w14:paraId="7AEA6EA4" w14:textId="77777777" w:rsidTr="000652BC">
        <w:trPr>
          <w:trHeight w:val="675"/>
        </w:trPr>
        <w:tc>
          <w:tcPr>
            <w:tcW w:w="880" w:type="dxa"/>
            <w:tcBorders>
              <w:top w:val="nil"/>
              <w:left w:val="single" w:sz="8" w:space="0" w:color="auto"/>
              <w:bottom w:val="single" w:sz="4" w:space="0" w:color="auto"/>
              <w:right w:val="single" w:sz="4" w:space="0" w:color="auto"/>
            </w:tcBorders>
            <w:shd w:val="clear" w:color="000000" w:fill="FFC000"/>
            <w:vAlign w:val="center"/>
            <w:hideMark/>
          </w:tcPr>
          <w:p w14:paraId="2C3D8D94"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5</w:t>
            </w:r>
          </w:p>
        </w:tc>
        <w:tc>
          <w:tcPr>
            <w:tcW w:w="1460" w:type="dxa"/>
            <w:vMerge/>
            <w:tcBorders>
              <w:top w:val="nil"/>
              <w:left w:val="single" w:sz="4" w:space="0" w:color="auto"/>
              <w:bottom w:val="single" w:sz="8" w:space="0" w:color="000000"/>
              <w:right w:val="single" w:sz="4" w:space="0" w:color="auto"/>
            </w:tcBorders>
            <w:vAlign w:val="center"/>
            <w:hideMark/>
          </w:tcPr>
          <w:p w14:paraId="506D30CB" w14:textId="77777777" w:rsidR="000652BC" w:rsidRPr="00DB5B58" w:rsidRDefault="000652BC" w:rsidP="000652BC">
            <w:pPr>
              <w:spacing w:after="0" w:line="240" w:lineRule="auto"/>
              <w:rPr>
                <w:rFonts w:ascii="Calibri" w:eastAsia="Times New Roman" w:hAnsi="Calibri" w:cs="Calibri"/>
                <w:b/>
                <w:bCs/>
                <w:color w:val="000000"/>
                <w:kern w:val="0"/>
                <w:sz w:val="18"/>
                <w:szCs w:val="18"/>
                <w:lang w:eastAsia="en-GB"/>
                <w14:ligatures w14:val="none"/>
              </w:rPr>
            </w:pPr>
          </w:p>
        </w:tc>
        <w:tc>
          <w:tcPr>
            <w:tcW w:w="6220" w:type="dxa"/>
            <w:vMerge/>
            <w:tcBorders>
              <w:top w:val="nil"/>
              <w:left w:val="single" w:sz="4" w:space="0" w:color="auto"/>
              <w:bottom w:val="single" w:sz="8" w:space="0" w:color="000000"/>
              <w:right w:val="single" w:sz="8" w:space="0" w:color="auto"/>
            </w:tcBorders>
            <w:vAlign w:val="center"/>
            <w:hideMark/>
          </w:tcPr>
          <w:p w14:paraId="07F5C746" w14:textId="77777777" w:rsidR="000652BC" w:rsidRPr="000652BC" w:rsidRDefault="000652BC" w:rsidP="000652BC">
            <w:pPr>
              <w:spacing w:after="0" w:line="240" w:lineRule="auto"/>
              <w:rPr>
                <w:rFonts w:ascii="Calibri" w:eastAsia="Times New Roman" w:hAnsi="Calibri" w:cs="Calibri"/>
                <w:color w:val="000000"/>
                <w:kern w:val="0"/>
                <w:sz w:val="18"/>
                <w:szCs w:val="18"/>
                <w:lang w:eastAsia="en-GB"/>
                <w14:ligatures w14:val="none"/>
              </w:rPr>
            </w:pPr>
          </w:p>
        </w:tc>
      </w:tr>
      <w:tr w:rsidR="000652BC" w:rsidRPr="000652BC" w14:paraId="5BAF50AE" w14:textId="77777777" w:rsidTr="000652BC">
        <w:trPr>
          <w:trHeight w:val="690"/>
        </w:trPr>
        <w:tc>
          <w:tcPr>
            <w:tcW w:w="880" w:type="dxa"/>
            <w:tcBorders>
              <w:top w:val="nil"/>
              <w:left w:val="single" w:sz="8" w:space="0" w:color="auto"/>
              <w:bottom w:val="single" w:sz="8" w:space="0" w:color="auto"/>
              <w:right w:val="single" w:sz="4" w:space="0" w:color="auto"/>
            </w:tcBorders>
            <w:shd w:val="clear" w:color="000000" w:fill="FFC000"/>
            <w:vAlign w:val="center"/>
            <w:hideMark/>
          </w:tcPr>
          <w:p w14:paraId="0EA37BD9"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4</w:t>
            </w:r>
          </w:p>
        </w:tc>
        <w:tc>
          <w:tcPr>
            <w:tcW w:w="1460" w:type="dxa"/>
            <w:vMerge/>
            <w:tcBorders>
              <w:top w:val="nil"/>
              <w:left w:val="single" w:sz="4" w:space="0" w:color="auto"/>
              <w:bottom w:val="single" w:sz="8" w:space="0" w:color="000000"/>
              <w:right w:val="single" w:sz="4" w:space="0" w:color="auto"/>
            </w:tcBorders>
            <w:vAlign w:val="center"/>
            <w:hideMark/>
          </w:tcPr>
          <w:p w14:paraId="30D2E775" w14:textId="77777777" w:rsidR="000652BC" w:rsidRPr="00DB5B58" w:rsidRDefault="000652BC" w:rsidP="000652BC">
            <w:pPr>
              <w:spacing w:after="0" w:line="240" w:lineRule="auto"/>
              <w:rPr>
                <w:rFonts w:ascii="Calibri" w:eastAsia="Times New Roman" w:hAnsi="Calibri" w:cs="Calibri"/>
                <w:b/>
                <w:bCs/>
                <w:color w:val="000000"/>
                <w:kern w:val="0"/>
                <w:sz w:val="18"/>
                <w:szCs w:val="18"/>
                <w:lang w:eastAsia="en-GB"/>
                <w14:ligatures w14:val="none"/>
              </w:rPr>
            </w:pPr>
          </w:p>
        </w:tc>
        <w:tc>
          <w:tcPr>
            <w:tcW w:w="6220" w:type="dxa"/>
            <w:vMerge/>
            <w:tcBorders>
              <w:top w:val="nil"/>
              <w:left w:val="single" w:sz="4" w:space="0" w:color="auto"/>
              <w:bottom w:val="single" w:sz="8" w:space="0" w:color="000000"/>
              <w:right w:val="single" w:sz="8" w:space="0" w:color="auto"/>
            </w:tcBorders>
            <w:vAlign w:val="center"/>
            <w:hideMark/>
          </w:tcPr>
          <w:p w14:paraId="2606531D" w14:textId="77777777" w:rsidR="000652BC" w:rsidRPr="000652BC" w:rsidRDefault="000652BC" w:rsidP="000652BC">
            <w:pPr>
              <w:spacing w:after="0" w:line="240" w:lineRule="auto"/>
              <w:rPr>
                <w:rFonts w:ascii="Calibri" w:eastAsia="Times New Roman" w:hAnsi="Calibri" w:cs="Calibri"/>
                <w:color w:val="000000"/>
                <w:kern w:val="0"/>
                <w:sz w:val="18"/>
                <w:szCs w:val="18"/>
                <w:lang w:eastAsia="en-GB"/>
                <w14:ligatures w14:val="none"/>
              </w:rPr>
            </w:pPr>
          </w:p>
        </w:tc>
      </w:tr>
      <w:tr w:rsidR="000652BC" w:rsidRPr="000652BC" w14:paraId="62932F23" w14:textId="77777777" w:rsidTr="000652BC">
        <w:trPr>
          <w:trHeight w:val="675"/>
        </w:trPr>
        <w:tc>
          <w:tcPr>
            <w:tcW w:w="880" w:type="dxa"/>
            <w:tcBorders>
              <w:top w:val="nil"/>
              <w:left w:val="single" w:sz="8" w:space="0" w:color="auto"/>
              <w:bottom w:val="single" w:sz="4" w:space="0" w:color="auto"/>
              <w:right w:val="single" w:sz="4" w:space="0" w:color="auto"/>
            </w:tcBorders>
            <w:shd w:val="clear" w:color="000000" w:fill="40B107"/>
            <w:vAlign w:val="center"/>
            <w:hideMark/>
          </w:tcPr>
          <w:p w14:paraId="6FB7188C"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3</w:t>
            </w:r>
          </w:p>
        </w:tc>
        <w:tc>
          <w:tcPr>
            <w:tcW w:w="1460" w:type="dxa"/>
            <w:vMerge w:val="restart"/>
            <w:tcBorders>
              <w:top w:val="nil"/>
              <w:left w:val="single" w:sz="4" w:space="0" w:color="auto"/>
              <w:bottom w:val="single" w:sz="4" w:space="0" w:color="auto"/>
              <w:right w:val="single" w:sz="4" w:space="0" w:color="auto"/>
            </w:tcBorders>
            <w:shd w:val="clear" w:color="000000" w:fill="40B107"/>
            <w:vAlign w:val="center"/>
            <w:hideMark/>
          </w:tcPr>
          <w:p w14:paraId="5E359DEE"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Low</w:t>
            </w:r>
          </w:p>
        </w:tc>
        <w:tc>
          <w:tcPr>
            <w:tcW w:w="6220" w:type="dxa"/>
            <w:vMerge w:val="restart"/>
            <w:tcBorders>
              <w:top w:val="nil"/>
              <w:left w:val="single" w:sz="4" w:space="0" w:color="auto"/>
              <w:bottom w:val="single" w:sz="4" w:space="0" w:color="000000"/>
              <w:right w:val="single" w:sz="8" w:space="0" w:color="auto"/>
            </w:tcBorders>
            <w:shd w:val="clear" w:color="000000" w:fill="D8E4BC"/>
            <w:vAlign w:val="center"/>
            <w:hideMark/>
          </w:tcPr>
          <w:p w14:paraId="49F8A307" w14:textId="77777777" w:rsidR="000652BC" w:rsidRPr="000652BC" w:rsidRDefault="000652BC" w:rsidP="000652BC">
            <w:pPr>
              <w:spacing w:after="0" w:line="240" w:lineRule="auto"/>
              <w:jc w:val="center"/>
              <w:rPr>
                <w:rFonts w:ascii="Calibri" w:eastAsia="Times New Roman" w:hAnsi="Calibri" w:cs="Calibri"/>
                <w:color w:val="000000"/>
                <w:kern w:val="0"/>
                <w:sz w:val="18"/>
                <w:szCs w:val="18"/>
                <w:lang w:eastAsia="en-GB"/>
                <w14:ligatures w14:val="none"/>
              </w:rPr>
            </w:pPr>
            <w:r w:rsidRPr="002D5C82">
              <w:rPr>
                <w:rFonts w:ascii="Calibri" w:eastAsia="Times New Roman" w:hAnsi="Calibri" w:cs="Calibri"/>
                <w:kern w:val="0"/>
                <w:sz w:val="18"/>
                <w:szCs w:val="18"/>
                <w:lang w:eastAsia="en-GB"/>
                <w14:ligatures w14:val="none"/>
              </w:rPr>
              <w:t>The disruption is small, causing only slight operational inconvenience and minimal financial impact, with no effect on safety, compliance, or customer satisfaction</w:t>
            </w:r>
            <w:r w:rsidRPr="000652BC">
              <w:rPr>
                <w:rFonts w:ascii="Calibri" w:eastAsia="Times New Roman" w:hAnsi="Calibri" w:cs="Calibri"/>
                <w:color w:val="000000"/>
                <w:kern w:val="0"/>
                <w:sz w:val="18"/>
                <w:szCs w:val="18"/>
                <w:lang w:eastAsia="en-GB"/>
                <w14:ligatures w14:val="none"/>
              </w:rPr>
              <w:t>.</w:t>
            </w:r>
          </w:p>
        </w:tc>
      </w:tr>
      <w:tr w:rsidR="000652BC" w:rsidRPr="000652BC" w14:paraId="7B691C28" w14:textId="77777777" w:rsidTr="000652BC">
        <w:trPr>
          <w:trHeight w:val="900"/>
        </w:trPr>
        <w:tc>
          <w:tcPr>
            <w:tcW w:w="880" w:type="dxa"/>
            <w:tcBorders>
              <w:top w:val="nil"/>
              <w:left w:val="single" w:sz="8" w:space="0" w:color="auto"/>
              <w:bottom w:val="single" w:sz="4" w:space="0" w:color="auto"/>
              <w:right w:val="single" w:sz="4" w:space="0" w:color="auto"/>
            </w:tcBorders>
            <w:shd w:val="clear" w:color="000000" w:fill="40B107"/>
            <w:vAlign w:val="center"/>
            <w:hideMark/>
          </w:tcPr>
          <w:p w14:paraId="43844BA0"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2</w:t>
            </w:r>
          </w:p>
        </w:tc>
        <w:tc>
          <w:tcPr>
            <w:tcW w:w="1460" w:type="dxa"/>
            <w:vMerge/>
            <w:tcBorders>
              <w:top w:val="nil"/>
              <w:left w:val="single" w:sz="4" w:space="0" w:color="auto"/>
              <w:bottom w:val="single" w:sz="4" w:space="0" w:color="auto"/>
              <w:right w:val="single" w:sz="4" w:space="0" w:color="auto"/>
            </w:tcBorders>
            <w:vAlign w:val="center"/>
            <w:hideMark/>
          </w:tcPr>
          <w:p w14:paraId="455600E8" w14:textId="77777777" w:rsidR="000652BC" w:rsidRPr="00DB5B58" w:rsidRDefault="000652BC" w:rsidP="000652BC">
            <w:pPr>
              <w:spacing w:after="0" w:line="240" w:lineRule="auto"/>
              <w:rPr>
                <w:rFonts w:ascii="Calibri" w:eastAsia="Times New Roman" w:hAnsi="Calibri" w:cs="Calibri"/>
                <w:b/>
                <w:bCs/>
                <w:color w:val="000000"/>
                <w:kern w:val="0"/>
                <w:sz w:val="18"/>
                <w:szCs w:val="18"/>
                <w:lang w:eastAsia="en-GB"/>
                <w14:ligatures w14:val="none"/>
              </w:rPr>
            </w:pPr>
          </w:p>
        </w:tc>
        <w:tc>
          <w:tcPr>
            <w:tcW w:w="6220" w:type="dxa"/>
            <w:vMerge/>
            <w:tcBorders>
              <w:top w:val="nil"/>
              <w:left w:val="single" w:sz="4" w:space="0" w:color="auto"/>
              <w:bottom w:val="single" w:sz="4" w:space="0" w:color="000000"/>
              <w:right w:val="single" w:sz="8" w:space="0" w:color="auto"/>
            </w:tcBorders>
            <w:vAlign w:val="center"/>
            <w:hideMark/>
          </w:tcPr>
          <w:p w14:paraId="0F6D9E93" w14:textId="77777777" w:rsidR="000652BC" w:rsidRPr="000652BC" w:rsidRDefault="000652BC" w:rsidP="000652BC">
            <w:pPr>
              <w:spacing w:after="0" w:line="240" w:lineRule="auto"/>
              <w:rPr>
                <w:rFonts w:ascii="Calibri" w:eastAsia="Times New Roman" w:hAnsi="Calibri" w:cs="Calibri"/>
                <w:color w:val="000000"/>
                <w:kern w:val="0"/>
                <w:sz w:val="18"/>
                <w:szCs w:val="18"/>
                <w:lang w:eastAsia="en-GB"/>
                <w14:ligatures w14:val="none"/>
              </w:rPr>
            </w:pPr>
          </w:p>
        </w:tc>
      </w:tr>
      <w:tr w:rsidR="000652BC" w:rsidRPr="000652BC" w14:paraId="1EB41709" w14:textId="77777777" w:rsidTr="000652BC">
        <w:trPr>
          <w:trHeight w:val="735"/>
        </w:trPr>
        <w:tc>
          <w:tcPr>
            <w:tcW w:w="880" w:type="dxa"/>
            <w:tcBorders>
              <w:top w:val="nil"/>
              <w:left w:val="single" w:sz="8" w:space="0" w:color="auto"/>
              <w:bottom w:val="single" w:sz="8" w:space="0" w:color="auto"/>
              <w:right w:val="single" w:sz="4" w:space="0" w:color="auto"/>
            </w:tcBorders>
            <w:shd w:val="clear" w:color="000000" w:fill="40B107"/>
            <w:vAlign w:val="center"/>
            <w:hideMark/>
          </w:tcPr>
          <w:p w14:paraId="0A6A1190"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1</w:t>
            </w:r>
          </w:p>
        </w:tc>
        <w:tc>
          <w:tcPr>
            <w:tcW w:w="1460" w:type="dxa"/>
            <w:tcBorders>
              <w:top w:val="nil"/>
              <w:left w:val="nil"/>
              <w:bottom w:val="single" w:sz="8" w:space="0" w:color="auto"/>
              <w:right w:val="single" w:sz="4" w:space="0" w:color="auto"/>
            </w:tcBorders>
            <w:shd w:val="clear" w:color="000000" w:fill="40B107"/>
            <w:noWrap/>
            <w:vAlign w:val="center"/>
            <w:hideMark/>
          </w:tcPr>
          <w:p w14:paraId="22306B80" w14:textId="77777777" w:rsidR="000652BC" w:rsidRPr="00DB5B58" w:rsidRDefault="000652BC" w:rsidP="000652BC">
            <w:pPr>
              <w:spacing w:after="0" w:line="240" w:lineRule="auto"/>
              <w:jc w:val="center"/>
              <w:rPr>
                <w:rFonts w:ascii="Calibri" w:eastAsia="Times New Roman" w:hAnsi="Calibri" w:cs="Calibri"/>
                <w:b/>
                <w:bCs/>
                <w:color w:val="000000"/>
                <w:kern w:val="0"/>
                <w:sz w:val="18"/>
                <w:szCs w:val="18"/>
                <w:lang w:eastAsia="en-GB"/>
                <w14:ligatures w14:val="none"/>
              </w:rPr>
            </w:pPr>
            <w:r w:rsidRPr="00DB5B58">
              <w:rPr>
                <w:rFonts w:ascii="Calibri" w:eastAsia="Times New Roman" w:hAnsi="Calibri" w:cs="Calibri"/>
                <w:b/>
                <w:bCs/>
                <w:color w:val="000000"/>
                <w:kern w:val="0"/>
                <w:sz w:val="18"/>
                <w:szCs w:val="18"/>
                <w:lang w:eastAsia="en-GB"/>
                <w14:ligatures w14:val="none"/>
              </w:rPr>
              <w:t>Very Low</w:t>
            </w:r>
          </w:p>
        </w:tc>
        <w:tc>
          <w:tcPr>
            <w:tcW w:w="6220" w:type="dxa"/>
            <w:tcBorders>
              <w:top w:val="nil"/>
              <w:left w:val="nil"/>
              <w:bottom w:val="single" w:sz="8" w:space="0" w:color="auto"/>
              <w:right w:val="single" w:sz="8" w:space="0" w:color="auto"/>
            </w:tcBorders>
            <w:shd w:val="clear" w:color="000000" w:fill="D8E4BC"/>
            <w:vAlign w:val="center"/>
            <w:hideMark/>
          </w:tcPr>
          <w:p w14:paraId="3698CB18" w14:textId="77777777" w:rsidR="000652BC" w:rsidRPr="000652BC" w:rsidRDefault="000652BC" w:rsidP="000652BC">
            <w:pPr>
              <w:spacing w:after="0" w:line="240" w:lineRule="auto"/>
              <w:jc w:val="center"/>
              <w:rPr>
                <w:rFonts w:ascii="Calibri" w:eastAsia="Times New Roman" w:hAnsi="Calibri" w:cs="Calibri"/>
                <w:color w:val="000000"/>
                <w:kern w:val="0"/>
                <w:sz w:val="18"/>
                <w:szCs w:val="18"/>
                <w:lang w:eastAsia="en-GB"/>
                <w14:ligatures w14:val="none"/>
              </w:rPr>
            </w:pPr>
            <w:r w:rsidRPr="002D5C82">
              <w:rPr>
                <w:rFonts w:ascii="Calibri" w:eastAsia="Times New Roman" w:hAnsi="Calibri" w:cs="Calibri"/>
                <w:kern w:val="0"/>
                <w:sz w:val="18"/>
                <w:szCs w:val="18"/>
                <w:lang w:eastAsia="en-GB"/>
                <w14:ligatures w14:val="none"/>
              </w:rPr>
              <w:t>The failure is barely noticeable, has no meaningful impact on safety or performance, and can be easily corrected without affecting customers or disrupting operations.</w:t>
            </w:r>
          </w:p>
        </w:tc>
      </w:tr>
    </w:tbl>
    <w:p w14:paraId="73ECE286" w14:textId="5126F02A" w:rsidR="005F3682" w:rsidRDefault="001C2541" w:rsidP="000652BC">
      <w:pPr>
        <w:pStyle w:val="Caption"/>
        <w:rPr>
          <w:rFonts w:cstheme="minorHAnsi"/>
          <w:bCs/>
          <w:sz w:val="24"/>
          <w:szCs w:val="24"/>
        </w:rPr>
      </w:pPr>
      <w:bookmarkStart w:id="15" w:name="_Toc214299334"/>
      <w:r>
        <w:lastRenderedPageBreak/>
        <w:t xml:space="preserve">Table </w:t>
      </w:r>
      <w:fldSimple w:instr=" SEQ Table \* ARABIC ">
        <w:r w:rsidR="000A7B00">
          <w:rPr>
            <w:noProof/>
          </w:rPr>
          <w:t>2</w:t>
        </w:r>
      </w:fldSimple>
      <w:r>
        <w:t xml:space="preserve"> - Severity Matrix for the FMEA</w:t>
      </w:r>
      <w:bookmarkEnd w:id="15"/>
    </w:p>
    <w:p w14:paraId="4C76F6C1" w14:textId="753B3E0D" w:rsidR="005F6C19" w:rsidRDefault="002A14C0" w:rsidP="00FC2373">
      <w:pPr>
        <w:pStyle w:val="Heading2"/>
        <w:spacing w:line="360" w:lineRule="auto"/>
      </w:pPr>
      <w:bookmarkStart w:id="16" w:name="_Toc214299352"/>
      <w:r>
        <w:t>3</w:t>
      </w:r>
      <w:r w:rsidR="00827C8D">
        <w:t>.</w:t>
      </w:r>
      <w:r w:rsidR="00936C4E">
        <w:t>4</w:t>
      </w:r>
      <w:r w:rsidR="00827C8D">
        <w:t xml:space="preserve"> </w:t>
      </w:r>
      <w:r w:rsidR="005F6C19" w:rsidRPr="005F6C19">
        <w:t>Occurrence</w:t>
      </w:r>
      <w:bookmarkEnd w:id="16"/>
    </w:p>
    <w:p w14:paraId="4DDDF559" w14:textId="338E1FC9" w:rsidR="002D5C82" w:rsidRDefault="002D5C82" w:rsidP="002D5C82">
      <w:pPr>
        <w:spacing w:line="360" w:lineRule="auto"/>
        <w:jc w:val="both"/>
        <w:rPr>
          <w:rFonts w:cstheme="minorHAnsi"/>
          <w:bCs/>
          <w:sz w:val="24"/>
          <w:szCs w:val="24"/>
        </w:rPr>
      </w:pPr>
      <w:r w:rsidRPr="001B02C7">
        <w:rPr>
          <w:rFonts w:cstheme="minorHAnsi"/>
          <w:bCs/>
          <w:sz w:val="24"/>
          <w:szCs w:val="24"/>
        </w:rPr>
        <w:t>Occurrence is defined as the likelihood of a failure mode arising within the supply chain. In the context of slab imports, typical risks include port congestion and delays in customs clearance</w:t>
      </w:r>
      <w:r>
        <w:rPr>
          <w:rFonts w:cstheme="minorHAnsi"/>
          <w:bCs/>
          <w:sz w:val="24"/>
          <w:szCs w:val="24"/>
        </w:rPr>
        <w:t>, this is referenced in table 4.</w:t>
      </w:r>
      <w:r w:rsidRPr="001B02C7">
        <w:rPr>
          <w:rFonts w:cstheme="minorHAnsi"/>
          <w:bCs/>
          <w:sz w:val="24"/>
          <w:szCs w:val="24"/>
        </w:rPr>
        <w:t xml:space="preserve"> Each potential failure is assessed with reference to historical performance data, global logistics trends, and indicators of supplier reliability. </w:t>
      </w:r>
      <w:r>
        <w:rPr>
          <w:rFonts w:cstheme="minorHAnsi"/>
          <w:bCs/>
          <w:sz w:val="24"/>
          <w:szCs w:val="24"/>
        </w:rPr>
        <w:t xml:space="preserve">Similarly to severity, occurrence is also allocated on a scale from 1 to 10, with higher values indicating greater occurrence, this is show in table </w:t>
      </w:r>
      <w:r>
        <w:rPr>
          <w:rFonts w:cstheme="minorHAnsi"/>
          <w:bCs/>
          <w:sz w:val="24"/>
          <w:szCs w:val="24"/>
        </w:rPr>
        <w:t>3</w:t>
      </w:r>
      <w:r>
        <w:rPr>
          <w:rFonts w:cstheme="minorHAnsi"/>
          <w:bCs/>
          <w:sz w:val="24"/>
          <w:szCs w:val="24"/>
        </w:rPr>
        <w:t>.</w:t>
      </w:r>
    </w:p>
    <w:tbl>
      <w:tblPr>
        <w:tblW w:w="9298" w:type="dxa"/>
        <w:tblLayout w:type="fixed"/>
        <w:tblLook w:val="04A0" w:firstRow="1" w:lastRow="0" w:firstColumn="1" w:lastColumn="0" w:noHBand="0" w:noVBand="1"/>
      </w:tblPr>
      <w:tblGrid>
        <w:gridCol w:w="1124"/>
        <w:gridCol w:w="3969"/>
        <w:gridCol w:w="3969"/>
        <w:gridCol w:w="236"/>
      </w:tblGrid>
      <w:tr w:rsidR="00C148C6" w:rsidRPr="00C148C6" w14:paraId="3765AC44" w14:textId="77777777" w:rsidTr="00C148C6">
        <w:trPr>
          <w:gridAfter w:val="1"/>
          <w:wAfter w:w="236" w:type="dxa"/>
          <w:trHeight w:val="488"/>
        </w:trPr>
        <w:tc>
          <w:tcPr>
            <w:tcW w:w="9062" w:type="dxa"/>
            <w:gridSpan w:val="3"/>
            <w:tcBorders>
              <w:top w:val="single" w:sz="8" w:space="0" w:color="auto"/>
              <w:left w:val="single" w:sz="8" w:space="0" w:color="auto"/>
              <w:bottom w:val="nil"/>
              <w:right w:val="single" w:sz="8" w:space="0" w:color="000000"/>
            </w:tcBorders>
            <w:shd w:val="clear" w:color="000000" w:fill="1F497D"/>
            <w:vAlign w:val="center"/>
            <w:hideMark/>
          </w:tcPr>
          <w:p w14:paraId="1B701F18" w14:textId="77777777" w:rsidR="00C148C6" w:rsidRPr="000D7B69" w:rsidRDefault="00C148C6" w:rsidP="00C148C6">
            <w:pPr>
              <w:spacing w:after="0" w:line="240" w:lineRule="auto"/>
              <w:jc w:val="center"/>
              <w:rPr>
                <w:rFonts w:eastAsia="Times New Roman" w:cstheme="minorHAnsi"/>
                <w:b/>
                <w:bCs/>
                <w:color w:val="FFFFFF"/>
                <w:kern w:val="0"/>
                <w:sz w:val="18"/>
                <w:szCs w:val="18"/>
                <w:lang w:eastAsia="en-GB"/>
                <w14:ligatures w14:val="none"/>
              </w:rPr>
            </w:pPr>
            <w:r w:rsidRPr="000D7B69">
              <w:rPr>
                <w:rFonts w:eastAsia="Times New Roman" w:cstheme="minorHAnsi"/>
                <w:b/>
                <w:bCs/>
                <w:color w:val="FFFFFF"/>
                <w:kern w:val="0"/>
                <w:sz w:val="18"/>
                <w:szCs w:val="18"/>
                <w:lang w:eastAsia="en-GB"/>
                <w14:ligatures w14:val="none"/>
              </w:rPr>
              <w:t>Occurrence Potential (0) for the Process</w:t>
            </w:r>
          </w:p>
        </w:tc>
      </w:tr>
      <w:tr w:rsidR="00C148C6" w:rsidRPr="00C148C6" w14:paraId="71E1BFB0" w14:textId="77777777" w:rsidTr="00C148C6">
        <w:trPr>
          <w:gridAfter w:val="1"/>
          <w:wAfter w:w="236" w:type="dxa"/>
          <w:trHeight w:val="450"/>
        </w:trPr>
        <w:tc>
          <w:tcPr>
            <w:tcW w:w="1124" w:type="dxa"/>
            <w:vMerge w:val="restart"/>
            <w:tcBorders>
              <w:top w:val="single" w:sz="8" w:space="0" w:color="auto"/>
              <w:left w:val="single" w:sz="8" w:space="0" w:color="auto"/>
              <w:bottom w:val="single" w:sz="8" w:space="0" w:color="000000"/>
              <w:right w:val="single" w:sz="8" w:space="0" w:color="000000"/>
            </w:tcBorders>
            <w:shd w:val="clear" w:color="000000" w:fill="4BACC6"/>
            <w:vAlign w:val="center"/>
            <w:hideMark/>
          </w:tcPr>
          <w:p w14:paraId="528E90A8" w14:textId="41465220" w:rsidR="00C148C6" w:rsidRPr="000D7B69" w:rsidRDefault="00C148C6" w:rsidP="00C148C6">
            <w:pPr>
              <w:spacing w:after="0" w:line="240" w:lineRule="auto"/>
              <w:jc w:val="center"/>
              <w:rPr>
                <w:rFonts w:eastAsia="Times New Roman" w:cstheme="minorHAnsi"/>
                <w:b/>
                <w:bCs/>
                <w:color w:val="FFFFFF"/>
                <w:kern w:val="0"/>
                <w:sz w:val="18"/>
                <w:szCs w:val="18"/>
                <w:lang w:eastAsia="en-GB"/>
                <w14:ligatures w14:val="none"/>
              </w:rPr>
            </w:pPr>
          </w:p>
        </w:tc>
        <w:tc>
          <w:tcPr>
            <w:tcW w:w="3969" w:type="dxa"/>
            <w:vMerge w:val="restart"/>
            <w:tcBorders>
              <w:top w:val="single" w:sz="8" w:space="0" w:color="auto"/>
              <w:left w:val="single" w:sz="8" w:space="0" w:color="000000"/>
              <w:bottom w:val="single" w:sz="8" w:space="0" w:color="000000"/>
              <w:right w:val="single" w:sz="8" w:space="0" w:color="000000"/>
            </w:tcBorders>
            <w:shd w:val="clear" w:color="000000" w:fill="4BACC6"/>
            <w:vAlign w:val="center"/>
            <w:hideMark/>
          </w:tcPr>
          <w:p w14:paraId="425062B6" w14:textId="77777777" w:rsidR="00C148C6" w:rsidRPr="000D7B69" w:rsidRDefault="00C148C6" w:rsidP="00C148C6">
            <w:pPr>
              <w:spacing w:after="0" w:line="240" w:lineRule="auto"/>
              <w:jc w:val="center"/>
              <w:rPr>
                <w:rFonts w:eastAsia="Times New Roman" w:cstheme="minorHAnsi"/>
                <w:b/>
                <w:bCs/>
                <w:color w:val="FFFFFF"/>
                <w:kern w:val="0"/>
                <w:sz w:val="18"/>
                <w:szCs w:val="18"/>
                <w:lang w:eastAsia="en-GB"/>
                <w14:ligatures w14:val="none"/>
              </w:rPr>
            </w:pPr>
            <w:r w:rsidRPr="000D7B69">
              <w:rPr>
                <w:rFonts w:eastAsia="Times New Roman" w:cstheme="minorHAnsi"/>
                <w:b/>
                <w:bCs/>
                <w:color w:val="FFFFFF"/>
                <w:kern w:val="0"/>
                <w:sz w:val="18"/>
                <w:szCs w:val="18"/>
                <w:lang w:eastAsia="en-GB"/>
                <w14:ligatures w14:val="none"/>
              </w:rPr>
              <w:t>Time Based Failure Cause Prediction</w:t>
            </w:r>
          </w:p>
        </w:tc>
        <w:tc>
          <w:tcPr>
            <w:tcW w:w="3969" w:type="dxa"/>
            <w:vMerge w:val="restart"/>
            <w:tcBorders>
              <w:top w:val="single" w:sz="8" w:space="0" w:color="auto"/>
              <w:left w:val="single" w:sz="8" w:space="0" w:color="000000"/>
              <w:bottom w:val="single" w:sz="8" w:space="0" w:color="000000"/>
              <w:right w:val="single" w:sz="8" w:space="0" w:color="auto"/>
            </w:tcBorders>
            <w:shd w:val="clear" w:color="000000" w:fill="4BACC6"/>
            <w:vAlign w:val="center"/>
            <w:hideMark/>
          </w:tcPr>
          <w:p w14:paraId="20E7A641" w14:textId="77777777" w:rsidR="00C148C6" w:rsidRPr="000D7B69" w:rsidRDefault="00C148C6" w:rsidP="00C148C6">
            <w:pPr>
              <w:spacing w:after="0" w:line="240" w:lineRule="auto"/>
              <w:jc w:val="center"/>
              <w:rPr>
                <w:rFonts w:eastAsia="Times New Roman" w:cstheme="minorHAnsi"/>
                <w:b/>
                <w:bCs/>
                <w:color w:val="FFFFFF"/>
                <w:kern w:val="0"/>
                <w:sz w:val="18"/>
                <w:szCs w:val="18"/>
                <w:lang w:eastAsia="en-GB"/>
                <w14:ligatures w14:val="none"/>
              </w:rPr>
            </w:pPr>
            <w:r w:rsidRPr="000D7B69">
              <w:rPr>
                <w:rFonts w:eastAsia="Times New Roman" w:cstheme="minorHAnsi"/>
                <w:b/>
                <w:bCs/>
                <w:color w:val="FFFFFF"/>
                <w:kern w:val="0"/>
                <w:sz w:val="18"/>
                <w:szCs w:val="18"/>
                <w:lang w:eastAsia="en-GB"/>
                <w14:ligatures w14:val="none"/>
              </w:rPr>
              <w:t>Prevention Controls</w:t>
            </w:r>
          </w:p>
        </w:tc>
      </w:tr>
      <w:tr w:rsidR="00C148C6" w:rsidRPr="00C148C6" w14:paraId="0461E2D9" w14:textId="77777777" w:rsidTr="00C148C6">
        <w:trPr>
          <w:trHeight w:val="60"/>
        </w:trPr>
        <w:tc>
          <w:tcPr>
            <w:tcW w:w="1124" w:type="dxa"/>
            <w:vMerge/>
            <w:tcBorders>
              <w:top w:val="single" w:sz="8" w:space="0" w:color="auto"/>
              <w:left w:val="single" w:sz="8" w:space="0" w:color="auto"/>
              <w:bottom w:val="single" w:sz="8" w:space="0" w:color="000000"/>
              <w:right w:val="single" w:sz="8" w:space="0" w:color="000000"/>
            </w:tcBorders>
            <w:vAlign w:val="center"/>
            <w:hideMark/>
          </w:tcPr>
          <w:p w14:paraId="7C83A5FD" w14:textId="77777777" w:rsidR="00C148C6" w:rsidRPr="000D7B69" w:rsidRDefault="00C148C6" w:rsidP="00C148C6">
            <w:pPr>
              <w:spacing w:after="0" w:line="240" w:lineRule="auto"/>
              <w:rPr>
                <w:rFonts w:eastAsia="Times New Roman" w:cstheme="minorHAnsi"/>
                <w:b/>
                <w:bCs/>
                <w:color w:val="FFFFFF"/>
                <w:kern w:val="0"/>
                <w:sz w:val="18"/>
                <w:szCs w:val="18"/>
                <w:lang w:eastAsia="en-GB"/>
                <w14:ligatures w14:val="none"/>
              </w:rPr>
            </w:pPr>
          </w:p>
        </w:tc>
        <w:tc>
          <w:tcPr>
            <w:tcW w:w="3969" w:type="dxa"/>
            <w:vMerge/>
            <w:tcBorders>
              <w:top w:val="single" w:sz="8" w:space="0" w:color="auto"/>
              <w:left w:val="single" w:sz="8" w:space="0" w:color="000000"/>
              <w:bottom w:val="single" w:sz="8" w:space="0" w:color="000000"/>
              <w:right w:val="single" w:sz="8" w:space="0" w:color="000000"/>
            </w:tcBorders>
            <w:vAlign w:val="center"/>
            <w:hideMark/>
          </w:tcPr>
          <w:p w14:paraId="6183E035" w14:textId="77777777" w:rsidR="00C148C6" w:rsidRPr="000D7B69" w:rsidRDefault="00C148C6" w:rsidP="00C148C6">
            <w:pPr>
              <w:spacing w:after="0" w:line="240" w:lineRule="auto"/>
              <w:rPr>
                <w:rFonts w:eastAsia="Times New Roman" w:cstheme="minorHAnsi"/>
                <w:b/>
                <w:bCs/>
                <w:color w:val="FFFFFF"/>
                <w:kern w:val="0"/>
                <w:sz w:val="18"/>
                <w:szCs w:val="18"/>
                <w:lang w:eastAsia="en-GB"/>
                <w14:ligatures w14:val="none"/>
              </w:rPr>
            </w:pPr>
          </w:p>
        </w:tc>
        <w:tc>
          <w:tcPr>
            <w:tcW w:w="3969" w:type="dxa"/>
            <w:vMerge/>
            <w:tcBorders>
              <w:top w:val="single" w:sz="8" w:space="0" w:color="auto"/>
              <w:left w:val="single" w:sz="8" w:space="0" w:color="000000"/>
              <w:bottom w:val="single" w:sz="8" w:space="0" w:color="000000"/>
              <w:right w:val="single" w:sz="8" w:space="0" w:color="auto"/>
            </w:tcBorders>
            <w:vAlign w:val="center"/>
            <w:hideMark/>
          </w:tcPr>
          <w:p w14:paraId="1B3D307E" w14:textId="77777777" w:rsidR="00C148C6" w:rsidRPr="000D7B69" w:rsidRDefault="00C148C6" w:rsidP="00C148C6">
            <w:pPr>
              <w:spacing w:after="0" w:line="240" w:lineRule="auto"/>
              <w:rPr>
                <w:rFonts w:eastAsia="Times New Roman" w:cstheme="minorHAnsi"/>
                <w:b/>
                <w:bCs/>
                <w:color w:val="FFFFFF"/>
                <w:kern w:val="0"/>
                <w:sz w:val="18"/>
                <w:szCs w:val="18"/>
                <w:lang w:eastAsia="en-GB"/>
                <w14:ligatures w14:val="none"/>
              </w:rPr>
            </w:pPr>
          </w:p>
        </w:tc>
        <w:tc>
          <w:tcPr>
            <w:tcW w:w="236" w:type="dxa"/>
            <w:tcBorders>
              <w:top w:val="nil"/>
              <w:left w:val="nil"/>
              <w:bottom w:val="nil"/>
              <w:right w:val="nil"/>
            </w:tcBorders>
            <w:noWrap/>
            <w:vAlign w:val="bottom"/>
            <w:hideMark/>
          </w:tcPr>
          <w:p w14:paraId="157A0015" w14:textId="77777777" w:rsidR="00C148C6" w:rsidRPr="00C148C6" w:rsidRDefault="00C148C6" w:rsidP="00C148C6">
            <w:pPr>
              <w:spacing w:after="0" w:line="240" w:lineRule="auto"/>
              <w:jc w:val="center"/>
              <w:rPr>
                <w:rFonts w:ascii="Arial" w:eastAsia="Times New Roman" w:hAnsi="Arial" w:cs="Arial"/>
                <w:b/>
                <w:bCs/>
                <w:color w:val="FFFFFF"/>
                <w:kern w:val="0"/>
                <w:sz w:val="16"/>
                <w:szCs w:val="16"/>
                <w:lang w:eastAsia="en-GB"/>
                <w14:ligatures w14:val="none"/>
              </w:rPr>
            </w:pPr>
          </w:p>
        </w:tc>
      </w:tr>
      <w:tr w:rsidR="00C148C6" w:rsidRPr="00C148C6" w14:paraId="76A9C0D6" w14:textId="77777777" w:rsidTr="00C148C6">
        <w:trPr>
          <w:trHeight w:val="313"/>
        </w:trPr>
        <w:tc>
          <w:tcPr>
            <w:tcW w:w="1124" w:type="dxa"/>
            <w:tcBorders>
              <w:top w:val="nil"/>
              <w:left w:val="single" w:sz="8" w:space="0" w:color="auto"/>
              <w:bottom w:val="single" w:sz="4" w:space="0" w:color="auto"/>
              <w:right w:val="single" w:sz="4" w:space="0" w:color="auto"/>
            </w:tcBorders>
            <w:shd w:val="clear" w:color="000000" w:fill="FF0000"/>
            <w:vAlign w:val="center"/>
            <w:hideMark/>
          </w:tcPr>
          <w:p w14:paraId="3A4861AB"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10</w:t>
            </w:r>
          </w:p>
        </w:tc>
        <w:tc>
          <w:tcPr>
            <w:tcW w:w="3969" w:type="dxa"/>
            <w:tcBorders>
              <w:top w:val="nil"/>
              <w:left w:val="nil"/>
              <w:bottom w:val="single" w:sz="4" w:space="0" w:color="auto"/>
              <w:right w:val="single" w:sz="4" w:space="0" w:color="auto"/>
            </w:tcBorders>
            <w:shd w:val="clear" w:color="000000" w:fill="FFB5A3"/>
            <w:vAlign w:val="center"/>
            <w:hideMark/>
          </w:tcPr>
          <w:p w14:paraId="05D7B7DD"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Every time</w:t>
            </w:r>
          </w:p>
        </w:tc>
        <w:tc>
          <w:tcPr>
            <w:tcW w:w="3969" w:type="dxa"/>
            <w:tcBorders>
              <w:top w:val="nil"/>
              <w:left w:val="nil"/>
              <w:bottom w:val="single" w:sz="4" w:space="0" w:color="auto"/>
              <w:right w:val="single" w:sz="8" w:space="0" w:color="auto"/>
            </w:tcBorders>
            <w:shd w:val="clear" w:color="000000" w:fill="FFB5A3"/>
            <w:vAlign w:val="center"/>
            <w:hideMark/>
          </w:tcPr>
          <w:p w14:paraId="3FB54B7D" w14:textId="77777777" w:rsidR="00C148C6" w:rsidRPr="002D5C82" w:rsidRDefault="00C148C6" w:rsidP="00C148C6">
            <w:pPr>
              <w:spacing w:after="0" w:line="240" w:lineRule="auto"/>
              <w:jc w:val="center"/>
              <w:rPr>
                <w:rFonts w:eastAsia="Times New Roman" w:cstheme="minorHAnsi"/>
                <w:kern w:val="0"/>
                <w:sz w:val="18"/>
                <w:szCs w:val="18"/>
                <w:lang w:eastAsia="en-GB"/>
                <w14:ligatures w14:val="none"/>
              </w:rPr>
            </w:pPr>
            <w:r w:rsidRPr="002D5C82">
              <w:rPr>
                <w:rFonts w:eastAsia="Times New Roman" w:cstheme="minorHAnsi"/>
                <w:kern w:val="0"/>
                <w:sz w:val="18"/>
                <w:szCs w:val="18"/>
                <w:lang w:eastAsia="en-GB"/>
                <w14:ligatures w14:val="none"/>
              </w:rPr>
              <w:t>No prevention controls.</w:t>
            </w:r>
          </w:p>
        </w:tc>
        <w:tc>
          <w:tcPr>
            <w:tcW w:w="236" w:type="dxa"/>
            <w:vAlign w:val="center"/>
            <w:hideMark/>
          </w:tcPr>
          <w:p w14:paraId="291DC8B6" w14:textId="77777777" w:rsidR="00C148C6" w:rsidRPr="00C148C6" w:rsidRDefault="00C148C6" w:rsidP="00C148C6">
            <w:pPr>
              <w:spacing w:after="0" w:line="240" w:lineRule="auto"/>
              <w:rPr>
                <w:rFonts w:ascii="Times New Roman" w:eastAsia="Times New Roman" w:hAnsi="Times New Roman" w:cs="Times New Roman"/>
                <w:kern w:val="0"/>
                <w:sz w:val="20"/>
                <w:szCs w:val="20"/>
                <w:lang w:eastAsia="en-GB"/>
                <w14:ligatures w14:val="none"/>
              </w:rPr>
            </w:pPr>
          </w:p>
        </w:tc>
      </w:tr>
      <w:tr w:rsidR="00C148C6" w:rsidRPr="00C148C6" w14:paraId="2A417AEA" w14:textId="77777777" w:rsidTr="00C148C6">
        <w:trPr>
          <w:trHeight w:val="426"/>
        </w:trPr>
        <w:tc>
          <w:tcPr>
            <w:tcW w:w="1124" w:type="dxa"/>
            <w:tcBorders>
              <w:top w:val="nil"/>
              <w:left w:val="single" w:sz="8" w:space="0" w:color="auto"/>
              <w:bottom w:val="single" w:sz="4" w:space="0" w:color="auto"/>
              <w:right w:val="single" w:sz="4" w:space="0" w:color="auto"/>
            </w:tcBorders>
            <w:shd w:val="clear" w:color="000000" w:fill="FF0000"/>
            <w:vAlign w:val="center"/>
            <w:hideMark/>
          </w:tcPr>
          <w:p w14:paraId="6957BFF6"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9</w:t>
            </w:r>
          </w:p>
        </w:tc>
        <w:tc>
          <w:tcPr>
            <w:tcW w:w="3969" w:type="dxa"/>
            <w:tcBorders>
              <w:top w:val="nil"/>
              <w:left w:val="nil"/>
              <w:bottom w:val="single" w:sz="4" w:space="0" w:color="auto"/>
              <w:right w:val="single" w:sz="4" w:space="0" w:color="auto"/>
            </w:tcBorders>
            <w:shd w:val="clear" w:color="000000" w:fill="FFB5A3"/>
            <w:vAlign w:val="center"/>
            <w:hideMark/>
          </w:tcPr>
          <w:p w14:paraId="666C21B2"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Almost every time</w:t>
            </w:r>
          </w:p>
        </w:tc>
        <w:tc>
          <w:tcPr>
            <w:tcW w:w="3969" w:type="dxa"/>
            <w:vMerge w:val="restart"/>
            <w:tcBorders>
              <w:top w:val="nil"/>
              <w:left w:val="single" w:sz="4" w:space="0" w:color="auto"/>
              <w:bottom w:val="single" w:sz="8" w:space="0" w:color="000000"/>
              <w:right w:val="single" w:sz="8" w:space="0" w:color="auto"/>
            </w:tcBorders>
            <w:shd w:val="clear" w:color="000000" w:fill="FFB5A3"/>
            <w:vAlign w:val="center"/>
            <w:hideMark/>
          </w:tcPr>
          <w:p w14:paraId="5D55A7FE" w14:textId="77777777" w:rsidR="00C148C6" w:rsidRPr="002D5C82" w:rsidRDefault="00C148C6" w:rsidP="00C148C6">
            <w:pPr>
              <w:spacing w:after="0" w:line="240" w:lineRule="auto"/>
              <w:jc w:val="center"/>
              <w:rPr>
                <w:rFonts w:eastAsia="Times New Roman" w:cstheme="minorHAnsi"/>
                <w:kern w:val="0"/>
                <w:sz w:val="18"/>
                <w:szCs w:val="18"/>
                <w:lang w:eastAsia="en-GB"/>
                <w14:ligatures w14:val="none"/>
              </w:rPr>
            </w:pPr>
            <w:r w:rsidRPr="002D5C82">
              <w:rPr>
                <w:rFonts w:eastAsia="Times New Roman" w:cstheme="minorHAnsi"/>
                <w:kern w:val="0"/>
                <w:sz w:val="18"/>
                <w:szCs w:val="18"/>
                <w:lang w:eastAsia="en-GB"/>
                <w14:ligatures w14:val="none"/>
              </w:rPr>
              <w:t>Prevention controls will have little effect in preventing failure cause.</w:t>
            </w:r>
          </w:p>
        </w:tc>
        <w:tc>
          <w:tcPr>
            <w:tcW w:w="236" w:type="dxa"/>
            <w:vAlign w:val="center"/>
            <w:hideMark/>
          </w:tcPr>
          <w:p w14:paraId="3A1A9E8E" w14:textId="77777777" w:rsidR="00C148C6" w:rsidRPr="00C148C6" w:rsidRDefault="00C148C6" w:rsidP="00C148C6">
            <w:pPr>
              <w:spacing w:after="0" w:line="240" w:lineRule="auto"/>
              <w:rPr>
                <w:rFonts w:ascii="Times New Roman" w:eastAsia="Times New Roman" w:hAnsi="Times New Roman" w:cs="Times New Roman"/>
                <w:kern w:val="0"/>
                <w:sz w:val="20"/>
                <w:szCs w:val="20"/>
                <w:lang w:eastAsia="en-GB"/>
                <w14:ligatures w14:val="none"/>
              </w:rPr>
            </w:pPr>
          </w:p>
        </w:tc>
      </w:tr>
      <w:tr w:rsidR="00C148C6" w:rsidRPr="00C148C6" w14:paraId="19DABB8B" w14:textId="77777777" w:rsidTr="00C148C6">
        <w:trPr>
          <w:trHeight w:val="536"/>
        </w:trPr>
        <w:tc>
          <w:tcPr>
            <w:tcW w:w="1124" w:type="dxa"/>
            <w:tcBorders>
              <w:top w:val="nil"/>
              <w:left w:val="single" w:sz="8" w:space="0" w:color="auto"/>
              <w:bottom w:val="single" w:sz="8" w:space="0" w:color="auto"/>
              <w:right w:val="single" w:sz="4" w:space="0" w:color="auto"/>
            </w:tcBorders>
            <w:shd w:val="clear" w:color="000000" w:fill="FF0000"/>
            <w:vAlign w:val="center"/>
            <w:hideMark/>
          </w:tcPr>
          <w:p w14:paraId="2D1527DE"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8</w:t>
            </w:r>
          </w:p>
        </w:tc>
        <w:tc>
          <w:tcPr>
            <w:tcW w:w="3969" w:type="dxa"/>
            <w:tcBorders>
              <w:top w:val="nil"/>
              <w:left w:val="nil"/>
              <w:bottom w:val="single" w:sz="8" w:space="0" w:color="auto"/>
              <w:right w:val="single" w:sz="4" w:space="0" w:color="auto"/>
            </w:tcBorders>
            <w:shd w:val="clear" w:color="000000" w:fill="FFB5A3"/>
            <w:vAlign w:val="center"/>
            <w:hideMark/>
          </w:tcPr>
          <w:p w14:paraId="1FA746B8"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More than once per shift</w:t>
            </w:r>
          </w:p>
        </w:tc>
        <w:tc>
          <w:tcPr>
            <w:tcW w:w="3969" w:type="dxa"/>
            <w:vMerge/>
            <w:tcBorders>
              <w:top w:val="nil"/>
              <w:left w:val="single" w:sz="4" w:space="0" w:color="auto"/>
              <w:bottom w:val="single" w:sz="8" w:space="0" w:color="000000"/>
              <w:right w:val="single" w:sz="8" w:space="0" w:color="auto"/>
            </w:tcBorders>
            <w:vAlign w:val="center"/>
            <w:hideMark/>
          </w:tcPr>
          <w:p w14:paraId="6F50B6DD" w14:textId="77777777" w:rsidR="00C148C6" w:rsidRPr="002D5C82" w:rsidRDefault="00C148C6" w:rsidP="00C148C6">
            <w:pPr>
              <w:spacing w:after="0" w:line="240" w:lineRule="auto"/>
              <w:rPr>
                <w:rFonts w:eastAsia="Times New Roman" w:cstheme="minorHAnsi"/>
                <w:kern w:val="0"/>
                <w:sz w:val="18"/>
                <w:szCs w:val="18"/>
                <w:lang w:eastAsia="en-GB"/>
                <w14:ligatures w14:val="none"/>
              </w:rPr>
            </w:pPr>
          </w:p>
        </w:tc>
        <w:tc>
          <w:tcPr>
            <w:tcW w:w="236" w:type="dxa"/>
            <w:vAlign w:val="center"/>
            <w:hideMark/>
          </w:tcPr>
          <w:p w14:paraId="06843B11" w14:textId="77777777" w:rsidR="00C148C6" w:rsidRPr="00C148C6" w:rsidRDefault="00C148C6" w:rsidP="00C148C6">
            <w:pPr>
              <w:spacing w:after="0" w:line="240" w:lineRule="auto"/>
              <w:rPr>
                <w:rFonts w:ascii="Times New Roman" w:eastAsia="Times New Roman" w:hAnsi="Times New Roman" w:cs="Times New Roman"/>
                <w:kern w:val="0"/>
                <w:sz w:val="20"/>
                <w:szCs w:val="20"/>
                <w:lang w:eastAsia="en-GB"/>
                <w14:ligatures w14:val="none"/>
              </w:rPr>
            </w:pPr>
          </w:p>
        </w:tc>
      </w:tr>
      <w:tr w:rsidR="00C148C6" w:rsidRPr="00C148C6" w14:paraId="148FA769" w14:textId="77777777" w:rsidTr="00C148C6">
        <w:trPr>
          <w:trHeight w:val="416"/>
        </w:trPr>
        <w:tc>
          <w:tcPr>
            <w:tcW w:w="1124" w:type="dxa"/>
            <w:tcBorders>
              <w:top w:val="nil"/>
              <w:left w:val="single" w:sz="8" w:space="0" w:color="auto"/>
              <w:bottom w:val="single" w:sz="4" w:space="0" w:color="auto"/>
              <w:right w:val="single" w:sz="4" w:space="0" w:color="auto"/>
            </w:tcBorders>
            <w:shd w:val="clear" w:color="000000" w:fill="FFC000"/>
            <w:vAlign w:val="center"/>
            <w:hideMark/>
          </w:tcPr>
          <w:p w14:paraId="77597818"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7</w:t>
            </w:r>
          </w:p>
        </w:tc>
        <w:tc>
          <w:tcPr>
            <w:tcW w:w="3969" w:type="dxa"/>
            <w:tcBorders>
              <w:top w:val="nil"/>
              <w:left w:val="nil"/>
              <w:bottom w:val="single" w:sz="4" w:space="0" w:color="auto"/>
              <w:right w:val="single" w:sz="4" w:space="0" w:color="auto"/>
            </w:tcBorders>
            <w:shd w:val="clear" w:color="000000" w:fill="FEF3CE"/>
            <w:vAlign w:val="center"/>
            <w:hideMark/>
          </w:tcPr>
          <w:p w14:paraId="3E611E30"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More than once per day</w:t>
            </w:r>
          </w:p>
        </w:tc>
        <w:tc>
          <w:tcPr>
            <w:tcW w:w="3969" w:type="dxa"/>
            <w:vMerge w:val="restart"/>
            <w:tcBorders>
              <w:top w:val="nil"/>
              <w:left w:val="single" w:sz="4" w:space="0" w:color="auto"/>
              <w:bottom w:val="nil"/>
              <w:right w:val="single" w:sz="8" w:space="0" w:color="auto"/>
            </w:tcBorders>
            <w:shd w:val="clear" w:color="000000" w:fill="FEF3CE"/>
            <w:vAlign w:val="center"/>
            <w:hideMark/>
          </w:tcPr>
          <w:p w14:paraId="2ECFFFD0" w14:textId="77777777" w:rsidR="00C148C6" w:rsidRPr="002D5C82" w:rsidRDefault="00C148C6" w:rsidP="00C148C6">
            <w:pPr>
              <w:spacing w:after="0" w:line="240" w:lineRule="auto"/>
              <w:jc w:val="center"/>
              <w:rPr>
                <w:rFonts w:eastAsia="Times New Roman" w:cstheme="minorHAnsi"/>
                <w:kern w:val="0"/>
                <w:sz w:val="18"/>
                <w:szCs w:val="18"/>
                <w:lang w:eastAsia="en-GB"/>
                <w14:ligatures w14:val="none"/>
              </w:rPr>
            </w:pPr>
            <w:r w:rsidRPr="002D5C82">
              <w:rPr>
                <w:rFonts w:eastAsia="Times New Roman" w:cstheme="minorHAnsi"/>
                <w:kern w:val="0"/>
                <w:sz w:val="18"/>
                <w:szCs w:val="18"/>
                <w:lang w:eastAsia="en-GB"/>
                <w14:ligatures w14:val="none"/>
              </w:rPr>
              <w:t>Prevention controls somewhat effective in preventing failure cause.</w:t>
            </w:r>
          </w:p>
        </w:tc>
        <w:tc>
          <w:tcPr>
            <w:tcW w:w="236" w:type="dxa"/>
            <w:vAlign w:val="center"/>
            <w:hideMark/>
          </w:tcPr>
          <w:p w14:paraId="7C95A95F" w14:textId="77777777" w:rsidR="00C148C6" w:rsidRPr="00C148C6" w:rsidRDefault="00C148C6" w:rsidP="00C148C6">
            <w:pPr>
              <w:spacing w:after="0" w:line="240" w:lineRule="auto"/>
              <w:rPr>
                <w:rFonts w:ascii="Times New Roman" w:eastAsia="Times New Roman" w:hAnsi="Times New Roman" w:cs="Times New Roman"/>
                <w:kern w:val="0"/>
                <w:sz w:val="20"/>
                <w:szCs w:val="20"/>
                <w:lang w:eastAsia="en-GB"/>
                <w14:ligatures w14:val="none"/>
              </w:rPr>
            </w:pPr>
          </w:p>
        </w:tc>
      </w:tr>
      <w:tr w:rsidR="00C148C6" w:rsidRPr="00C148C6" w14:paraId="4778A38D" w14:textId="77777777" w:rsidTr="00C148C6">
        <w:trPr>
          <w:trHeight w:val="413"/>
        </w:trPr>
        <w:tc>
          <w:tcPr>
            <w:tcW w:w="1124" w:type="dxa"/>
            <w:tcBorders>
              <w:top w:val="nil"/>
              <w:left w:val="single" w:sz="8" w:space="0" w:color="auto"/>
              <w:bottom w:val="nil"/>
              <w:right w:val="single" w:sz="4" w:space="0" w:color="auto"/>
            </w:tcBorders>
            <w:shd w:val="clear" w:color="000000" w:fill="FFC000"/>
            <w:vAlign w:val="center"/>
            <w:hideMark/>
          </w:tcPr>
          <w:p w14:paraId="66163165"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6</w:t>
            </w:r>
          </w:p>
        </w:tc>
        <w:tc>
          <w:tcPr>
            <w:tcW w:w="3969" w:type="dxa"/>
            <w:tcBorders>
              <w:top w:val="nil"/>
              <w:left w:val="nil"/>
              <w:bottom w:val="nil"/>
              <w:right w:val="single" w:sz="4" w:space="0" w:color="auto"/>
            </w:tcBorders>
            <w:shd w:val="clear" w:color="000000" w:fill="FEF3CE"/>
            <w:vAlign w:val="center"/>
            <w:hideMark/>
          </w:tcPr>
          <w:p w14:paraId="7C71F01D"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More than once per week</w:t>
            </w:r>
          </w:p>
        </w:tc>
        <w:tc>
          <w:tcPr>
            <w:tcW w:w="3969" w:type="dxa"/>
            <w:vMerge/>
            <w:tcBorders>
              <w:top w:val="nil"/>
              <w:left w:val="single" w:sz="4" w:space="0" w:color="auto"/>
              <w:bottom w:val="nil"/>
              <w:right w:val="single" w:sz="8" w:space="0" w:color="auto"/>
            </w:tcBorders>
            <w:vAlign w:val="center"/>
            <w:hideMark/>
          </w:tcPr>
          <w:p w14:paraId="3A15957A" w14:textId="77777777" w:rsidR="00C148C6" w:rsidRPr="002D5C82" w:rsidRDefault="00C148C6" w:rsidP="00C148C6">
            <w:pPr>
              <w:spacing w:after="0" w:line="240" w:lineRule="auto"/>
              <w:rPr>
                <w:rFonts w:eastAsia="Times New Roman" w:cstheme="minorHAnsi"/>
                <w:kern w:val="0"/>
                <w:sz w:val="18"/>
                <w:szCs w:val="18"/>
                <w:lang w:eastAsia="en-GB"/>
                <w14:ligatures w14:val="none"/>
              </w:rPr>
            </w:pPr>
          </w:p>
        </w:tc>
        <w:tc>
          <w:tcPr>
            <w:tcW w:w="236" w:type="dxa"/>
            <w:vAlign w:val="center"/>
            <w:hideMark/>
          </w:tcPr>
          <w:p w14:paraId="6914366B" w14:textId="77777777" w:rsidR="00C148C6" w:rsidRPr="00C148C6" w:rsidRDefault="00C148C6" w:rsidP="00C148C6">
            <w:pPr>
              <w:spacing w:after="0" w:line="240" w:lineRule="auto"/>
              <w:rPr>
                <w:rFonts w:ascii="Times New Roman" w:eastAsia="Times New Roman" w:hAnsi="Times New Roman" w:cs="Times New Roman"/>
                <w:kern w:val="0"/>
                <w:sz w:val="20"/>
                <w:szCs w:val="20"/>
                <w:lang w:eastAsia="en-GB"/>
                <w14:ligatures w14:val="none"/>
              </w:rPr>
            </w:pPr>
          </w:p>
        </w:tc>
      </w:tr>
      <w:tr w:rsidR="00C148C6" w:rsidRPr="00C148C6" w14:paraId="167120ED" w14:textId="77777777" w:rsidTr="00C148C6">
        <w:trPr>
          <w:trHeight w:val="411"/>
        </w:trPr>
        <w:tc>
          <w:tcPr>
            <w:tcW w:w="1124" w:type="dxa"/>
            <w:tcBorders>
              <w:top w:val="single" w:sz="4" w:space="0" w:color="auto"/>
              <w:left w:val="single" w:sz="8" w:space="0" w:color="auto"/>
              <w:bottom w:val="single" w:sz="4" w:space="0" w:color="auto"/>
              <w:right w:val="single" w:sz="4" w:space="0" w:color="auto"/>
            </w:tcBorders>
            <w:shd w:val="clear" w:color="000000" w:fill="FFC000"/>
            <w:vAlign w:val="center"/>
            <w:hideMark/>
          </w:tcPr>
          <w:p w14:paraId="7A273BA6"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5</w:t>
            </w:r>
          </w:p>
        </w:tc>
        <w:tc>
          <w:tcPr>
            <w:tcW w:w="3969" w:type="dxa"/>
            <w:tcBorders>
              <w:top w:val="single" w:sz="4" w:space="0" w:color="auto"/>
              <w:left w:val="nil"/>
              <w:bottom w:val="single" w:sz="4" w:space="0" w:color="auto"/>
              <w:right w:val="single" w:sz="4" w:space="0" w:color="auto"/>
            </w:tcBorders>
            <w:shd w:val="clear" w:color="000000" w:fill="FEF3CE"/>
            <w:vAlign w:val="center"/>
            <w:hideMark/>
          </w:tcPr>
          <w:p w14:paraId="4E2850EE"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More than once per month</w:t>
            </w:r>
          </w:p>
        </w:tc>
        <w:tc>
          <w:tcPr>
            <w:tcW w:w="3969" w:type="dxa"/>
            <w:vMerge w:val="restart"/>
            <w:tcBorders>
              <w:top w:val="single" w:sz="4" w:space="0" w:color="auto"/>
              <w:left w:val="single" w:sz="4" w:space="0" w:color="auto"/>
              <w:bottom w:val="single" w:sz="8" w:space="0" w:color="000000"/>
              <w:right w:val="single" w:sz="8" w:space="0" w:color="auto"/>
            </w:tcBorders>
            <w:shd w:val="clear" w:color="000000" w:fill="FEF3CE"/>
            <w:vAlign w:val="center"/>
            <w:hideMark/>
          </w:tcPr>
          <w:p w14:paraId="7BB59D96" w14:textId="77777777" w:rsidR="00C148C6" w:rsidRPr="002D5C82" w:rsidRDefault="00C148C6" w:rsidP="00C148C6">
            <w:pPr>
              <w:spacing w:after="0" w:line="240" w:lineRule="auto"/>
              <w:jc w:val="center"/>
              <w:rPr>
                <w:rFonts w:eastAsia="Times New Roman" w:cstheme="minorHAnsi"/>
                <w:kern w:val="0"/>
                <w:sz w:val="18"/>
                <w:szCs w:val="18"/>
                <w:lang w:eastAsia="en-GB"/>
                <w14:ligatures w14:val="none"/>
              </w:rPr>
            </w:pPr>
            <w:r w:rsidRPr="002D5C82">
              <w:rPr>
                <w:rFonts w:eastAsia="Times New Roman" w:cstheme="minorHAnsi"/>
                <w:kern w:val="0"/>
                <w:sz w:val="18"/>
                <w:szCs w:val="18"/>
                <w:lang w:eastAsia="en-GB"/>
                <w14:ligatures w14:val="none"/>
              </w:rPr>
              <w:t>Prevention controls are effective in preventing failure cause.</w:t>
            </w:r>
          </w:p>
        </w:tc>
        <w:tc>
          <w:tcPr>
            <w:tcW w:w="236" w:type="dxa"/>
            <w:vAlign w:val="center"/>
            <w:hideMark/>
          </w:tcPr>
          <w:p w14:paraId="016B8F9D" w14:textId="77777777" w:rsidR="00C148C6" w:rsidRPr="00C148C6" w:rsidRDefault="00C148C6" w:rsidP="00C148C6">
            <w:pPr>
              <w:spacing w:after="0" w:line="240" w:lineRule="auto"/>
              <w:rPr>
                <w:rFonts w:ascii="Times New Roman" w:eastAsia="Times New Roman" w:hAnsi="Times New Roman" w:cs="Times New Roman"/>
                <w:kern w:val="0"/>
                <w:sz w:val="20"/>
                <w:szCs w:val="20"/>
                <w:lang w:eastAsia="en-GB"/>
                <w14:ligatures w14:val="none"/>
              </w:rPr>
            </w:pPr>
          </w:p>
        </w:tc>
      </w:tr>
      <w:tr w:rsidR="00C148C6" w:rsidRPr="00C148C6" w14:paraId="2ABF7A20" w14:textId="77777777" w:rsidTr="00C148C6">
        <w:trPr>
          <w:trHeight w:val="406"/>
        </w:trPr>
        <w:tc>
          <w:tcPr>
            <w:tcW w:w="1124" w:type="dxa"/>
            <w:tcBorders>
              <w:top w:val="nil"/>
              <w:left w:val="single" w:sz="8" w:space="0" w:color="auto"/>
              <w:bottom w:val="single" w:sz="8" w:space="0" w:color="auto"/>
              <w:right w:val="single" w:sz="4" w:space="0" w:color="auto"/>
            </w:tcBorders>
            <w:shd w:val="clear" w:color="000000" w:fill="FFC000"/>
            <w:vAlign w:val="center"/>
            <w:hideMark/>
          </w:tcPr>
          <w:p w14:paraId="0D08E1FE"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4</w:t>
            </w:r>
          </w:p>
        </w:tc>
        <w:tc>
          <w:tcPr>
            <w:tcW w:w="3969" w:type="dxa"/>
            <w:tcBorders>
              <w:top w:val="nil"/>
              <w:left w:val="nil"/>
              <w:bottom w:val="single" w:sz="8" w:space="0" w:color="auto"/>
              <w:right w:val="single" w:sz="4" w:space="0" w:color="auto"/>
            </w:tcBorders>
            <w:shd w:val="clear" w:color="000000" w:fill="FEF3CE"/>
            <w:vAlign w:val="center"/>
            <w:hideMark/>
          </w:tcPr>
          <w:p w14:paraId="28D28D9A" w14:textId="55872E41"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More than once per year</w:t>
            </w:r>
          </w:p>
        </w:tc>
        <w:tc>
          <w:tcPr>
            <w:tcW w:w="3969" w:type="dxa"/>
            <w:vMerge/>
            <w:tcBorders>
              <w:top w:val="single" w:sz="4" w:space="0" w:color="auto"/>
              <w:left w:val="single" w:sz="4" w:space="0" w:color="auto"/>
              <w:bottom w:val="single" w:sz="8" w:space="0" w:color="000000"/>
              <w:right w:val="single" w:sz="8" w:space="0" w:color="auto"/>
            </w:tcBorders>
            <w:vAlign w:val="center"/>
            <w:hideMark/>
          </w:tcPr>
          <w:p w14:paraId="308F113E" w14:textId="77777777" w:rsidR="00C148C6" w:rsidRPr="002D5C82" w:rsidRDefault="00C148C6" w:rsidP="00C148C6">
            <w:pPr>
              <w:spacing w:after="0" w:line="240" w:lineRule="auto"/>
              <w:rPr>
                <w:rFonts w:eastAsia="Times New Roman" w:cstheme="minorHAnsi"/>
                <w:kern w:val="0"/>
                <w:sz w:val="18"/>
                <w:szCs w:val="18"/>
                <w:lang w:eastAsia="en-GB"/>
                <w14:ligatures w14:val="none"/>
              </w:rPr>
            </w:pPr>
          </w:p>
        </w:tc>
        <w:tc>
          <w:tcPr>
            <w:tcW w:w="236" w:type="dxa"/>
            <w:vAlign w:val="center"/>
            <w:hideMark/>
          </w:tcPr>
          <w:p w14:paraId="7B9553DF" w14:textId="77777777" w:rsidR="00C148C6" w:rsidRPr="00C148C6" w:rsidRDefault="00C148C6" w:rsidP="00C148C6">
            <w:pPr>
              <w:spacing w:after="0" w:line="240" w:lineRule="auto"/>
              <w:rPr>
                <w:rFonts w:ascii="Times New Roman" w:eastAsia="Times New Roman" w:hAnsi="Times New Roman" w:cs="Times New Roman"/>
                <w:kern w:val="0"/>
                <w:sz w:val="20"/>
                <w:szCs w:val="20"/>
                <w:lang w:eastAsia="en-GB"/>
                <w14:ligatures w14:val="none"/>
              </w:rPr>
            </w:pPr>
          </w:p>
        </w:tc>
      </w:tr>
      <w:tr w:rsidR="00C148C6" w:rsidRPr="00C148C6" w14:paraId="0F5C3231" w14:textId="77777777" w:rsidTr="00C148C6">
        <w:trPr>
          <w:trHeight w:val="398"/>
        </w:trPr>
        <w:tc>
          <w:tcPr>
            <w:tcW w:w="1124" w:type="dxa"/>
            <w:tcBorders>
              <w:top w:val="nil"/>
              <w:left w:val="single" w:sz="8" w:space="0" w:color="auto"/>
              <w:bottom w:val="single" w:sz="4" w:space="0" w:color="auto"/>
              <w:right w:val="single" w:sz="4" w:space="0" w:color="auto"/>
            </w:tcBorders>
            <w:shd w:val="clear" w:color="000000" w:fill="40B107"/>
            <w:vAlign w:val="center"/>
            <w:hideMark/>
          </w:tcPr>
          <w:p w14:paraId="0EBCF345"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3</w:t>
            </w:r>
          </w:p>
        </w:tc>
        <w:tc>
          <w:tcPr>
            <w:tcW w:w="3969" w:type="dxa"/>
            <w:tcBorders>
              <w:top w:val="nil"/>
              <w:left w:val="nil"/>
              <w:bottom w:val="single" w:sz="4" w:space="0" w:color="auto"/>
              <w:right w:val="single" w:sz="4" w:space="0" w:color="auto"/>
            </w:tcBorders>
            <w:shd w:val="clear" w:color="000000" w:fill="D8E4BC"/>
            <w:vAlign w:val="center"/>
            <w:hideMark/>
          </w:tcPr>
          <w:p w14:paraId="01CD6926"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Once per year</w:t>
            </w:r>
          </w:p>
        </w:tc>
        <w:tc>
          <w:tcPr>
            <w:tcW w:w="3969" w:type="dxa"/>
            <w:vMerge w:val="restart"/>
            <w:tcBorders>
              <w:top w:val="nil"/>
              <w:left w:val="single" w:sz="4" w:space="0" w:color="auto"/>
              <w:bottom w:val="single" w:sz="4" w:space="0" w:color="auto"/>
              <w:right w:val="single" w:sz="8" w:space="0" w:color="auto"/>
            </w:tcBorders>
            <w:shd w:val="clear" w:color="000000" w:fill="D8E4BC"/>
            <w:vAlign w:val="center"/>
            <w:hideMark/>
          </w:tcPr>
          <w:p w14:paraId="40478A6E" w14:textId="77777777" w:rsidR="00C148C6" w:rsidRPr="002D5C82" w:rsidRDefault="00C148C6" w:rsidP="00C148C6">
            <w:pPr>
              <w:spacing w:after="0" w:line="240" w:lineRule="auto"/>
              <w:jc w:val="center"/>
              <w:rPr>
                <w:rFonts w:eastAsia="Times New Roman" w:cstheme="minorHAnsi"/>
                <w:kern w:val="0"/>
                <w:sz w:val="18"/>
                <w:szCs w:val="18"/>
                <w:lang w:eastAsia="en-GB"/>
                <w14:ligatures w14:val="none"/>
              </w:rPr>
            </w:pPr>
            <w:r w:rsidRPr="002D5C82">
              <w:rPr>
                <w:rFonts w:eastAsia="Times New Roman" w:cstheme="minorHAnsi"/>
                <w:kern w:val="0"/>
                <w:sz w:val="18"/>
                <w:szCs w:val="18"/>
                <w:lang w:eastAsia="en-GB"/>
                <w14:ligatures w14:val="none"/>
              </w:rPr>
              <w:t>Prevention controls are highly effective in preventing failure cause.</w:t>
            </w:r>
          </w:p>
        </w:tc>
        <w:tc>
          <w:tcPr>
            <w:tcW w:w="236" w:type="dxa"/>
            <w:vAlign w:val="center"/>
            <w:hideMark/>
          </w:tcPr>
          <w:p w14:paraId="13967D93" w14:textId="77777777" w:rsidR="00C148C6" w:rsidRPr="00C148C6" w:rsidRDefault="00C148C6" w:rsidP="00C148C6">
            <w:pPr>
              <w:spacing w:after="0" w:line="240" w:lineRule="auto"/>
              <w:rPr>
                <w:rFonts w:ascii="Times New Roman" w:eastAsia="Times New Roman" w:hAnsi="Times New Roman" w:cs="Times New Roman"/>
                <w:kern w:val="0"/>
                <w:sz w:val="20"/>
                <w:szCs w:val="20"/>
                <w:lang w:eastAsia="en-GB"/>
                <w14:ligatures w14:val="none"/>
              </w:rPr>
            </w:pPr>
          </w:p>
        </w:tc>
      </w:tr>
      <w:tr w:rsidR="00C148C6" w:rsidRPr="00C148C6" w14:paraId="483C536F" w14:textId="77777777" w:rsidTr="00C148C6">
        <w:trPr>
          <w:trHeight w:val="415"/>
        </w:trPr>
        <w:tc>
          <w:tcPr>
            <w:tcW w:w="1124" w:type="dxa"/>
            <w:tcBorders>
              <w:top w:val="nil"/>
              <w:left w:val="single" w:sz="8" w:space="0" w:color="auto"/>
              <w:bottom w:val="single" w:sz="4" w:space="0" w:color="auto"/>
              <w:right w:val="single" w:sz="4" w:space="0" w:color="auto"/>
            </w:tcBorders>
            <w:shd w:val="clear" w:color="000000" w:fill="40B107"/>
            <w:vAlign w:val="center"/>
            <w:hideMark/>
          </w:tcPr>
          <w:p w14:paraId="5EFE47B5"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2</w:t>
            </w:r>
          </w:p>
        </w:tc>
        <w:tc>
          <w:tcPr>
            <w:tcW w:w="3969" w:type="dxa"/>
            <w:tcBorders>
              <w:top w:val="nil"/>
              <w:left w:val="nil"/>
              <w:bottom w:val="single" w:sz="4" w:space="0" w:color="auto"/>
              <w:right w:val="single" w:sz="4" w:space="0" w:color="auto"/>
            </w:tcBorders>
            <w:shd w:val="clear" w:color="000000" w:fill="D8E4BC"/>
            <w:vAlign w:val="center"/>
            <w:hideMark/>
          </w:tcPr>
          <w:p w14:paraId="5C11D6A6" w14:textId="59E16A10"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Less than once per year</w:t>
            </w:r>
          </w:p>
        </w:tc>
        <w:tc>
          <w:tcPr>
            <w:tcW w:w="3969" w:type="dxa"/>
            <w:vMerge/>
            <w:tcBorders>
              <w:top w:val="nil"/>
              <w:left w:val="single" w:sz="4" w:space="0" w:color="auto"/>
              <w:bottom w:val="single" w:sz="4" w:space="0" w:color="auto"/>
              <w:right w:val="single" w:sz="8" w:space="0" w:color="auto"/>
            </w:tcBorders>
            <w:vAlign w:val="center"/>
            <w:hideMark/>
          </w:tcPr>
          <w:p w14:paraId="33648DB9" w14:textId="77777777" w:rsidR="00C148C6" w:rsidRPr="002D5C82" w:rsidRDefault="00C148C6" w:rsidP="00C148C6">
            <w:pPr>
              <w:spacing w:after="0" w:line="240" w:lineRule="auto"/>
              <w:rPr>
                <w:rFonts w:eastAsia="Times New Roman" w:cstheme="minorHAnsi"/>
                <w:kern w:val="0"/>
                <w:sz w:val="18"/>
                <w:szCs w:val="18"/>
                <w:lang w:eastAsia="en-GB"/>
                <w14:ligatures w14:val="none"/>
              </w:rPr>
            </w:pPr>
          </w:p>
        </w:tc>
        <w:tc>
          <w:tcPr>
            <w:tcW w:w="236" w:type="dxa"/>
            <w:vAlign w:val="center"/>
            <w:hideMark/>
          </w:tcPr>
          <w:p w14:paraId="339DCFDE" w14:textId="77777777" w:rsidR="00C148C6" w:rsidRPr="00C148C6" w:rsidRDefault="00C148C6" w:rsidP="00C148C6">
            <w:pPr>
              <w:spacing w:after="0" w:line="240" w:lineRule="auto"/>
              <w:rPr>
                <w:rFonts w:ascii="Times New Roman" w:eastAsia="Times New Roman" w:hAnsi="Times New Roman" w:cs="Times New Roman"/>
                <w:kern w:val="0"/>
                <w:sz w:val="20"/>
                <w:szCs w:val="20"/>
                <w:lang w:eastAsia="en-GB"/>
                <w14:ligatures w14:val="none"/>
              </w:rPr>
            </w:pPr>
          </w:p>
        </w:tc>
      </w:tr>
      <w:tr w:rsidR="00C148C6" w:rsidRPr="00C148C6" w14:paraId="0363FD4C" w14:textId="77777777" w:rsidTr="00C148C6">
        <w:trPr>
          <w:trHeight w:val="704"/>
        </w:trPr>
        <w:tc>
          <w:tcPr>
            <w:tcW w:w="1124" w:type="dxa"/>
            <w:tcBorders>
              <w:top w:val="nil"/>
              <w:left w:val="single" w:sz="8" w:space="0" w:color="auto"/>
              <w:bottom w:val="single" w:sz="8" w:space="0" w:color="auto"/>
              <w:right w:val="single" w:sz="4" w:space="0" w:color="auto"/>
            </w:tcBorders>
            <w:shd w:val="clear" w:color="000000" w:fill="40B107"/>
            <w:vAlign w:val="center"/>
            <w:hideMark/>
          </w:tcPr>
          <w:p w14:paraId="4D59B6B8"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1</w:t>
            </w:r>
          </w:p>
        </w:tc>
        <w:tc>
          <w:tcPr>
            <w:tcW w:w="3969" w:type="dxa"/>
            <w:tcBorders>
              <w:top w:val="nil"/>
              <w:left w:val="nil"/>
              <w:bottom w:val="single" w:sz="8" w:space="0" w:color="auto"/>
              <w:right w:val="single" w:sz="4" w:space="0" w:color="auto"/>
            </w:tcBorders>
            <w:shd w:val="clear" w:color="000000" w:fill="D8E4BC"/>
            <w:vAlign w:val="center"/>
            <w:hideMark/>
          </w:tcPr>
          <w:p w14:paraId="05C3922E" w14:textId="77777777" w:rsidR="00C148C6" w:rsidRPr="000D7B69" w:rsidRDefault="00C148C6" w:rsidP="00C148C6">
            <w:pPr>
              <w:spacing w:after="0" w:line="240" w:lineRule="auto"/>
              <w:jc w:val="center"/>
              <w:rPr>
                <w:rFonts w:eastAsia="Times New Roman" w:cstheme="minorHAnsi"/>
                <w:b/>
                <w:bCs/>
                <w:color w:val="000000"/>
                <w:kern w:val="0"/>
                <w:sz w:val="18"/>
                <w:szCs w:val="18"/>
                <w:lang w:eastAsia="en-GB"/>
                <w14:ligatures w14:val="none"/>
              </w:rPr>
            </w:pPr>
            <w:r w:rsidRPr="000D7B69">
              <w:rPr>
                <w:rFonts w:eastAsia="Times New Roman" w:cstheme="minorHAnsi"/>
                <w:b/>
                <w:bCs/>
                <w:color w:val="000000"/>
                <w:kern w:val="0"/>
                <w:sz w:val="18"/>
                <w:szCs w:val="18"/>
                <w:lang w:eastAsia="en-GB"/>
                <w14:ligatures w14:val="none"/>
              </w:rPr>
              <w:t>Never</w:t>
            </w:r>
          </w:p>
        </w:tc>
        <w:tc>
          <w:tcPr>
            <w:tcW w:w="3969" w:type="dxa"/>
            <w:tcBorders>
              <w:top w:val="nil"/>
              <w:left w:val="nil"/>
              <w:bottom w:val="single" w:sz="8" w:space="0" w:color="auto"/>
              <w:right w:val="single" w:sz="8" w:space="0" w:color="auto"/>
            </w:tcBorders>
            <w:shd w:val="clear" w:color="000000" w:fill="D8E4BC"/>
            <w:vAlign w:val="center"/>
            <w:hideMark/>
          </w:tcPr>
          <w:p w14:paraId="3ACBA050" w14:textId="38903BFC" w:rsidR="00C148C6" w:rsidRPr="002D5C82" w:rsidRDefault="00C148C6" w:rsidP="00C148C6">
            <w:pPr>
              <w:spacing w:after="0" w:line="240" w:lineRule="auto"/>
              <w:jc w:val="center"/>
              <w:rPr>
                <w:rFonts w:eastAsia="Times New Roman" w:cstheme="minorHAnsi"/>
                <w:kern w:val="0"/>
                <w:sz w:val="18"/>
                <w:szCs w:val="18"/>
                <w:lang w:eastAsia="en-GB"/>
                <w14:ligatures w14:val="none"/>
              </w:rPr>
            </w:pPr>
            <w:r w:rsidRPr="002D5C82">
              <w:rPr>
                <w:rFonts w:eastAsia="Times New Roman" w:cstheme="minorHAnsi"/>
                <w:kern w:val="0"/>
                <w:sz w:val="18"/>
                <w:szCs w:val="18"/>
                <w:lang w:eastAsia="en-GB"/>
                <w14:ligatures w14:val="none"/>
              </w:rPr>
              <w:t>Prevention controls are extremely effective in preventing failure</w:t>
            </w:r>
            <w:r w:rsidR="00D85DA9" w:rsidRPr="002D5C82">
              <w:rPr>
                <w:rFonts w:eastAsia="Times New Roman" w:cstheme="minorHAnsi"/>
                <w:kern w:val="0"/>
                <w:sz w:val="18"/>
                <w:szCs w:val="18"/>
                <w:lang w:eastAsia="en-GB"/>
                <w14:ligatures w14:val="none"/>
              </w:rPr>
              <w:t>.</w:t>
            </w:r>
          </w:p>
        </w:tc>
        <w:tc>
          <w:tcPr>
            <w:tcW w:w="236" w:type="dxa"/>
            <w:vAlign w:val="center"/>
            <w:hideMark/>
          </w:tcPr>
          <w:p w14:paraId="30D20058" w14:textId="77777777" w:rsidR="00C148C6" w:rsidRPr="00C148C6" w:rsidRDefault="00C148C6" w:rsidP="00C148C6">
            <w:pPr>
              <w:keepNext/>
              <w:spacing w:after="0" w:line="240" w:lineRule="auto"/>
              <w:rPr>
                <w:rFonts w:ascii="Times New Roman" w:eastAsia="Times New Roman" w:hAnsi="Times New Roman" w:cs="Times New Roman"/>
                <w:kern w:val="0"/>
                <w:sz w:val="20"/>
                <w:szCs w:val="20"/>
                <w:lang w:eastAsia="en-GB"/>
                <w14:ligatures w14:val="none"/>
              </w:rPr>
            </w:pPr>
          </w:p>
        </w:tc>
      </w:tr>
    </w:tbl>
    <w:p w14:paraId="5D038807" w14:textId="41EBE7DB" w:rsidR="00482274" w:rsidRDefault="00C148C6" w:rsidP="00C148C6">
      <w:pPr>
        <w:pStyle w:val="Caption"/>
        <w:rPr>
          <w:rFonts w:cstheme="minorHAnsi"/>
          <w:bCs/>
          <w:sz w:val="24"/>
          <w:szCs w:val="24"/>
        </w:rPr>
      </w:pPr>
      <w:bookmarkStart w:id="17" w:name="_Toc214299335"/>
      <w:r>
        <w:t xml:space="preserve">Table </w:t>
      </w:r>
      <w:fldSimple w:instr=" SEQ Table \* ARABIC ">
        <w:r w:rsidR="000A7B00">
          <w:rPr>
            <w:noProof/>
          </w:rPr>
          <w:t>3</w:t>
        </w:r>
      </w:fldSimple>
      <w:r>
        <w:t xml:space="preserve"> - Occurrence Matrix for FMEA</w:t>
      </w:r>
      <w:bookmarkEnd w:id="17"/>
    </w:p>
    <w:p w14:paraId="6538F329" w14:textId="2D955EBB" w:rsidR="005F6C19" w:rsidRDefault="00654599" w:rsidP="00FC2373">
      <w:pPr>
        <w:pStyle w:val="Heading2"/>
        <w:spacing w:line="360" w:lineRule="auto"/>
      </w:pPr>
      <w:bookmarkStart w:id="18" w:name="_Toc214299353"/>
      <w:r>
        <w:t>3</w:t>
      </w:r>
      <w:r w:rsidR="00827C8D">
        <w:t>.</w:t>
      </w:r>
      <w:r w:rsidR="00936C4E">
        <w:t>5</w:t>
      </w:r>
      <w:r w:rsidR="00827C8D">
        <w:t xml:space="preserve"> </w:t>
      </w:r>
      <w:r w:rsidR="005F6C19" w:rsidRPr="00280525">
        <w:t>Detection</w:t>
      </w:r>
      <w:bookmarkEnd w:id="18"/>
    </w:p>
    <w:p w14:paraId="42D2EB78" w14:textId="27F1002A" w:rsidR="000D7B69" w:rsidRDefault="002D5C82" w:rsidP="00FC2373">
      <w:pPr>
        <w:spacing w:line="360" w:lineRule="auto"/>
        <w:jc w:val="both"/>
        <w:rPr>
          <w:rFonts w:cstheme="minorHAnsi"/>
          <w:bCs/>
          <w:sz w:val="24"/>
          <w:szCs w:val="24"/>
        </w:rPr>
      </w:pPr>
      <w:r w:rsidRPr="00CA292D">
        <w:rPr>
          <w:rFonts w:cstheme="minorHAnsi"/>
          <w:bCs/>
          <w:sz w:val="24"/>
          <w:szCs w:val="24"/>
        </w:rPr>
        <w:t xml:space="preserve">Detection is defined as the extent to which a failure can be identified before it produces a significant impact on operations. Within Tata Steel’s supply chain, detection capability varies according to the degree of process visibility and the effectiveness of monitoring systems. </w:t>
      </w:r>
      <w:r>
        <w:rPr>
          <w:rFonts w:cstheme="minorHAnsi"/>
          <w:bCs/>
          <w:sz w:val="24"/>
          <w:szCs w:val="24"/>
        </w:rPr>
        <w:t>Portrayed in table 4, f</w:t>
      </w:r>
      <w:r w:rsidRPr="00CA292D">
        <w:rPr>
          <w:rFonts w:cstheme="minorHAnsi"/>
          <w:bCs/>
          <w:sz w:val="24"/>
          <w:szCs w:val="24"/>
        </w:rPr>
        <w:t xml:space="preserve">ailures such as </w:t>
      </w:r>
      <w:r w:rsidRPr="00C80424">
        <w:rPr>
          <w:rFonts w:cstheme="minorHAnsi"/>
          <w:bCs/>
          <w:sz w:val="24"/>
          <w:szCs w:val="24"/>
        </w:rPr>
        <w:t>documentation errors</w:t>
      </w:r>
      <w:r w:rsidRPr="00CA292D">
        <w:rPr>
          <w:rFonts w:cstheme="minorHAnsi"/>
          <w:bCs/>
          <w:sz w:val="24"/>
          <w:szCs w:val="24"/>
        </w:rPr>
        <w:t xml:space="preserve"> are generally identifiable at an early stage through administrative verification, whereas issues such as supplier quality non-conformities are more difficult to anticipate. </w:t>
      </w:r>
      <w:r>
        <w:rPr>
          <w:rFonts w:cstheme="minorHAnsi"/>
          <w:bCs/>
          <w:sz w:val="24"/>
          <w:szCs w:val="24"/>
        </w:rPr>
        <w:t xml:space="preserve">Shown below in table </w:t>
      </w:r>
      <w:r>
        <w:rPr>
          <w:rFonts w:cstheme="minorHAnsi"/>
          <w:bCs/>
          <w:sz w:val="24"/>
          <w:szCs w:val="24"/>
        </w:rPr>
        <w:t>4</w:t>
      </w:r>
      <w:r>
        <w:rPr>
          <w:rFonts w:cstheme="minorHAnsi"/>
          <w:bCs/>
          <w:sz w:val="24"/>
          <w:szCs w:val="24"/>
        </w:rPr>
        <w:t>, higher</w:t>
      </w:r>
      <w:r w:rsidRPr="00CA292D">
        <w:rPr>
          <w:rFonts w:cstheme="minorHAnsi"/>
          <w:bCs/>
          <w:sz w:val="24"/>
          <w:szCs w:val="24"/>
        </w:rPr>
        <w:t xml:space="preserve"> detection ratings </w:t>
      </w:r>
      <w:r w:rsidRPr="00CA292D">
        <w:rPr>
          <w:rFonts w:cstheme="minorHAnsi"/>
          <w:bCs/>
          <w:sz w:val="24"/>
          <w:szCs w:val="24"/>
        </w:rPr>
        <w:lastRenderedPageBreak/>
        <w:t>reflect a reduced organisational capacity to predict or mitigate potential failures prior to their effect on production activities.</w:t>
      </w:r>
    </w:p>
    <w:tbl>
      <w:tblPr>
        <w:tblW w:w="9480" w:type="dxa"/>
        <w:tblLook w:val="04A0" w:firstRow="1" w:lastRow="0" w:firstColumn="1" w:lastColumn="0" w:noHBand="0" w:noVBand="1"/>
      </w:tblPr>
      <w:tblGrid>
        <w:gridCol w:w="803"/>
        <w:gridCol w:w="1805"/>
        <w:gridCol w:w="3213"/>
        <w:gridCol w:w="3437"/>
        <w:gridCol w:w="222"/>
      </w:tblGrid>
      <w:tr w:rsidR="00812F59" w:rsidRPr="00812F59" w14:paraId="085A7010" w14:textId="77777777" w:rsidTr="00812F59">
        <w:trPr>
          <w:gridAfter w:val="1"/>
          <w:wAfter w:w="36" w:type="dxa"/>
          <w:trHeight w:val="413"/>
        </w:trPr>
        <w:tc>
          <w:tcPr>
            <w:tcW w:w="9444" w:type="dxa"/>
            <w:gridSpan w:val="4"/>
            <w:tcBorders>
              <w:top w:val="single" w:sz="8" w:space="0" w:color="auto"/>
              <w:left w:val="single" w:sz="8" w:space="0" w:color="auto"/>
              <w:bottom w:val="single" w:sz="8" w:space="0" w:color="000000"/>
              <w:right w:val="single" w:sz="8" w:space="0" w:color="000000"/>
            </w:tcBorders>
            <w:shd w:val="clear" w:color="000000" w:fill="1F497D"/>
            <w:vAlign w:val="center"/>
            <w:hideMark/>
          </w:tcPr>
          <w:p w14:paraId="28DB83C2"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Detection Potential (D) for the Validation of the Process Design</w:t>
            </w:r>
          </w:p>
        </w:tc>
      </w:tr>
      <w:tr w:rsidR="00812F59" w:rsidRPr="00812F59" w14:paraId="34FBD830" w14:textId="77777777" w:rsidTr="00812F59">
        <w:trPr>
          <w:gridAfter w:val="1"/>
          <w:wAfter w:w="36" w:type="dxa"/>
          <w:trHeight w:val="480"/>
        </w:trPr>
        <w:tc>
          <w:tcPr>
            <w:tcW w:w="817" w:type="dxa"/>
            <w:vMerge w:val="restart"/>
            <w:tcBorders>
              <w:top w:val="nil"/>
              <w:left w:val="single" w:sz="8" w:space="0" w:color="auto"/>
              <w:bottom w:val="nil"/>
              <w:right w:val="single" w:sz="8" w:space="0" w:color="000000"/>
            </w:tcBorders>
            <w:shd w:val="clear" w:color="000000" w:fill="4BACC6"/>
            <w:vAlign w:val="center"/>
            <w:hideMark/>
          </w:tcPr>
          <w:p w14:paraId="1089CD56" w14:textId="77777777" w:rsidR="00812F59" w:rsidRPr="00812F59" w:rsidRDefault="00812F59" w:rsidP="00812F59">
            <w:pPr>
              <w:spacing w:after="0" w:line="240" w:lineRule="auto"/>
              <w:jc w:val="center"/>
              <w:rPr>
                <w:rFonts w:ascii="Calibri" w:eastAsia="Times New Roman" w:hAnsi="Calibri" w:cs="Calibri"/>
                <w:b/>
                <w:bCs/>
                <w:color w:val="FFFFFF"/>
                <w:kern w:val="0"/>
                <w:sz w:val="18"/>
                <w:szCs w:val="18"/>
                <w:lang w:eastAsia="en-GB"/>
                <w14:ligatures w14:val="none"/>
              </w:rPr>
            </w:pPr>
            <w:r w:rsidRPr="00812F59">
              <w:rPr>
                <w:rFonts w:ascii="Calibri" w:eastAsia="Times New Roman" w:hAnsi="Calibri" w:cs="Calibri"/>
                <w:b/>
                <w:bCs/>
                <w:color w:val="FFFFFF"/>
                <w:kern w:val="0"/>
                <w:sz w:val="18"/>
                <w:szCs w:val="18"/>
                <w:lang w:eastAsia="en-GB"/>
                <w14:ligatures w14:val="none"/>
              </w:rPr>
              <w:t>D</w:t>
            </w:r>
          </w:p>
        </w:tc>
        <w:tc>
          <w:tcPr>
            <w:tcW w:w="1834" w:type="dxa"/>
            <w:vMerge w:val="restart"/>
            <w:tcBorders>
              <w:top w:val="nil"/>
              <w:left w:val="single" w:sz="8" w:space="0" w:color="000000"/>
              <w:bottom w:val="nil"/>
              <w:right w:val="single" w:sz="8" w:space="0" w:color="000000"/>
            </w:tcBorders>
            <w:shd w:val="clear" w:color="000000" w:fill="4BACC6"/>
            <w:vAlign w:val="center"/>
            <w:hideMark/>
          </w:tcPr>
          <w:p w14:paraId="11972693" w14:textId="77777777" w:rsidR="00812F59" w:rsidRPr="00812F59" w:rsidRDefault="00812F59" w:rsidP="00812F59">
            <w:pPr>
              <w:spacing w:after="0" w:line="240" w:lineRule="auto"/>
              <w:jc w:val="center"/>
              <w:rPr>
                <w:rFonts w:ascii="Calibri" w:eastAsia="Times New Roman" w:hAnsi="Calibri" w:cs="Calibri"/>
                <w:b/>
                <w:bCs/>
                <w:color w:val="FFFFFF"/>
                <w:kern w:val="0"/>
                <w:sz w:val="18"/>
                <w:szCs w:val="18"/>
                <w:lang w:eastAsia="en-GB"/>
                <w14:ligatures w14:val="none"/>
              </w:rPr>
            </w:pPr>
            <w:r w:rsidRPr="00812F59">
              <w:rPr>
                <w:rFonts w:ascii="Calibri" w:eastAsia="Times New Roman" w:hAnsi="Calibri" w:cs="Calibri"/>
                <w:b/>
                <w:bCs/>
                <w:color w:val="FFFFFF"/>
                <w:kern w:val="0"/>
                <w:sz w:val="18"/>
                <w:szCs w:val="18"/>
                <w:lang w:eastAsia="en-GB"/>
                <w14:ligatures w14:val="none"/>
              </w:rPr>
              <w:t>Ability to Detect</w:t>
            </w:r>
          </w:p>
        </w:tc>
        <w:tc>
          <w:tcPr>
            <w:tcW w:w="3286" w:type="dxa"/>
            <w:vMerge w:val="restart"/>
            <w:tcBorders>
              <w:top w:val="nil"/>
              <w:left w:val="single" w:sz="8" w:space="0" w:color="000000"/>
              <w:bottom w:val="nil"/>
              <w:right w:val="single" w:sz="8" w:space="0" w:color="000000"/>
            </w:tcBorders>
            <w:shd w:val="clear" w:color="000000" w:fill="4BACC6"/>
            <w:vAlign w:val="center"/>
            <w:hideMark/>
          </w:tcPr>
          <w:p w14:paraId="6EAF9012" w14:textId="77777777" w:rsidR="00812F59" w:rsidRPr="00812F59" w:rsidRDefault="00812F59" w:rsidP="00812F59">
            <w:pPr>
              <w:spacing w:after="0" w:line="240" w:lineRule="auto"/>
              <w:jc w:val="center"/>
              <w:rPr>
                <w:rFonts w:ascii="Calibri" w:eastAsia="Times New Roman" w:hAnsi="Calibri" w:cs="Calibri"/>
                <w:b/>
                <w:bCs/>
                <w:color w:val="FFFFFF"/>
                <w:kern w:val="0"/>
                <w:sz w:val="18"/>
                <w:szCs w:val="18"/>
                <w:lang w:eastAsia="en-GB"/>
                <w14:ligatures w14:val="none"/>
              </w:rPr>
            </w:pPr>
            <w:r w:rsidRPr="00812F59">
              <w:rPr>
                <w:rFonts w:ascii="Calibri" w:eastAsia="Times New Roman" w:hAnsi="Calibri" w:cs="Calibri"/>
                <w:b/>
                <w:bCs/>
                <w:color w:val="FFFFFF"/>
                <w:kern w:val="0"/>
                <w:sz w:val="18"/>
                <w:szCs w:val="18"/>
                <w:lang w:eastAsia="en-GB"/>
                <w14:ligatures w14:val="none"/>
              </w:rPr>
              <w:t>Detection Method Maturity</w:t>
            </w:r>
          </w:p>
        </w:tc>
        <w:tc>
          <w:tcPr>
            <w:tcW w:w="3507" w:type="dxa"/>
            <w:vMerge w:val="restart"/>
            <w:tcBorders>
              <w:top w:val="nil"/>
              <w:left w:val="single" w:sz="8" w:space="0" w:color="000000"/>
              <w:bottom w:val="nil"/>
              <w:right w:val="single" w:sz="8" w:space="0" w:color="auto"/>
            </w:tcBorders>
            <w:shd w:val="clear" w:color="000000" w:fill="4BACC6"/>
            <w:vAlign w:val="center"/>
            <w:hideMark/>
          </w:tcPr>
          <w:p w14:paraId="6036E4FE" w14:textId="77777777" w:rsidR="00812F59" w:rsidRPr="00812F59" w:rsidRDefault="00812F59" w:rsidP="00812F59">
            <w:pPr>
              <w:spacing w:after="0" w:line="240" w:lineRule="auto"/>
              <w:jc w:val="center"/>
              <w:rPr>
                <w:rFonts w:ascii="Calibri" w:eastAsia="Times New Roman" w:hAnsi="Calibri" w:cs="Calibri"/>
                <w:b/>
                <w:bCs/>
                <w:color w:val="FFFFFF"/>
                <w:kern w:val="0"/>
                <w:sz w:val="18"/>
                <w:szCs w:val="18"/>
                <w:lang w:eastAsia="en-GB"/>
                <w14:ligatures w14:val="none"/>
              </w:rPr>
            </w:pPr>
            <w:r w:rsidRPr="00812F59">
              <w:rPr>
                <w:rFonts w:ascii="Calibri" w:eastAsia="Times New Roman" w:hAnsi="Calibri" w:cs="Calibri"/>
                <w:b/>
                <w:bCs/>
                <w:color w:val="FFFFFF"/>
                <w:kern w:val="0"/>
                <w:sz w:val="18"/>
                <w:szCs w:val="18"/>
                <w:lang w:eastAsia="en-GB"/>
                <w14:ligatures w14:val="none"/>
              </w:rPr>
              <w:t>Opportunity for Detection</w:t>
            </w:r>
          </w:p>
        </w:tc>
      </w:tr>
      <w:tr w:rsidR="00812F59" w:rsidRPr="00812F59" w14:paraId="14265ED5" w14:textId="77777777" w:rsidTr="00812F59">
        <w:trPr>
          <w:trHeight w:val="210"/>
        </w:trPr>
        <w:tc>
          <w:tcPr>
            <w:tcW w:w="817" w:type="dxa"/>
            <w:vMerge/>
            <w:tcBorders>
              <w:top w:val="nil"/>
              <w:left w:val="single" w:sz="8" w:space="0" w:color="auto"/>
              <w:bottom w:val="nil"/>
              <w:right w:val="single" w:sz="8" w:space="0" w:color="000000"/>
            </w:tcBorders>
            <w:vAlign w:val="center"/>
            <w:hideMark/>
          </w:tcPr>
          <w:p w14:paraId="3CA18334" w14:textId="77777777" w:rsidR="00812F59" w:rsidRPr="00812F59" w:rsidRDefault="00812F59" w:rsidP="00812F59">
            <w:pPr>
              <w:spacing w:after="0" w:line="240" w:lineRule="auto"/>
              <w:rPr>
                <w:rFonts w:ascii="Calibri" w:eastAsia="Times New Roman" w:hAnsi="Calibri" w:cs="Calibri"/>
                <w:b/>
                <w:bCs/>
                <w:color w:val="FFFFFF"/>
                <w:kern w:val="0"/>
                <w:sz w:val="18"/>
                <w:szCs w:val="18"/>
                <w:lang w:eastAsia="en-GB"/>
                <w14:ligatures w14:val="none"/>
              </w:rPr>
            </w:pPr>
          </w:p>
        </w:tc>
        <w:tc>
          <w:tcPr>
            <w:tcW w:w="1834" w:type="dxa"/>
            <w:vMerge/>
            <w:tcBorders>
              <w:top w:val="nil"/>
              <w:left w:val="single" w:sz="8" w:space="0" w:color="000000"/>
              <w:bottom w:val="nil"/>
              <w:right w:val="single" w:sz="8" w:space="0" w:color="000000"/>
            </w:tcBorders>
            <w:vAlign w:val="center"/>
            <w:hideMark/>
          </w:tcPr>
          <w:p w14:paraId="1B332C99" w14:textId="77777777" w:rsidR="00812F59" w:rsidRPr="00812F59" w:rsidRDefault="00812F59" w:rsidP="00812F59">
            <w:pPr>
              <w:spacing w:after="0" w:line="240" w:lineRule="auto"/>
              <w:rPr>
                <w:rFonts w:ascii="Calibri" w:eastAsia="Times New Roman" w:hAnsi="Calibri" w:cs="Calibri"/>
                <w:b/>
                <w:bCs/>
                <w:color w:val="FFFFFF"/>
                <w:kern w:val="0"/>
                <w:sz w:val="18"/>
                <w:szCs w:val="18"/>
                <w:lang w:eastAsia="en-GB"/>
                <w14:ligatures w14:val="none"/>
              </w:rPr>
            </w:pPr>
          </w:p>
        </w:tc>
        <w:tc>
          <w:tcPr>
            <w:tcW w:w="3286" w:type="dxa"/>
            <w:vMerge/>
            <w:tcBorders>
              <w:top w:val="nil"/>
              <w:left w:val="single" w:sz="8" w:space="0" w:color="000000"/>
              <w:bottom w:val="nil"/>
              <w:right w:val="single" w:sz="8" w:space="0" w:color="000000"/>
            </w:tcBorders>
            <w:vAlign w:val="center"/>
            <w:hideMark/>
          </w:tcPr>
          <w:p w14:paraId="1542A0BB" w14:textId="77777777" w:rsidR="00812F59" w:rsidRPr="00812F59" w:rsidRDefault="00812F59" w:rsidP="00812F59">
            <w:pPr>
              <w:spacing w:after="0" w:line="240" w:lineRule="auto"/>
              <w:rPr>
                <w:rFonts w:ascii="Calibri" w:eastAsia="Times New Roman" w:hAnsi="Calibri" w:cs="Calibri"/>
                <w:b/>
                <w:bCs/>
                <w:color w:val="FFFFFF"/>
                <w:kern w:val="0"/>
                <w:sz w:val="18"/>
                <w:szCs w:val="18"/>
                <w:lang w:eastAsia="en-GB"/>
                <w14:ligatures w14:val="none"/>
              </w:rPr>
            </w:pPr>
          </w:p>
        </w:tc>
        <w:tc>
          <w:tcPr>
            <w:tcW w:w="3507" w:type="dxa"/>
            <w:vMerge/>
            <w:tcBorders>
              <w:top w:val="nil"/>
              <w:left w:val="single" w:sz="8" w:space="0" w:color="000000"/>
              <w:bottom w:val="nil"/>
              <w:right w:val="single" w:sz="8" w:space="0" w:color="auto"/>
            </w:tcBorders>
            <w:vAlign w:val="center"/>
            <w:hideMark/>
          </w:tcPr>
          <w:p w14:paraId="381CF3C9" w14:textId="77777777" w:rsidR="00812F59" w:rsidRPr="00812F59" w:rsidRDefault="00812F59" w:rsidP="00812F59">
            <w:pPr>
              <w:spacing w:after="0" w:line="240" w:lineRule="auto"/>
              <w:rPr>
                <w:rFonts w:ascii="Calibri" w:eastAsia="Times New Roman" w:hAnsi="Calibri" w:cs="Calibri"/>
                <w:b/>
                <w:bCs/>
                <w:color w:val="FFFFFF"/>
                <w:kern w:val="0"/>
                <w:sz w:val="18"/>
                <w:szCs w:val="18"/>
                <w:lang w:eastAsia="en-GB"/>
                <w14:ligatures w14:val="none"/>
              </w:rPr>
            </w:pPr>
          </w:p>
        </w:tc>
        <w:tc>
          <w:tcPr>
            <w:tcW w:w="36" w:type="dxa"/>
            <w:tcBorders>
              <w:top w:val="nil"/>
              <w:left w:val="nil"/>
              <w:bottom w:val="nil"/>
              <w:right w:val="nil"/>
            </w:tcBorders>
            <w:noWrap/>
            <w:vAlign w:val="bottom"/>
            <w:hideMark/>
          </w:tcPr>
          <w:p w14:paraId="49C1354B" w14:textId="77777777" w:rsidR="00812F59" w:rsidRPr="00812F59" w:rsidRDefault="00812F59" w:rsidP="00812F59">
            <w:pPr>
              <w:spacing w:after="0" w:line="240" w:lineRule="auto"/>
              <w:jc w:val="center"/>
              <w:rPr>
                <w:rFonts w:ascii="Calibri" w:eastAsia="Times New Roman" w:hAnsi="Calibri" w:cs="Calibri"/>
                <w:b/>
                <w:bCs/>
                <w:color w:val="FFFFFF"/>
                <w:kern w:val="0"/>
                <w:sz w:val="18"/>
                <w:szCs w:val="18"/>
                <w:lang w:eastAsia="en-GB"/>
                <w14:ligatures w14:val="none"/>
              </w:rPr>
            </w:pPr>
          </w:p>
        </w:tc>
      </w:tr>
      <w:tr w:rsidR="00812F59" w:rsidRPr="00812F59" w14:paraId="5BDFF03D" w14:textId="77777777" w:rsidTr="00812F59">
        <w:trPr>
          <w:trHeight w:val="915"/>
        </w:trPr>
        <w:tc>
          <w:tcPr>
            <w:tcW w:w="817" w:type="dxa"/>
            <w:tcBorders>
              <w:top w:val="nil"/>
              <w:left w:val="single" w:sz="8" w:space="0" w:color="auto"/>
              <w:bottom w:val="single" w:sz="4" w:space="0" w:color="auto"/>
              <w:right w:val="single" w:sz="4" w:space="0" w:color="auto"/>
            </w:tcBorders>
            <w:shd w:val="clear" w:color="000000" w:fill="FF0000"/>
            <w:vAlign w:val="center"/>
            <w:hideMark/>
          </w:tcPr>
          <w:p w14:paraId="1F10CA07"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10</w:t>
            </w:r>
          </w:p>
        </w:tc>
        <w:tc>
          <w:tcPr>
            <w:tcW w:w="1834" w:type="dxa"/>
            <w:vMerge w:val="restart"/>
            <w:tcBorders>
              <w:top w:val="nil"/>
              <w:left w:val="single" w:sz="4" w:space="0" w:color="auto"/>
              <w:bottom w:val="single" w:sz="4" w:space="0" w:color="auto"/>
              <w:right w:val="single" w:sz="4" w:space="0" w:color="auto"/>
            </w:tcBorders>
            <w:shd w:val="clear" w:color="000000" w:fill="FF0000"/>
            <w:vAlign w:val="center"/>
            <w:hideMark/>
          </w:tcPr>
          <w:p w14:paraId="62232E4E"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Very low</w:t>
            </w:r>
          </w:p>
        </w:tc>
        <w:tc>
          <w:tcPr>
            <w:tcW w:w="3286" w:type="dxa"/>
            <w:tcBorders>
              <w:top w:val="nil"/>
              <w:left w:val="nil"/>
              <w:bottom w:val="single" w:sz="4" w:space="0" w:color="auto"/>
              <w:right w:val="single" w:sz="4" w:space="0" w:color="auto"/>
            </w:tcBorders>
            <w:shd w:val="clear" w:color="000000" w:fill="FFB5A3"/>
            <w:vAlign w:val="center"/>
            <w:hideMark/>
          </w:tcPr>
          <w:p w14:paraId="7AB45647" w14:textId="77777777" w:rsidR="00812F59" w:rsidRPr="002D5C82" w:rsidRDefault="00812F59" w:rsidP="00812F59">
            <w:pPr>
              <w:spacing w:after="0" w:line="240" w:lineRule="auto"/>
              <w:jc w:val="center"/>
              <w:rPr>
                <w:rFonts w:ascii="Calibri" w:eastAsia="Times New Roman" w:hAnsi="Calibri" w:cs="Calibri"/>
                <w:kern w:val="0"/>
                <w:sz w:val="18"/>
                <w:szCs w:val="18"/>
                <w:lang w:eastAsia="en-GB"/>
                <w14:ligatures w14:val="none"/>
              </w:rPr>
            </w:pPr>
            <w:r w:rsidRPr="002D5C82">
              <w:rPr>
                <w:rFonts w:ascii="Calibri" w:eastAsia="Times New Roman" w:hAnsi="Calibri" w:cs="Calibri"/>
                <w:kern w:val="0"/>
                <w:sz w:val="18"/>
                <w:szCs w:val="18"/>
                <w:lang w:eastAsia="en-GB"/>
                <w14:ligatures w14:val="none"/>
              </w:rPr>
              <w:t>No testing or inspection method has been established or is known.</w:t>
            </w:r>
          </w:p>
        </w:tc>
        <w:tc>
          <w:tcPr>
            <w:tcW w:w="3507" w:type="dxa"/>
            <w:vMerge w:val="restart"/>
            <w:tcBorders>
              <w:top w:val="nil"/>
              <w:left w:val="single" w:sz="4" w:space="0" w:color="auto"/>
              <w:bottom w:val="single" w:sz="4" w:space="0" w:color="000000"/>
              <w:right w:val="single" w:sz="8" w:space="0" w:color="auto"/>
            </w:tcBorders>
            <w:shd w:val="clear" w:color="000000" w:fill="FFB5A3"/>
            <w:vAlign w:val="center"/>
            <w:hideMark/>
          </w:tcPr>
          <w:p w14:paraId="735EC9DE" w14:textId="77777777" w:rsidR="00812F59" w:rsidRPr="002D5C82" w:rsidRDefault="00812F59" w:rsidP="00812F59">
            <w:pPr>
              <w:spacing w:after="0" w:line="240" w:lineRule="auto"/>
              <w:jc w:val="center"/>
              <w:rPr>
                <w:rFonts w:ascii="Calibri" w:eastAsia="Times New Roman" w:hAnsi="Calibri" w:cs="Calibri"/>
                <w:kern w:val="0"/>
                <w:sz w:val="18"/>
                <w:szCs w:val="18"/>
                <w:lang w:eastAsia="en-GB"/>
                <w14:ligatures w14:val="none"/>
              </w:rPr>
            </w:pPr>
            <w:r w:rsidRPr="002D5C82">
              <w:rPr>
                <w:rFonts w:ascii="Calibri" w:eastAsia="Times New Roman" w:hAnsi="Calibri" w:cs="Calibri"/>
                <w:kern w:val="0"/>
                <w:sz w:val="18"/>
                <w:szCs w:val="18"/>
                <w:lang w:eastAsia="en-GB"/>
                <w14:ligatures w14:val="none"/>
              </w:rPr>
              <w:t>The event is extremely difficult to predict, offering little to no warning. Detection usually occurs only after the risk has occurred, as the failure mode is not easily identified and cannot be reliably caught through random audits.</w:t>
            </w:r>
          </w:p>
        </w:tc>
        <w:tc>
          <w:tcPr>
            <w:tcW w:w="36" w:type="dxa"/>
            <w:vAlign w:val="center"/>
            <w:hideMark/>
          </w:tcPr>
          <w:p w14:paraId="16732F07" w14:textId="77777777" w:rsidR="00812F59" w:rsidRPr="00812F59" w:rsidRDefault="00812F59" w:rsidP="00812F59">
            <w:pPr>
              <w:spacing w:after="0" w:line="240" w:lineRule="auto"/>
              <w:rPr>
                <w:rFonts w:ascii="Times New Roman" w:eastAsia="Times New Roman" w:hAnsi="Times New Roman" w:cs="Times New Roman"/>
                <w:kern w:val="0"/>
                <w:sz w:val="20"/>
                <w:szCs w:val="20"/>
                <w:lang w:eastAsia="en-GB"/>
                <w14:ligatures w14:val="none"/>
              </w:rPr>
            </w:pPr>
          </w:p>
        </w:tc>
      </w:tr>
      <w:tr w:rsidR="00812F59" w:rsidRPr="00812F59" w14:paraId="1F586FF9" w14:textId="77777777" w:rsidTr="00812F59">
        <w:trPr>
          <w:trHeight w:val="915"/>
        </w:trPr>
        <w:tc>
          <w:tcPr>
            <w:tcW w:w="817" w:type="dxa"/>
            <w:tcBorders>
              <w:top w:val="nil"/>
              <w:left w:val="single" w:sz="8" w:space="0" w:color="auto"/>
              <w:bottom w:val="single" w:sz="4" w:space="0" w:color="auto"/>
              <w:right w:val="single" w:sz="4" w:space="0" w:color="auto"/>
            </w:tcBorders>
            <w:shd w:val="clear" w:color="000000" w:fill="FF0000"/>
            <w:vAlign w:val="center"/>
            <w:hideMark/>
          </w:tcPr>
          <w:p w14:paraId="3910460D"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9</w:t>
            </w:r>
          </w:p>
        </w:tc>
        <w:tc>
          <w:tcPr>
            <w:tcW w:w="1834" w:type="dxa"/>
            <w:vMerge/>
            <w:tcBorders>
              <w:top w:val="nil"/>
              <w:left w:val="single" w:sz="4" w:space="0" w:color="auto"/>
              <w:bottom w:val="single" w:sz="4" w:space="0" w:color="auto"/>
              <w:right w:val="single" w:sz="4" w:space="0" w:color="auto"/>
            </w:tcBorders>
            <w:vAlign w:val="center"/>
            <w:hideMark/>
          </w:tcPr>
          <w:p w14:paraId="405C3E29" w14:textId="77777777" w:rsidR="00812F59" w:rsidRPr="00812F59" w:rsidRDefault="00812F59" w:rsidP="00812F59">
            <w:pPr>
              <w:spacing w:after="0" w:line="240" w:lineRule="auto"/>
              <w:rPr>
                <w:rFonts w:ascii="Calibri" w:eastAsia="Times New Roman" w:hAnsi="Calibri" w:cs="Calibri"/>
                <w:b/>
                <w:bCs/>
                <w:color w:val="000000"/>
                <w:kern w:val="0"/>
                <w:sz w:val="18"/>
                <w:szCs w:val="18"/>
                <w:lang w:eastAsia="en-GB"/>
                <w14:ligatures w14:val="none"/>
              </w:rPr>
            </w:pPr>
          </w:p>
        </w:tc>
        <w:tc>
          <w:tcPr>
            <w:tcW w:w="3286" w:type="dxa"/>
            <w:tcBorders>
              <w:top w:val="nil"/>
              <w:left w:val="nil"/>
              <w:bottom w:val="single" w:sz="4" w:space="0" w:color="auto"/>
              <w:right w:val="single" w:sz="4" w:space="0" w:color="auto"/>
            </w:tcBorders>
            <w:shd w:val="clear" w:color="000000" w:fill="FFB5A3"/>
            <w:vAlign w:val="center"/>
            <w:hideMark/>
          </w:tcPr>
          <w:p w14:paraId="2DC971C7" w14:textId="77777777" w:rsidR="00812F59" w:rsidRPr="002D5C82" w:rsidRDefault="00812F59" w:rsidP="00812F59">
            <w:pPr>
              <w:spacing w:after="0" w:line="240" w:lineRule="auto"/>
              <w:jc w:val="center"/>
              <w:rPr>
                <w:rFonts w:ascii="Calibri" w:eastAsia="Times New Roman" w:hAnsi="Calibri" w:cs="Calibri"/>
                <w:kern w:val="0"/>
                <w:sz w:val="18"/>
                <w:szCs w:val="18"/>
                <w:lang w:eastAsia="en-GB"/>
                <w14:ligatures w14:val="none"/>
              </w:rPr>
            </w:pPr>
            <w:r w:rsidRPr="002D5C82">
              <w:rPr>
                <w:rFonts w:ascii="Calibri" w:eastAsia="Times New Roman" w:hAnsi="Calibri" w:cs="Calibri"/>
                <w:kern w:val="0"/>
                <w:sz w:val="18"/>
                <w:szCs w:val="18"/>
                <w:lang w:eastAsia="en-GB"/>
                <w14:ligatures w14:val="none"/>
              </w:rPr>
              <w:t>It is unlikely that the testing or inspection method will detect the failure mode</w:t>
            </w:r>
          </w:p>
        </w:tc>
        <w:tc>
          <w:tcPr>
            <w:tcW w:w="3507" w:type="dxa"/>
            <w:vMerge/>
            <w:tcBorders>
              <w:top w:val="nil"/>
              <w:left w:val="single" w:sz="4" w:space="0" w:color="auto"/>
              <w:bottom w:val="single" w:sz="4" w:space="0" w:color="000000"/>
              <w:right w:val="single" w:sz="8" w:space="0" w:color="auto"/>
            </w:tcBorders>
            <w:vAlign w:val="center"/>
            <w:hideMark/>
          </w:tcPr>
          <w:p w14:paraId="241EB2B1" w14:textId="77777777" w:rsidR="00812F59" w:rsidRPr="002D5C82" w:rsidRDefault="00812F59" w:rsidP="00812F59">
            <w:pPr>
              <w:spacing w:after="0" w:line="240" w:lineRule="auto"/>
              <w:rPr>
                <w:rFonts w:ascii="Calibri" w:eastAsia="Times New Roman" w:hAnsi="Calibri" w:cs="Calibri"/>
                <w:kern w:val="0"/>
                <w:sz w:val="18"/>
                <w:szCs w:val="18"/>
                <w:lang w:eastAsia="en-GB"/>
                <w14:ligatures w14:val="none"/>
              </w:rPr>
            </w:pPr>
          </w:p>
        </w:tc>
        <w:tc>
          <w:tcPr>
            <w:tcW w:w="36" w:type="dxa"/>
            <w:vAlign w:val="center"/>
            <w:hideMark/>
          </w:tcPr>
          <w:p w14:paraId="48B9EA25" w14:textId="77777777" w:rsidR="00812F59" w:rsidRPr="00812F59" w:rsidRDefault="00812F59" w:rsidP="00812F59">
            <w:pPr>
              <w:spacing w:after="0" w:line="240" w:lineRule="auto"/>
              <w:rPr>
                <w:rFonts w:ascii="Times New Roman" w:eastAsia="Times New Roman" w:hAnsi="Times New Roman" w:cs="Times New Roman"/>
                <w:kern w:val="0"/>
                <w:sz w:val="20"/>
                <w:szCs w:val="20"/>
                <w:lang w:eastAsia="en-GB"/>
                <w14:ligatures w14:val="none"/>
              </w:rPr>
            </w:pPr>
          </w:p>
        </w:tc>
      </w:tr>
      <w:tr w:rsidR="00812F59" w:rsidRPr="00812F59" w14:paraId="5D2EC732" w14:textId="77777777" w:rsidTr="00812F59">
        <w:trPr>
          <w:trHeight w:val="1005"/>
        </w:trPr>
        <w:tc>
          <w:tcPr>
            <w:tcW w:w="817" w:type="dxa"/>
            <w:tcBorders>
              <w:top w:val="nil"/>
              <w:left w:val="single" w:sz="8" w:space="0" w:color="auto"/>
              <w:bottom w:val="single" w:sz="4" w:space="0" w:color="auto"/>
              <w:right w:val="single" w:sz="4" w:space="0" w:color="auto"/>
            </w:tcBorders>
            <w:shd w:val="clear" w:color="000000" w:fill="FF0000"/>
            <w:vAlign w:val="center"/>
            <w:hideMark/>
          </w:tcPr>
          <w:p w14:paraId="1ECC77D4"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8</w:t>
            </w:r>
          </w:p>
        </w:tc>
        <w:tc>
          <w:tcPr>
            <w:tcW w:w="1834" w:type="dxa"/>
            <w:vMerge w:val="restart"/>
            <w:tcBorders>
              <w:top w:val="nil"/>
              <w:left w:val="single" w:sz="4" w:space="0" w:color="auto"/>
              <w:bottom w:val="single" w:sz="4" w:space="0" w:color="auto"/>
              <w:right w:val="single" w:sz="4" w:space="0" w:color="auto"/>
            </w:tcBorders>
            <w:shd w:val="clear" w:color="000000" w:fill="FF0000"/>
            <w:vAlign w:val="center"/>
            <w:hideMark/>
          </w:tcPr>
          <w:p w14:paraId="251DC7B9"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Low</w:t>
            </w:r>
          </w:p>
        </w:tc>
        <w:tc>
          <w:tcPr>
            <w:tcW w:w="3286" w:type="dxa"/>
            <w:vMerge w:val="restart"/>
            <w:tcBorders>
              <w:top w:val="nil"/>
              <w:left w:val="single" w:sz="4" w:space="0" w:color="auto"/>
              <w:bottom w:val="single" w:sz="8" w:space="0" w:color="000000"/>
              <w:right w:val="single" w:sz="4" w:space="0" w:color="auto"/>
            </w:tcBorders>
            <w:shd w:val="clear" w:color="000000" w:fill="FFB5A3"/>
            <w:vAlign w:val="center"/>
            <w:hideMark/>
          </w:tcPr>
          <w:p w14:paraId="0283D788" w14:textId="77777777" w:rsidR="00812F59" w:rsidRPr="002D5C82" w:rsidRDefault="00812F59" w:rsidP="00812F59">
            <w:pPr>
              <w:spacing w:after="0" w:line="240" w:lineRule="auto"/>
              <w:jc w:val="center"/>
              <w:rPr>
                <w:rFonts w:ascii="Calibri" w:eastAsia="Times New Roman" w:hAnsi="Calibri" w:cs="Calibri"/>
                <w:kern w:val="0"/>
                <w:sz w:val="18"/>
                <w:szCs w:val="18"/>
                <w:lang w:eastAsia="en-GB"/>
                <w14:ligatures w14:val="none"/>
              </w:rPr>
            </w:pPr>
            <w:r w:rsidRPr="002D5C82">
              <w:rPr>
                <w:rFonts w:ascii="Calibri" w:eastAsia="Times New Roman" w:hAnsi="Calibri" w:cs="Calibri"/>
                <w:kern w:val="0"/>
                <w:sz w:val="18"/>
                <w:szCs w:val="18"/>
                <w:lang w:eastAsia="en-GB"/>
                <w14:ligatures w14:val="none"/>
              </w:rPr>
              <w:t xml:space="preserve">Test or inspection method has not been proven to be effective and reliable </w:t>
            </w:r>
          </w:p>
        </w:tc>
        <w:tc>
          <w:tcPr>
            <w:tcW w:w="3507" w:type="dxa"/>
            <w:vMerge w:val="restart"/>
            <w:tcBorders>
              <w:top w:val="nil"/>
              <w:left w:val="single" w:sz="4" w:space="0" w:color="auto"/>
              <w:bottom w:val="single" w:sz="8" w:space="0" w:color="000000"/>
              <w:right w:val="single" w:sz="8" w:space="0" w:color="auto"/>
            </w:tcBorders>
            <w:shd w:val="clear" w:color="000000" w:fill="FFB5A3"/>
            <w:vAlign w:val="center"/>
            <w:hideMark/>
          </w:tcPr>
          <w:p w14:paraId="16F02F49" w14:textId="77777777" w:rsidR="00812F59" w:rsidRPr="002D5C82" w:rsidRDefault="00812F59" w:rsidP="00812F59">
            <w:pPr>
              <w:spacing w:after="0" w:line="240" w:lineRule="auto"/>
              <w:jc w:val="center"/>
              <w:rPr>
                <w:rFonts w:ascii="Calibri" w:eastAsia="Times New Roman" w:hAnsi="Calibri" w:cs="Calibri"/>
                <w:kern w:val="0"/>
                <w:sz w:val="18"/>
                <w:szCs w:val="18"/>
                <w:lang w:eastAsia="en-GB"/>
                <w14:ligatures w14:val="none"/>
              </w:rPr>
            </w:pPr>
            <w:r w:rsidRPr="002D5C82">
              <w:rPr>
                <w:rFonts w:ascii="Calibri" w:eastAsia="Times New Roman" w:hAnsi="Calibri" w:cs="Calibri"/>
                <w:kern w:val="0"/>
                <w:sz w:val="18"/>
                <w:szCs w:val="18"/>
                <w:lang w:eastAsia="en-GB"/>
                <w14:ligatures w14:val="none"/>
              </w:rPr>
              <w:t>Few indicators signal the impending risk, and detecting it often requires specialised data or advanced analysis. Standard human inspections or manual measurements may catch it, as can automated or semi-automated systems with alerts or precision inspection equipment.</w:t>
            </w:r>
          </w:p>
        </w:tc>
        <w:tc>
          <w:tcPr>
            <w:tcW w:w="36" w:type="dxa"/>
            <w:vAlign w:val="center"/>
            <w:hideMark/>
          </w:tcPr>
          <w:p w14:paraId="1752C3D0" w14:textId="77777777" w:rsidR="00812F59" w:rsidRPr="00812F59" w:rsidRDefault="00812F59" w:rsidP="00812F59">
            <w:pPr>
              <w:spacing w:after="0" w:line="240" w:lineRule="auto"/>
              <w:rPr>
                <w:rFonts w:ascii="Times New Roman" w:eastAsia="Times New Roman" w:hAnsi="Times New Roman" w:cs="Times New Roman"/>
                <w:kern w:val="0"/>
                <w:sz w:val="20"/>
                <w:szCs w:val="20"/>
                <w:lang w:eastAsia="en-GB"/>
                <w14:ligatures w14:val="none"/>
              </w:rPr>
            </w:pPr>
          </w:p>
        </w:tc>
      </w:tr>
      <w:tr w:rsidR="00812F59" w:rsidRPr="00812F59" w14:paraId="5E0CD297" w14:textId="77777777" w:rsidTr="00812F59">
        <w:trPr>
          <w:trHeight w:val="915"/>
        </w:trPr>
        <w:tc>
          <w:tcPr>
            <w:tcW w:w="817" w:type="dxa"/>
            <w:tcBorders>
              <w:top w:val="nil"/>
              <w:left w:val="single" w:sz="8" w:space="0" w:color="auto"/>
              <w:bottom w:val="single" w:sz="8" w:space="0" w:color="auto"/>
              <w:right w:val="single" w:sz="4" w:space="0" w:color="auto"/>
            </w:tcBorders>
            <w:shd w:val="clear" w:color="000000" w:fill="FF0000"/>
            <w:vAlign w:val="center"/>
            <w:hideMark/>
          </w:tcPr>
          <w:p w14:paraId="669CB1B0"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7</w:t>
            </w:r>
          </w:p>
        </w:tc>
        <w:tc>
          <w:tcPr>
            <w:tcW w:w="1834" w:type="dxa"/>
            <w:vMerge/>
            <w:tcBorders>
              <w:top w:val="nil"/>
              <w:left w:val="single" w:sz="4" w:space="0" w:color="auto"/>
              <w:bottom w:val="single" w:sz="4" w:space="0" w:color="auto"/>
              <w:right w:val="single" w:sz="4" w:space="0" w:color="auto"/>
            </w:tcBorders>
            <w:vAlign w:val="center"/>
            <w:hideMark/>
          </w:tcPr>
          <w:p w14:paraId="245995B0" w14:textId="77777777" w:rsidR="00812F59" w:rsidRPr="00812F59" w:rsidRDefault="00812F59" w:rsidP="00812F59">
            <w:pPr>
              <w:spacing w:after="0" w:line="240" w:lineRule="auto"/>
              <w:rPr>
                <w:rFonts w:ascii="Calibri" w:eastAsia="Times New Roman" w:hAnsi="Calibri" w:cs="Calibri"/>
                <w:b/>
                <w:bCs/>
                <w:color w:val="000000"/>
                <w:kern w:val="0"/>
                <w:sz w:val="18"/>
                <w:szCs w:val="18"/>
                <w:lang w:eastAsia="en-GB"/>
                <w14:ligatures w14:val="none"/>
              </w:rPr>
            </w:pPr>
          </w:p>
        </w:tc>
        <w:tc>
          <w:tcPr>
            <w:tcW w:w="3286" w:type="dxa"/>
            <w:vMerge/>
            <w:tcBorders>
              <w:top w:val="nil"/>
              <w:left w:val="single" w:sz="4" w:space="0" w:color="auto"/>
              <w:bottom w:val="single" w:sz="8" w:space="0" w:color="000000"/>
              <w:right w:val="single" w:sz="4" w:space="0" w:color="auto"/>
            </w:tcBorders>
            <w:vAlign w:val="center"/>
            <w:hideMark/>
          </w:tcPr>
          <w:p w14:paraId="1BD0583B" w14:textId="77777777" w:rsidR="00812F59" w:rsidRPr="002D5C82" w:rsidRDefault="00812F59" w:rsidP="00812F59">
            <w:pPr>
              <w:spacing w:after="0" w:line="240" w:lineRule="auto"/>
              <w:rPr>
                <w:rFonts w:ascii="Calibri" w:eastAsia="Times New Roman" w:hAnsi="Calibri" w:cs="Calibri"/>
                <w:kern w:val="0"/>
                <w:sz w:val="18"/>
                <w:szCs w:val="18"/>
                <w:lang w:eastAsia="en-GB"/>
                <w14:ligatures w14:val="none"/>
              </w:rPr>
            </w:pPr>
          </w:p>
        </w:tc>
        <w:tc>
          <w:tcPr>
            <w:tcW w:w="3507" w:type="dxa"/>
            <w:vMerge/>
            <w:tcBorders>
              <w:top w:val="nil"/>
              <w:left w:val="single" w:sz="4" w:space="0" w:color="auto"/>
              <w:bottom w:val="single" w:sz="8" w:space="0" w:color="000000"/>
              <w:right w:val="single" w:sz="8" w:space="0" w:color="auto"/>
            </w:tcBorders>
            <w:vAlign w:val="center"/>
            <w:hideMark/>
          </w:tcPr>
          <w:p w14:paraId="22D59A5D" w14:textId="77777777" w:rsidR="00812F59" w:rsidRPr="002D5C82" w:rsidRDefault="00812F59" w:rsidP="00812F59">
            <w:pPr>
              <w:spacing w:after="0" w:line="240" w:lineRule="auto"/>
              <w:rPr>
                <w:rFonts w:ascii="Calibri" w:eastAsia="Times New Roman" w:hAnsi="Calibri" w:cs="Calibri"/>
                <w:kern w:val="0"/>
                <w:sz w:val="18"/>
                <w:szCs w:val="18"/>
                <w:lang w:eastAsia="en-GB"/>
                <w14:ligatures w14:val="none"/>
              </w:rPr>
            </w:pPr>
          </w:p>
        </w:tc>
        <w:tc>
          <w:tcPr>
            <w:tcW w:w="36" w:type="dxa"/>
            <w:vAlign w:val="center"/>
            <w:hideMark/>
          </w:tcPr>
          <w:p w14:paraId="778FADD6" w14:textId="77777777" w:rsidR="00812F59" w:rsidRPr="00812F59" w:rsidRDefault="00812F59" w:rsidP="00812F59">
            <w:pPr>
              <w:spacing w:after="0" w:line="240" w:lineRule="auto"/>
              <w:rPr>
                <w:rFonts w:ascii="Times New Roman" w:eastAsia="Times New Roman" w:hAnsi="Times New Roman" w:cs="Times New Roman"/>
                <w:kern w:val="0"/>
                <w:sz w:val="20"/>
                <w:szCs w:val="20"/>
                <w:lang w:eastAsia="en-GB"/>
                <w14:ligatures w14:val="none"/>
              </w:rPr>
            </w:pPr>
          </w:p>
        </w:tc>
      </w:tr>
      <w:tr w:rsidR="00812F59" w:rsidRPr="00812F59" w14:paraId="11292D7F" w14:textId="77777777" w:rsidTr="00812F59">
        <w:trPr>
          <w:trHeight w:val="615"/>
        </w:trPr>
        <w:tc>
          <w:tcPr>
            <w:tcW w:w="817" w:type="dxa"/>
            <w:tcBorders>
              <w:top w:val="nil"/>
              <w:left w:val="single" w:sz="8" w:space="0" w:color="auto"/>
              <w:bottom w:val="single" w:sz="4" w:space="0" w:color="auto"/>
              <w:right w:val="single" w:sz="4" w:space="0" w:color="auto"/>
            </w:tcBorders>
            <w:shd w:val="clear" w:color="000000" w:fill="FFC000"/>
            <w:vAlign w:val="center"/>
            <w:hideMark/>
          </w:tcPr>
          <w:p w14:paraId="2CF7E1C5"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6</w:t>
            </w:r>
          </w:p>
        </w:tc>
        <w:tc>
          <w:tcPr>
            <w:tcW w:w="1834" w:type="dxa"/>
            <w:vMerge w:val="restart"/>
            <w:tcBorders>
              <w:top w:val="single" w:sz="8" w:space="0" w:color="auto"/>
              <w:left w:val="single" w:sz="4" w:space="0" w:color="auto"/>
              <w:bottom w:val="single" w:sz="4" w:space="0" w:color="auto"/>
              <w:right w:val="single" w:sz="4" w:space="0" w:color="auto"/>
            </w:tcBorders>
            <w:shd w:val="clear" w:color="000000" w:fill="FFC000"/>
            <w:vAlign w:val="center"/>
            <w:hideMark/>
          </w:tcPr>
          <w:p w14:paraId="3C9D0028"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Moderate</w:t>
            </w:r>
          </w:p>
        </w:tc>
        <w:tc>
          <w:tcPr>
            <w:tcW w:w="3286" w:type="dxa"/>
            <w:vMerge w:val="restart"/>
            <w:tcBorders>
              <w:top w:val="nil"/>
              <w:left w:val="single" w:sz="4" w:space="0" w:color="auto"/>
              <w:bottom w:val="single" w:sz="8" w:space="0" w:color="000000"/>
              <w:right w:val="single" w:sz="4" w:space="0" w:color="auto"/>
            </w:tcBorders>
            <w:shd w:val="clear" w:color="000000" w:fill="FEF3CE"/>
            <w:vAlign w:val="center"/>
            <w:hideMark/>
          </w:tcPr>
          <w:p w14:paraId="6E1BE435" w14:textId="77777777" w:rsidR="00812F59" w:rsidRPr="002D5C82" w:rsidRDefault="00812F59" w:rsidP="00812F59">
            <w:pPr>
              <w:spacing w:after="0" w:line="240" w:lineRule="auto"/>
              <w:jc w:val="center"/>
              <w:rPr>
                <w:rFonts w:ascii="Calibri" w:eastAsia="Times New Roman" w:hAnsi="Calibri" w:cs="Calibri"/>
                <w:kern w:val="0"/>
                <w:sz w:val="18"/>
                <w:szCs w:val="18"/>
                <w:lang w:eastAsia="en-GB"/>
                <w14:ligatures w14:val="none"/>
              </w:rPr>
            </w:pPr>
            <w:r w:rsidRPr="002D5C82">
              <w:rPr>
                <w:rFonts w:ascii="Calibri" w:eastAsia="Times New Roman" w:hAnsi="Calibri" w:cs="Calibri"/>
                <w:kern w:val="0"/>
                <w:sz w:val="18"/>
                <w:szCs w:val="18"/>
                <w:lang w:eastAsia="en-GB"/>
                <w14:ligatures w14:val="none"/>
              </w:rPr>
              <w:t>Test or inspection method has been proven to be effective and reliable</w:t>
            </w:r>
          </w:p>
        </w:tc>
        <w:tc>
          <w:tcPr>
            <w:tcW w:w="3507" w:type="dxa"/>
            <w:vMerge w:val="restart"/>
            <w:tcBorders>
              <w:top w:val="nil"/>
              <w:left w:val="single" w:sz="4" w:space="0" w:color="auto"/>
              <w:bottom w:val="single" w:sz="8" w:space="0" w:color="000000"/>
              <w:right w:val="single" w:sz="8" w:space="0" w:color="auto"/>
            </w:tcBorders>
            <w:shd w:val="clear" w:color="000000" w:fill="FEF3CE"/>
            <w:vAlign w:val="center"/>
            <w:hideMark/>
          </w:tcPr>
          <w:p w14:paraId="3F0EB1C0" w14:textId="77777777" w:rsidR="00812F59" w:rsidRPr="002D5C82" w:rsidRDefault="00812F59" w:rsidP="00812F59">
            <w:pPr>
              <w:spacing w:after="0" w:line="240" w:lineRule="auto"/>
              <w:jc w:val="center"/>
              <w:rPr>
                <w:rFonts w:ascii="Calibri" w:eastAsia="Times New Roman" w:hAnsi="Calibri" w:cs="Calibri"/>
                <w:kern w:val="0"/>
                <w:sz w:val="18"/>
                <w:szCs w:val="18"/>
                <w:lang w:eastAsia="en-GB"/>
                <w14:ligatures w14:val="none"/>
              </w:rPr>
            </w:pPr>
            <w:r w:rsidRPr="002D5C82">
              <w:rPr>
                <w:rFonts w:ascii="Calibri" w:eastAsia="Times New Roman" w:hAnsi="Calibri" w:cs="Calibri"/>
                <w:kern w:val="0"/>
                <w:sz w:val="18"/>
                <w:szCs w:val="18"/>
                <w:lang w:eastAsia="en-GB"/>
                <w14:ligatures w14:val="none"/>
              </w:rPr>
              <w:t>Some warning signs exist but may be subtle, requiring careful, ongoing monitoring. Detection can be achieved through human inspections or manual measurements, as well as semi-automated systems or precision equipment, including sample checks.</w:t>
            </w:r>
          </w:p>
        </w:tc>
        <w:tc>
          <w:tcPr>
            <w:tcW w:w="36" w:type="dxa"/>
            <w:vAlign w:val="center"/>
            <w:hideMark/>
          </w:tcPr>
          <w:p w14:paraId="31C5ED31" w14:textId="77777777" w:rsidR="00812F59" w:rsidRPr="00812F59" w:rsidRDefault="00812F59" w:rsidP="00812F59">
            <w:pPr>
              <w:spacing w:after="0" w:line="240" w:lineRule="auto"/>
              <w:rPr>
                <w:rFonts w:ascii="Times New Roman" w:eastAsia="Times New Roman" w:hAnsi="Times New Roman" w:cs="Times New Roman"/>
                <w:kern w:val="0"/>
                <w:sz w:val="20"/>
                <w:szCs w:val="20"/>
                <w:lang w:eastAsia="en-GB"/>
                <w14:ligatures w14:val="none"/>
              </w:rPr>
            </w:pPr>
          </w:p>
        </w:tc>
      </w:tr>
      <w:tr w:rsidR="00812F59" w:rsidRPr="00812F59" w14:paraId="562C962D" w14:textId="77777777" w:rsidTr="00812F59">
        <w:trPr>
          <w:trHeight w:val="615"/>
        </w:trPr>
        <w:tc>
          <w:tcPr>
            <w:tcW w:w="817" w:type="dxa"/>
            <w:tcBorders>
              <w:top w:val="nil"/>
              <w:left w:val="single" w:sz="8" w:space="0" w:color="auto"/>
              <w:bottom w:val="single" w:sz="4" w:space="0" w:color="auto"/>
              <w:right w:val="single" w:sz="4" w:space="0" w:color="auto"/>
            </w:tcBorders>
            <w:shd w:val="clear" w:color="000000" w:fill="FFC000"/>
            <w:vAlign w:val="center"/>
            <w:hideMark/>
          </w:tcPr>
          <w:p w14:paraId="73C3198E"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5</w:t>
            </w:r>
          </w:p>
        </w:tc>
        <w:tc>
          <w:tcPr>
            <w:tcW w:w="1834" w:type="dxa"/>
            <w:vMerge/>
            <w:tcBorders>
              <w:top w:val="single" w:sz="8" w:space="0" w:color="auto"/>
              <w:left w:val="single" w:sz="4" w:space="0" w:color="auto"/>
              <w:bottom w:val="single" w:sz="4" w:space="0" w:color="auto"/>
              <w:right w:val="single" w:sz="4" w:space="0" w:color="auto"/>
            </w:tcBorders>
            <w:vAlign w:val="center"/>
            <w:hideMark/>
          </w:tcPr>
          <w:p w14:paraId="1EB8542D" w14:textId="77777777" w:rsidR="00812F59" w:rsidRPr="00812F59" w:rsidRDefault="00812F59" w:rsidP="00812F59">
            <w:pPr>
              <w:spacing w:after="0" w:line="240" w:lineRule="auto"/>
              <w:rPr>
                <w:rFonts w:ascii="Calibri" w:eastAsia="Times New Roman" w:hAnsi="Calibri" w:cs="Calibri"/>
                <w:b/>
                <w:bCs/>
                <w:color w:val="000000"/>
                <w:kern w:val="0"/>
                <w:sz w:val="18"/>
                <w:szCs w:val="18"/>
                <w:lang w:eastAsia="en-GB"/>
                <w14:ligatures w14:val="none"/>
              </w:rPr>
            </w:pPr>
          </w:p>
        </w:tc>
        <w:tc>
          <w:tcPr>
            <w:tcW w:w="3286" w:type="dxa"/>
            <w:vMerge/>
            <w:tcBorders>
              <w:top w:val="nil"/>
              <w:left w:val="single" w:sz="4" w:space="0" w:color="auto"/>
              <w:bottom w:val="single" w:sz="8" w:space="0" w:color="000000"/>
              <w:right w:val="single" w:sz="4" w:space="0" w:color="auto"/>
            </w:tcBorders>
            <w:vAlign w:val="center"/>
            <w:hideMark/>
          </w:tcPr>
          <w:p w14:paraId="2081F1EE" w14:textId="77777777" w:rsidR="00812F59" w:rsidRPr="002D5C82" w:rsidRDefault="00812F59" w:rsidP="00812F59">
            <w:pPr>
              <w:spacing w:after="0" w:line="240" w:lineRule="auto"/>
              <w:rPr>
                <w:rFonts w:ascii="Calibri" w:eastAsia="Times New Roman" w:hAnsi="Calibri" w:cs="Calibri"/>
                <w:kern w:val="0"/>
                <w:sz w:val="18"/>
                <w:szCs w:val="18"/>
                <w:lang w:eastAsia="en-GB"/>
                <w14:ligatures w14:val="none"/>
              </w:rPr>
            </w:pPr>
          </w:p>
        </w:tc>
        <w:tc>
          <w:tcPr>
            <w:tcW w:w="3507" w:type="dxa"/>
            <w:vMerge/>
            <w:tcBorders>
              <w:top w:val="nil"/>
              <w:left w:val="single" w:sz="4" w:space="0" w:color="auto"/>
              <w:bottom w:val="single" w:sz="8" w:space="0" w:color="000000"/>
              <w:right w:val="single" w:sz="8" w:space="0" w:color="auto"/>
            </w:tcBorders>
            <w:vAlign w:val="center"/>
            <w:hideMark/>
          </w:tcPr>
          <w:p w14:paraId="342AF80D" w14:textId="77777777" w:rsidR="00812F59" w:rsidRPr="002D5C82" w:rsidRDefault="00812F59" w:rsidP="00812F59">
            <w:pPr>
              <w:spacing w:after="0" w:line="240" w:lineRule="auto"/>
              <w:rPr>
                <w:rFonts w:ascii="Calibri" w:eastAsia="Times New Roman" w:hAnsi="Calibri" w:cs="Calibri"/>
                <w:kern w:val="0"/>
                <w:sz w:val="18"/>
                <w:szCs w:val="18"/>
                <w:lang w:eastAsia="en-GB"/>
                <w14:ligatures w14:val="none"/>
              </w:rPr>
            </w:pPr>
          </w:p>
        </w:tc>
        <w:tc>
          <w:tcPr>
            <w:tcW w:w="36" w:type="dxa"/>
            <w:vAlign w:val="center"/>
            <w:hideMark/>
          </w:tcPr>
          <w:p w14:paraId="6F7AD43A" w14:textId="77777777" w:rsidR="00812F59" w:rsidRPr="00812F59" w:rsidRDefault="00812F59" w:rsidP="00812F59">
            <w:pPr>
              <w:spacing w:after="0" w:line="240" w:lineRule="auto"/>
              <w:rPr>
                <w:rFonts w:ascii="Times New Roman" w:eastAsia="Times New Roman" w:hAnsi="Times New Roman" w:cs="Times New Roman"/>
                <w:kern w:val="0"/>
                <w:sz w:val="20"/>
                <w:szCs w:val="20"/>
                <w:lang w:eastAsia="en-GB"/>
                <w14:ligatures w14:val="none"/>
              </w:rPr>
            </w:pPr>
          </w:p>
        </w:tc>
      </w:tr>
      <w:tr w:rsidR="00812F59" w:rsidRPr="00812F59" w14:paraId="58341BFB" w14:textId="77777777" w:rsidTr="00812F59">
        <w:trPr>
          <w:trHeight w:val="915"/>
        </w:trPr>
        <w:tc>
          <w:tcPr>
            <w:tcW w:w="817" w:type="dxa"/>
            <w:tcBorders>
              <w:top w:val="single" w:sz="8" w:space="0" w:color="auto"/>
              <w:left w:val="single" w:sz="8" w:space="0" w:color="auto"/>
              <w:bottom w:val="single" w:sz="4" w:space="0" w:color="auto"/>
              <w:right w:val="single" w:sz="4" w:space="0" w:color="auto"/>
            </w:tcBorders>
            <w:shd w:val="clear" w:color="000000" w:fill="40B107"/>
            <w:vAlign w:val="center"/>
            <w:hideMark/>
          </w:tcPr>
          <w:p w14:paraId="078A25C7"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4</w:t>
            </w:r>
          </w:p>
        </w:tc>
        <w:tc>
          <w:tcPr>
            <w:tcW w:w="1834" w:type="dxa"/>
            <w:vMerge w:val="restart"/>
            <w:tcBorders>
              <w:top w:val="single" w:sz="8" w:space="0" w:color="auto"/>
              <w:left w:val="single" w:sz="4" w:space="0" w:color="auto"/>
              <w:bottom w:val="single" w:sz="4" w:space="0" w:color="auto"/>
              <w:right w:val="single" w:sz="4" w:space="0" w:color="auto"/>
            </w:tcBorders>
            <w:shd w:val="clear" w:color="000000" w:fill="40B107"/>
            <w:vAlign w:val="center"/>
            <w:hideMark/>
          </w:tcPr>
          <w:p w14:paraId="59D7E635"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High</w:t>
            </w:r>
          </w:p>
        </w:tc>
        <w:tc>
          <w:tcPr>
            <w:tcW w:w="3286" w:type="dxa"/>
            <w:vMerge w:val="restart"/>
            <w:tcBorders>
              <w:top w:val="nil"/>
              <w:left w:val="single" w:sz="4" w:space="0" w:color="auto"/>
              <w:bottom w:val="single" w:sz="4" w:space="0" w:color="000000"/>
              <w:right w:val="single" w:sz="4" w:space="0" w:color="auto"/>
            </w:tcBorders>
            <w:shd w:val="clear" w:color="000000" w:fill="D8E4BC"/>
            <w:vAlign w:val="center"/>
            <w:hideMark/>
          </w:tcPr>
          <w:p w14:paraId="4AA771D2" w14:textId="77777777" w:rsidR="00812F59" w:rsidRPr="002D5C82" w:rsidRDefault="00812F59" w:rsidP="00812F59">
            <w:pPr>
              <w:spacing w:after="0" w:line="240" w:lineRule="auto"/>
              <w:jc w:val="center"/>
              <w:rPr>
                <w:rFonts w:ascii="Calibri" w:eastAsia="Times New Roman" w:hAnsi="Calibri" w:cs="Calibri"/>
                <w:kern w:val="0"/>
                <w:sz w:val="18"/>
                <w:szCs w:val="18"/>
                <w:lang w:eastAsia="en-GB"/>
                <w14:ligatures w14:val="none"/>
              </w:rPr>
            </w:pPr>
            <w:r w:rsidRPr="002D5C82">
              <w:rPr>
                <w:rFonts w:ascii="Calibri" w:eastAsia="Times New Roman" w:hAnsi="Calibri" w:cs="Calibri"/>
                <w:kern w:val="0"/>
                <w:sz w:val="18"/>
                <w:szCs w:val="18"/>
                <w:lang w:eastAsia="en-GB"/>
                <w14:ligatures w14:val="none"/>
              </w:rPr>
              <w:t>System has been proven to be effective and reliable</w:t>
            </w:r>
          </w:p>
        </w:tc>
        <w:tc>
          <w:tcPr>
            <w:tcW w:w="3507" w:type="dxa"/>
            <w:vMerge w:val="restart"/>
            <w:tcBorders>
              <w:top w:val="nil"/>
              <w:left w:val="single" w:sz="4" w:space="0" w:color="auto"/>
              <w:bottom w:val="single" w:sz="4" w:space="0" w:color="000000"/>
              <w:right w:val="single" w:sz="8" w:space="0" w:color="auto"/>
            </w:tcBorders>
            <w:shd w:val="clear" w:color="000000" w:fill="D8E4BC"/>
            <w:vAlign w:val="center"/>
            <w:hideMark/>
          </w:tcPr>
          <w:p w14:paraId="14C654B7" w14:textId="583A0FCF" w:rsidR="00812F59" w:rsidRPr="002D5C82" w:rsidRDefault="00812F59" w:rsidP="00812F59">
            <w:pPr>
              <w:spacing w:after="0" w:line="240" w:lineRule="auto"/>
              <w:jc w:val="center"/>
              <w:rPr>
                <w:rFonts w:ascii="Calibri" w:eastAsia="Times New Roman" w:hAnsi="Calibri" w:cs="Calibri"/>
                <w:kern w:val="0"/>
                <w:sz w:val="18"/>
                <w:szCs w:val="18"/>
                <w:lang w:eastAsia="en-GB"/>
                <w14:ligatures w14:val="none"/>
              </w:rPr>
            </w:pPr>
            <w:r w:rsidRPr="002D5C82">
              <w:rPr>
                <w:rFonts w:ascii="Calibri" w:eastAsia="Times New Roman" w:hAnsi="Calibri" w:cs="Calibri"/>
                <w:kern w:val="0"/>
                <w:sz w:val="18"/>
                <w:szCs w:val="18"/>
                <w:lang w:eastAsia="en-GB"/>
                <w14:ligatures w14:val="none"/>
              </w:rPr>
              <w:t>The risk shows clear, predictable indicators that can be monitored through standard processes, such as KPIs or relevant information sources. Automated detection systems identify failures downstream, halt processing, and route discrepant products to designated reject areas, ensuring they cannot leave the facility.</w:t>
            </w:r>
          </w:p>
        </w:tc>
        <w:tc>
          <w:tcPr>
            <w:tcW w:w="36" w:type="dxa"/>
            <w:vAlign w:val="center"/>
            <w:hideMark/>
          </w:tcPr>
          <w:p w14:paraId="17ACB8A4" w14:textId="77777777" w:rsidR="00812F59" w:rsidRPr="00812F59" w:rsidRDefault="00812F59" w:rsidP="00812F59">
            <w:pPr>
              <w:spacing w:after="0" w:line="240" w:lineRule="auto"/>
              <w:rPr>
                <w:rFonts w:ascii="Times New Roman" w:eastAsia="Times New Roman" w:hAnsi="Times New Roman" w:cs="Times New Roman"/>
                <w:kern w:val="0"/>
                <w:sz w:val="20"/>
                <w:szCs w:val="20"/>
                <w:lang w:eastAsia="en-GB"/>
                <w14:ligatures w14:val="none"/>
              </w:rPr>
            </w:pPr>
          </w:p>
        </w:tc>
      </w:tr>
      <w:tr w:rsidR="00812F59" w:rsidRPr="00812F59" w14:paraId="3618B5BF" w14:textId="77777777" w:rsidTr="00812F59">
        <w:trPr>
          <w:trHeight w:val="1605"/>
        </w:trPr>
        <w:tc>
          <w:tcPr>
            <w:tcW w:w="817" w:type="dxa"/>
            <w:tcBorders>
              <w:top w:val="nil"/>
              <w:left w:val="single" w:sz="8" w:space="0" w:color="auto"/>
              <w:bottom w:val="single" w:sz="4" w:space="0" w:color="auto"/>
              <w:right w:val="single" w:sz="4" w:space="0" w:color="auto"/>
            </w:tcBorders>
            <w:shd w:val="clear" w:color="000000" w:fill="40B107"/>
            <w:vAlign w:val="center"/>
            <w:hideMark/>
          </w:tcPr>
          <w:p w14:paraId="6222530F"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3</w:t>
            </w:r>
          </w:p>
        </w:tc>
        <w:tc>
          <w:tcPr>
            <w:tcW w:w="1834" w:type="dxa"/>
            <w:vMerge/>
            <w:tcBorders>
              <w:top w:val="single" w:sz="8" w:space="0" w:color="auto"/>
              <w:left w:val="single" w:sz="4" w:space="0" w:color="auto"/>
              <w:bottom w:val="single" w:sz="4" w:space="0" w:color="auto"/>
              <w:right w:val="single" w:sz="4" w:space="0" w:color="auto"/>
            </w:tcBorders>
            <w:vAlign w:val="center"/>
            <w:hideMark/>
          </w:tcPr>
          <w:p w14:paraId="59D94F59" w14:textId="77777777" w:rsidR="00812F59" w:rsidRPr="00812F59" w:rsidRDefault="00812F59" w:rsidP="00812F59">
            <w:pPr>
              <w:spacing w:after="0" w:line="240" w:lineRule="auto"/>
              <w:rPr>
                <w:rFonts w:ascii="Calibri" w:eastAsia="Times New Roman" w:hAnsi="Calibri" w:cs="Calibri"/>
                <w:b/>
                <w:bCs/>
                <w:color w:val="000000"/>
                <w:kern w:val="0"/>
                <w:sz w:val="18"/>
                <w:szCs w:val="18"/>
                <w:lang w:eastAsia="en-GB"/>
                <w14:ligatures w14:val="none"/>
              </w:rPr>
            </w:pPr>
          </w:p>
        </w:tc>
        <w:tc>
          <w:tcPr>
            <w:tcW w:w="3286" w:type="dxa"/>
            <w:vMerge/>
            <w:tcBorders>
              <w:top w:val="nil"/>
              <w:left w:val="single" w:sz="4" w:space="0" w:color="auto"/>
              <w:bottom w:val="single" w:sz="4" w:space="0" w:color="000000"/>
              <w:right w:val="single" w:sz="4" w:space="0" w:color="auto"/>
            </w:tcBorders>
            <w:vAlign w:val="center"/>
            <w:hideMark/>
          </w:tcPr>
          <w:p w14:paraId="00C5EE90" w14:textId="77777777" w:rsidR="00812F59" w:rsidRPr="002D5C82" w:rsidRDefault="00812F59" w:rsidP="00812F59">
            <w:pPr>
              <w:spacing w:after="0" w:line="240" w:lineRule="auto"/>
              <w:rPr>
                <w:rFonts w:ascii="Calibri" w:eastAsia="Times New Roman" w:hAnsi="Calibri" w:cs="Calibri"/>
                <w:kern w:val="0"/>
                <w:sz w:val="18"/>
                <w:szCs w:val="18"/>
                <w:lang w:eastAsia="en-GB"/>
                <w14:ligatures w14:val="none"/>
              </w:rPr>
            </w:pPr>
          </w:p>
        </w:tc>
        <w:tc>
          <w:tcPr>
            <w:tcW w:w="3507" w:type="dxa"/>
            <w:vMerge/>
            <w:tcBorders>
              <w:top w:val="nil"/>
              <w:left w:val="single" w:sz="4" w:space="0" w:color="auto"/>
              <w:bottom w:val="single" w:sz="4" w:space="0" w:color="000000"/>
              <w:right w:val="single" w:sz="8" w:space="0" w:color="auto"/>
            </w:tcBorders>
            <w:vAlign w:val="center"/>
            <w:hideMark/>
          </w:tcPr>
          <w:p w14:paraId="445DCD00" w14:textId="77777777" w:rsidR="00812F59" w:rsidRPr="002D5C82" w:rsidRDefault="00812F59" w:rsidP="00812F59">
            <w:pPr>
              <w:spacing w:after="0" w:line="240" w:lineRule="auto"/>
              <w:rPr>
                <w:rFonts w:ascii="Calibri" w:eastAsia="Times New Roman" w:hAnsi="Calibri" w:cs="Calibri"/>
                <w:kern w:val="0"/>
                <w:sz w:val="18"/>
                <w:szCs w:val="18"/>
                <w:lang w:eastAsia="en-GB"/>
                <w14:ligatures w14:val="none"/>
              </w:rPr>
            </w:pPr>
          </w:p>
        </w:tc>
        <w:tc>
          <w:tcPr>
            <w:tcW w:w="36" w:type="dxa"/>
            <w:vAlign w:val="center"/>
            <w:hideMark/>
          </w:tcPr>
          <w:p w14:paraId="5D8E45CD" w14:textId="77777777" w:rsidR="00812F59" w:rsidRPr="00812F59" w:rsidRDefault="00812F59" w:rsidP="00812F59">
            <w:pPr>
              <w:spacing w:after="0" w:line="240" w:lineRule="auto"/>
              <w:rPr>
                <w:rFonts w:ascii="Times New Roman" w:eastAsia="Times New Roman" w:hAnsi="Times New Roman" w:cs="Times New Roman"/>
                <w:kern w:val="0"/>
                <w:sz w:val="20"/>
                <w:szCs w:val="20"/>
                <w:lang w:eastAsia="en-GB"/>
                <w14:ligatures w14:val="none"/>
              </w:rPr>
            </w:pPr>
          </w:p>
        </w:tc>
      </w:tr>
      <w:tr w:rsidR="00812F59" w:rsidRPr="00812F59" w14:paraId="5AB8F142" w14:textId="77777777" w:rsidTr="00812F59">
        <w:trPr>
          <w:trHeight w:val="1455"/>
        </w:trPr>
        <w:tc>
          <w:tcPr>
            <w:tcW w:w="817" w:type="dxa"/>
            <w:tcBorders>
              <w:top w:val="nil"/>
              <w:left w:val="single" w:sz="8" w:space="0" w:color="auto"/>
              <w:bottom w:val="single" w:sz="4" w:space="0" w:color="auto"/>
              <w:right w:val="single" w:sz="4" w:space="0" w:color="auto"/>
            </w:tcBorders>
            <w:shd w:val="clear" w:color="000000" w:fill="40B107"/>
            <w:vAlign w:val="center"/>
            <w:hideMark/>
          </w:tcPr>
          <w:p w14:paraId="6D0125EB"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2</w:t>
            </w:r>
          </w:p>
        </w:tc>
        <w:tc>
          <w:tcPr>
            <w:tcW w:w="1834" w:type="dxa"/>
            <w:vMerge/>
            <w:tcBorders>
              <w:top w:val="single" w:sz="8" w:space="0" w:color="auto"/>
              <w:left w:val="single" w:sz="4" w:space="0" w:color="auto"/>
              <w:bottom w:val="single" w:sz="4" w:space="0" w:color="auto"/>
              <w:right w:val="single" w:sz="4" w:space="0" w:color="auto"/>
            </w:tcBorders>
            <w:vAlign w:val="center"/>
            <w:hideMark/>
          </w:tcPr>
          <w:p w14:paraId="601897CA" w14:textId="77777777" w:rsidR="00812F59" w:rsidRPr="00812F59" w:rsidRDefault="00812F59" w:rsidP="00812F59">
            <w:pPr>
              <w:spacing w:after="0" w:line="240" w:lineRule="auto"/>
              <w:rPr>
                <w:rFonts w:ascii="Calibri" w:eastAsia="Times New Roman" w:hAnsi="Calibri" w:cs="Calibri"/>
                <w:b/>
                <w:bCs/>
                <w:color w:val="000000"/>
                <w:kern w:val="0"/>
                <w:sz w:val="18"/>
                <w:szCs w:val="18"/>
                <w:lang w:eastAsia="en-GB"/>
                <w14:ligatures w14:val="none"/>
              </w:rPr>
            </w:pPr>
          </w:p>
        </w:tc>
        <w:tc>
          <w:tcPr>
            <w:tcW w:w="3286" w:type="dxa"/>
            <w:tcBorders>
              <w:top w:val="nil"/>
              <w:left w:val="nil"/>
              <w:bottom w:val="single" w:sz="4" w:space="0" w:color="auto"/>
              <w:right w:val="single" w:sz="4" w:space="0" w:color="auto"/>
            </w:tcBorders>
            <w:shd w:val="clear" w:color="000000" w:fill="D8E4BC"/>
            <w:vAlign w:val="center"/>
            <w:hideMark/>
          </w:tcPr>
          <w:p w14:paraId="2A83FE1F" w14:textId="77777777" w:rsidR="00812F59" w:rsidRPr="002D5C82" w:rsidRDefault="00812F59" w:rsidP="00812F59">
            <w:pPr>
              <w:spacing w:after="0" w:line="240" w:lineRule="auto"/>
              <w:jc w:val="center"/>
              <w:rPr>
                <w:rFonts w:ascii="Calibri" w:eastAsia="Times New Roman" w:hAnsi="Calibri" w:cs="Calibri"/>
                <w:kern w:val="0"/>
                <w:sz w:val="18"/>
                <w:szCs w:val="18"/>
                <w:lang w:eastAsia="en-GB"/>
                <w14:ligatures w14:val="none"/>
              </w:rPr>
            </w:pPr>
            <w:r w:rsidRPr="002D5C82">
              <w:rPr>
                <w:rFonts w:ascii="Calibri" w:eastAsia="Times New Roman" w:hAnsi="Calibri" w:cs="Calibri"/>
                <w:kern w:val="0"/>
                <w:sz w:val="18"/>
                <w:szCs w:val="18"/>
                <w:lang w:eastAsia="en-GB"/>
                <w14:ligatures w14:val="none"/>
              </w:rPr>
              <w:t>Detection method has been proven to be effective and reliable</w:t>
            </w:r>
          </w:p>
        </w:tc>
        <w:tc>
          <w:tcPr>
            <w:tcW w:w="3507" w:type="dxa"/>
            <w:tcBorders>
              <w:top w:val="nil"/>
              <w:left w:val="nil"/>
              <w:bottom w:val="single" w:sz="4" w:space="0" w:color="auto"/>
              <w:right w:val="single" w:sz="8" w:space="0" w:color="auto"/>
            </w:tcBorders>
            <w:shd w:val="clear" w:color="000000" w:fill="D8E4BC"/>
            <w:vAlign w:val="center"/>
            <w:hideMark/>
          </w:tcPr>
          <w:p w14:paraId="24B8A7A8" w14:textId="77777777" w:rsidR="00812F59" w:rsidRPr="002D5C82" w:rsidRDefault="00812F59" w:rsidP="00812F59">
            <w:pPr>
              <w:spacing w:after="0" w:line="240" w:lineRule="auto"/>
              <w:jc w:val="center"/>
              <w:rPr>
                <w:rFonts w:ascii="Calibri" w:eastAsia="Times New Roman" w:hAnsi="Calibri" w:cs="Calibri"/>
                <w:kern w:val="0"/>
                <w:sz w:val="18"/>
                <w:szCs w:val="18"/>
                <w:lang w:eastAsia="en-GB"/>
                <w14:ligatures w14:val="none"/>
              </w:rPr>
            </w:pPr>
            <w:r w:rsidRPr="002D5C82">
              <w:rPr>
                <w:rFonts w:ascii="Calibri" w:eastAsia="Times New Roman" w:hAnsi="Calibri" w:cs="Calibri"/>
                <w:kern w:val="0"/>
                <w:sz w:val="18"/>
                <w:szCs w:val="18"/>
                <w:lang w:eastAsia="en-GB"/>
                <w14:ligatures w14:val="none"/>
              </w:rPr>
              <w:t>The risk is inherent and easily observed in operations. Basic monitoring can identify risk and automated systems can detect the cause and prevent production of defective parts.</w:t>
            </w:r>
          </w:p>
        </w:tc>
        <w:tc>
          <w:tcPr>
            <w:tcW w:w="36" w:type="dxa"/>
            <w:vAlign w:val="center"/>
            <w:hideMark/>
          </w:tcPr>
          <w:p w14:paraId="5B049AF1" w14:textId="77777777" w:rsidR="00812F59" w:rsidRPr="00812F59" w:rsidRDefault="00812F59" w:rsidP="00812F59">
            <w:pPr>
              <w:spacing w:after="0" w:line="240" w:lineRule="auto"/>
              <w:rPr>
                <w:rFonts w:ascii="Times New Roman" w:eastAsia="Times New Roman" w:hAnsi="Times New Roman" w:cs="Times New Roman"/>
                <w:kern w:val="0"/>
                <w:sz w:val="20"/>
                <w:szCs w:val="20"/>
                <w:lang w:eastAsia="en-GB"/>
                <w14:ligatures w14:val="none"/>
              </w:rPr>
            </w:pPr>
          </w:p>
        </w:tc>
      </w:tr>
      <w:tr w:rsidR="00812F59" w:rsidRPr="00812F59" w14:paraId="5DDAE7C2" w14:textId="77777777" w:rsidTr="00812F59">
        <w:trPr>
          <w:trHeight w:val="885"/>
        </w:trPr>
        <w:tc>
          <w:tcPr>
            <w:tcW w:w="817" w:type="dxa"/>
            <w:tcBorders>
              <w:top w:val="nil"/>
              <w:left w:val="single" w:sz="8" w:space="0" w:color="auto"/>
              <w:bottom w:val="single" w:sz="8" w:space="0" w:color="auto"/>
              <w:right w:val="single" w:sz="4" w:space="0" w:color="auto"/>
            </w:tcBorders>
            <w:shd w:val="clear" w:color="000000" w:fill="40B107"/>
            <w:vAlign w:val="center"/>
            <w:hideMark/>
          </w:tcPr>
          <w:p w14:paraId="040C456D"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1</w:t>
            </w:r>
          </w:p>
        </w:tc>
        <w:tc>
          <w:tcPr>
            <w:tcW w:w="1834" w:type="dxa"/>
            <w:tcBorders>
              <w:top w:val="nil"/>
              <w:left w:val="nil"/>
              <w:bottom w:val="single" w:sz="8" w:space="0" w:color="auto"/>
              <w:right w:val="single" w:sz="4" w:space="0" w:color="auto"/>
            </w:tcBorders>
            <w:shd w:val="clear" w:color="000000" w:fill="40B107"/>
            <w:vAlign w:val="center"/>
            <w:hideMark/>
          </w:tcPr>
          <w:p w14:paraId="65D00EE8" w14:textId="77777777" w:rsidR="00812F59" w:rsidRPr="00812F59" w:rsidRDefault="00812F59" w:rsidP="00812F59">
            <w:pPr>
              <w:spacing w:after="0" w:line="240" w:lineRule="auto"/>
              <w:jc w:val="center"/>
              <w:rPr>
                <w:rFonts w:ascii="Calibri" w:eastAsia="Times New Roman" w:hAnsi="Calibri" w:cs="Calibri"/>
                <w:b/>
                <w:bCs/>
                <w:color w:val="000000"/>
                <w:kern w:val="0"/>
                <w:sz w:val="18"/>
                <w:szCs w:val="18"/>
                <w:lang w:eastAsia="en-GB"/>
                <w14:ligatures w14:val="none"/>
              </w:rPr>
            </w:pPr>
            <w:r w:rsidRPr="00812F59">
              <w:rPr>
                <w:rFonts w:ascii="Calibri" w:eastAsia="Times New Roman" w:hAnsi="Calibri" w:cs="Calibri"/>
                <w:b/>
                <w:bCs/>
                <w:color w:val="000000"/>
                <w:kern w:val="0"/>
                <w:sz w:val="18"/>
                <w:szCs w:val="18"/>
                <w:lang w:eastAsia="en-GB"/>
                <w14:ligatures w14:val="none"/>
              </w:rPr>
              <w:t>Very high</w:t>
            </w:r>
          </w:p>
        </w:tc>
        <w:tc>
          <w:tcPr>
            <w:tcW w:w="6793" w:type="dxa"/>
            <w:gridSpan w:val="2"/>
            <w:tcBorders>
              <w:top w:val="single" w:sz="4" w:space="0" w:color="auto"/>
              <w:left w:val="nil"/>
              <w:bottom w:val="single" w:sz="8" w:space="0" w:color="auto"/>
              <w:right w:val="single" w:sz="8" w:space="0" w:color="000000"/>
            </w:tcBorders>
            <w:shd w:val="clear" w:color="000000" w:fill="D8E4BC"/>
            <w:vAlign w:val="center"/>
            <w:hideMark/>
          </w:tcPr>
          <w:p w14:paraId="79D8CFD7" w14:textId="77777777" w:rsidR="00812F59" w:rsidRPr="002D5C82" w:rsidRDefault="00812F59" w:rsidP="00812F59">
            <w:pPr>
              <w:spacing w:after="0" w:line="240" w:lineRule="auto"/>
              <w:jc w:val="center"/>
              <w:rPr>
                <w:rFonts w:ascii="Calibri" w:eastAsia="Times New Roman" w:hAnsi="Calibri" w:cs="Calibri"/>
                <w:kern w:val="0"/>
                <w:sz w:val="18"/>
                <w:szCs w:val="18"/>
                <w:lang w:eastAsia="en-GB"/>
                <w14:ligatures w14:val="none"/>
              </w:rPr>
            </w:pPr>
            <w:r w:rsidRPr="002D5C82">
              <w:rPr>
                <w:rFonts w:ascii="Calibri" w:eastAsia="Times New Roman" w:hAnsi="Calibri" w:cs="Calibri"/>
                <w:kern w:val="0"/>
                <w:sz w:val="18"/>
                <w:szCs w:val="18"/>
                <w:lang w:eastAsia="en-GB"/>
                <w14:ligatures w14:val="none"/>
              </w:rPr>
              <w:t>Failure mode cannot be physically produced or processed, as detection methods proven to always detect the failure mode or failure cause.</w:t>
            </w:r>
          </w:p>
        </w:tc>
        <w:tc>
          <w:tcPr>
            <w:tcW w:w="36" w:type="dxa"/>
            <w:vAlign w:val="center"/>
            <w:hideMark/>
          </w:tcPr>
          <w:p w14:paraId="0DAA6B16" w14:textId="77777777" w:rsidR="00812F59" w:rsidRPr="00812F59" w:rsidRDefault="00812F59" w:rsidP="00812F59">
            <w:pPr>
              <w:spacing w:after="0" w:line="240" w:lineRule="auto"/>
              <w:rPr>
                <w:rFonts w:ascii="Times New Roman" w:eastAsia="Times New Roman" w:hAnsi="Times New Roman" w:cs="Times New Roman"/>
                <w:kern w:val="0"/>
                <w:sz w:val="20"/>
                <w:szCs w:val="20"/>
                <w:lang w:eastAsia="en-GB"/>
                <w14:ligatures w14:val="none"/>
              </w:rPr>
            </w:pPr>
          </w:p>
        </w:tc>
      </w:tr>
    </w:tbl>
    <w:p w14:paraId="77D55C38" w14:textId="27E1472F" w:rsidR="003078F6" w:rsidRDefault="00C148C6" w:rsidP="00C148C6">
      <w:pPr>
        <w:pStyle w:val="Caption"/>
      </w:pPr>
      <w:bookmarkStart w:id="19" w:name="_Toc214299336"/>
      <w:r>
        <w:t xml:space="preserve">Table </w:t>
      </w:r>
      <w:fldSimple w:instr=" SEQ Table \* ARABIC ">
        <w:r w:rsidR="000A7B00">
          <w:rPr>
            <w:noProof/>
          </w:rPr>
          <w:t>4</w:t>
        </w:r>
      </w:fldSimple>
      <w:r>
        <w:t xml:space="preserve"> - Detection Matrix for FMEA</w:t>
      </w:r>
      <w:bookmarkEnd w:id="19"/>
    </w:p>
    <w:p w14:paraId="10CF669E" w14:textId="77777777" w:rsidR="00A32164" w:rsidRDefault="00A32164" w:rsidP="00A32164"/>
    <w:p w14:paraId="1E9AA466" w14:textId="77777777" w:rsidR="00A32164" w:rsidRPr="00A32164" w:rsidRDefault="00A32164" w:rsidP="00A32164"/>
    <w:p w14:paraId="36F8776E" w14:textId="3B829D58" w:rsidR="00226F06" w:rsidRDefault="00347A7A" w:rsidP="00607BBA">
      <w:pPr>
        <w:pStyle w:val="Heading2"/>
        <w:spacing w:line="360" w:lineRule="auto"/>
      </w:pPr>
      <w:bookmarkStart w:id="20" w:name="_Toc214299354"/>
      <w:r>
        <w:lastRenderedPageBreak/>
        <w:t>3</w:t>
      </w:r>
      <w:r w:rsidR="00367E69">
        <w:t>.</w:t>
      </w:r>
      <w:r w:rsidR="00936C4E">
        <w:t>6</w:t>
      </w:r>
      <w:r w:rsidR="00367E69">
        <w:t xml:space="preserve"> </w:t>
      </w:r>
      <w:r w:rsidR="00226F06" w:rsidRPr="007241B7">
        <w:t>Failure Mode and Effects Analysis on Imported Slab</w:t>
      </w:r>
      <w:r w:rsidR="007241B7" w:rsidRPr="007241B7">
        <w:t xml:space="preserve"> Supply Chain</w:t>
      </w:r>
      <w:bookmarkEnd w:id="20"/>
    </w:p>
    <w:p w14:paraId="779C9B5F" w14:textId="77777777" w:rsidR="002D5C82" w:rsidRPr="002D5C82" w:rsidRDefault="002D5C82" w:rsidP="002D5C82">
      <w:pPr>
        <w:spacing w:line="360" w:lineRule="auto"/>
        <w:jc w:val="both"/>
        <w:rPr>
          <w:rFonts w:cstheme="minorHAnsi"/>
          <w:bCs/>
          <w:sz w:val="24"/>
          <w:szCs w:val="24"/>
        </w:rPr>
      </w:pPr>
      <w:r w:rsidRPr="002D5C82">
        <w:rPr>
          <w:rFonts w:cstheme="minorHAnsi"/>
          <w:bCs/>
          <w:sz w:val="24"/>
          <w:szCs w:val="24"/>
        </w:rPr>
        <w:t>The FMEA identified a number of high priority risks within the international steel slab import supply chain to Tata Steel Port Talbot. The analysis shown in table 4, demonstrated that shipping delays from adverse weather generated the highest Risk Priority Numbers (RPNs), indicating their considerable potential to disrupt production processes and compromise the continuity of customer supply.</w:t>
      </w:r>
    </w:p>
    <w:p w14:paraId="4E018ABD" w14:textId="77777777" w:rsidR="002D5C82" w:rsidRPr="002D5C82" w:rsidRDefault="002D5C82" w:rsidP="002D5C82">
      <w:pPr>
        <w:spacing w:line="360" w:lineRule="auto"/>
        <w:jc w:val="both"/>
        <w:rPr>
          <w:rFonts w:cstheme="minorHAnsi"/>
          <w:bCs/>
          <w:sz w:val="24"/>
          <w:szCs w:val="24"/>
        </w:rPr>
      </w:pPr>
      <w:r w:rsidRPr="002D5C82">
        <w:rPr>
          <w:rFonts w:cstheme="minorHAnsi"/>
          <w:bCs/>
          <w:sz w:val="24"/>
          <w:szCs w:val="24"/>
        </w:rPr>
        <w:t>Supplier related risks, linked to the quality of the product Tata Steel Port Talbot receive, were evaluated as severe due to their direct impact on the continuity of slab availability. This challenge is particularly critical during Tata Steel’s transition to Electric Arc Furnace (EAF) operations, where the maintenance of a consistent slab supply is essential for meeting customer demand and ensuring operational stability.</w:t>
      </w:r>
    </w:p>
    <w:p w14:paraId="2C345EFC" w14:textId="77777777" w:rsidR="002D5C82" w:rsidRPr="002D5C82" w:rsidRDefault="002D5C82" w:rsidP="002D5C82">
      <w:pPr>
        <w:spacing w:line="360" w:lineRule="auto"/>
        <w:jc w:val="both"/>
        <w:rPr>
          <w:rFonts w:cstheme="minorHAnsi"/>
          <w:bCs/>
          <w:sz w:val="24"/>
          <w:szCs w:val="24"/>
        </w:rPr>
      </w:pPr>
      <w:r w:rsidRPr="002D5C82">
        <w:rPr>
          <w:rFonts w:cstheme="minorHAnsi"/>
          <w:bCs/>
          <w:sz w:val="24"/>
          <w:szCs w:val="24"/>
        </w:rPr>
        <w:t>Sustainability risks, including carbon intensive processes were assigned high ratings, reflecting the vulnerability of the supply chain to external factors such as financial penalties and reputational damage.</w:t>
      </w:r>
    </w:p>
    <w:p w14:paraId="702CB9B8" w14:textId="77777777" w:rsidR="002D5C82" w:rsidRPr="002D5C82" w:rsidRDefault="002D5C82" w:rsidP="002D5C82">
      <w:pPr>
        <w:spacing w:line="360" w:lineRule="auto"/>
        <w:jc w:val="both"/>
        <w:rPr>
          <w:rFonts w:cstheme="minorHAnsi"/>
          <w:bCs/>
          <w:sz w:val="24"/>
          <w:szCs w:val="24"/>
        </w:rPr>
      </w:pPr>
      <w:r w:rsidRPr="002D5C82">
        <w:rPr>
          <w:rFonts w:cstheme="minorHAnsi"/>
          <w:bCs/>
          <w:sz w:val="24"/>
          <w:szCs w:val="24"/>
        </w:rPr>
        <w:t>Customs and documentation issues were identified as exerting a moderate yet persistent influence on the supply chain. Errors in import documentation may lead to shipment delays and increased administrative costs. Quality control issues at the supplier stage were also observed and have the potential to become severe, since the delivery of substandard slabs could negatively affect downstream production quality and result in customer rejections.</w:t>
      </w:r>
    </w:p>
    <w:p w14:paraId="7EDDAF51" w14:textId="77777777" w:rsidR="002D5C82" w:rsidRPr="002D5C82" w:rsidRDefault="002D5C82" w:rsidP="002D5C82">
      <w:pPr>
        <w:spacing w:line="360" w:lineRule="auto"/>
        <w:jc w:val="both"/>
        <w:rPr>
          <w:rFonts w:cstheme="minorHAnsi"/>
          <w:bCs/>
          <w:sz w:val="24"/>
          <w:szCs w:val="24"/>
        </w:rPr>
      </w:pPr>
      <w:r w:rsidRPr="002D5C82">
        <w:rPr>
          <w:rFonts w:cstheme="minorHAnsi"/>
          <w:bCs/>
          <w:sz w:val="24"/>
          <w:szCs w:val="24"/>
          <w:shd w:val="clear" w:color="auto" w:fill="FFFFFF" w:themeFill="background1"/>
        </w:rPr>
        <w:t>Overall,</w:t>
      </w:r>
      <w:r w:rsidRPr="002D5C82">
        <w:rPr>
          <w:rFonts w:cstheme="minorHAnsi"/>
          <w:bCs/>
          <w:sz w:val="24"/>
          <w:szCs w:val="24"/>
        </w:rPr>
        <w:t xml:space="preserve"> the FMEA demonstrates that the slab import supply chain is vulnerable to both operational and strategic risks. To mitigate these threats and strengthen resilience, six key improvement steps are proposed in the next section.</w:t>
      </w:r>
    </w:p>
    <w:p w14:paraId="7642A1B9" w14:textId="77777777" w:rsidR="005D7A6E" w:rsidRDefault="005D7A6E" w:rsidP="00607BBA">
      <w:pPr>
        <w:spacing w:line="360" w:lineRule="auto"/>
        <w:jc w:val="both"/>
        <w:rPr>
          <w:rFonts w:cstheme="minorHAnsi"/>
          <w:bCs/>
          <w:sz w:val="24"/>
          <w:szCs w:val="24"/>
        </w:rPr>
      </w:pPr>
    </w:p>
    <w:p w14:paraId="7F6445B1" w14:textId="77777777" w:rsidR="002D5C82" w:rsidRDefault="002D5C82" w:rsidP="00607BBA">
      <w:pPr>
        <w:spacing w:line="360" w:lineRule="auto"/>
        <w:jc w:val="both"/>
        <w:rPr>
          <w:rFonts w:cstheme="minorHAnsi"/>
          <w:bCs/>
          <w:sz w:val="24"/>
          <w:szCs w:val="24"/>
        </w:rPr>
      </w:pPr>
    </w:p>
    <w:p w14:paraId="2E6E6D30" w14:textId="77777777" w:rsidR="005D7A6E" w:rsidRDefault="005D7A6E" w:rsidP="00607BBA">
      <w:pPr>
        <w:spacing w:line="360" w:lineRule="auto"/>
        <w:jc w:val="both"/>
        <w:rPr>
          <w:rFonts w:cstheme="minorHAnsi"/>
          <w:bCs/>
          <w:sz w:val="24"/>
          <w:szCs w:val="24"/>
        </w:rPr>
      </w:pPr>
    </w:p>
    <w:p w14:paraId="3AA84720" w14:textId="77777777" w:rsidR="005D7A6E" w:rsidRDefault="005D7A6E" w:rsidP="00607BBA">
      <w:pPr>
        <w:spacing w:line="360" w:lineRule="auto"/>
        <w:jc w:val="both"/>
        <w:rPr>
          <w:rFonts w:cstheme="minorHAnsi"/>
          <w:bCs/>
          <w:sz w:val="24"/>
          <w:szCs w:val="24"/>
        </w:rPr>
      </w:pPr>
    </w:p>
    <w:p w14:paraId="6AECF387" w14:textId="1CC6515B" w:rsidR="00D6187E" w:rsidRDefault="00347A7A" w:rsidP="009D73DD">
      <w:pPr>
        <w:pStyle w:val="Heading2"/>
      </w:pPr>
      <w:bookmarkStart w:id="21" w:name="_Toc214299355"/>
      <w:r>
        <w:lastRenderedPageBreak/>
        <w:t>3</w:t>
      </w:r>
      <w:r w:rsidR="009D73DD">
        <w:t>.</w:t>
      </w:r>
      <w:r w:rsidR="00936C4E">
        <w:t>7</w:t>
      </w:r>
      <w:r w:rsidR="009D73DD">
        <w:t xml:space="preserve"> Limitations of FMEA</w:t>
      </w:r>
      <w:bookmarkEnd w:id="21"/>
    </w:p>
    <w:p w14:paraId="1A3ABC07" w14:textId="3A8E2352" w:rsidR="009D73DD" w:rsidRPr="00801A15" w:rsidRDefault="009D73DD" w:rsidP="002B618F">
      <w:pPr>
        <w:spacing w:line="360" w:lineRule="auto"/>
        <w:jc w:val="both"/>
        <w:rPr>
          <w:sz w:val="24"/>
          <w:szCs w:val="24"/>
        </w:rPr>
      </w:pPr>
      <w:r w:rsidRPr="00801A15">
        <w:rPr>
          <w:sz w:val="24"/>
          <w:szCs w:val="24"/>
        </w:rPr>
        <w:t>The Failure Mode and Effects Analysis (FMEA) process is inherently qualitative and subjective rather than quantitative or strictly measurable. It depends heavily on the expertise, experience, and judgement of the assessment team, meaning that its accuracy and reliability are influenced by the team’s collective knowledge and ability to identify potential risks</w:t>
      </w:r>
      <w:r w:rsidR="005568D1" w:rsidRPr="00801A15">
        <w:rPr>
          <w:sz w:val="24"/>
          <w:szCs w:val="24"/>
        </w:rPr>
        <w:t xml:space="preserve"> </w:t>
      </w:r>
      <w:sdt>
        <w:sdtPr>
          <w:rPr>
            <w:sz w:val="24"/>
            <w:szCs w:val="24"/>
          </w:rPr>
          <w:id w:val="-472603820"/>
          <w:citation/>
        </w:sdtPr>
        <w:sdtContent>
          <w:r w:rsidR="005568D1" w:rsidRPr="00801A15">
            <w:rPr>
              <w:sz w:val="24"/>
              <w:szCs w:val="24"/>
            </w:rPr>
            <w:fldChar w:fldCharType="begin"/>
          </w:r>
          <w:r w:rsidR="005568D1" w:rsidRPr="00801A15">
            <w:rPr>
              <w:sz w:val="24"/>
              <w:szCs w:val="24"/>
              <w:lang w:val="en-US"/>
            </w:rPr>
            <w:instrText xml:space="preserve"> CITATION Ban18 \l 1033 </w:instrText>
          </w:r>
          <w:r w:rsidR="005568D1" w:rsidRPr="00801A15">
            <w:rPr>
              <w:sz w:val="24"/>
              <w:szCs w:val="24"/>
            </w:rPr>
            <w:fldChar w:fldCharType="separate"/>
          </w:r>
          <w:r w:rsidR="008327FB" w:rsidRPr="00801A15">
            <w:rPr>
              <w:noProof/>
              <w:sz w:val="24"/>
              <w:szCs w:val="24"/>
              <w:lang w:val="en-US"/>
            </w:rPr>
            <w:t>(Banghart, Babski-Reeves, Bian, &amp; Strawderman, 2018)</w:t>
          </w:r>
          <w:r w:rsidR="005568D1" w:rsidRPr="00801A15">
            <w:rPr>
              <w:sz w:val="24"/>
              <w:szCs w:val="24"/>
            </w:rPr>
            <w:fldChar w:fldCharType="end"/>
          </w:r>
        </w:sdtContent>
      </w:sdt>
      <w:r w:rsidRPr="00801A15">
        <w:rPr>
          <w:sz w:val="24"/>
          <w:szCs w:val="24"/>
        </w:rPr>
        <w:t>. As such, it represents a single-point failure analysis, focusing on individual failure modes in isolation rather than accounting for complex, interrelated or cascading failures that may occur across multiple points within a system</w:t>
      </w:r>
      <w:r w:rsidR="004E312A" w:rsidRPr="00801A15">
        <w:rPr>
          <w:sz w:val="24"/>
          <w:szCs w:val="24"/>
        </w:rPr>
        <w:t xml:space="preserve"> </w:t>
      </w:r>
      <w:sdt>
        <w:sdtPr>
          <w:rPr>
            <w:sz w:val="24"/>
            <w:szCs w:val="24"/>
          </w:rPr>
          <w:id w:val="-681126551"/>
          <w:citation/>
        </w:sdtPr>
        <w:sdtContent>
          <w:r w:rsidR="004E312A" w:rsidRPr="00801A15">
            <w:rPr>
              <w:sz w:val="24"/>
              <w:szCs w:val="24"/>
            </w:rPr>
            <w:fldChar w:fldCharType="begin"/>
          </w:r>
          <w:r w:rsidR="004E312A" w:rsidRPr="00801A15">
            <w:rPr>
              <w:sz w:val="24"/>
              <w:szCs w:val="24"/>
              <w:lang w:val="en-US"/>
            </w:rPr>
            <w:instrText xml:space="preserve"> CITATION She12 \l 1033 </w:instrText>
          </w:r>
          <w:r w:rsidR="004E312A" w:rsidRPr="00801A15">
            <w:rPr>
              <w:sz w:val="24"/>
              <w:szCs w:val="24"/>
            </w:rPr>
            <w:fldChar w:fldCharType="separate"/>
          </w:r>
          <w:r w:rsidR="008327FB" w:rsidRPr="00801A15">
            <w:rPr>
              <w:noProof/>
              <w:sz w:val="24"/>
              <w:szCs w:val="24"/>
              <w:lang w:val="en-US"/>
            </w:rPr>
            <w:t>(Shebl, Franklin, &amp; Barber, 2012)</w:t>
          </w:r>
          <w:r w:rsidR="004E312A" w:rsidRPr="00801A15">
            <w:rPr>
              <w:sz w:val="24"/>
              <w:szCs w:val="24"/>
            </w:rPr>
            <w:fldChar w:fldCharType="end"/>
          </w:r>
        </w:sdtContent>
      </w:sdt>
      <w:r w:rsidRPr="00801A15">
        <w:rPr>
          <w:sz w:val="24"/>
          <w:szCs w:val="24"/>
        </w:rPr>
        <w:t>.</w:t>
      </w:r>
    </w:p>
    <w:p w14:paraId="743E2CA7" w14:textId="215E12FD" w:rsidR="009D73DD" w:rsidRPr="00801A15" w:rsidRDefault="002B618F" w:rsidP="002B618F">
      <w:pPr>
        <w:spacing w:line="360" w:lineRule="auto"/>
        <w:jc w:val="both"/>
        <w:rPr>
          <w:sz w:val="24"/>
          <w:szCs w:val="24"/>
        </w:rPr>
      </w:pPr>
      <w:r w:rsidRPr="00801A15">
        <w:rPr>
          <w:sz w:val="24"/>
          <w:szCs w:val="24"/>
        </w:rPr>
        <w:t>T</w:t>
      </w:r>
      <w:r w:rsidR="009D73DD" w:rsidRPr="00801A15">
        <w:rPr>
          <w:sz w:val="24"/>
          <w:szCs w:val="24"/>
        </w:rPr>
        <w:t xml:space="preserve">he FMEA serves primarily as a summary of the team’s evaluations and decisions, rather than a direct measurement of system reliability or performance. Consequently, the overall quality and validity of the FMEA report are contingent upon the team’s ability to record information clearly, comprehensively, and consistently. Variations in documentation quality, and interpretation among team members can therefore introduce bias or inconsistency, potentially </w:t>
      </w:r>
      <w:proofErr w:type="gramStart"/>
      <w:r w:rsidR="009D73DD" w:rsidRPr="00801A15">
        <w:rPr>
          <w:sz w:val="24"/>
          <w:szCs w:val="24"/>
        </w:rPr>
        <w:t>limiting</w:t>
      </w:r>
      <w:proofErr w:type="gramEnd"/>
      <w:r w:rsidR="009D73DD" w:rsidRPr="00801A15">
        <w:rPr>
          <w:sz w:val="24"/>
          <w:szCs w:val="24"/>
        </w:rPr>
        <w:t xml:space="preserve"> the predictive capability of the analysis when applied to future operational scenarios</w:t>
      </w:r>
      <w:r w:rsidR="004E312A" w:rsidRPr="00801A15">
        <w:rPr>
          <w:sz w:val="24"/>
          <w:szCs w:val="24"/>
        </w:rPr>
        <w:t xml:space="preserve"> </w:t>
      </w:r>
      <w:sdt>
        <w:sdtPr>
          <w:rPr>
            <w:sz w:val="24"/>
            <w:szCs w:val="24"/>
          </w:rPr>
          <w:id w:val="554442405"/>
          <w:citation/>
        </w:sdtPr>
        <w:sdtContent>
          <w:r w:rsidR="004E312A" w:rsidRPr="00801A15">
            <w:rPr>
              <w:sz w:val="24"/>
              <w:szCs w:val="24"/>
            </w:rPr>
            <w:fldChar w:fldCharType="begin"/>
          </w:r>
          <w:r w:rsidR="004E312A" w:rsidRPr="00801A15">
            <w:rPr>
              <w:sz w:val="24"/>
              <w:szCs w:val="24"/>
              <w:lang w:val="en-US"/>
            </w:rPr>
            <w:instrText xml:space="preserve"> CITATION Gra24 \l 1033 </w:instrText>
          </w:r>
          <w:r w:rsidR="004E312A" w:rsidRPr="00801A15">
            <w:rPr>
              <w:sz w:val="24"/>
              <w:szCs w:val="24"/>
            </w:rPr>
            <w:fldChar w:fldCharType="separate"/>
          </w:r>
          <w:r w:rsidR="008327FB" w:rsidRPr="00801A15">
            <w:rPr>
              <w:noProof/>
              <w:sz w:val="24"/>
              <w:szCs w:val="24"/>
              <w:lang w:val="en-US"/>
            </w:rPr>
            <w:t>(Grainger, 2024)</w:t>
          </w:r>
          <w:r w:rsidR="004E312A" w:rsidRPr="00801A15">
            <w:rPr>
              <w:sz w:val="24"/>
              <w:szCs w:val="24"/>
            </w:rPr>
            <w:fldChar w:fldCharType="end"/>
          </w:r>
        </w:sdtContent>
      </w:sdt>
      <w:r w:rsidR="009D73DD" w:rsidRPr="00801A15">
        <w:rPr>
          <w:sz w:val="24"/>
          <w:szCs w:val="24"/>
        </w:rPr>
        <w:t>.</w:t>
      </w:r>
    </w:p>
    <w:p w14:paraId="4CF9CFF7" w14:textId="77777777" w:rsidR="00607BBA" w:rsidRDefault="00607BBA" w:rsidP="00607BBA">
      <w:pPr>
        <w:spacing w:line="360" w:lineRule="auto"/>
        <w:jc w:val="both"/>
        <w:rPr>
          <w:rFonts w:cstheme="minorHAnsi"/>
          <w:bCs/>
          <w:sz w:val="24"/>
          <w:szCs w:val="24"/>
        </w:rPr>
      </w:pPr>
    </w:p>
    <w:p w14:paraId="2F807ECD" w14:textId="77777777" w:rsidR="009D73DD" w:rsidRDefault="009D73DD" w:rsidP="00607BBA">
      <w:pPr>
        <w:spacing w:line="360" w:lineRule="auto"/>
        <w:jc w:val="both"/>
        <w:rPr>
          <w:rFonts w:cstheme="minorHAnsi"/>
          <w:bCs/>
          <w:sz w:val="24"/>
          <w:szCs w:val="24"/>
        </w:rPr>
      </w:pPr>
    </w:p>
    <w:p w14:paraId="1D567D2B" w14:textId="77777777" w:rsidR="009D73DD" w:rsidRDefault="009D73DD" w:rsidP="00607BBA">
      <w:pPr>
        <w:spacing w:line="360" w:lineRule="auto"/>
        <w:jc w:val="both"/>
        <w:rPr>
          <w:rFonts w:cstheme="minorHAnsi"/>
          <w:bCs/>
          <w:sz w:val="24"/>
          <w:szCs w:val="24"/>
        </w:rPr>
      </w:pPr>
    </w:p>
    <w:p w14:paraId="4E2BE64A" w14:textId="77777777" w:rsidR="009D73DD" w:rsidRDefault="009D73DD" w:rsidP="00607BBA">
      <w:pPr>
        <w:spacing w:line="360" w:lineRule="auto"/>
        <w:jc w:val="both"/>
        <w:rPr>
          <w:rFonts w:cstheme="minorHAnsi"/>
          <w:bCs/>
          <w:sz w:val="24"/>
          <w:szCs w:val="24"/>
        </w:rPr>
      </w:pPr>
    </w:p>
    <w:p w14:paraId="75270CA7" w14:textId="77777777" w:rsidR="009D73DD" w:rsidRDefault="009D73DD" w:rsidP="00607BBA">
      <w:pPr>
        <w:spacing w:line="360" w:lineRule="auto"/>
        <w:jc w:val="both"/>
        <w:rPr>
          <w:rFonts w:cstheme="minorHAnsi"/>
          <w:bCs/>
          <w:sz w:val="24"/>
          <w:szCs w:val="24"/>
        </w:rPr>
      </w:pPr>
    </w:p>
    <w:p w14:paraId="01C2232E" w14:textId="77777777" w:rsidR="007F0FD6" w:rsidRDefault="007F0FD6" w:rsidP="00607BBA">
      <w:pPr>
        <w:spacing w:line="360" w:lineRule="auto"/>
        <w:jc w:val="both"/>
        <w:rPr>
          <w:rFonts w:cstheme="minorHAnsi"/>
          <w:bCs/>
          <w:sz w:val="24"/>
          <w:szCs w:val="24"/>
        </w:rPr>
      </w:pPr>
    </w:p>
    <w:p w14:paraId="3EBF5FB1" w14:textId="77777777" w:rsidR="007F0FD6" w:rsidRDefault="007F0FD6" w:rsidP="00607BBA">
      <w:pPr>
        <w:spacing w:line="360" w:lineRule="auto"/>
        <w:jc w:val="both"/>
        <w:rPr>
          <w:rFonts w:cstheme="minorHAnsi"/>
          <w:bCs/>
          <w:sz w:val="24"/>
          <w:szCs w:val="24"/>
        </w:rPr>
      </w:pPr>
    </w:p>
    <w:p w14:paraId="3EF36E87" w14:textId="77777777" w:rsidR="007F0FD6" w:rsidRDefault="007F0FD6" w:rsidP="00607BBA">
      <w:pPr>
        <w:spacing w:line="360" w:lineRule="auto"/>
        <w:jc w:val="both"/>
        <w:rPr>
          <w:rFonts w:cstheme="minorHAnsi"/>
          <w:bCs/>
          <w:sz w:val="24"/>
          <w:szCs w:val="24"/>
        </w:rPr>
      </w:pPr>
    </w:p>
    <w:p w14:paraId="1465EA17" w14:textId="77777777" w:rsidR="007F0FD6" w:rsidRDefault="007F0FD6" w:rsidP="00607BBA">
      <w:pPr>
        <w:spacing w:line="360" w:lineRule="auto"/>
        <w:jc w:val="both"/>
        <w:rPr>
          <w:rFonts w:cstheme="minorHAnsi"/>
          <w:bCs/>
          <w:sz w:val="24"/>
          <w:szCs w:val="24"/>
        </w:rPr>
      </w:pPr>
    </w:p>
    <w:p w14:paraId="2E5D1BE5" w14:textId="77777777" w:rsidR="007F0FD6" w:rsidRDefault="007F0FD6" w:rsidP="00607BBA">
      <w:pPr>
        <w:spacing w:line="360" w:lineRule="auto"/>
        <w:jc w:val="both"/>
        <w:rPr>
          <w:rFonts w:cstheme="minorHAnsi"/>
          <w:bCs/>
          <w:sz w:val="24"/>
          <w:szCs w:val="24"/>
        </w:rPr>
      </w:pPr>
    </w:p>
    <w:p w14:paraId="040E672E" w14:textId="77777777" w:rsidR="009D73DD" w:rsidRPr="00607BBA" w:rsidRDefault="009D73DD" w:rsidP="00607BBA">
      <w:pPr>
        <w:spacing w:line="360" w:lineRule="auto"/>
        <w:jc w:val="both"/>
        <w:rPr>
          <w:rFonts w:cstheme="minorHAnsi"/>
          <w:bCs/>
          <w:sz w:val="24"/>
          <w:szCs w:val="24"/>
        </w:rPr>
      </w:pPr>
    </w:p>
    <w:p w14:paraId="377200D4" w14:textId="6A6C3D18" w:rsidR="007241B7" w:rsidRDefault="006D36F3" w:rsidP="00AC7586">
      <w:pPr>
        <w:pStyle w:val="Heading1"/>
        <w:numPr>
          <w:ilvl w:val="0"/>
          <w:numId w:val="4"/>
        </w:numPr>
        <w:spacing w:line="360" w:lineRule="auto"/>
        <w:rPr>
          <w:lang w:val="en-US"/>
        </w:rPr>
      </w:pPr>
      <w:bookmarkStart w:id="22" w:name="_Toc214299356"/>
      <w:r>
        <w:rPr>
          <w:lang w:val="en-US"/>
        </w:rPr>
        <w:lastRenderedPageBreak/>
        <w:t>Improving Resilience of Imported Slab Supply Chain</w:t>
      </w:r>
      <w:bookmarkEnd w:id="22"/>
    </w:p>
    <w:p w14:paraId="5BE0081C" w14:textId="73F988D5" w:rsidR="00A21D10" w:rsidRDefault="009035D9" w:rsidP="00EE5805">
      <w:pPr>
        <w:pStyle w:val="Heading2"/>
        <w:spacing w:line="360" w:lineRule="auto"/>
        <w:rPr>
          <w:lang w:val="en-US"/>
        </w:rPr>
      </w:pPr>
      <w:bookmarkStart w:id="23" w:name="_Toc214299357"/>
      <w:r>
        <w:rPr>
          <w:lang w:val="en-US"/>
        </w:rPr>
        <w:t>4</w:t>
      </w:r>
      <w:r w:rsidR="00633376">
        <w:rPr>
          <w:lang w:val="en-US"/>
        </w:rPr>
        <w:t xml:space="preserve">.1 </w:t>
      </w:r>
      <w:r w:rsidR="00EB0787">
        <w:rPr>
          <w:lang w:val="en-US"/>
        </w:rPr>
        <w:t>Imported Slab</w:t>
      </w:r>
      <w:bookmarkEnd w:id="23"/>
    </w:p>
    <w:p w14:paraId="691169D6" w14:textId="2229319A" w:rsidR="00213360" w:rsidRDefault="00460EBE" w:rsidP="00EE5805">
      <w:pPr>
        <w:spacing w:line="360" w:lineRule="auto"/>
        <w:jc w:val="both"/>
        <w:rPr>
          <w:rFonts w:cstheme="minorHAnsi"/>
          <w:bCs/>
          <w:sz w:val="24"/>
          <w:szCs w:val="24"/>
        </w:rPr>
      </w:pPr>
      <w:r w:rsidRPr="00460EBE">
        <w:rPr>
          <w:rFonts w:cstheme="minorHAnsi"/>
          <w:bCs/>
          <w:sz w:val="24"/>
          <w:szCs w:val="24"/>
        </w:rPr>
        <w:t>During the transition from traditional blast furnace (BF) steelmaking to electric arc furnace (EAF) production at Port Talbot, Tata Steel UK has temporarily relied on the importation of steel slabs in order to maintain operational continuity</w:t>
      </w:r>
      <w:r>
        <w:rPr>
          <w:rFonts w:cstheme="minorHAnsi"/>
          <w:bCs/>
          <w:sz w:val="24"/>
          <w:szCs w:val="24"/>
        </w:rPr>
        <w:t xml:space="preserve"> </w:t>
      </w:r>
      <w:sdt>
        <w:sdtPr>
          <w:rPr>
            <w:rFonts w:cstheme="minorHAnsi"/>
            <w:bCs/>
            <w:sz w:val="24"/>
            <w:szCs w:val="24"/>
          </w:rPr>
          <w:id w:val="496925950"/>
          <w:citation/>
        </w:sdtPr>
        <w:sdtContent>
          <w:r w:rsidR="00F537D4">
            <w:rPr>
              <w:rFonts w:cstheme="minorHAnsi"/>
              <w:bCs/>
              <w:sz w:val="24"/>
              <w:szCs w:val="24"/>
            </w:rPr>
            <w:fldChar w:fldCharType="begin"/>
          </w:r>
          <w:r w:rsidR="00F537D4">
            <w:rPr>
              <w:rFonts w:cstheme="minorHAnsi"/>
              <w:bCs/>
              <w:sz w:val="24"/>
              <w:szCs w:val="24"/>
              <w:lang w:val="en-US"/>
            </w:rPr>
            <w:instrText xml:space="preserve"> CITATION Tat242 \l 1033 </w:instrText>
          </w:r>
          <w:r w:rsidR="00F537D4">
            <w:rPr>
              <w:rFonts w:cstheme="minorHAnsi"/>
              <w:bCs/>
              <w:sz w:val="24"/>
              <w:szCs w:val="24"/>
            </w:rPr>
            <w:fldChar w:fldCharType="separate"/>
          </w:r>
          <w:r w:rsidR="008327FB" w:rsidRPr="008327FB">
            <w:rPr>
              <w:rFonts w:cstheme="minorHAnsi"/>
              <w:noProof/>
              <w:sz w:val="24"/>
              <w:szCs w:val="24"/>
              <w:lang w:val="en-US"/>
            </w:rPr>
            <w:t>(Tata Steel, 2024)</w:t>
          </w:r>
          <w:r w:rsidR="00F537D4">
            <w:rPr>
              <w:rFonts w:cstheme="minorHAnsi"/>
              <w:bCs/>
              <w:sz w:val="24"/>
              <w:szCs w:val="24"/>
            </w:rPr>
            <w:fldChar w:fldCharType="end"/>
          </w:r>
        </w:sdtContent>
      </w:sdt>
      <w:r w:rsidR="00213360" w:rsidRPr="00213360">
        <w:rPr>
          <w:rFonts w:cstheme="minorHAnsi"/>
          <w:bCs/>
          <w:sz w:val="24"/>
          <w:szCs w:val="24"/>
        </w:rPr>
        <w:t xml:space="preserve">. </w:t>
      </w:r>
    </w:p>
    <w:p w14:paraId="5CEFFFA1" w14:textId="44716E61" w:rsidR="009B5A1E" w:rsidRPr="00282C92" w:rsidRDefault="00460EBE" w:rsidP="00EE5805">
      <w:pPr>
        <w:spacing w:line="360" w:lineRule="auto"/>
        <w:jc w:val="both"/>
        <w:rPr>
          <w:rFonts w:cstheme="minorHAnsi"/>
          <w:bCs/>
          <w:sz w:val="24"/>
          <w:szCs w:val="24"/>
        </w:rPr>
      </w:pPr>
      <w:r w:rsidRPr="00460EBE">
        <w:rPr>
          <w:rFonts w:cstheme="minorHAnsi"/>
          <w:bCs/>
          <w:sz w:val="24"/>
          <w:szCs w:val="24"/>
        </w:rPr>
        <w:t>The decommissioning of the site’s heavy-end assets, including the blast furnaces, has generated a production gap that would otherwise disrupt supply to downstream processing units and key customers. To mitigate such interruptions, Tata Steel has arranged the importation of slabs and hot-rolled coil from its sister plants in India and the Netherlands, as well as from other responsible global supply chains, thereby ensuring the continuity of manufacturing and distribution activities throughout the transition period</w:t>
      </w:r>
      <w:r>
        <w:rPr>
          <w:rFonts w:cstheme="minorHAnsi"/>
          <w:bCs/>
          <w:sz w:val="24"/>
          <w:szCs w:val="24"/>
        </w:rPr>
        <w:t xml:space="preserve"> </w:t>
      </w:r>
      <w:sdt>
        <w:sdtPr>
          <w:rPr>
            <w:rFonts w:cstheme="minorHAnsi"/>
            <w:bCs/>
            <w:sz w:val="24"/>
            <w:szCs w:val="24"/>
          </w:rPr>
          <w:id w:val="146175437"/>
          <w:citation/>
        </w:sdtPr>
        <w:sdtContent>
          <w:r w:rsidR="00C1270F">
            <w:rPr>
              <w:rFonts w:cstheme="minorHAnsi"/>
              <w:bCs/>
              <w:sz w:val="24"/>
              <w:szCs w:val="24"/>
            </w:rPr>
            <w:fldChar w:fldCharType="begin"/>
          </w:r>
          <w:r w:rsidR="00C1270F">
            <w:rPr>
              <w:rFonts w:cstheme="minorHAnsi"/>
              <w:bCs/>
              <w:sz w:val="24"/>
              <w:szCs w:val="24"/>
              <w:lang w:val="en-US"/>
            </w:rPr>
            <w:instrText xml:space="preserve"> CITATION Nai24 \l 1033 </w:instrText>
          </w:r>
          <w:r w:rsidR="00C1270F">
            <w:rPr>
              <w:rFonts w:cstheme="minorHAnsi"/>
              <w:bCs/>
              <w:sz w:val="24"/>
              <w:szCs w:val="24"/>
            </w:rPr>
            <w:fldChar w:fldCharType="separate"/>
          </w:r>
          <w:r w:rsidR="008327FB" w:rsidRPr="008327FB">
            <w:rPr>
              <w:rFonts w:cstheme="minorHAnsi"/>
              <w:noProof/>
              <w:sz w:val="24"/>
              <w:szCs w:val="24"/>
              <w:lang w:val="en-US"/>
            </w:rPr>
            <w:t>(Nair, 2024)</w:t>
          </w:r>
          <w:r w:rsidR="00C1270F">
            <w:rPr>
              <w:rFonts w:cstheme="minorHAnsi"/>
              <w:bCs/>
              <w:sz w:val="24"/>
              <w:szCs w:val="24"/>
            </w:rPr>
            <w:fldChar w:fldCharType="end"/>
          </w:r>
        </w:sdtContent>
      </w:sdt>
      <w:r w:rsidR="00213360" w:rsidRPr="00213360">
        <w:rPr>
          <w:rFonts w:cstheme="minorHAnsi"/>
          <w:bCs/>
          <w:sz w:val="24"/>
          <w:szCs w:val="24"/>
        </w:rPr>
        <w:t xml:space="preserve">. </w:t>
      </w:r>
      <w:r w:rsidR="009B5A1E" w:rsidRPr="009B5A1E">
        <w:t xml:space="preserve"> </w:t>
      </w:r>
    </w:p>
    <w:p w14:paraId="51BEC29C" w14:textId="751852AE" w:rsidR="00761604" w:rsidRDefault="00460EBE" w:rsidP="00EE5805">
      <w:pPr>
        <w:spacing w:line="360" w:lineRule="auto"/>
        <w:jc w:val="both"/>
        <w:rPr>
          <w:rFonts w:cstheme="minorHAnsi"/>
          <w:bCs/>
          <w:sz w:val="24"/>
          <w:szCs w:val="24"/>
        </w:rPr>
      </w:pPr>
      <w:r w:rsidRPr="00460EBE">
        <w:rPr>
          <w:rFonts w:cstheme="minorHAnsi"/>
          <w:bCs/>
          <w:sz w:val="24"/>
          <w:szCs w:val="24"/>
        </w:rPr>
        <w:t>The decision to import steel slabs during Tata Steel’s transition carries significant implications for the resilience and efficiency of its international supply chain. This shift introduces additional logistical dependencies, as imported slabs must be sourced, transported, and stored under conditions that guarantee quality consistency with domestically produced material</w:t>
      </w:r>
      <w:r>
        <w:rPr>
          <w:rFonts w:cstheme="minorHAnsi"/>
          <w:bCs/>
          <w:sz w:val="24"/>
          <w:szCs w:val="24"/>
        </w:rPr>
        <w:t xml:space="preserve"> </w:t>
      </w:r>
      <w:sdt>
        <w:sdtPr>
          <w:rPr>
            <w:rFonts w:cstheme="minorHAnsi"/>
            <w:bCs/>
            <w:sz w:val="24"/>
            <w:szCs w:val="24"/>
          </w:rPr>
          <w:id w:val="-417712109"/>
          <w:citation/>
        </w:sdtPr>
        <w:sdtContent>
          <w:r w:rsidR="00E96617">
            <w:rPr>
              <w:rFonts w:cstheme="minorHAnsi"/>
              <w:bCs/>
              <w:sz w:val="24"/>
              <w:szCs w:val="24"/>
            </w:rPr>
            <w:fldChar w:fldCharType="begin"/>
          </w:r>
          <w:r w:rsidR="00E96617">
            <w:rPr>
              <w:rFonts w:cstheme="minorHAnsi"/>
              <w:bCs/>
              <w:sz w:val="24"/>
              <w:szCs w:val="24"/>
              <w:lang w:val="en-US"/>
            </w:rPr>
            <w:instrText xml:space="preserve"> CITATION Joh25 \l 1033 </w:instrText>
          </w:r>
          <w:r w:rsidR="00E96617">
            <w:rPr>
              <w:rFonts w:cstheme="minorHAnsi"/>
              <w:bCs/>
              <w:sz w:val="24"/>
              <w:szCs w:val="24"/>
            </w:rPr>
            <w:fldChar w:fldCharType="separate"/>
          </w:r>
          <w:r w:rsidR="008327FB" w:rsidRPr="008327FB">
            <w:rPr>
              <w:rFonts w:cstheme="minorHAnsi"/>
              <w:noProof/>
              <w:sz w:val="24"/>
              <w:szCs w:val="24"/>
              <w:lang w:val="en-US"/>
            </w:rPr>
            <w:t>(John, 2025)</w:t>
          </w:r>
          <w:r w:rsidR="00E96617">
            <w:rPr>
              <w:rFonts w:cstheme="minorHAnsi"/>
              <w:bCs/>
              <w:sz w:val="24"/>
              <w:szCs w:val="24"/>
            </w:rPr>
            <w:fldChar w:fldCharType="end"/>
          </w:r>
        </w:sdtContent>
      </w:sdt>
      <w:r w:rsidR="009B5A1E" w:rsidRPr="009B5A1E">
        <w:rPr>
          <w:rFonts w:cstheme="minorHAnsi"/>
          <w:bCs/>
          <w:sz w:val="24"/>
          <w:szCs w:val="24"/>
        </w:rPr>
        <w:t>.</w:t>
      </w:r>
    </w:p>
    <w:p w14:paraId="2C149F48" w14:textId="0C9721BC" w:rsidR="001C0079" w:rsidRDefault="005E5919" w:rsidP="00EE5805">
      <w:pPr>
        <w:spacing w:line="360" w:lineRule="auto"/>
        <w:jc w:val="both"/>
        <w:rPr>
          <w:rFonts w:cstheme="minorHAnsi"/>
          <w:bCs/>
          <w:sz w:val="24"/>
          <w:szCs w:val="24"/>
        </w:rPr>
      </w:pPr>
      <w:r>
        <w:rPr>
          <w:noProof/>
        </w:rPr>
        <mc:AlternateContent>
          <mc:Choice Requires="wps">
            <w:drawing>
              <wp:anchor distT="0" distB="0" distL="114300" distR="114300" simplePos="0" relativeHeight="251681792" behindDoc="0" locked="0" layoutInCell="1" allowOverlap="1" wp14:anchorId="1CF5DAD4" wp14:editId="104B56E8">
                <wp:simplePos x="0" y="0"/>
                <wp:positionH relativeFrom="column">
                  <wp:posOffset>1434465</wp:posOffset>
                </wp:positionH>
                <wp:positionV relativeFrom="paragraph">
                  <wp:posOffset>3301365</wp:posOffset>
                </wp:positionV>
                <wp:extent cx="2861945" cy="635"/>
                <wp:effectExtent l="0" t="0" r="0" b="0"/>
                <wp:wrapSquare wrapText="bothSides"/>
                <wp:docPr id="43525889" name="Text Box 1"/>
                <wp:cNvGraphicFramePr/>
                <a:graphic xmlns:a="http://schemas.openxmlformats.org/drawingml/2006/main">
                  <a:graphicData uri="http://schemas.microsoft.com/office/word/2010/wordprocessingShape">
                    <wps:wsp>
                      <wps:cNvSpPr txBox="1"/>
                      <wps:spPr>
                        <a:xfrm>
                          <a:off x="0" y="0"/>
                          <a:ext cx="2861945" cy="635"/>
                        </a:xfrm>
                        <a:prstGeom prst="rect">
                          <a:avLst/>
                        </a:prstGeom>
                        <a:solidFill>
                          <a:prstClr val="white"/>
                        </a:solidFill>
                        <a:ln>
                          <a:noFill/>
                        </a:ln>
                      </wps:spPr>
                      <wps:txbx>
                        <w:txbxContent>
                          <w:p w14:paraId="0B63BEB0" w14:textId="0E17971B" w:rsidR="005E5919" w:rsidRPr="00772FC5" w:rsidRDefault="005E5919" w:rsidP="005E5919">
                            <w:pPr>
                              <w:pStyle w:val="Caption"/>
                              <w:rPr>
                                <w:rFonts w:cstheme="minorHAnsi"/>
                                <w:bCs/>
                                <w:noProof/>
                              </w:rPr>
                            </w:pPr>
                            <w:bookmarkStart w:id="24" w:name="_Toc214254283"/>
                            <w:r>
                              <w:t xml:space="preserve">Figure </w:t>
                            </w:r>
                            <w:fldSimple w:instr=" SEQ Figure \* ARABIC ">
                              <w:r w:rsidR="000A7B00">
                                <w:rPr>
                                  <w:noProof/>
                                </w:rPr>
                                <w:t>2</w:t>
                              </w:r>
                            </w:fldSimple>
                            <w:r>
                              <w:t xml:space="preserve"> - DB Cargo Rail</w:t>
                            </w:r>
                            <w:r w:rsidR="005A6CAC">
                              <w:t xml:space="preserve"> </w:t>
                            </w:r>
                            <w:sdt>
                              <w:sdtPr>
                                <w:id w:val="562450957"/>
                                <w:citation/>
                              </w:sdtPr>
                              <w:sdtContent>
                                <w:r w:rsidR="005A6CAC">
                                  <w:fldChar w:fldCharType="begin"/>
                                </w:r>
                                <w:r w:rsidR="005A6CAC">
                                  <w:instrText xml:space="preserve"> CITATION Car25 \l 2057 </w:instrText>
                                </w:r>
                                <w:r w:rsidR="005A6CAC">
                                  <w:fldChar w:fldCharType="separate"/>
                                </w:r>
                                <w:r w:rsidR="005A6CAC">
                                  <w:rPr>
                                    <w:noProof/>
                                  </w:rPr>
                                  <w:t>(Cargo, 2025)</w:t>
                                </w:r>
                                <w:r w:rsidR="005A6CAC">
                                  <w:fldChar w:fldCharType="end"/>
                                </w:r>
                              </w:sdtContent>
                            </w:sdt>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F5DAD4" id="_x0000_s1027" type="#_x0000_t202" style="position:absolute;left:0;text-align:left;margin-left:112.95pt;margin-top:259.95pt;width:225.3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pfXGQIAAD8EAAAOAAAAZHJzL2Uyb0RvYy54bWysU8Fu2zAMvQ/YPwi6L06yNei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f0djb5/OmGM0mx2ceb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" stroked="f">
                <v:textbox style="mso-fit-shape-to-text:t" inset="0,0,0,0">
                  <w:txbxContent>
                    <w:p w14:paraId="0B63BEB0" w14:textId="0E17971B" w:rsidR="005E5919" w:rsidRPr="00772FC5" w:rsidRDefault="005E5919" w:rsidP="005E5919">
                      <w:pPr>
                        <w:pStyle w:val="Caption"/>
                        <w:rPr>
                          <w:rFonts w:cstheme="minorHAnsi"/>
                          <w:bCs/>
                          <w:noProof/>
                        </w:rPr>
                      </w:pPr>
                      <w:bookmarkStart w:id="25" w:name="_Toc214254283"/>
                      <w:r>
                        <w:t xml:space="preserve">Figure </w:t>
                      </w:r>
                      <w:fldSimple w:instr=" SEQ Figure \* ARABIC ">
                        <w:r w:rsidR="000A7B00">
                          <w:rPr>
                            <w:noProof/>
                          </w:rPr>
                          <w:t>2</w:t>
                        </w:r>
                      </w:fldSimple>
                      <w:r>
                        <w:t xml:space="preserve"> - DB Cargo Rail</w:t>
                      </w:r>
                      <w:r w:rsidR="005A6CAC">
                        <w:t xml:space="preserve"> </w:t>
                      </w:r>
                      <w:sdt>
                        <w:sdtPr>
                          <w:id w:val="562450957"/>
                          <w:citation/>
                        </w:sdtPr>
                        <w:sdtContent>
                          <w:r w:rsidR="005A6CAC">
                            <w:fldChar w:fldCharType="begin"/>
                          </w:r>
                          <w:r w:rsidR="005A6CAC">
                            <w:instrText xml:space="preserve"> CITATION Car25 \l 2057 </w:instrText>
                          </w:r>
                          <w:r w:rsidR="005A6CAC">
                            <w:fldChar w:fldCharType="separate"/>
                          </w:r>
                          <w:r w:rsidR="005A6CAC">
                            <w:rPr>
                              <w:noProof/>
                            </w:rPr>
                            <w:t>(Cargo, 2025)</w:t>
                          </w:r>
                          <w:r w:rsidR="005A6CAC">
                            <w:fldChar w:fldCharType="end"/>
                          </w:r>
                        </w:sdtContent>
                      </w:sdt>
                      <w:bookmarkEnd w:id="25"/>
                    </w:p>
                  </w:txbxContent>
                </v:textbox>
                <w10:wrap type="square"/>
              </v:shape>
            </w:pict>
          </mc:Fallback>
        </mc:AlternateContent>
      </w:r>
      <w:r>
        <w:rPr>
          <w:rFonts w:cstheme="minorHAnsi"/>
          <w:bCs/>
          <w:noProof/>
          <w:sz w:val="24"/>
          <w:szCs w:val="24"/>
        </w:rPr>
        <w:drawing>
          <wp:anchor distT="0" distB="0" distL="114300" distR="114300" simplePos="0" relativeHeight="251652096" behindDoc="0" locked="0" layoutInCell="1" allowOverlap="1" wp14:anchorId="4647EA7E" wp14:editId="6000B73A">
            <wp:simplePos x="0" y="0"/>
            <wp:positionH relativeFrom="column">
              <wp:posOffset>1434757</wp:posOffset>
            </wp:positionH>
            <wp:positionV relativeFrom="paragraph">
              <wp:posOffset>1637665</wp:posOffset>
            </wp:positionV>
            <wp:extent cx="2862288" cy="1666349"/>
            <wp:effectExtent l="19050" t="19050" r="14605" b="10160"/>
            <wp:wrapSquare wrapText="bothSides"/>
            <wp:docPr id="616259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59398" name="Picture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62288" cy="1666349"/>
                    </a:xfrm>
                    <a:prstGeom prst="rect">
                      <a:avLst/>
                    </a:prstGeom>
                    <a:ln>
                      <a:solidFill>
                        <a:schemeClr val="tx1"/>
                      </a:solidFill>
                    </a:ln>
                  </pic:spPr>
                </pic:pic>
              </a:graphicData>
            </a:graphic>
          </wp:anchor>
        </w:drawing>
      </w:r>
      <w:r w:rsidR="00460EBE" w:rsidRPr="00460EBE">
        <w:rPr>
          <w:rFonts w:cstheme="minorHAnsi"/>
          <w:bCs/>
          <w:sz w:val="24"/>
          <w:szCs w:val="24"/>
        </w:rPr>
        <w:t>DB Cargo UK has played a central role in adapting its operations to support the transition, delivering efficient rail freight services for the transportation of heavy steel coils and slabs from various global sources to Port Talbot. Shipments predominantly arrive at Cardiff and Newport Docks before being transferred to Port Talbot, a process that requires meticulous coordination to safeguard supply chain integrity and uphold product quality standards</w:t>
      </w:r>
      <w:r w:rsidR="00460EBE">
        <w:rPr>
          <w:rFonts w:cstheme="minorHAnsi"/>
          <w:bCs/>
          <w:sz w:val="24"/>
          <w:szCs w:val="24"/>
        </w:rPr>
        <w:t xml:space="preserve"> </w:t>
      </w:r>
      <w:sdt>
        <w:sdtPr>
          <w:rPr>
            <w:rFonts w:cstheme="minorHAnsi"/>
            <w:bCs/>
            <w:sz w:val="24"/>
            <w:szCs w:val="24"/>
          </w:rPr>
          <w:id w:val="1938554676"/>
          <w:citation/>
        </w:sdtPr>
        <w:sdtContent>
          <w:r w:rsidR="003F1E36">
            <w:rPr>
              <w:rFonts w:cstheme="minorHAnsi"/>
              <w:bCs/>
              <w:sz w:val="24"/>
              <w:szCs w:val="24"/>
            </w:rPr>
            <w:fldChar w:fldCharType="begin"/>
          </w:r>
          <w:r w:rsidR="003F1E36">
            <w:rPr>
              <w:rFonts w:cstheme="minorHAnsi"/>
              <w:bCs/>
              <w:sz w:val="24"/>
              <w:szCs w:val="24"/>
              <w:lang w:val="en-US"/>
            </w:rPr>
            <w:instrText xml:space="preserve"> CITATION Car25 \l 1033 </w:instrText>
          </w:r>
          <w:r w:rsidR="003F1E36">
            <w:rPr>
              <w:rFonts w:cstheme="minorHAnsi"/>
              <w:bCs/>
              <w:sz w:val="24"/>
              <w:szCs w:val="24"/>
            </w:rPr>
            <w:fldChar w:fldCharType="separate"/>
          </w:r>
          <w:r w:rsidR="008327FB" w:rsidRPr="008327FB">
            <w:rPr>
              <w:rFonts w:cstheme="minorHAnsi"/>
              <w:noProof/>
              <w:sz w:val="24"/>
              <w:szCs w:val="24"/>
              <w:lang w:val="en-US"/>
            </w:rPr>
            <w:t>(Cargo, 2025)</w:t>
          </w:r>
          <w:r w:rsidR="003F1E36">
            <w:rPr>
              <w:rFonts w:cstheme="minorHAnsi"/>
              <w:bCs/>
              <w:sz w:val="24"/>
              <w:szCs w:val="24"/>
            </w:rPr>
            <w:fldChar w:fldCharType="end"/>
          </w:r>
        </w:sdtContent>
      </w:sdt>
      <w:r w:rsidR="003F1E36">
        <w:rPr>
          <w:rFonts w:cstheme="minorHAnsi"/>
          <w:bCs/>
          <w:sz w:val="24"/>
          <w:szCs w:val="24"/>
        </w:rPr>
        <w:t>.</w:t>
      </w:r>
    </w:p>
    <w:p w14:paraId="7A2D3E95" w14:textId="4AE23BFF" w:rsidR="00971857" w:rsidRDefault="00971857" w:rsidP="00AF0188">
      <w:pPr>
        <w:jc w:val="both"/>
        <w:rPr>
          <w:rFonts w:cstheme="minorHAnsi"/>
          <w:bCs/>
          <w:sz w:val="24"/>
          <w:szCs w:val="24"/>
        </w:rPr>
      </w:pPr>
    </w:p>
    <w:p w14:paraId="71AB3657" w14:textId="7912791E" w:rsidR="00971857" w:rsidRDefault="00971857" w:rsidP="00AF0188">
      <w:pPr>
        <w:jc w:val="both"/>
        <w:rPr>
          <w:rFonts w:cstheme="minorHAnsi"/>
          <w:bCs/>
          <w:sz w:val="24"/>
          <w:szCs w:val="24"/>
        </w:rPr>
      </w:pPr>
    </w:p>
    <w:p w14:paraId="40FD850D" w14:textId="397B04CC" w:rsidR="00971857" w:rsidRDefault="00971857" w:rsidP="00AF0188">
      <w:pPr>
        <w:jc w:val="both"/>
        <w:rPr>
          <w:rFonts w:cstheme="minorHAnsi"/>
          <w:bCs/>
          <w:sz w:val="24"/>
          <w:szCs w:val="24"/>
        </w:rPr>
      </w:pPr>
    </w:p>
    <w:p w14:paraId="0D961FAC" w14:textId="1B5A3494" w:rsidR="00971857" w:rsidRDefault="00971857" w:rsidP="00AF0188">
      <w:pPr>
        <w:jc w:val="both"/>
        <w:rPr>
          <w:rFonts w:cstheme="minorHAnsi"/>
          <w:bCs/>
          <w:sz w:val="24"/>
          <w:szCs w:val="24"/>
        </w:rPr>
      </w:pPr>
    </w:p>
    <w:p w14:paraId="4DFFE541" w14:textId="5718B3E2" w:rsidR="00971857" w:rsidRDefault="00971857" w:rsidP="00AF0188">
      <w:pPr>
        <w:jc w:val="both"/>
        <w:rPr>
          <w:rFonts w:cstheme="minorHAnsi"/>
          <w:bCs/>
          <w:sz w:val="24"/>
          <w:szCs w:val="24"/>
        </w:rPr>
      </w:pPr>
    </w:p>
    <w:p w14:paraId="54735C63" w14:textId="77777777" w:rsidR="00971857" w:rsidRDefault="00971857" w:rsidP="00AF0188">
      <w:pPr>
        <w:jc w:val="both"/>
        <w:rPr>
          <w:rFonts w:cstheme="minorHAnsi"/>
          <w:bCs/>
          <w:sz w:val="24"/>
          <w:szCs w:val="24"/>
        </w:rPr>
      </w:pPr>
    </w:p>
    <w:p w14:paraId="2F73B8C0" w14:textId="3DD91DA0" w:rsidR="00EE5805" w:rsidRDefault="00EE5805" w:rsidP="00AF0188">
      <w:pPr>
        <w:jc w:val="both"/>
        <w:rPr>
          <w:rFonts w:cstheme="minorHAnsi"/>
          <w:bCs/>
          <w:sz w:val="24"/>
          <w:szCs w:val="24"/>
        </w:rPr>
      </w:pPr>
    </w:p>
    <w:p w14:paraId="2DA1BDCF" w14:textId="0DD4B7C3" w:rsidR="009E2288" w:rsidRPr="00801A15" w:rsidRDefault="00460EBE" w:rsidP="00EE5805">
      <w:pPr>
        <w:spacing w:line="360" w:lineRule="auto"/>
        <w:jc w:val="both"/>
        <w:rPr>
          <w:rFonts w:cstheme="minorHAnsi"/>
          <w:bCs/>
          <w:sz w:val="24"/>
          <w:szCs w:val="24"/>
        </w:rPr>
      </w:pPr>
      <w:r w:rsidRPr="00801A15">
        <w:rPr>
          <w:rFonts w:cstheme="minorHAnsi"/>
          <w:bCs/>
          <w:sz w:val="24"/>
          <w:szCs w:val="24"/>
        </w:rPr>
        <w:t xml:space="preserve">This reliance on external suppliers heightens exposure to global market fluctuations, transport disruptions, and port congestion, particularly in light of the volatility associated with international shipping and raw material costs </w:t>
      </w:r>
      <w:sdt>
        <w:sdtPr>
          <w:rPr>
            <w:rFonts w:cstheme="minorHAnsi"/>
            <w:bCs/>
            <w:sz w:val="24"/>
            <w:szCs w:val="24"/>
          </w:rPr>
          <w:id w:val="-1166317287"/>
          <w:citation/>
        </w:sdtPr>
        <w:sdtContent>
          <w:r w:rsidR="00FF6240" w:rsidRPr="00801A15">
            <w:rPr>
              <w:rFonts w:cstheme="minorHAnsi"/>
              <w:bCs/>
              <w:sz w:val="24"/>
              <w:szCs w:val="24"/>
            </w:rPr>
            <w:fldChar w:fldCharType="begin"/>
          </w:r>
          <w:r w:rsidR="00FF6240" w:rsidRPr="00801A15">
            <w:rPr>
              <w:rFonts w:cstheme="minorHAnsi"/>
              <w:bCs/>
              <w:sz w:val="24"/>
              <w:szCs w:val="24"/>
              <w:lang w:val="en-US"/>
            </w:rPr>
            <w:instrText xml:space="preserve"> CITATION Sha251 \l 1033 </w:instrText>
          </w:r>
          <w:r w:rsidR="00FF6240" w:rsidRPr="00801A15">
            <w:rPr>
              <w:rFonts w:cstheme="minorHAnsi"/>
              <w:bCs/>
              <w:sz w:val="24"/>
              <w:szCs w:val="24"/>
            </w:rPr>
            <w:fldChar w:fldCharType="separate"/>
          </w:r>
          <w:r w:rsidR="008327FB" w:rsidRPr="00801A15">
            <w:rPr>
              <w:rFonts w:cstheme="minorHAnsi"/>
              <w:noProof/>
              <w:sz w:val="24"/>
              <w:szCs w:val="24"/>
              <w:lang w:val="en-US"/>
            </w:rPr>
            <w:t>(Shane, 2025)</w:t>
          </w:r>
          <w:r w:rsidR="00FF6240" w:rsidRPr="00801A15">
            <w:rPr>
              <w:rFonts w:cstheme="minorHAnsi"/>
              <w:bCs/>
              <w:sz w:val="24"/>
              <w:szCs w:val="24"/>
            </w:rPr>
            <w:fldChar w:fldCharType="end"/>
          </w:r>
        </w:sdtContent>
      </w:sdt>
      <w:r w:rsidR="009B5A1E" w:rsidRPr="00801A15">
        <w:rPr>
          <w:rFonts w:cstheme="minorHAnsi"/>
          <w:bCs/>
          <w:sz w:val="24"/>
          <w:szCs w:val="24"/>
        </w:rPr>
        <w:t xml:space="preserve">. </w:t>
      </w:r>
      <w:r w:rsidRPr="00801A15">
        <w:rPr>
          <w:rFonts w:cstheme="minorHAnsi"/>
          <w:bCs/>
          <w:sz w:val="24"/>
          <w:szCs w:val="24"/>
        </w:rPr>
        <w:t xml:space="preserve">Adverse weather conditions, customs delays, and shipping route constraints have the potential to impede the timely delivery of slabs, thereby disrupting the consistent supply of feedstock to Port Talbot’s rolling mills and downstream operations </w:t>
      </w:r>
      <w:sdt>
        <w:sdtPr>
          <w:rPr>
            <w:rFonts w:cstheme="minorHAnsi"/>
            <w:bCs/>
            <w:sz w:val="24"/>
            <w:szCs w:val="24"/>
          </w:rPr>
          <w:id w:val="1238909396"/>
          <w:citation/>
        </w:sdtPr>
        <w:sdtContent>
          <w:r w:rsidR="00C97DEB" w:rsidRPr="00801A15">
            <w:rPr>
              <w:rFonts w:cstheme="minorHAnsi"/>
              <w:bCs/>
              <w:sz w:val="24"/>
              <w:szCs w:val="24"/>
            </w:rPr>
            <w:fldChar w:fldCharType="begin"/>
          </w:r>
          <w:r w:rsidR="00C97DEB" w:rsidRPr="00801A15">
            <w:rPr>
              <w:rFonts w:cstheme="minorHAnsi"/>
              <w:bCs/>
              <w:sz w:val="24"/>
              <w:szCs w:val="24"/>
              <w:lang w:val="en-US"/>
            </w:rPr>
            <w:instrText xml:space="preserve"> CITATION UNT24 \l 1033 </w:instrText>
          </w:r>
          <w:r w:rsidR="00C97DEB" w:rsidRPr="00801A15">
            <w:rPr>
              <w:rFonts w:cstheme="minorHAnsi"/>
              <w:bCs/>
              <w:sz w:val="24"/>
              <w:szCs w:val="24"/>
            </w:rPr>
            <w:fldChar w:fldCharType="separate"/>
          </w:r>
          <w:r w:rsidR="008327FB" w:rsidRPr="00801A15">
            <w:rPr>
              <w:rFonts w:cstheme="minorHAnsi"/>
              <w:noProof/>
              <w:sz w:val="24"/>
              <w:szCs w:val="24"/>
              <w:lang w:val="en-US"/>
            </w:rPr>
            <w:t>(UN Trade &amp; Development, 2024)</w:t>
          </w:r>
          <w:r w:rsidR="00C97DEB" w:rsidRPr="00801A15">
            <w:rPr>
              <w:rFonts w:cstheme="minorHAnsi"/>
              <w:bCs/>
              <w:sz w:val="24"/>
              <w:szCs w:val="24"/>
            </w:rPr>
            <w:fldChar w:fldCharType="end"/>
          </w:r>
        </w:sdtContent>
      </w:sdt>
      <w:r w:rsidR="009B5A1E" w:rsidRPr="00801A15">
        <w:rPr>
          <w:rFonts w:cstheme="minorHAnsi"/>
          <w:bCs/>
          <w:sz w:val="24"/>
          <w:szCs w:val="24"/>
        </w:rPr>
        <w:t xml:space="preserve">. </w:t>
      </w:r>
    </w:p>
    <w:p w14:paraId="29AA3B87" w14:textId="557889C0" w:rsidR="00EB0787" w:rsidRPr="00801A15" w:rsidRDefault="00460EBE" w:rsidP="00EE5805">
      <w:pPr>
        <w:spacing w:line="360" w:lineRule="auto"/>
        <w:jc w:val="both"/>
        <w:rPr>
          <w:rFonts w:cstheme="minorHAnsi"/>
          <w:bCs/>
          <w:sz w:val="24"/>
          <w:szCs w:val="24"/>
        </w:rPr>
      </w:pPr>
      <w:r w:rsidRPr="00801A15">
        <w:rPr>
          <w:rFonts w:cstheme="minorHAnsi"/>
          <w:bCs/>
          <w:sz w:val="24"/>
          <w:szCs w:val="24"/>
        </w:rPr>
        <w:t>Stringent quality control is necessary to ensure that imported slabs conform to Tata Steel’s metallurgical specifications, as any deviation has the potential to compromise downstream product performance or customer acceptance. From a strategic perspective, the incorporation of international slab supply routes illustrates adaptive flexibility within Tata Steel’s supply network, allowing the company to sustain production and fulfil customer requirements despite the temporary reduction in domestic steelmaking capacity. This strategy represents a deliberate effort to preserve supply chain continuity, minimise operational downtime, and protect customer relationships while simultaneously progressing towards a low</w:t>
      </w:r>
      <w:r w:rsidRPr="00801A15">
        <w:rPr>
          <w:rFonts w:ascii="Cambria Math" w:hAnsi="Cambria Math" w:cs="Cambria Math"/>
          <w:bCs/>
          <w:sz w:val="24"/>
          <w:szCs w:val="24"/>
        </w:rPr>
        <w:t>‑</w:t>
      </w:r>
      <w:r w:rsidRPr="00801A15">
        <w:rPr>
          <w:rFonts w:cstheme="minorHAnsi"/>
          <w:bCs/>
          <w:sz w:val="24"/>
          <w:szCs w:val="24"/>
        </w:rPr>
        <w:t xml:space="preserve">carbon production model </w:t>
      </w:r>
      <w:sdt>
        <w:sdtPr>
          <w:rPr>
            <w:rFonts w:cstheme="minorHAnsi"/>
            <w:bCs/>
            <w:sz w:val="24"/>
            <w:szCs w:val="24"/>
          </w:rPr>
          <w:id w:val="1885597475"/>
          <w:citation/>
        </w:sdtPr>
        <w:sdtContent>
          <w:r w:rsidR="0029410A" w:rsidRPr="00801A15">
            <w:rPr>
              <w:rFonts w:cstheme="minorHAnsi"/>
              <w:bCs/>
              <w:sz w:val="24"/>
              <w:szCs w:val="24"/>
            </w:rPr>
            <w:fldChar w:fldCharType="begin"/>
          </w:r>
          <w:r w:rsidR="0029410A" w:rsidRPr="00801A15">
            <w:rPr>
              <w:rFonts w:cstheme="minorHAnsi"/>
              <w:bCs/>
              <w:sz w:val="24"/>
              <w:szCs w:val="24"/>
              <w:lang w:val="en-US"/>
            </w:rPr>
            <w:instrText xml:space="preserve"> CITATION Nar25 \l 1033 </w:instrText>
          </w:r>
          <w:r w:rsidR="0029410A" w:rsidRPr="00801A15">
            <w:rPr>
              <w:rFonts w:cstheme="minorHAnsi"/>
              <w:bCs/>
              <w:sz w:val="24"/>
              <w:szCs w:val="24"/>
            </w:rPr>
            <w:fldChar w:fldCharType="separate"/>
          </w:r>
          <w:r w:rsidR="008327FB" w:rsidRPr="00801A15">
            <w:rPr>
              <w:rFonts w:cstheme="minorHAnsi"/>
              <w:noProof/>
              <w:sz w:val="24"/>
              <w:szCs w:val="24"/>
              <w:lang w:val="en-US"/>
            </w:rPr>
            <w:t>(Narendran, 2025)</w:t>
          </w:r>
          <w:r w:rsidR="0029410A" w:rsidRPr="00801A15">
            <w:rPr>
              <w:rFonts w:cstheme="minorHAnsi"/>
              <w:bCs/>
              <w:sz w:val="24"/>
              <w:szCs w:val="24"/>
            </w:rPr>
            <w:fldChar w:fldCharType="end"/>
          </w:r>
        </w:sdtContent>
      </w:sdt>
      <w:r w:rsidR="00D839F0" w:rsidRPr="00801A15">
        <w:rPr>
          <w:rFonts w:cstheme="minorHAnsi"/>
          <w:bCs/>
          <w:sz w:val="24"/>
          <w:szCs w:val="24"/>
        </w:rPr>
        <w:t>.</w:t>
      </w:r>
    </w:p>
    <w:p w14:paraId="4C4C27D5" w14:textId="77777777" w:rsidR="00D839F0" w:rsidRDefault="00D839F0" w:rsidP="00AF0188">
      <w:pPr>
        <w:jc w:val="both"/>
        <w:rPr>
          <w:rFonts w:cstheme="minorHAnsi"/>
          <w:bCs/>
          <w:sz w:val="24"/>
          <w:szCs w:val="24"/>
        </w:rPr>
      </w:pPr>
    </w:p>
    <w:p w14:paraId="58FB8837" w14:textId="77777777" w:rsidR="00D839F0" w:rsidRDefault="00D839F0" w:rsidP="00AF0188">
      <w:pPr>
        <w:jc w:val="both"/>
        <w:rPr>
          <w:rFonts w:cstheme="minorHAnsi"/>
          <w:bCs/>
          <w:sz w:val="24"/>
          <w:szCs w:val="24"/>
        </w:rPr>
      </w:pPr>
    </w:p>
    <w:p w14:paraId="1B145940" w14:textId="77777777" w:rsidR="00D839F0" w:rsidRDefault="00D839F0" w:rsidP="00AF0188">
      <w:pPr>
        <w:jc w:val="both"/>
        <w:rPr>
          <w:rFonts w:cstheme="minorHAnsi"/>
          <w:bCs/>
          <w:sz w:val="24"/>
          <w:szCs w:val="24"/>
        </w:rPr>
      </w:pPr>
    </w:p>
    <w:p w14:paraId="72090770" w14:textId="77777777" w:rsidR="00D839F0" w:rsidRPr="00EB0787" w:rsidRDefault="00D839F0" w:rsidP="00AF0188">
      <w:pPr>
        <w:jc w:val="both"/>
        <w:rPr>
          <w:rFonts w:cstheme="minorHAnsi"/>
          <w:bCs/>
          <w:sz w:val="24"/>
          <w:szCs w:val="24"/>
          <w:lang w:val="en-US"/>
        </w:rPr>
      </w:pPr>
    </w:p>
    <w:p w14:paraId="6CF4C6FF" w14:textId="77777777" w:rsidR="00A04B9E" w:rsidRDefault="00A04B9E" w:rsidP="00EE0517">
      <w:pPr>
        <w:jc w:val="both"/>
        <w:rPr>
          <w:rFonts w:cstheme="minorHAnsi"/>
          <w:bCs/>
          <w:sz w:val="24"/>
          <w:szCs w:val="24"/>
          <w:u w:val="single"/>
        </w:rPr>
      </w:pPr>
    </w:p>
    <w:p w14:paraId="100CE1C1" w14:textId="77777777" w:rsidR="00A04B9E" w:rsidRDefault="00A04B9E" w:rsidP="00EE0517">
      <w:pPr>
        <w:jc w:val="both"/>
        <w:rPr>
          <w:rFonts w:cstheme="minorHAnsi"/>
          <w:bCs/>
          <w:sz w:val="24"/>
          <w:szCs w:val="24"/>
          <w:u w:val="single"/>
        </w:rPr>
      </w:pPr>
    </w:p>
    <w:p w14:paraId="22B3F76B" w14:textId="77777777" w:rsidR="00A04B9E" w:rsidRDefault="00A04B9E" w:rsidP="00EE0517">
      <w:pPr>
        <w:jc w:val="both"/>
        <w:rPr>
          <w:rFonts w:cstheme="minorHAnsi"/>
          <w:bCs/>
          <w:sz w:val="24"/>
          <w:szCs w:val="24"/>
          <w:u w:val="single"/>
        </w:rPr>
      </w:pPr>
    </w:p>
    <w:p w14:paraId="1E903DB4" w14:textId="77777777" w:rsidR="00A04B9E" w:rsidRDefault="00A04B9E" w:rsidP="00EE0517">
      <w:pPr>
        <w:jc w:val="both"/>
        <w:rPr>
          <w:rFonts w:cstheme="minorHAnsi"/>
          <w:bCs/>
          <w:sz w:val="24"/>
          <w:szCs w:val="24"/>
          <w:u w:val="single"/>
        </w:rPr>
      </w:pPr>
    </w:p>
    <w:p w14:paraId="5EC6D085" w14:textId="77777777" w:rsidR="00A04B9E" w:rsidRDefault="00A04B9E" w:rsidP="00EE0517">
      <w:pPr>
        <w:jc w:val="both"/>
        <w:rPr>
          <w:rFonts w:cstheme="minorHAnsi"/>
          <w:bCs/>
          <w:sz w:val="24"/>
          <w:szCs w:val="24"/>
          <w:u w:val="single"/>
        </w:rPr>
      </w:pPr>
    </w:p>
    <w:p w14:paraId="39B5D5C4" w14:textId="77777777" w:rsidR="00A04B9E" w:rsidRDefault="00A04B9E" w:rsidP="00EE0517">
      <w:pPr>
        <w:jc w:val="both"/>
        <w:rPr>
          <w:rFonts w:cstheme="minorHAnsi"/>
          <w:bCs/>
          <w:sz w:val="24"/>
          <w:szCs w:val="24"/>
          <w:u w:val="single"/>
        </w:rPr>
      </w:pPr>
    </w:p>
    <w:p w14:paraId="376A6376" w14:textId="77777777" w:rsidR="00A04B9E" w:rsidRDefault="00A04B9E" w:rsidP="00EE0517">
      <w:pPr>
        <w:jc w:val="both"/>
        <w:rPr>
          <w:rFonts w:cstheme="minorHAnsi"/>
          <w:bCs/>
          <w:sz w:val="24"/>
          <w:szCs w:val="24"/>
          <w:u w:val="single"/>
        </w:rPr>
      </w:pPr>
    </w:p>
    <w:p w14:paraId="410B5664" w14:textId="77777777" w:rsidR="00A04B9E" w:rsidRDefault="00A04B9E" w:rsidP="00EE0517">
      <w:pPr>
        <w:jc w:val="both"/>
        <w:rPr>
          <w:rFonts w:cstheme="minorHAnsi"/>
          <w:bCs/>
          <w:sz w:val="24"/>
          <w:szCs w:val="24"/>
          <w:u w:val="single"/>
        </w:rPr>
      </w:pPr>
    </w:p>
    <w:p w14:paraId="66D76B85" w14:textId="77777777" w:rsidR="00EE5805" w:rsidRDefault="00EE5805" w:rsidP="00EE0517">
      <w:pPr>
        <w:jc w:val="both"/>
        <w:rPr>
          <w:rFonts w:cstheme="minorHAnsi"/>
          <w:bCs/>
          <w:sz w:val="24"/>
          <w:szCs w:val="24"/>
          <w:u w:val="single"/>
        </w:rPr>
      </w:pPr>
    </w:p>
    <w:p w14:paraId="7CC99A1E" w14:textId="4C3A6DFC" w:rsidR="00EE0517" w:rsidRPr="00555B3A" w:rsidRDefault="00F970DA" w:rsidP="002D529B">
      <w:pPr>
        <w:pStyle w:val="Heading2"/>
        <w:numPr>
          <w:ilvl w:val="1"/>
          <w:numId w:val="8"/>
        </w:numPr>
        <w:spacing w:line="360" w:lineRule="auto"/>
      </w:pPr>
      <w:bookmarkStart w:id="26" w:name="_Toc214299358"/>
      <w:r w:rsidRPr="00555B3A">
        <w:lastRenderedPageBreak/>
        <w:t>S</w:t>
      </w:r>
      <w:r w:rsidR="00555B3A" w:rsidRPr="00555B3A">
        <w:t xml:space="preserve">tep </w:t>
      </w:r>
      <w:r w:rsidR="00975B8B">
        <w:t>One</w:t>
      </w:r>
      <w:r w:rsidR="00555B3A" w:rsidRPr="00555B3A">
        <w:t>: Supplier Diversification</w:t>
      </w:r>
      <w:bookmarkEnd w:id="26"/>
    </w:p>
    <w:p w14:paraId="5BC5742C" w14:textId="61E538B1" w:rsidR="004C3D3F" w:rsidRPr="00801A15" w:rsidRDefault="009726A8" w:rsidP="009726A8">
      <w:pPr>
        <w:spacing w:line="360" w:lineRule="auto"/>
        <w:jc w:val="both"/>
        <w:rPr>
          <w:rFonts w:cstheme="minorHAnsi"/>
          <w:bCs/>
          <w:sz w:val="24"/>
          <w:szCs w:val="24"/>
        </w:rPr>
      </w:pPr>
      <w:r w:rsidRPr="00801A15">
        <w:rPr>
          <w:rFonts w:cstheme="minorHAnsi"/>
          <w:bCs/>
          <w:sz w:val="24"/>
          <w:szCs w:val="24"/>
        </w:rPr>
        <w:t xml:space="preserve">Reliance on a limited number of suppliers, or the maintenance of a concentrated supply base, presents significant risks to the resilience of global supply chains. When an organisation is heavily dependent on one or two suppliers for critical components, any disruption at these points can generate severe downstream consequences </w:t>
      </w:r>
      <w:sdt>
        <w:sdtPr>
          <w:id w:val="-418562745"/>
          <w:citation/>
        </w:sdtPr>
        <w:sdtContent>
          <w:r w:rsidR="0093005C" w:rsidRPr="00801A15">
            <w:rPr>
              <w:rFonts w:cstheme="minorHAnsi"/>
              <w:bCs/>
              <w:sz w:val="24"/>
              <w:szCs w:val="24"/>
            </w:rPr>
            <w:fldChar w:fldCharType="begin"/>
          </w:r>
          <w:r w:rsidR="0093005C" w:rsidRPr="00801A15">
            <w:rPr>
              <w:rFonts w:cstheme="minorHAnsi"/>
              <w:bCs/>
              <w:sz w:val="24"/>
              <w:szCs w:val="24"/>
              <w:lang w:val="en-US"/>
            </w:rPr>
            <w:instrText xml:space="preserve">CITATION Mit23 \l 1033 </w:instrText>
          </w:r>
          <w:r w:rsidR="0093005C" w:rsidRPr="00801A15">
            <w:rPr>
              <w:rFonts w:cstheme="minorHAnsi"/>
              <w:bCs/>
              <w:sz w:val="24"/>
              <w:szCs w:val="24"/>
            </w:rPr>
            <w:fldChar w:fldCharType="separate"/>
          </w:r>
          <w:r w:rsidR="008327FB" w:rsidRPr="00801A15">
            <w:rPr>
              <w:rFonts w:cstheme="minorHAnsi"/>
              <w:noProof/>
              <w:sz w:val="24"/>
              <w:szCs w:val="24"/>
              <w:lang w:val="en-US"/>
            </w:rPr>
            <w:t>(Mitratech Staff, 2023)</w:t>
          </w:r>
          <w:r w:rsidR="0093005C" w:rsidRPr="00801A15">
            <w:rPr>
              <w:rFonts w:cstheme="minorHAnsi"/>
              <w:bCs/>
              <w:sz w:val="24"/>
              <w:szCs w:val="24"/>
            </w:rPr>
            <w:fldChar w:fldCharType="end"/>
          </w:r>
        </w:sdtContent>
      </w:sdt>
      <w:r w:rsidR="00107684" w:rsidRPr="00801A15">
        <w:rPr>
          <w:rFonts w:cstheme="minorHAnsi"/>
          <w:bCs/>
          <w:sz w:val="24"/>
          <w:szCs w:val="24"/>
        </w:rPr>
        <w:t xml:space="preserve">. </w:t>
      </w:r>
    </w:p>
    <w:p w14:paraId="39297DB9" w14:textId="3CF86A71" w:rsidR="004C3D3F" w:rsidRPr="00801A15" w:rsidRDefault="0050353D" w:rsidP="003360FA">
      <w:pPr>
        <w:spacing w:line="360" w:lineRule="auto"/>
        <w:jc w:val="both"/>
        <w:rPr>
          <w:rFonts w:cstheme="minorHAnsi"/>
          <w:bCs/>
          <w:sz w:val="24"/>
          <w:szCs w:val="24"/>
        </w:rPr>
      </w:pPr>
      <w:r w:rsidRPr="00801A15">
        <w:rPr>
          <w:rFonts w:cstheme="minorHAnsi"/>
          <w:bCs/>
          <w:sz w:val="24"/>
          <w:szCs w:val="24"/>
        </w:rPr>
        <w:t xml:space="preserve">A notable example is the 2020 fire at the Renesas semiconductor plant in Japan, which disrupted the global supply of automotive microcontrollers. Several automotive manufacturers, including Toyota, Honda, and Nissan, were heavily dependent on Renesas, and the limited availability of alternative suppliers contributed to prolonged production delays </w:t>
      </w:r>
      <w:sdt>
        <w:sdtPr>
          <w:rPr>
            <w:rFonts w:cstheme="minorHAnsi"/>
            <w:bCs/>
            <w:sz w:val="24"/>
            <w:szCs w:val="24"/>
          </w:rPr>
          <w:id w:val="239597324"/>
          <w:citation/>
        </w:sdtPr>
        <w:sdtContent>
          <w:r w:rsidR="00400A0F" w:rsidRPr="00801A15">
            <w:rPr>
              <w:rFonts w:cstheme="minorHAnsi"/>
              <w:bCs/>
              <w:sz w:val="24"/>
              <w:szCs w:val="24"/>
            </w:rPr>
            <w:fldChar w:fldCharType="begin"/>
          </w:r>
          <w:r w:rsidR="00400A0F" w:rsidRPr="00801A15">
            <w:rPr>
              <w:rFonts w:cstheme="minorHAnsi"/>
              <w:bCs/>
              <w:sz w:val="24"/>
              <w:szCs w:val="24"/>
              <w:lang w:val="en-US"/>
            </w:rPr>
            <w:instrText xml:space="preserve"> CITATION Tho21 \l 1033 </w:instrText>
          </w:r>
          <w:r w:rsidR="00400A0F" w:rsidRPr="00801A15">
            <w:rPr>
              <w:rFonts w:cstheme="minorHAnsi"/>
              <w:bCs/>
              <w:sz w:val="24"/>
              <w:szCs w:val="24"/>
            </w:rPr>
            <w:fldChar w:fldCharType="separate"/>
          </w:r>
          <w:r w:rsidR="008327FB" w:rsidRPr="00801A15">
            <w:rPr>
              <w:rFonts w:cstheme="minorHAnsi"/>
              <w:noProof/>
              <w:sz w:val="24"/>
              <w:szCs w:val="24"/>
              <w:lang w:val="en-US"/>
            </w:rPr>
            <w:t>(Thomas, 2021)</w:t>
          </w:r>
          <w:r w:rsidR="00400A0F" w:rsidRPr="00801A15">
            <w:rPr>
              <w:rFonts w:cstheme="minorHAnsi"/>
              <w:bCs/>
              <w:sz w:val="24"/>
              <w:szCs w:val="24"/>
            </w:rPr>
            <w:fldChar w:fldCharType="end"/>
          </w:r>
        </w:sdtContent>
      </w:sdt>
      <w:r w:rsidR="00107684" w:rsidRPr="00801A15">
        <w:rPr>
          <w:rFonts w:cstheme="minorHAnsi"/>
          <w:bCs/>
          <w:sz w:val="24"/>
          <w:szCs w:val="24"/>
        </w:rPr>
        <w:t xml:space="preserve">. </w:t>
      </w:r>
    </w:p>
    <w:p w14:paraId="0594B03F" w14:textId="60D6F680" w:rsidR="00107684" w:rsidRPr="00801A15" w:rsidRDefault="0050353D" w:rsidP="003360FA">
      <w:pPr>
        <w:spacing w:line="360" w:lineRule="auto"/>
        <w:jc w:val="both"/>
        <w:rPr>
          <w:rFonts w:cstheme="minorHAnsi"/>
          <w:bCs/>
          <w:sz w:val="24"/>
          <w:szCs w:val="24"/>
        </w:rPr>
      </w:pPr>
      <w:r w:rsidRPr="00801A15">
        <w:rPr>
          <w:rFonts w:cstheme="minorHAnsi"/>
          <w:bCs/>
          <w:sz w:val="24"/>
          <w:szCs w:val="24"/>
        </w:rPr>
        <w:t xml:space="preserve">The lack of flexibility meant that, although alternative suppliers were available, they were unable to accommodate the sudden surge in demand, resulting in significantly extended lead times. The reduced supplier base heightened vulnerability to price fluctuations, as the scarcity of critical components drove costs upward. The disruption also produced cascading effects across the supply chain, influencing downstream suppliers and ultimately leading to delays in vehicle deliveries, lost sales, and customer dissatisfaction. This case illustrates how dependence on a limited supplier base can intensify the impact of unforeseen events and emphasises the importance of supply chain diversification and the implementation of risk mitigation strategies </w:t>
      </w:r>
      <w:sdt>
        <w:sdtPr>
          <w:rPr>
            <w:rFonts w:cstheme="minorHAnsi"/>
            <w:bCs/>
            <w:sz w:val="24"/>
            <w:szCs w:val="24"/>
          </w:rPr>
          <w:id w:val="1808428971"/>
          <w:citation/>
        </w:sdtPr>
        <w:sdtContent>
          <w:r w:rsidR="000F06D6" w:rsidRPr="00801A15">
            <w:rPr>
              <w:rFonts w:cstheme="minorHAnsi"/>
              <w:bCs/>
              <w:sz w:val="24"/>
              <w:szCs w:val="24"/>
            </w:rPr>
            <w:fldChar w:fldCharType="begin"/>
          </w:r>
          <w:r w:rsidR="000F06D6" w:rsidRPr="00801A15">
            <w:rPr>
              <w:rFonts w:cstheme="minorHAnsi"/>
              <w:bCs/>
              <w:sz w:val="24"/>
              <w:szCs w:val="24"/>
              <w:lang w:val="en-US"/>
            </w:rPr>
            <w:instrText xml:space="preserve"> CITATION Fur21 \l 1033 </w:instrText>
          </w:r>
          <w:r w:rsidR="000F06D6" w:rsidRPr="00801A15">
            <w:rPr>
              <w:rFonts w:cstheme="minorHAnsi"/>
              <w:bCs/>
              <w:sz w:val="24"/>
              <w:szCs w:val="24"/>
            </w:rPr>
            <w:fldChar w:fldCharType="separate"/>
          </w:r>
          <w:r w:rsidR="008327FB" w:rsidRPr="00801A15">
            <w:rPr>
              <w:rFonts w:cstheme="minorHAnsi"/>
              <w:noProof/>
              <w:sz w:val="24"/>
              <w:szCs w:val="24"/>
              <w:lang w:val="en-US"/>
            </w:rPr>
            <w:t>(Furukawa &amp; Alpeyev, 2021)</w:t>
          </w:r>
          <w:r w:rsidR="000F06D6" w:rsidRPr="00801A15">
            <w:rPr>
              <w:rFonts w:cstheme="minorHAnsi"/>
              <w:bCs/>
              <w:sz w:val="24"/>
              <w:szCs w:val="24"/>
            </w:rPr>
            <w:fldChar w:fldCharType="end"/>
          </w:r>
        </w:sdtContent>
      </w:sdt>
      <w:r w:rsidR="00107684" w:rsidRPr="00801A15">
        <w:rPr>
          <w:rFonts w:cstheme="minorHAnsi"/>
          <w:bCs/>
          <w:sz w:val="24"/>
          <w:szCs w:val="24"/>
        </w:rPr>
        <w:t>.</w:t>
      </w:r>
    </w:p>
    <w:p w14:paraId="69280F5F" w14:textId="4B05CBE4" w:rsidR="0056228D" w:rsidRDefault="008D34E7" w:rsidP="00EE0517">
      <w:pPr>
        <w:jc w:val="both"/>
        <w:rPr>
          <w:rFonts w:cstheme="minorHAnsi"/>
          <w:bCs/>
          <w:sz w:val="24"/>
          <w:szCs w:val="24"/>
        </w:rPr>
      </w:pPr>
      <w:r>
        <w:rPr>
          <w:noProof/>
        </w:rPr>
        <mc:AlternateContent>
          <mc:Choice Requires="wps">
            <w:drawing>
              <wp:anchor distT="0" distB="0" distL="114300" distR="114300" simplePos="0" relativeHeight="251684864" behindDoc="0" locked="0" layoutInCell="1" allowOverlap="1" wp14:anchorId="386BD666" wp14:editId="57FB2C8D">
                <wp:simplePos x="0" y="0"/>
                <wp:positionH relativeFrom="column">
                  <wp:posOffset>711835</wp:posOffset>
                </wp:positionH>
                <wp:positionV relativeFrom="paragraph">
                  <wp:posOffset>2523490</wp:posOffset>
                </wp:positionV>
                <wp:extent cx="4293870" cy="635"/>
                <wp:effectExtent l="0" t="0" r="0" b="0"/>
                <wp:wrapSquare wrapText="bothSides"/>
                <wp:docPr id="515731017" name="Text Box 1"/>
                <wp:cNvGraphicFramePr/>
                <a:graphic xmlns:a="http://schemas.openxmlformats.org/drawingml/2006/main">
                  <a:graphicData uri="http://schemas.microsoft.com/office/word/2010/wordprocessingShape">
                    <wps:wsp>
                      <wps:cNvSpPr txBox="1"/>
                      <wps:spPr>
                        <a:xfrm>
                          <a:off x="0" y="0"/>
                          <a:ext cx="4293870" cy="635"/>
                        </a:xfrm>
                        <a:prstGeom prst="rect">
                          <a:avLst/>
                        </a:prstGeom>
                        <a:solidFill>
                          <a:prstClr val="white"/>
                        </a:solidFill>
                        <a:ln>
                          <a:noFill/>
                        </a:ln>
                      </wps:spPr>
                      <wps:txbx>
                        <w:txbxContent>
                          <w:p w14:paraId="7348CDA3" w14:textId="64E92DF9" w:rsidR="008D34E7" w:rsidRPr="00A04480" w:rsidRDefault="008D34E7" w:rsidP="008D34E7">
                            <w:pPr>
                              <w:pStyle w:val="Caption"/>
                              <w:rPr>
                                <w:rFonts w:cstheme="minorHAnsi"/>
                                <w:bCs/>
                                <w:noProof/>
                              </w:rPr>
                            </w:pPr>
                            <w:bookmarkStart w:id="27" w:name="_Toc214254284"/>
                            <w:r>
                              <w:t xml:space="preserve">Figure </w:t>
                            </w:r>
                            <w:fldSimple w:instr=" SEQ Figure \* ARABIC ">
                              <w:r w:rsidR="000A7B00">
                                <w:rPr>
                                  <w:noProof/>
                                </w:rPr>
                                <w:t>3</w:t>
                              </w:r>
                            </w:fldSimple>
                            <w:r>
                              <w:t xml:space="preserve"> - </w:t>
                            </w:r>
                            <w:r w:rsidRPr="0030211D">
                              <w:t>Renseas Factory after fire damage</w:t>
                            </w:r>
                            <w:r w:rsidR="005A6CAC">
                              <w:t xml:space="preserve"> </w:t>
                            </w:r>
                            <w:sdt>
                              <w:sdtPr>
                                <w:id w:val="-799454904"/>
                                <w:citation/>
                              </w:sdtPr>
                              <w:sdtContent>
                                <w:r w:rsidR="005A6CAC">
                                  <w:fldChar w:fldCharType="begin"/>
                                </w:r>
                                <w:r w:rsidR="005A6CAC">
                                  <w:instrText xml:space="preserve"> CITATION Kel21 \l 2057 </w:instrText>
                                </w:r>
                                <w:r w:rsidR="005A6CAC">
                                  <w:fldChar w:fldCharType="separate"/>
                                </w:r>
                                <w:r w:rsidR="005A6CAC">
                                  <w:rPr>
                                    <w:noProof/>
                                  </w:rPr>
                                  <w:t>(Kelion, 2021)</w:t>
                                </w:r>
                                <w:r w:rsidR="005A6CAC">
                                  <w:fldChar w:fldCharType="end"/>
                                </w:r>
                              </w:sdtContent>
                            </w:sdt>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6BD666" id="_x0000_s1028" type="#_x0000_t202" style="position:absolute;left:0;text-align:left;margin-left:56.05pt;margin-top:198.7pt;width:338.1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" stroked="f">
                <v:textbox style="mso-fit-shape-to-text:t" inset="0,0,0,0">
                  <w:txbxContent>
                    <w:p w14:paraId="7348CDA3" w14:textId="64E92DF9" w:rsidR="008D34E7" w:rsidRPr="00A04480" w:rsidRDefault="008D34E7" w:rsidP="008D34E7">
                      <w:pPr>
                        <w:pStyle w:val="Caption"/>
                        <w:rPr>
                          <w:rFonts w:cstheme="minorHAnsi"/>
                          <w:bCs/>
                          <w:noProof/>
                        </w:rPr>
                      </w:pPr>
                      <w:bookmarkStart w:id="28" w:name="_Toc214254284"/>
                      <w:r>
                        <w:t xml:space="preserve">Figure </w:t>
                      </w:r>
                      <w:fldSimple w:instr=" SEQ Figure \* ARABIC ">
                        <w:r w:rsidR="000A7B00">
                          <w:rPr>
                            <w:noProof/>
                          </w:rPr>
                          <w:t>3</w:t>
                        </w:r>
                      </w:fldSimple>
                      <w:r>
                        <w:t xml:space="preserve"> - </w:t>
                      </w:r>
                      <w:r w:rsidRPr="0030211D">
                        <w:t>Renseas Factory after fire damage</w:t>
                      </w:r>
                      <w:r w:rsidR="005A6CAC">
                        <w:t xml:space="preserve"> </w:t>
                      </w:r>
                      <w:sdt>
                        <w:sdtPr>
                          <w:id w:val="-799454904"/>
                          <w:citation/>
                        </w:sdtPr>
                        <w:sdtContent>
                          <w:r w:rsidR="005A6CAC">
                            <w:fldChar w:fldCharType="begin"/>
                          </w:r>
                          <w:r w:rsidR="005A6CAC">
                            <w:instrText xml:space="preserve"> CITATION Kel21 \l 2057 </w:instrText>
                          </w:r>
                          <w:r w:rsidR="005A6CAC">
                            <w:fldChar w:fldCharType="separate"/>
                          </w:r>
                          <w:r w:rsidR="005A6CAC">
                            <w:rPr>
                              <w:noProof/>
                            </w:rPr>
                            <w:t>(Kelion, 2021)</w:t>
                          </w:r>
                          <w:r w:rsidR="005A6CAC">
                            <w:fldChar w:fldCharType="end"/>
                          </w:r>
                        </w:sdtContent>
                      </w:sdt>
                      <w:bookmarkEnd w:id="28"/>
                    </w:p>
                  </w:txbxContent>
                </v:textbox>
                <w10:wrap type="square"/>
              </v:shape>
            </w:pict>
          </mc:Fallback>
        </mc:AlternateContent>
      </w:r>
      <w:r>
        <w:rPr>
          <w:rFonts w:cstheme="minorHAnsi"/>
          <w:bCs/>
          <w:noProof/>
          <w:sz w:val="24"/>
          <w:szCs w:val="24"/>
        </w:rPr>
        <w:drawing>
          <wp:anchor distT="0" distB="0" distL="114300" distR="114300" simplePos="0" relativeHeight="251657216" behindDoc="0" locked="0" layoutInCell="1" allowOverlap="1" wp14:anchorId="4F7C70F3" wp14:editId="16821D97">
            <wp:simplePos x="0" y="0"/>
            <wp:positionH relativeFrom="column">
              <wp:posOffset>712378</wp:posOffset>
            </wp:positionH>
            <wp:positionV relativeFrom="paragraph">
              <wp:posOffset>52602</wp:posOffset>
            </wp:positionV>
            <wp:extent cx="4294198" cy="2414490"/>
            <wp:effectExtent l="19050" t="19050" r="11430" b="24130"/>
            <wp:wrapSquare wrapText="bothSides"/>
            <wp:docPr id="19727610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761019" name="Picture 3"/>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294198" cy="2414490"/>
                    </a:xfrm>
                    <a:prstGeom prst="rect">
                      <a:avLst/>
                    </a:prstGeom>
                    <a:ln>
                      <a:solidFill>
                        <a:schemeClr val="tx1"/>
                      </a:solidFill>
                    </a:ln>
                  </pic:spPr>
                </pic:pic>
              </a:graphicData>
            </a:graphic>
          </wp:anchor>
        </w:drawing>
      </w:r>
    </w:p>
    <w:p w14:paraId="3C4C91DE" w14:textId="77777777" w:rsidR="0056228D" w:rsidRDefault="0056228D" w:rsidP="00EE0517">
      <w:pPr>
        <w:jc w:val="both"/>
        <w:rPr>
          <w:rFonts w:cstheme="minorHAnsi"/>
          <w:bCs/>
          <w:sz w:val="24"/>
          <w:szCs w:val="24"/>
        </w:rPr>
      </w:pPr>
    </w:p>
    <w:p w14:paraId="61263017" w14:textId="77777777" w:rsidR="0056228D" w:rsidRDefault="0056228D" w:rsidP="00EE0517">
      <w:pPr>
        <w:jc w:val="both"/>
        <w:rPr>
          <w:rFonts w:cstheme="minorHAnsi"/>
          <w:bCs/>
          <w:sz w:val="24"/>
          <w:szCs w:val="24"/>
        </w:rPr>
      </w:pPr>
    </w:p>
    <w:p w14:paraId="258826C2" w14:textId="77777777" w:rsidR="0056228D" w:rsidRDefault="0056228D" w:rsidP="00EE0517">
      <w:pPr>
        <w:jc w:val="both"/>
        <w:rPr>
          <w:rFonts w:cstheme="minorHAnsi"/>
          <w:bCs/>
          <w:sz w:val="24"/>
          <w:szCs w:val="24"/>
        </w:rPr>
      </w:pPr>
    </w:p>
    <w:p w14:paraId="055009A2" w14:textId="77777777" w:rsidR="0056228D" w:rsidRDefault="0056228D" w:rsidP="00EE0517">
      <w:pPr>
        <w:jc w:val="both"/>
        <w:rPr>
          <w:rFonts w:cstheme="minorHAnsi"/>
          <w:bCs/>
          <w:sz w:val="24"/>
          <w:szCs w:val="24"/>
        </w:rPr>
      </w:pPr>
    </w:p>
    <w:p w14:paraId="6C3D60E9" w14:textId="77777777" w:rsidR="0056228D" w:rsidRDefault="0056228D" w:rsidP="00EE0517">
      <w:pPr>
        <w:jc w:val="both"/>
        <w:rPr>
          <w:rFonts w:cstheme="minorHAnsi"/>
          <w:bCs/>
          <w:sz w:val="24"/>
          <w:szCs w:val="24"/>
        </w:rPr>
      </w:pPr>
    </w:p>
    <w:p w14:paraId="04957641" w14:textId="77777777" w:rsidR="0056228D" w:rsidRDefault="0056228D" w:rsidP="00EE0517">
      <w:pPr>
        <w:jc w:val="both"/>
        <w:rPr>
          <w:rFonts w:cstheme="minorHAnsi"/>
          <w:bCs/>
          <w:sz w:val="24"/>
          <w:szCs w:val="24"/>
        </w:rPr>
      </w:pPr>
    </w:p>
    <w:p w14:paraId="43D0C761" w14:textId="77777777" w:rsidR="0056228D" w:rsidRDefault="0056228D" w:rsidP="00EE0517">
      <w:pPr>
        <w:jc w:val="both"/>
        <w:rPr>
          <w:rFonts w:cstheme="minorHAnsi"/>
          <w:bCs/>
          <w:sz w:val="24"/>
          <w:szCs w:val="24"/>
        </w:rPr>
      </w:pPr>
    </w:p>
    <w:p w14:paraId="5F808774" w14:textId="64D9A0DE" w:rsidR="0056228D" w:rsidRDefault="0056228D" w:rsidP="00EE0517">
      <w:pPr>
        <w:jc w:val="both"/>
        <w:rPr>
          <w:rFonts w:cstheme="minorHAnsi"/>
          <w:bCs/>
          <w:sz w:val="24"/>
          <w:szCs w:val="24"/>
        </w:rPr>
      </w:pPr>
    </w:p>
    <w:p w14:paraId="0CEC012F" w14:textId="28952194" w:rsidR="0056228D" w:rsidRDefault="0056228D" w:rsidP="00EE0517">
      <w:pPr>
        <w:jc w:val="both"/>
        <w:rPr>
          <w:rFonts w:cstheme="minorHAnsi"/>
          <w:bCs/>
          <w:sz w:val="24"/>
          <w:szCs w:val="24"/>
        </w:rPr>
      </w:pPr>
    </w:p>
    <w:p w14:paraId="4014374B" w14:textId="73A4E5FE" w:rsidR="00D96B16" w:rsidRDefault="00D96B16" w:rsidP="003360FA">
      <w:pPr>
        <w:spacing w:line="360" w:lineRule="auto"/>
        <w:jc w:val="both"/>
        <w:rPr>
          <w:rFonts w:cstheme="minorHAnsi"/>
          <w:bCs/>
          <w:sz w:val="24"/>
          <w:szCs w:val="24"/>
        </w:rPr>
      </w:pPr>
      <w:r w:rsidRPr="00D96B16">
        <w:rPr>
          <w:rFonts w:cstheme="minorHAnsi"/>
          <w:bCs/>
          <w:sz w:val="24"/>
          <w:szCs w:val="24"/>
        </w:rPr>
        <w:lastRenderedPageBreak/>
        <w:t xml:space="preserve">Tata Steel </w:t>
      </w:r>
      <w:r>
        <w:rPr>
          <w:rFonts w:cstheme="minorHAnsi"/>
          <w:bCs/>
          <w:sz w:val="24"/>
          <w:szCs w:val="24"/>
        </w:rPr>
        <w:t xml:space="preserve">need to </w:t>
      </w:r>
      <w:r w:rsidRPr="00D96B16">
        <w:rPr>
          <w:rFonts w:cstheme="minorHAnsi"/>
          <w:bCs/>
          <w:sz w:val="24"/>
          <w:szCs w:val="24"/>
        </w:rPr>
        <w:t>reduce its dependence on a limited number of international slab suppliers by developing alternative sourcing options across multiple regions. Diversification of the supplier base mitigates the risk of disruption arising from supplier insolvency, political instability, or capacity constraints. The establishment of framework agreements with secondary suppliers in Europe or Asia would help to secure continuous supply and contribute to greater price stability.</w:t>
      </w:r>
    </w:p>
    <w:p w14:paraId="758CD81C" w14:textId="7CF9D8EE" w:rsidR="00205028" w:rsidRDefault="00D96B16" w:rsidP="003360FA">
      <w:pPr>
        <w:spacing w:line="360" w:lineRule="auto"/>
        <w:jc w:val="both"/>
        <w:rPr>
          <w:rFonts w:cstheme="minorHAnsi"/>
          <w:bCs/>
          <w:sz w:val="24"/>
          <w:szCs w:val="24"/>
          <w:u w:val="single"/>
        </w:rPr>
      </w:pPr>
      <w:r w:rsidRPr="00D96B16">
        <w:rPr>
          <w:rFonts w:cstheme="minorHAnsi"/>
          <w:bCs/>
          <w:sz w:val="24"/>
          <w:szCs w:val="24"/>
        </w:rPr>
        <w:t>Although Tata Steel Port Talbot currently receives internal slab supplies from the company’s plants in the Netherlands and India, the cultivation of relationships with a broader range of external suppliers would be advantageous. The Netherlands facility is facing increasing governmental pressure to adopt greener steelmaking practices. While the Port Talbot site has implemented an Electric Arc Furnace to sustain steel production, the Netherlands plant has received substantial investment to facilitate its transition towards hydrogen-based steelmaking</w:t>
      </w:r>
      <w:r>
        <w:rPr>
          <w:rFonts w:cstheme="minorHAnsi"/>
          <w:bCs/>
          <w:sz w:val="24"/>
          <w:szCs w:val="24"/>
        </w:rPr>
        <w:t xml:space="preserve"> </w:t>
      </w:r>
      <w:sdt>
        <w:sdtPr>
          <w:rPr>
            <w:rFonts w:cstheme="minorHAnsi"/>
            <w:bCs/>
            <w:sz w:val="24"/>
            <w:szCs w:val="24"/>
          </w:rPr>
          <w:id w:val="-958175076"/>
          <w:citation/>
        </w:sdtPr>
        <w:sdtContent>
          <w:r w:rsidR="0086367D">
            <w:rPr>
              <w:rFonts w:cstheme="minorHAnsi"/>
              <w:bCs/>
              <w:sz w:val="24"/>
              <w:szCs w:val="24"/>
            </w:rPr>
            <w:fldChar w:fldCharType="begin"/>
          </w:r>
          <w:r w:rsidR="0086367D">
            <w:rPr>
              <w:rFonts w:cstheme="minorHAnsi"/>
              <w:bCs/>
              <w:sz w:val="24"/>
              <w:szCs w:val="24"/>
              <w:lang w:val="en-US"/>
            </w:rPr>
            <w:instrText xml:space="preserve"> CITATION Fue25 \l 1033 </w:instrText>
          </w:r>
          <w:r w:rsidR="0086367D">
            <w:rPr>
              <w:rFonts w:cstheme="minorHAnsi"/>
              <w:bCs/>
              <w:sz w:val="24"/>
              <w:szCs w:val="24"/>
            </w:rPr>
            <w:fldChar w:fldCharType="separate"/>
          </w:r>
          <w:r w:rsidR="008327FB" w:rsidRPr="008327FB">
            <w:rPr>
              <w:rFonts w:cstheme="minorHAnsi"/>
              <w:noProof/>
              <w:sz w:val="24"/>
              <w:szCs w:val="24"/>
              <w:lang w:val="en-US"/>
            </w:rPr>
            <w:t>(Fuel Cell Works, 2025)</w:t>
          </w:r>
          <w:r w:rsidR="0086367D">
            <w:rPr>
              <w:rFonts w:cstheme="minorHAnsi"/>
              <w:bCs/>
              <w:sz w:val="24"/>
              <w:szCs w:val="24"/>
            </w:rPr>
            <w:fldChar w:fldCharType="end"/>
          </w:r>
        </w:sdtContent>
      </w:sdt>
      <w:r w:rsidR="00D5305E" w:rsidRPr="00D5305E">
        <w:rPr>
          <w:rFonts w:cstheme="minorHAnsi"/>
          <w:bCs/>
          <w:sz w:val="24"/>
          <w:szCs w:val="24"/>
        </w:rPr>
        <w:t xml:space="preserve">. </w:t>
      </w:r>
      <w:r w:rsidRPr="00D96B16">
        <w:rPr>
          <w:rFonts w:cstheme="minorHAnsi"/>
          <w:bCs/>
          <w:sz w:val="24"/>
          <w:szCs w:val="24"/>
        </w:rPr>
        <w:t>Although this development represents a positive step from an environmental perspective, it may lead to periods of downtime or delays in the coming years, with potential knock-on effects for Port Talbot’s supply chain and customer deliveries. Consequently, it remains essential for Tata Steel Port Talbot to pursue further diversification of its supplier base in order to strengthen supply chain resilience.</w:t>
      </w:r>
    </w:p>
    <w:p w14:paraId="4DBFBB55" w14:textId="77777777" w:rsidR="00205028" w:rsidRDefault="00205028" w:rsidP="00EE0517">
      <w:pPr>
        <w:jc w:val="both"/>
        <w:rPr>
          <w:rFonts w:cstheme="minorHAnsi"/>
          <w:bCs/>
          <w:sz w:val="24"/>
          <w:szCs w:val="24"/>
          <w:u w:val="single"/>
        </w:rPr>
      </w:pPr>
    </w:p>
    <w:p w14:paraId="5C4E0127" w14:textId="77777777" w:rsidR="00205028" w:rsidRDefault="00205028" w:rsidP="00EE0517">
      <w:pPr>
        <w:jc w:val="both"/>
        <w:rPr>
          <w:rFonts w:cstheme="minorHAnsi"/>
          <w:bCs/>
          <w:sz w:val="24"/>
          <w:szCs w:val="24"/>
          <w:u w:val="single"/>
        </w:rPr>
      </w:pPr>
    </w:p>
    <w:p w14:paraId="774D3337" w14:textId="77777777" w:rsidR="0034766B" w:rsidRDefault="0034766B" w:rsidP="00EE0517">
      <w:pPr>
        <w:jc w:val="both"/>
        <w:rPr>
          <w:rFonts w:cstheme="minorHAnsi"/>
          <w:bCs/>
          <w:sz w:val="24"/>
          <w:szCs w:val="24"/>
          <w:u w:val="single"/>
        </w:rPr>
      </w:pPr>
    </w:p>
    <w:p w14:paraId="4E01A7E4" w14:textId="77777777" w:rsidR="0034766B" w:rsidRDefault="0034766B" w:rsidP="00EE0517">
      <w:pPr>
        <w:jc w:val="both"/>
        <w:rPr>
          <w:rFonts w:cstheme="minorHAnsi"/>
          <w:bCs/>
          <w:sz w:val="24"/>
          <w:szCs w:val="24"/>
          <w:u w:val="single"/>
        </w:rPr>
      </w:pPr>
    </w:p>
    <w:p w14:paraId="0616A88C" w14:textId="77777777" w:rsidR="0034766B" w:rsidRDefault="0034766B" w:rsidP="00EE0517">
      <w:pPr>
        <w:jc w:val="both"/>
        <w:rPr>
          <w:rFonts w:cstheme="minorHAnsi"/>
          <w:bCs/>
          <w:sz w:val="24"/>
          <w:szCs w:val="24"/>
          <w:u w:val="single"/>
        </w:rPr>
      </w:pPr>
    </w:p>
    <w:p w14:paraId="50942C0F" w14:textId="77777777" w:rsidR="0034766B" w:rsidRDefault="0034766B" w:rsidP="00EE0517">
      <w:pPr>
        <w:jc w:val="both"/>
        <w:rPr>
          <w:rFonts w:cstheme="minorHAnsi"/>
          <w:bCs/>
          <w:sz w:val="24"/>
          <w:szCs w:val="24"/>
          <w:u w:val="single"/>
        </w:rPr>
      </w:pPr>
    </w:p>
    <w:p w14:paraId="2BCE9607" w14:textId="77777777" w:rsidR="0034766B" w:rsidRDefault="0034766B" w:rsidP="00EE0517">
      <w:pPr>
        <w:jc w:val="both"/>
        <w:rPr>
          <w:rFonts w:cstheme="minorHAnsi"/>
          <w:bCs/>
          <w:sz w:val="24"/>
          <w:szCs w:val="24"/>
          <w:u w:val="single"/>
        </w:rPr>
      </w:pPr>
    </w:p>
    <w:p w14:paraId="51E7C4AA" w14:textId="77777777" w:rsidR="0034766B" w:rsidRDefault="0034766B" w:rsidP="00EE0517">
      <w:pPr>
        <w:jc w:val="both"/>
        <w:rPr>
          <w:rFonts w:cstheme="minorHAnsi"/>
          <w:bCs/>
          <w:sz w:val="24"/>
          <w:szCs w:val="24"/>
          <w:u w:val="single"/>
        </w:rPr>
      </w:pPr>
    </w:p>
    <w:p w14:paraId="4DBE7962" w14:textId="77777777" w:rsidR="0034766B" w:rsidRDefault="0034766B" w:rsidP="00EE0517">
      <w:pPr>
        <w:jc w:val="both"/>
        <w:rPr>
          <w:rFonts w:cstheme="minorHAnsi"/>
          <w:bCs/>
          <w:sz w:val="24"/>
          <w:szCs w:val="24"/>
          <w:u w:val="single"/>
        </w:rPr>
      </w:pPr>
    </w:p>
    <w:p w14:paraId="7E89C1DC" w14:textId="77777777" w:rsidR="0034766B" w:rsidRDefault="0034766B" w:rsidP="00EE0517">
      <w:pPr>
        <w:jc w:val="both"/>
        <w:rPr>
          <w:rFonts w:cstheme="minorHAnsi"/>
          <w:bCs/>
          <w:sz w:val="24"/>
          <w:szCs w:val="24"/>
          <w:u w:val="single"/>
        </w:rPr>
      </w:pPr>
    </w:p>
    <w:p w14:paraId="5C5F45BE" w14:textId="77777777" w:rsidR="0034766B" w:rsidRDefault="0034766B" w:rsidP="00EE0517">
      <w:pPr>
        <w:jc w:val="both"/>
        <w:rPr>
          <w:rFonts w:cstheme="minorHAnsi"/>
          <w:bCs/>
          <w:sz w:val="24"/>
          <w:szCs w:val="24"/>
          <w:u w:val="single"/>
        </w:rPr>
      </w:pPr>
    </w:p>
    <w:p w14:paraId="30776BB3" w14:textId="77777777" w:rsidR="0034766B" w:rsidRDefault="0034766B" w:rsidP="00EE0517">
      <w:pPr>
        <w:jc w:val="both"/>
        <w:rPr>
          <w:rFonts w:cstheme="minorHAnsi"/>
          <w:bCs/>
          <w:sz w:val="24"/>
          <w:szCs w:val="24"/>
          <w:u w:val="single"/>
        </w:rPr>
      </w:pPr>
    </w:p>
    <w:p w14:paraId="4CC4A6E4" w14:textId="77777777" w:rsidR="0052532C" w:rsidRDefault="0052532C" w:rsidP="00EE0517">
      <w:pPr>
        <w:jc w:val="both"/>
        <w:rPr>
          <w:rFonts w:cstheme="minorHAnsi"/>
          <w:bCs/>
          <w:sz w:val="24"/>
          <w:szCs w:val="24"/>
          <w:u w:val="single"/>
        </w:rPr>
      </w:pPr>
    </w:p>
    <w:p w14:paraId="0E221F07" w14:textId="3A08077B" w:rsidR="00635E67" w:rsidRPr="00635E67" w:rsidRDefault="009F1ADB" w:rsidP="0052532C">
      <w:pPr>
        <w:pStyle w:val="Heading2"/>
        <w:spacing w:line="360" w:lineRule="auto"/>
      </w:pPr>
      <w:bookmarkStart w:id="29" w:name="_Toc214299359"/>
      <w:r>
        <w:lastRenderedPageBreak/>
        <w:t>4</w:t>
      </w:r>
      <w:r w:rsidR="00C52B2C">
        <w:t>.3</w:t>
      </w:r>
      <w:r w:rsidR="00633376">
        <w:t xml:space="preserve"> </w:t>
      </w:r>
      <w:r w:rsidR="00635E67" w:rsidRPr="00635E67">
        <w:t xml:space="preserve">Step </w:t>
      </w:r>
      <w:r w:rsidR="00975B8B">
        <w:t>Two</w:t>
      </w:r>
      <w:r w:rsidR="00635E67" w:rsidRPr="00635E67">
        <w:t>: Strategic Stockholding and Buffer Inventory</w:t>
      </w:r>
      <w:bookmarkEnd w:id="29"/>
    </w:p>
    <w:p w14:paraId="1D2D1DAC" w14:textId="206792C7" w:rsidR="004F53BB" w:rsidRPr="00801A15" w:rsidRDefault="00145EFD" w:rsidP="0052532C">
      <w:pPr>
        <w:spacing w:line="360" w:lineRule="auto"/>
        <w:jc w:val="both"/>
        <w:rPr>
          <w:rFonts w:cstheme="minorHAnsi"/>
          <w:bCs/>
          <w:sz w:val="24"/>
          <w:szCs w:val="24"/>
        </w:rPr>
      </w:pPr>
      <w:r w:rsidRPr="00801A15">
        <w:rPr>
          <w:rFonts w:cstheme="minorHAnsi"/>
          <w:bCs/>
          <w:sz w:val="24"/>
          <w:szCs w:val="24"/>
        </w:rPr>
        <w:t xml:space="preserve">The establishment of safety stock for imported slabs at Port Talbot would mitigate the effects of shipping delays and port congestion. Temporary stockholding can serve as a buffer during unforeseen disruptions, thereby enabling downstream production to continue without interruption. The use of digital inventory systems could optimise stock levels through demand forecasting and alignment with shipping schedules. Maintaining buffer inventory constitutes a critical strategy for strengthening supply chain resilience, as it provides protection against disruptions in supplier delivery </w:t>
      </w:r>
      <w:sdt>
        <w:sdtPr>
          <w:rPr>
            <w:rFonts w:cstheme="minorHAnsi"/>
            <w:bCs/>
            <w:sz w:val="24"/>
            <w:szCs w:val="24"/>
          </w:rPr>
          <w:id w:val="1316607871"/>
          <w:citation/>
        </w:sdtPr>
        <w:sdtContent>
          <w:r w:rsidR="0045730D" w:rsidRPr="00801A15">
            <w:rPr>
              <w:rFonts w:cstheme="minorHAnsi"/>
              <w:bCs/>
              <w:sz w:val="24"/>
              <w:szCs w:val="24"/>
            </w:rPr>
            <w:fldChar w:fldCharType="begin"/>
          </w:r>
          <w:r w:rsidR="0045730D" w:rsidRPr="00801A15">
            <w:rPr>
              <w:rFonts w:cstheme="minorHAnsi"/>
              <w:bCs/>
              <w:sz w:val="24"/>
              <w:szCs w:val="24"/>
              <w:lang w:val="en-US"/>
            </w:rPr>
            <w:instrText xml:space="preserve"> CITATION Ros25 \l 1033 </w:instrText>
          </w:r>
          <w:r w:rsidR="0045730D" w:rsidRPr="00801A15">
            <w:rPr>
              <w:rFonts w:cstheme="minorHAnsi"/>
              <w:bCs/>
              <w:sz w:val="24"/>
              <w:szCs w:val="24"/>
            </w:rPr>
            <w:fldChar w:fldCharType="separate"/>
          </w:r>
          <w:r w:rsidR="008327FB" w:rsidRPr="00801A15">
            <w:rPr>
              <w:rFonts w:cstheme="minorHAnsi"/>
              <w:noProof/>
              <w:sz w:val="24"/>
              <w:szCs w:val="24"/>
              <w:lang w:val="en-US"/>
            </w:rPr>
            <w:t>(Roseburrough, 2025)</w:t>
          </w:r>
          <w:r w:rsidR="0045730D" w:rsidRPr="00801A15">
            <w:rPr>
              <w:rFonts w:cstheme="minorHAnsi"/>
              <w:bCs/>
              <w:sz w:val="24"/>
              <w:szCs w:val="24"/>
            </w:rPr>
            <w:fldChar w:fldCharType="end"/>
          </w:r>
        </w:sdtContent>
      </w:sdt>
      <w:r w:rsidR="005B58DE" w:rsidRPr="00801A15">
        <w:rPr>
          <w:rFonts w:cstheme="minorHAnsi"/>
          <w:bCs/>
          <w:sz w:val="24"/>
          <w:szCs w:val="24"/>
        </w:rPr>
        <w:t xml:space="preserve">. </w:t>
      </w:r>
    </w:p>
    <w:p w14:paraId="2DC5978D" w14:textId="096EA39D" w:rsidR="00B7588F" w:rsidRPr="00801A15" w:rsidRDefault="00145EFD" w:rsidP="0052532C">
      <w:pPr>
        <w:spacing w:line="360" w:lineRule="auto"/>
        <w:jc w:val="both"/>
        <w:rPr>
          <w:rFonts w:cstheme="minorHAnsi"/>
          <w:bCs/>
          <w:sz w:val="24"/>
          <w:szCs w:val="24"/>
        </w:rPr>
      </w:pPr>
      <w:r w:rsidRPr="00801A15">
        <w:rPr>
          <w:rFonts w:cstheme="minorHAnsi"/>
          <w:bCs/>
          <w:sz w:val="24"/>
          <w:szCs w:val="24"/>
        </w:rPr>
        <w:t xml:space="preserve">The maintenance of buffer stock enables operations to continue in the event of supplier delays, capacity constraints, or unexpected shutdowns, thereby ensuring production continuity and reducing the risk of lost sales. It also mitigates supplier-related risks, including strikes, natural disasters, and geopolitical events, while allowing firms to respond more effectively to sudden fluctuations in customer demand </w:t>
      </w:r>
      <w:sdt>
        <w:sdtPr>
          <w:rPr>
            <w:rFonts w:cstheme="minorHAnsi"/>
            <w:bCs/>
            <w:sz w:val="24"/>
            <w:szCs w:val="24"/>
          </w:rPr>
          <w:id w:val="570928552"/>
          <w:citation/>
        </w:sdtPr>
        <w:sdtContent>
          <w:r w:rsidR="003648B1" w:rsidRPr="00801A15">
            <w:rPr>
              <w:rFonts w:cstheme="minorHAnsi"/>
              <w:bCs/>
              <w:sz w:val="24"/>
              <w:szCs w:val="24"/>
            </w:rPr>
            <w:fldChar w:fldCharType="begin"/>
          </w:r>
          <w:r w:rsidR="003648B1" w:rsidRPr="00801A15">
            <w:rPr>
              <w:rFonts w:cstheme="minorHAnsi"/>
              <w:bCs/>
              <w:sz w:val="24"/>
              <w:szCs w:val="24"/>
              <w:lang w:val="en-US"/>
            </w:rPr>
            <w:instrText xml:space="preserve"> CITATION Pet25 \l 1033 </w:instrText>
          </w:r>
          <w:r w:rsidR="003648B1" w:rsidRPr="00801A15">
            <w:rPr>
              <w:rFonts w:cstheme="minorHAnsi"/>
              <w:bCs/>
              <w:sz w:val="24"/>
              <w:szCs w:val="24"/>
            </w:rPr>
            <w:fldChar w:fldCharType="separate"/>
          </w:r>
          <w:r w:rsidR="008327FB" w:rsidRPr="00801A15">
            <w:rPr>
              <w:rFonts w:cstheme="minorHAnsi"/>
              <w:noProof/>
              <w:sz w:val="24"/>
              <w:szCs w:val="24"/>
              <w:lang w:val="en-US"/>
            </w:rPr>
            <w:t>(Pettit, 2025)</w:t>
          </w:r>
          <w:r w:rsidR="003648B1" w:rsidRPr="00801A15">
            <w:rPr>
              <w:rFonts w:cstheme="minorHAnsi"/>
              <w:bCs/>
              <w:sz w:val="24"/>
              <w:szCs w:val="24"/>
            </w:rPr>
            <w:fldChar w:fldCharType="end"/>
          </w:r>
        </w:sdtContent>
      </w:sdt>
      <w:r w:rsidR="005B58DE" w:rsidRPr="00801A15">
        <w:rPr>
          <w:rFonts w:cstheme="minorHAnsi"/>
          <w:bCs/>
          <w:sz w:val="24"/>
          <w:szCs w:val="24"/>
        </w:rPr>
        <w:t xml:space="preserve">. </w:t>
      </w:r>
    </w:p>
    <w:p w14:paraId="79034F9B" w14:textId="31AF7EA3" w:rsidR="00B7588F" w:rsidRPr="00801A15" w:rsidRDefault="00F87AAF" w:rsidP="0052532C">
      <w:pPr>
        <w:spacing w:line="360" w:lineRule="auto"/>
        <w:jc w:val="both"/>
        <w:rPr>
          <w:rFonts w:cstheme="minorHAnsi"/>
          <w:bCs/>
          <w:sz w:val="24"/>
          <w:szCs w:val="24"/>
        </w:rPr>
      </w:pPr>
      <w:r w:rsidRPr="00801A15">
        <w:rPr>
          <w:rFonts w:cstheme="minorHAnsi"/>
          <w:bCs/>
          <w:sz w:val="24"/>
          <w:szCs w:val="24"/>
        </w:rPr>
        <w:t xml:space="preserve">The maintenance of safety stock can enhance negotiating power with suppliers by reducing dependence on immediate deliveries during periods of scarcity. Recent global events have demonstrated the adverse consequences of insufficient buffer inventory </w:t>
      </w:r>
      <w:sdt>
        <w:sdtPr>
          <w:rPr>
            <w:rFonts w:cstheme="minorHAnsi"/>
            <w:bCs/>
            <w:sz w:val="24"/>
            <w:szCs w:val="24"/>
          </w:rPr>
          <w:id w:val="393708524"/>
          <w:citation/>
        </w:sdtPr>
        <w:sdtContent>
          <w:r w:rsidR="00D570BB" w:rsidRPr="00801A15">
            <w:rPr>
              <w:rFonts w:cstheme="minorHAnsi"/>
              <w:bCs/>
              <w:sz w:val="24"/>
              <w:szCs w:val="24"/>
            </w:rPr>
            <w:fldChar w:fldCharType="begin"/>
          </w:r>
          <w:r w:rsidR="00D570BB" w:rsidRPr="00801A15">
            <w:rPr>
              <w:rFonts w:cstheme="minorHAnsi"/>
              <w:bCs/>
              <w:sz w:val="24"/>
              <w:szCs w:val="24"/>
              <w:lang w:val="en-US"/>
            </w:rPr>
            <w:instrText xml:space="preserve"> CITATION Car24 \l 1033 </w:instrText>
          </w:r>
          <w:r w:rsidR="00D570BB" w:rsidRPr="00801A15">
            <w:rPr>
              <w:rFonts w:cstheme="minorHAnsi"/>
              <w:bCs/>
              <w:sz w:val="24"/>
              <w:szCs w:val="24"/>
            </w:rPr>
            <w:fldChar w:fldCharType="separate"/>
          </w:r>
          <w:r w:rsidR="008327FB" w:rsidRPr="00801A15">
            <w:rPr>
              <w:rFonts w:cstheme="minorHAnsi"/>
              <w:noProof/>
              <w:sz w:val="24"/>
              <w:szCs w:val="24"/>
              <w:lang w:val="en-US"/>
            </w:rPr>
            <w:t>(Carrico, 2024)</w:t>
          </w:r>
          <w:r w:rsidR="00D570BB" w:rsidRPr="00801A15">
            <w:rPr>
              <w:rFonts w:cstheme="minorHAnsi"/>
              <w:bCs/>
              <w:sz w:val="24"/>
              <w:szCs w:val="24"/>
            </w:rPr>
            <w:fldChar w:fldCharType="end"/>
          </w:r>
        </w:sdtContent>
      </w:sdt>
      <w:r w:rsidR="005B58DE" w:rsidRPr="00801A15">
        <w:rPr>
          <w:rFonts w:cstheme="minorHAnsi"/>
          <w:bCs/>
          <w:sz w:val="24"/>
          <w:szCs w:val="24"/>
        </w:rPr>
        <w:t xml:space="preserve">. </w:t>
      </w:r>
      <w:r w:rsidRPr="00801A15">
        <w:rPr>
          <w:rFonts w:cstheme="minorHAnsi"/>
          <w:bCs/>
          <w:sz w:val="24"/>
          <w:szCs w:val="24"/>
        </w:rPr>
        <w:t xml:space="preserve">During the COVID-19 pandemic, numerous manufacturers operating under just-in-time inventory models were unable to secure critical components when factories in China and other countries closed. This resulted in widespread production halts, with particularly severe effects observed in the automotive and electronics sectors </w:t>
      </w:r>
      <w:sdt>
        <w:sdtPr>
          <w:rPr>
            <w:rFonts w:cstheme="minorHAnsi"/>
            <w:bCs/>
            <w:sz w:val="24"/>
            <w:szCs w:val="24"/>
          </w:rPr>
          <w:id w:val="2092882358"/>
          <w:citation/>
        </w:sdtPr>
        <w:sdtContent>
          <w:r w:rsidR="006E6177" w:rsidRPr="00801A15">
            <w:rPr>
              <w:rFonts w:cstheme="minorHAnsi"/>
              <w:bCs/>
              <w:sz w:val="24"/>
              <w:szCs w:val="24"/>
            </w:rPr>
            <w:fldChar w:fldCharType="begin"/>
          </w:r>
          <w:r w:rsidR="006E6177" w:rsidRPr="00801A15">
            <w:rPr>
              <w:rFonts w:cstheme="minorHAnsi"/>
              <w:bCs/>
              <w:sz w:val="24"/>
              <w:szCs w:val="24"/>
              <w:lang w:val="en-US"/>
            </w:rPr>
            <w:instrText xml:space="preserve"> CITATION McC24 \l 1033 </w:instrText>
          </w:r>
          <w:r w:rsidR="006E6177" w:rsidRPr="00801A15">
            <w:rPr>
              <w:rFonts w:cstheme="minorHAnsi"/>
              <w:bCs/>
              <w:sz w:val="24"/>
              <w:szCs w:val="24"/>
            </w:rPr>
            <w:fldChar w:fldCharType="separate"/>
          </w:r>
          <w:r w:rsidR="008327FB" w:rsidRPr="00801A15">
            <w:rPr>
              <w:rFonts w:cstheme="minorHAnsi"/>
              <w:noProof/>
              <w:sz w:val="24"/>
              <w:szCs w:val="24"/>
              <w:lang w:val="en-US"/>
            </w:rPr>
            <w:t>(McCracken, 2024)</w:t>
          </w:r>
          <w:r w:rsidR="006E6177" w:rsidRPr="00801A15">
            <w:rPr>
              <w:rFonts w:cstheme="minorHAnsi"/>
              <w:bCs/>
              <w:sz w:val="24"/>
              <w:szCs w:val="24"/>
            </w:rPr>
            <w:fldChar w:fldCharType="end"/>
          </w:r>
        </w:sdtContent>
      </w:sdt>
      <w:r w:rsidR="005B58DE" w:rsidRPr="00801A15">
        <w:rPr>
          <w:rFonts w:cstheme="minorHAnsi"/>
          <w:bCs/>
          <w:sz w:val="24"/>
          <w:szCs w:val="24"/>
        </w:rPr>
        <w:t xml:space="preserve">. </w:t>
      </w:r>
    </w:p>
    <w:p w14:paraId="4F1E4936" w14:textId="6C858EA1" w:rsidR="0052532C" w:rsidRPr="00801A15" w:rsidRDefault="00F87AAF" w:rsidP="0052532C">
      <w:pPr>
        <w:spacing w:line="360" w:lineRule="auto"/>
        <w:jc w:val="both"/>
        <w:rPr>
          <w:rFonts w:cstheme="minorHAnsi"/>
          <w:bCs/>
        </w:rPr>
      </w:pPr>
      <w:r w:rsidRPr="00801A15">
        <w:rPr>
          <w:rFonts w:cstheme="minorHAnsi"/>
          <w:bCs/>
          <w:sz w:val="24"/>
          <w:szCs w:val="24"/>
        </w:rPr>
        <w:t xml:space="preserve">Similarly, hospitals encountered critical shortages of personal protective equipment as a result of limited stock, which delayed the provision of protection for frontline workers. In the automotive sector, firms such as Ford, General Motors, and Toyota experienced production stoppages during the global semiconductor shortage, with those lacking buffer inventory facing prolonged delays and significant revenue losses </w:t>
      </w:r>
      <w:sdt>
        <w:sdtPr>
          <w:rPr>
            <w:rFonts w:cstheme="minorHAnsi"/>
            <w:bCs/>
            <w:sz w:val="24"/>
            <w:szCs w:val="24"/>
          </w:rPr>
          <w:id w:val="-2128915013"/>
          <w:citation/>
        </w:sdtPr>
        <w:sdtContent>
          <w:r w:rsidR="00902B30" w:rsidRPr="00801A15">
            <w:rPr>
              <w:rFonts w:cstheme="minorHAnsi"/>
              <w:bCs/>
              <w:sz w:val="24"/>
              <w:szCs w:val="24"/>
            </w:rPr>
            <w:fldChar w:fldCharType="begin"/>
          </w:r>
          <w:r w:rsidR="00902B30" w:rsidRPr="00801A15">
            <w:rPr>
              <w:rFonts w:cstheme="minorHAnsi"/>
              <w:bCs/>
              <w:sz w:val="24"/>
              <w:szCs w:val="24"/>
              <w:lang w:val="en-US"/>
            </w:rPr>
            <w:instrText xml:space="preserve"> CITATION ToS23 \l 1033 </w:instrText>
          </w:r>
          <w:r w:rsidR="00902B30" w:rsidRPr="00801A15">
            <w:rPr>
              <w:rFonts w:cstheme="minorHAnsi"/>
              <w:bCs/>
              <w:sz w:val="24"/>
              <w:szCs w:val="24"/>
            </w:rPr>
            <w:fldChar w:fldCharType="separate"/>
          </w:r>
          <w:r w:rsidR="008327FB" w:rsidRPr="00801A15">
            <w:rPr>
              <w:rFonts w:cstheme="minorHAnsi"/>
              <w:noProof/>
              <w:sz w:val="24"/>
              <w:szCs w:val="24"/>
              <w:lang w:val="en-US"/>
            </w:rPr>
            <w:t>(To, 2023)</w:t>
          </w:r>
          <w:r w:rsidR="00902B30" w:rsidRPr="00801A15">
            <w:rPr>
              <w:rFonts w:cstheme="minorHAnsi"/>
              <w:bCs/>
              <w:sz w:val="24"/>
              <w:szCs w:val="24"/>
            </w:rPr>
            <w:fldChar w:fldCharType="end"/>
          </w:r>
        </w:sdtContent>
      </w:sdt>
      <w:r w:rsidR="005B58DE" w:rsidRPr="00801A15">
        <w:rPr>
          <w:rFonts w:cstheme="minorHAnsi"/>
          <w:bCs/>
          <w:sz w:val="24"/>
          <w:szCs w:val="24"/>
        </w:rPr>
        <w:t xml:space="preserve">. </w:t>
      </w:r>
      <w:r w:rsidRPr="00801A15">
        <w:rPr>
          <w:rFonts w:cstheme="minorHAnsi"/>
          <w:bCs/>
          <w:sz w:val="24"/>
          <w:szCs w:val="24"/>
        </w:rPr>
        <w:t>These examples illustrate that, although the maintenance of safety stock entails additional holding costs, the benefits in terms of operational continuity, risk mitigation, and flexibility are considerable, particularly during periods of global supply chain disruption.</w:t>
      </w:r>
    </w:p>
    <w:p w14:paraId="515C985A" w14:textId="620EAC87" w:rsidR="00F8097A" w:rsidRPr="00E326ED" w:rsidRDefault="009F1ADB" w:rsidP="0052532C">
      <w:pPr>
        <w:pStyle w:val="Heading2"/>
        <w:spacing w:line="360" w:lineRule="auto"/>
      </w:pPr>
      <w:bookmarkStart w:id="30" w:name="_Toc214299360"/>
      <w:r>
        <w:lastRenderedPageBreak/>
        <w:t>4</w:t>
      </w:r>
      <w:r w:rsidR="00C52B2C">
        <w:t xml:space="preserve">.4 </w:t>
      </w:r>
      <w:r w:rsidR="00732401" w:rsidRPr="00E326ED">
        <w:t xml:space="preserve">Step </w:t>
      </w:r>
      <w:r w:rsidR="00975B8B">
        <w:t>Three</w:t>
      </w:r>
      <w:r w:rsidR="00732401" w:rsidRPr="00E326ED">
        <w:t>: Enhanced Visibility</w:t>
      </w:r>
      <w:r w:rsidR="00E326ED" w:rsidRPr="00E326ED">
        <w:t xml:space="preserve"> and Digital Tracking</w:t>
      </w:r>
      <w:bookmarkEnd w:id="30"/>
    </w:p>
    <w:p w14:paraId="669B0F7A" w14:textId="439E7040" w:rsidR="00F57BE7" w:rsidRDefault="00F57BE7" w:rsidP="0052532C">
      <w:pPr>
        <w:spacing w:line="360" w:lineRule="auto"/>
        <w:jc w:val="both"/>
        <w:rPr>
          <w:rFonts w:cstheme="minorHAnsi"/>
          <w:bCs/>
          <w:sz w:val="24"/>
          <w:szCs w:val="24"/>
        </w:rPr>
      </w:pPr>
      <w:r w:rsidRPr="00F57BE7">
        <w:rPr>
          <w:rFonts w:cstheme="minorHAnsi"/>
          <w:bCs/>
          <w:sz w:val="24"/>
          <w:szCs w:val="24"/>
        </w:rPr>
        <w:t xml:space="preserve">The implementation of real-time tracking technologies, such as </w:t>
      </w:r>
      <w:r>
        <w:rPr>
          <w:rFonts w:cstheme="minorHAnsi"/>
          <w:bCs/>
          <w:sz w:val="24"/>
          <w:szCs w:val="24"/>
        </w:rPr>
        <w:t>Radio Frequency Identification (</w:t>
      </w:r>
      <w:r w:rsidRPr="00F57BE7">
        <w:rPr>
          <w:rFonts w:cstheme="minorHAnsi"/>
          <w:bCs/>
          <w:sz w:val="24"/>
          <w:szCs w:val="24"/>
        </w:rPr>
        <w:t>RFID</w:t>
      </w:r>
      <w:r>
        <w:rPr>
          <w:rFonts w:cstheme="minorHAnsi"/>
          <w:bCs/>
          <w:sz w:val="24"/>
          <w:szCs w:val="24"/>
        </w:rPr>
        <w:t>)</w:t>
      </w:r>
      <w:r w:rsidRPr="00F57BE7">
        <w:rPr>
          <w:rFonts w:cstheme="minorHAnsi"/>
          <w:bCs/>
          <w:sz w:val="24"/>
          <w:szCs w:val="24"/>
        </w:rPr>
        <w:t xml:space="preserve"> and </w:t>
      </w:r>
      <w:r>
        <w:rPr>
          <w:rFonts w:cstheme="minorHAnsi"/>
          <w:bCs/>
          <w:sz w:val="24"/>
          <w:szCs w:val="24"/>
        </w:rPr>
        <w:t>Global Positioning (</w:t>
      </w:r>
      <w:r w:rsidRPr="00F57BE7">
        <w:rPr>
          <w:rFonts w:cstheme="minorHAnsi"/>
          <w:bCs/>
          <w:sz w:val="24"/>
          <w:szCs w:val="24"/>
        </w:rPr>
        <w:t>GPS</w:t>
      </w:r>
      <w:r>
        <w:rPr>
          <w:rFonts w:cstheme="minorHAnsi"/>
          <w:bCs/>
          <w:sz w:val="24"/>
          <w:szCs w:val="24"/>
        </w:rPr>
        <w:t>)</w:t>
      </w:r>
      <w:r w:rsidRPr="00F57BE7">
        <w:rPr>
          <w:rFonts w:cstheme="minorHAnsi"/>
          <w:bCs/>
          <w:sz w:val="24"/>
          <w:szCs w:val="24"/>
        </w:rPr>
        <w:t xml:space="preserve"> systems, can enhance visibility across all stages of slab transportation. These systems enable Tata Steel to monitor vessel locations, estimate arrival times, and identify potential delays, thereby supporting more effective logistics management and supply chain coordination.</w:t>
      </w:r>
    </w:p>
    <w:p w14:paraId="0AF1292D" w14:textId="38FA7B31" w:rsidR="00B06D70" w:rsidRDefault="00534721" w:rsidP="0052532C">
      <w:pPr>
        <w:spacing w:line="360" w:lineRule="auto"/>
        <w:jc w:val="both"/>
        <w:rPr>
          <w:rFonts w:cstheme="minorHAnsi"/>
          <w:bCs/>
          <w:sz w:val="24"/>
          <w:szCs w:val="24"/>
        </w:rPr>
      </w:pPr>
      <w:r w:rsidRPr="00534721">
        <w:rPr>
          <w:rFonts w:cstheme="minorHAnsi"/>
          <w:bCs/>
          <w:sz w:val="24"/>
          <w:szCs w:val="24"/>
        </w:rPr>
        <w:t>Enhanced visibility facilitates proactive decision</w:t>
      </w:r>
      <w:r>
        <w:rPr>
          <w:rFonts w:cstheme="minorHAnsi"/>
          <w:bCs/>
          <w:sz w:val="24"/>
          <w:szCs w:val="24"/>
        </w:rPr>
        <w:t xml:space="preserve"> </w:t>
      </w:r>
      <w:r w:rsidRPr="00534721">
        <w:rPr>
          <w:rFonts w:cstheme="minorHAnsi"/>
          <w:bCs/>
          <w:sz w:val="24"/>
          <w:szCs w:val="24"/>
        </w:rPr>
        <w:t>making and improved coordination among logistics, procurement, and production teams. The integration of digital tracking technologies and supply chain visibility tools offers considerable advantages by delivering real-time insights into the movement of goods, inventory levels, and supplier performance throughout the entire supply network</w:t>
      </w:r>
      <w:r>
        <w:rPr>
          <w:rFonts w:cstheme="minorHAnsi"/>
          <w:bCs/>
          <w:sz w:val="24"/>
          <w:szCs w:val="24"/>
        </w:rPr>
        <w:t xml:space="preserve"> </w:t>
      </w:r>
      <w:sdt>
        <w:sdtPr>
          <w:rPr>
            <w:rFonts w:cstheme="minorHAnsi"/>
            <w:bCs/>
            <w:sz w:val="24"/>
            <w:szCs w:val="24"/>
          </w:rPr>
          <w:id w:val="692196836"/>
          <w:citation/>
        </w:sdtPr>
        <w:sdtContent>
          <w:r w:rsidR="00D136BE">
            <w:rPr>
              <w:rFonts w:cstheme="minorHAnsi"/>
              <w:bCs/>
              <w:sz w:val="24"/>
              <w:szCs w:val="24"/>
            </w:rPr>
            <w:fldChar w:fldCharType="begin"/>
          </w:r>
          <w:r w:rsidR="00D136BE">
            <w:rPr>
              <w:rFonts w:cstheme="minorHAnsi"/>
              <w:bCs/>
              <w:sz w:val="24"/>
              <w:szCs w:val="24"/>
              <w:lang w:val="en-US"/>
            </w:rPr>
            <w:instrText xml:space="preserve"> CITATION SAP24 \l 1033 </w:instrText>
          </w:r>
          <w:r w:rsidR="00D136BE">
            <w:rPr>
              <w:rFonts w:cstheme="minorHAnsi"/>
              <w:bCs/>
              <w:sz w:val="24"/>
              <w:szCs w:val="24"/>
            </w:rPr>
            <w:fldChar w:fldCharType="separate"/>
          </w:r>
          <w:r w:rsidR="008327FB" w:rsidRPr="008327FB">
            <w:rPr>
              <w:rFonts w:cstheme="minorHAnsi"/>
              <w:noProof/>
              <w:sz w:val="24"/>
              <w:szCs w:val="24"/>
              <w:lang w:val="en-US"/>
            </w:rPr>
            <w:t>(SAP, 2024)</w:t>
          </w:r>
          <w:r w:rsidR="00D136BE">
            <w:rPr>
              <w:rFonts w:cstheme="minorHAnsi"/>
              <w:bCs/>
              <w:sz w:val="24"/>
              <w:szCs w:val="24"/>
            </w:rPr>
            <w:fldChar w:fldCharType="end"/>
          </w:r>
        </w:sdtContent>
      </w:sdt>
      <w:r w:rsidR="00C6412F" w:rsidRPr="00C6412F">
        <w:rPr>
          <w:rFonts w:cstheme="minorHAnsi"/>
          <w:bCs/>
          <w:sz w:val="24"/>
          <w:szCs w:val="24"/>
        </w:rPr>
        <w:t xml:space="preserve">. </w:t>
      </w:r>
    </w:p>
    <w:p w14:paraId="3F5B0CFE" w14:textId="06091998" w:rsidR="00534721" w:rsidRDefault="00534721" w:rsidP="0052532C">
      <w:pPr>
        <w:spacing w:line="360" w:lineRule="auto"/>
        <w:jc w:val="both"/>
        <w:rPr>
          <w:rFonts w:cstheme="minorHAnsi"/>
          <w:bCs/>
          <w:sz w:val="24"/>
          <w:szCs w:val="24"/>
        </w:rPr>
      </w:pPr>
      <w:r w:rsidRPr="00534721">
        <w:rPr>
          <w:rFonts w:cstheme="minorHAnsi"/>
          <w:bCs/>
          <w:sz w:val="24"/>
          <w:szCs w:val="24"/>
        </w:rPr>
        <w:t>Such capabilities allow organisations to identify potential disruptions, delays, or bottlenecks at an early stage, thereby facilitating proactive decision-making and reducing operational risk. Enhanced visibility also contributes to more effective inventory management by lowering the probability of stockouts or overstocking, and by enabling data-driven replenishment strategies</w:t>
      </w:r>
      <w:r>
        <w:rPr>
          <w:rFonts w:cstheme="minorHAnsi"/>
          <w:bCs/>
          <w:sz w:val="24"/>
          <w:szCs w:val="24"/>
        </w:rPr>
        <w:t xml:space="preserve"> </w:t>
      </w:r>
      <w:sdt>
        <w:sdtPr>
          <w:rPr>
            <w:rFonts w:cstheme="minorHAnsi"/>
            <w:bCs/>
            <w:sz w:val="24"/>
            <w:szCs w:val="24"/>
          </w:rPr>
          <w:id w:val="-2088532917"/>
          <w:citation/>
        </w:sdtPr>
        <w:sdtContent>
          <w:r w:rsidR="003A7F4E">
            <w:rPr>
              <w:rFonts w:cstheme="minorHAnsi"/>
              <w:bCs/>
              <w:sz w:val="24"/>
              <w:szCs w:val="24"/>
            </w:rPr>
            <w:fldChar w:fldCharType="begin"/>
          </w:r>
          <w:r w:rsidR="003A7F4E">
            <w:rPr>
              <w:rFonts w:cstheme="minorHAnsi"/>
              <w:bCs/>
              <w:sz w:val="24"/>
              <w:szCs w:val="24"/>
              <w:lang w:val="en-US"/>
            </w:rPr>
            <w:instrText xml:space="preserve"> CITATION Ver25 \l 1033 </w:instrText>
          </w:r>
          <w:r w:rsidR="003A7F4E">
            <w:rPr>
              <w:rFonts w:cstheme="minorHAnsi"/>
              <w:bCs/>
              <w:sz w:val="24"/>
              <w:szCs w:val="24"/>
            </w:rPr>
            <w:fldChar w:fldCharType="separate"/>
          </w:r>
          <w:r w:rsidR="008327FB" w:rsidRPr="008327FB">
            <w:rPr>
              <w:rFonts w:cstheme="minorHAnsi"/>
              <w:noProof/>
              <w:sz w:val="24"/>
              <w:szCs w:val="24"/>
              <w:lang w:val="en-US"/>
            </w:rPr>
            <w:t>(Verma, 2025)</w:t>
          </w:r>
          <w:r w:rsidR="003A7F4E">
            <w:rPr>
              <w:rFonts w:cstheme="minorHAnsi"/>
              <w:bCs/>
              <w:sz w:val="24"/>
              <w:szCs w:val="24"/>
            </w:rPr>
            <w:fldChar w:fldCharType="end"/>
          </w:r>
        </w:sdtContent>
      </w:sdt>
      <w:r w:rsidR="00C6412F" w:rsidRPr="00C6412F">
        <w:rPr>
          <w:rFonts w:cstheme="minorHAnsi"/>
          <w:bCs/>
          <w:sz w:val="24"/>
          <w:szCs w:val="24"/>
        </w:rPr>
        <w:t xml:space="preserve">. </w:t>
      </w:r>
    </w:p>
    <w:p w14:paraId="24EBCC76" w14:textId="58B3C6EC" w:rsidR="003A7F4E" w:rsidRDefault="00534721" w:rsidP="0052532C">
      <w:pPr>
        <w:spacing w:line="360" w:lineRule="auto"/>
        <w:jc w:val="both"/>
        <w:rPr>
          <w:rFonts w:cstheme="minorHAnsi"/>
          <w:bCs/>
          <w:sz w:val="24"/>
          <w:szCs w:val="24"/>
        </w:rPr>
      </w:pPr>
      <w:r w:rsidRPr="00534721">
        <w:rPr>
          <w:rFonts w:cstheme="minorHAnsi"/>
          <w:bCs/>
          <w:sz w:val="24"/>
          <w:szCs w:val="24"/>
        </w:rPr>
        <w:t>Furthermore, enhanced visibility strengthens organisational responsiveness and agility by enabling timely adjustments to production schedules, the rerouting of shipments, and the rapid substitution of suppliers in reaction to unforeseen events.</w:t>
      </w:r>
    </w:p>
    <w:p w14:paraId="2A04C1CF" w14:textId="0CB7FF20" w:rsidR="00E9208D" w:rsidRDefault="008D34E7" w:rsidP="0052532C">
      <w:pPr>
        <w:spacing w:line="360" w:lineRule="auto"/>
        <w:jc w:val="both"/>
        <w:rPr>
          <w:rFonts w:cstheme="minorHAnsi"/>
          <w:bCs/>
          <w:sz w:val="24"/>
          <w:szCs w:val="24"/>
        </w:rPr>
      </w:pPr>
      <w:r>
        <w:rPr>
          <w:noProof/>
        </w:rPr>
        <mc:AlternateContent>
          <mc:Choice Requires="wps">
            <w:drawing>
              <wp:anchor distT="0" distB="0" distL="114300" distR="114300" simplePos="0" relativeHeight="251686912" behindDoc="0" locked="0" layoutInCell="1" allowOverlap="1" wp14:anchorId="09C31B36" wp14:editId="79CE35F9">
                <wp:simplePos x="0" y="0"/>
                <wp:positionH relativeFrom="column">
                  <wp:posOffset>422910</wp:posOffset>
                </wp:positionH>
                <wp:positionV relativeFrom="paragraph">
                  <wp:posOffset>2642235</wp:posOffset>
                </wp:positionV>
                <wp:extent cx="4870450" cy="635"/>
                <wp:effectExtent l="0" t="0" r="0" b="0"/>
                <wp:wrapSquare wrapText="bothSides"/>
                <wp:docPr id="2057842435" name="Text Box 1"/>
                <wp:cNvGraphicFramePr/>
                <a:graphic xmlns:a="http://schemas.openxmlformats.org/drawingml/2006/main">
                  <a:graphicData uri="http://schemas.microsoft.com/office/word/2010/wordprocessingShape">
                    <wps:wsp>
                      <wps:cNvSpPr txBox="1"/>
                      <wps:spPr>
                        <a:xfrm>
                          <a:off x="0" y="0"/>
                          <a:ext cx="4870450" cy="635"/>
                        </a:xfrm>
                        <a:prstGeom prst="rect">
                          <a:avLst/>
                        </a:prstGeom>
                        <a:solidFill>
                          <a:prstClr val="white"/>
                        </a:solidFill>
                        <a:ln>
                          <a:noFill/>
                        </a:ln>
                      </wps:spPr>
                      <wps:txbx>
                        <w:txbxContent>
                          <w:p w14:paraId="7A0AD5C6" w14:textId="4EF9BAC2" w:rsidR="008D34E7" w:rsidRPr="0044533C" w:rsidRDefault="008D34E7" w:rsidP="008D34E7">
                            <w:pPr>
                              <w:pStyle w:val="Caption"/>
                              <w:rPr>
                                <w:rFonts w:cstheme="minorHAnsi"/>
                                <w:bCs/>
                                <w:noProof/>
                              </w:rPr>
                            </w:pPr>
                            <w:bookmarkStart w:id="31" w:name="_Toc214254285"/>
                            <w:r>
                              <w:t xml:space="preserve">Figure </w:t>
                            </w:r>
                            <w:fldSimple w:instr=" SEQ Figure \* ARABIC ">
                              <w:r w:rsidR="000A7B00">
                                <w:rPr>
                                  <w:noProof/>
                                </w:rPr>
                                <w:t>4</w:t>
                              </w:r>
                            </w:fldSimple>
                            <w:r>
                              <w:t xml:space="preserve"> - </w:t>
                            </w:r>
                            <w:r w:rsidRPr="00B112D0">
                              <w:t>Supply Chain Visibility</w:t>
                            </w:r>
                            <w:r w:rsidR="005A6CAC">
                              <w:t xml:space="preserve"> </w:t>
                            </w:r>
                            <w:sdt>
                              <w:sdtPr>
                                <w:id w:val="92750688"/>
                                <w:citation/>
                              </w:sdtPr>
                              <w:sdtContent>
                                <w:r w:rsidR="005A6CAC">
                                  <w:fldChar w:fldCharType="begin"/>
                                </w:r>
                                <w:r w:rsidR="005A6CAC">
                                  <w:instrText xml:space="preserve"> CITATION Ver25 \l 2057 </w:instrText>
                                </w:r>
                                <w:r w:rsidR="005A6CAC">
                                  <w:fldChar w:fldCharType="separate"/>
                                </w:r>
                                <w:r w:rsidR="005A6CAC">
                                  <w:rPr>
                                    <w:noProof/>
                                  </w:rPr>
                                  <w:t>(Verma, 2025)</w:t>
                                </w:r>
                                <w:r w:rsidR="005A6CAC">
                                  <w:fldChar w:fldCharType="end"/>
                                </w:r>
                              </w:sdtContent>
                            </w:sdt>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C31B36" id="_x0000_s1029" type="#_x0000_t202" style="position:absolute;left:0;text-align:left;margin-left:33.3pt;margin-top:208.05pt;width:383.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" stroked="f">
                <v:textbox style="mso-fit-shape-to-text:t" inset="0,0,0,0">
                  <w:txbxContent>
                    <w:p w14:paraId="7A0AD5C6" w14:textId="4EF9BAC2" w:rsidR="008D34E7" w:rsidRPr="0044533C" w:rsidRDefault="008D34E7" w:rsidP="008D34E7">
                      <w:pPr>
                        <w:pStyle w:val="Caption"/>
                        <w:rPr>
                          <w:rFonts w:cstheme="minorHAnsi"/>
                          <w:bCs/>
                          <w:noProof/>
                        </w:rPr>
                      </w:pPr>
                      <w:bookmarkStart w:id="32" w:name="_Toc214254285"/>
                      <w:r>
                        <w:t xml:space="preserve">Figure </w:t>
                      </w:r>
                      <w:fldSimple w:instr=" SEQ Figure \* ARABIC ">
                        <w:r w:rsidR="000A7B00">
                          <w:rPr>
                            <w:noProof/>
                          </w:rPr>
                          <w:t>4</w:t>
                        </w:r>
                      </w:fldSimple>
                      <w:r>
                        <w:t xml:space="preserve"> - </w:t>
                      </w:r>
                      <w:r w:rsidRPr="00B112D0">
                        <w:t>Supply Chain Visibility</w:t>
                      </w:r>
                      <w:r w:rsidR="005A6CAC">
                        <w:t xml:space="preserve"> </w:t>
                      </w:r>
                      <w:sdt>
                        <w:sdtPr>
                          <w:id w:val="92750688"/>
                          <w:citation/>
                        </w:sdtPr>
                        <w:sdtContent>
                          <w:r w:rsidR="005A6CAC">
                            <w:fldChar w:fldCharType="begin"/>
                          </w:r>
                          <w:r w:rsidR="005A6CAC">
                            <w:instrText xml:space="preserve"> CITATION Ver25 \l 2057 </w:instrText>
                          </w:r>
                          <w:r w:rsidR="005A6CAC">
                            <w:fldChar w:fldCharType="separate"/>
                          </w:r>
                          <w:r w:rsidR="005A6CAC">
                            <w:rPr>
                              <w:noProof/>
                            </w:rPr>
                            <w:t>(Verma, 2025)</w:t>
                          </w:r>
                          <w:r w:rsidR="005A6CAC">
                            <w:fldChar w:fldCharType="end"/>
                          </w:r>
                        </w:sdtContent>
                      </w:sdt>
                      <w:bookmarkEnd w:id="32"/>
                    </w:p>
                  </w:txbxContent>
                </v:textbox>
                <w10:wrap type="square"/>
              </v:shape>
            </w:pict>
          </mc:Fallback>
        </mc:AlternateContent>
      </w:r>
      <w:r>
        <w:rPr>
          <w:rFonts w:cstheme="minorHAnsi"/>
          <w:bCs/>
          <w:noProof/>
          <w:sz w:val="24"/>
          <w:szCs w:val="24"/>
        </w:rPr>
        <w:drawing>
          <wp:anchor distT="0" distB="0" distL="114300" distR="114300" simplePos="0" relativeHeight="251662336" behindDoc="0" locked="0" layoutInCell="1" allowOverlap="1" wp14:anchorId="24A5A1A3" wp14:editId="22076F8E">
            <wp:simplePos x="0" y="0"/>
            <wp:positionH relativeFrom="column">
              <wp:posOffset>423087</wp:posOffset>
            </wp:positionH>
            <wp:positionV relativeFrom="paragraph">
              <wp:posOffset>36062</wp:posOffset>
            </wp:positionV>
            <wp:extent cx="4871002" cy="2549564"/>
            <wp:effectExtent l="19050" t="19050" r="25400" b="22225"/>
            <wp:wrapSquare wrapText="bothSides"/>
            <wp:docPr id="9965767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76700" name="Picture 5"/>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71002" cy="2549564"/>
                    </a:xfrm>
                    <a:prstGeom prst="rect">
                      <a:avLst/>
                    </a:prstGeom>
                    <a:ln>
                      <a:solidFill>
                        <a:schemeClr val="tx1"/>
                      </a:solidFill>
                    </a:ln>
                  </pic:spPr>
                </pic:pic>
              </a:graphicData>
            </a:graphic>
          </wp:anchor>
        </w:drawing>
      </w:r>
    </w:p>
    <w:p w14:paraId="79B5FB4E" w14:textId="05DEEAED" w:rsidR="00E9208D" w:rsidRDefault="00E9208D" w:rsidP="0052532C">
      <w:pPr>
        <w:spacing w:line="360" w:lineRule="auto"/>
        <w:jc w:val="both"/>
        <w:rPr>
          <w:rFonts w:cstheme="minorHAnsi"/>
          <w:bCs/>
          <w:sz w:val="24"/>
          <w:szCs w:val="24"/>
        </w:rPr>
      </w:pPr>
    </w:p>
    <w:p w14:paraId="4BE648D4" w14:textId="2B5A2600" w:rsidR="00E9208D" w:rsidRDefault="00E9208D" w:rsidP="0052532C">
      <w:pPr>
        <w:spacing w:line="360" w:lineRule="auto"/>
        <w:jc w:val="both"/>
        <w:rPr>
          <w:rFonts w:cstheme="minorHAnsi"/>
          <w:bCs/>
          <w:sz w:val="24"/>
          <w:szCs w:val="24"/>
        </w:rPr>
      </w:pPr>
    </w:p>
    <w:p w14:paraId="6D7169DB" w14:textId="04978ECE" w:rsidR="00E9208D" w:rsidRDefault="00E9208D" w:rsidP="0052532C">
      <w:pPr>
        <w:spacing w:line="360" w:lineRule="auto"/>
        <w:jc w:val="both"/>
        <w:rPr>
          <w:rFonts w:cstheme="minorHAnsi"/>
          <w:bCs/>
          <w:sz w:val="24"/>
          <w:szCs w:val="24"/>
        </w:rPr>
      </w:pPr>
    </w:p>
    <w:p w14:paraId="469F1196" w14:textId="77777777" w:rsidR="00E9208D" w:rsidRDefault="00E9208D" w:rsidP="0052532C">
      <w:pPr>
        <w:spacing w:line="360" w:lineRule="auto"/>
        <w:jc w:val="both"/>
        <w:rPr>
          <w:rFonts w:cstheme="minorHAnsi"/>
          <w:bCs/>
          <w:sz w:val="24"/>
          <w:szCs w:val="24"/>
        </w:rPr>
      </w:pPr>
    </w:p>
    <w:p w14:paraId="457C9B33" w14:textId="77777777" w:rsidR="00E9208D" w:rsidRDefault="00E9208D" w:rsidP="0052532C">
      <w:pPr>
        <w:spacing w:line="360" w:lineRule="auto"/>
        <w:jc w:val="both"/>
        <w:rPr>
          <w:rFonts w:cstheme="minorHAnsi"/>
          <w:bCs/>
          <w:sz w:val="24"/>
          <w:szCs w:val="24"/>
        </w:rPr>
      </w:pPr>
    </w:p>
    <w:p w14:paraId="2E7141BA" w14:textId="77777777" w:rsidR="00E9208D" w:rsidRDefault="00E9208D" w:rsidP="0052532C">
      <w:pPr>
        <w:spacing w:line="360" w:lineRule="auto"/>
        <w:jc w:val="both"/>
        <w:rPr>
          <w:rFonts w:cstheme="minorHAnsi"/>
          <w:bCs/>
          <w:sz w:val="24"/>
          <w:szCs w:val="24"/>
        </w:rPr>
      </w:pPr>
    </w:p>
    <w:p w14:paraId="15C87D05" w14:textId="77777777" w:rsidR="00E9208D" w:rsidRDefault="00E9208D" w:rsidP="0052532C">
      <w:pPr>
        <w:spacing w:line="360" w:lineRule="auto"/>
        <w:jc w:val="both"/>
        <w:rPr>
          <w:rFonts w:cstheme="minorHAnsi"/>
          <w:bCs/>
          <w:sz w:val="24"/>
          <w:szCs w:val="24"/>
        </w:rPr>
      </w:pPr>
    </w:p>
    <w:p w14:paraId="5EA3885D" w14:textId="79F45404" w:rsidR="000C5CAB" w:rsidRDefault="00F62F0F" w:rsidP="0052532C">
      <w:pPr>
        <w:spacing w:line="360" w:lineRule="auto"/>
        <w:jc w:val="both"/>
        <w:rPr>
          <w:rFonts w:cstheme="minorHAnsi"/>
          <w:bCs/>
          <w:sz w:val="24"/>
          <w:szCs w:val="24"/>
        </w:rPr>
      </w:pPr>
      <w:r w:rsidRPr="00F62F0F">
        <w:rPr>
          <w:rFonts w:cstheme="minorHAnsi"/>
          <w:bCs/>
          <w:sz w:val="24"/>
          <w:szCs w:val="24"/>
        </w:rPr>
        <w:lastRenderedPageBreak/>
        <w:t>Leading organisations have demonstrated the advantages of implementing such systems. For example, Walmart employs real-time inventory tracking to respond swiftly to fluctuations in demand, particularly during periods of heightened activity such as the COVID-19 pandemic. This approach has enabled more agile and informed decision-making in the face of supply chain volatility</w:t>
      </w:r>
      <w:r>
        <w:rPr>
          <w:rFonts w:cstheme="minorHAnsi"/>
          <w:bCs/>
          <w:sz w:val="24"/>
          <w:szCs w:val="24"/>
        </w:rPr>
        <w:t xml:space="preserve"> </w:t>
      </w:r>
      <w:sdt>
        <w:sdtPr>
          <w:rPr>
            <w:rFonts w:cstheme="minorHAnsi"/>
            <w:bCs/>
            <w:sz w:val="24"/>
            <w:szCs w:val="24"/>
          </w:rPr>
          <w:id w:val="1902330629"/>
          <w:citation/>
        </w:sdtPr>
        <w:sdtContent>
          <w:r w:rsidR="000430A3">
            <w:rPr>
              <w:rFonts w:cstheme="minorHAnsi"/>
              <w:bCs/>
              <w:sz w:val="24"/>
              <w:szCs w:val="24"/>
            </w:rPr>
            <w:fldChar w:fldCharType="begin"/>
          </w:r>
          <w:r w:rsidR="000430A3">
            <w:rPr>
              <w:rFonts w:cstheme="minorHAnsi"/>
              <w:bCs/>
              <w:sz w:val="24"/>
              <w:szCs w:val="24"/>
              <w:lang w:val="en-US"/>
            </w:rPr>
            <w:instrText xml:space="preserve"> CITATION Gre24 \l 1033 </w:instrText>
          </w:r>
          <w:r w:rsidR="000430A3">
            <w:rPr>
              <w:rFonts w:cstheme="minorHAnsi"/>
              <w:bCs/>
              <w:sz w:val="24"/>
              <w:szCs w:val="24"/>
            </w:rPr>
            <w:fldChar w:fldCharType="separate"/>
          </w:r>
          <w:r w:rsidR="008327FB" w:rsidRPr="008327FB">
            <w:rPr>
              <w:rFonts w:cstheme="minorHAnsi"/>
              <w:noProof/>
              <w:sz w:val="24"/>
              <w:szCs w:val="24"/>
              <w:lang w:val="en-US"/>
            </w:rPr>
            <w:t>(Greenspan, 2024)</w:t>
          </w:r>
          <w:r w:rsidR="000430A3">
            <w:rPr>
              <w:rFonts w:cstheme="minorHAnsi"/>
              <w:bCs/>
              <w:sz w:val="24"/>
              <w:szCs w:val="24"/>
            </w:rPr>
            <w:fldChar w:fldCharType="end"/>
          </w:r>
        </w:sdtContent>
      </w:sdt>
      <w:r w:rsidR="00227306">
        <w:rPr>
          <w:rFonts w:cstheme="minorHAnsi"/>
          <w:bCs/>
          <w:sz w:val="24"/>
          <w:szCs w:val="24"/>
        </w:rPr>
        <w:t>.</w:t>
      </w:r>
      <w:r w:rsidR="00C6412F" w:rsidRPr="00C6412F">
        <w:rPr>
          <w:rFonts w:cstheme="minorHAnsi"/>
          <w:bCs/>
          <w:sz w:val="24"/>
          <w:szCs w:val="24"/>
        </w:rPr>
        <w:t xml:space="preserve"> </w:t>
      </w:r>
      <w:r w:rsidR="00D75DA4">
        <w:rPr>
          <w:rFonts w:cstheme="minorHAnsi"/>
          <w:bCs/>
          <w:sz w:val="24"/>
          <w:szCs w:val="24"/>
        </w:rPr>
        <w:t xml:space="preserve">Also, </w:t>
      </w:r>
      <w:r w:rsidR="00C6412F" w:rsidRPr="00C6412F">
        <w:rPr>
          <w:rFonts w:cstheme="minorHAnsi"/>
          <w:bCs/>
          <w:sz w:val="24"/>
          <w:szCs w:val="24"/>
        </w:rPr>
        <w:t>Zara employs digital tracking to manage its fast-fashion supply chain efficiently, ensuring rapid replenishment of popular items</w:t>
      </w:r>
      <w:r w:rsidR="00896767">
        <w:rPr>
          <w:rFonts w:cstheme="minorHAnsi"/>
          <w:bCs/>
          <w:sz w:val="24"/>
          <w:szCs w:val="24"/>
        </w:rPr>
        <w:t xml:space="preserve"> </w:t>
      </w:r>
      <w:sdt>
        <w:sdtPr>
          <w:rPr>
            <w:rFonts w:cstheme="minorHAnsi"/>
            <w:bCs/>
            <w:sz w:val="24"/>
            <w:szCs w:val="24"/>
          </w:rPr>
          <w:id w:val="1034534183"/>
          <w:citation/>
        </w:sdtPr>
        <w:sdtContent>
          <w:r w:rsidR="00896767">
            <w:rPr>
              <w:rFonts w:cstheme="minorHAnsi"/>
              <w:bCs/>
              <w:sz w:val="24"/>
              <w:szCs w:val="24"/>
            </w:rPr>
            <w:fldChar w:fldCharType="begin"/>
          </w:r>
          <w:r w:rsidR="00896767">
            <w:rPr>
              <w:rFonts w:cstheme="minorHAnsi"/>
              <w:bCs/>
              <w:sz w:val="24"/>
              <w:szCs w:val="24"/>
              <w:lang w:val="en-US"/>
            </w:rPr>
            <w:instrText xml:space="preserve"> CITATION Bai23 \l 1033 </w:instrText>
          </w:r>
          <w:r w:rsidR="00896767">
            <w:rPr>
              <w:rFonts w:cstheme="minorHAnsi"/>
              <w:bCs/>
              <w:sz w:val="24"/>
              <w:szCs w:val="24"/>
            </w:rPr>
            <w:fldChar w:fldCharType="separate"/>
          </w:r>
          <w:r w:rsidR="008327FB" w:rsidRPr="008327FB">
            <w:rPr>
              <w:rFonts w:cstheme="minorHAnsi"/>
              <w:noProof/>
              <w:sz w:val="24"/>
              <w:szCs w:val="24"/>
              <w:lang w:val="en-US"/>
            </w:rPr>
            <w:t>(Bain, 2023)</w:t>
          </w:r>
          <w:r w:rsidR="00896767">
            <w:rPr>
              <w:rFonts w:cstheme="minorHAnsi"/>
              <w:bCs/>
              <w:sz w:val="24"/>
              <w:szCs w:val="24"/>
            </w:rPr>
            <w:fldChar w:fldCharType="end"/>
          </w:r>
        </w:sdtContent>
      </w:sdt>
      <w:r w:rsidR="000C5CAB">
        <w:rPr>
          <w:rFonts w:cstheme="minorHAnsi"/>
          <w:bCs/>
          <w:sz w:val="24"/>
          <w:szCs w:val="24"/>
        </w:rPr>
        <w:t xml:space="preserve">. </w:t>
      </w:r>
    </w:p>
    <w:p w14:paraId="79B4F39F" w14:textId="1C2216E2" w:rsidR="0044059D" w:rsidRDefault="00F62F0F" w:rsidP="0052532C">
      <w:pPr>
        <w:spacing w:line="360" w:lineRule="auto"/>
        <w:jc w:val="both"/>
        <w:rPr>
          <w:rFonts w:cstheme="minorHAnsi"/>
          <w:bCs/>
          <w:sz w:val="24"/>
          <w:szCs w:val="24"/>
        </w:rPr>
      </w:pPr>
      <w:r w:rsidRPr="00F62F0F">
        <w:rPr>
          <w:rFonts w:cstheme="minorHAnsi"/>
          <w:bCs/>
          <w:sz w:val="24"/>
          <w:szCs w:val="24"/>
        </w:rPr>
        <w:t xml:space="preserve">These examples </w:t>
      </w:r>
      <w:r w:rsidR="005E5919">
        <w:rPr>
          <w:rFonts w:cstheme="minorHAnsi"/>
          <w:bCs/>
          <w:sz w:val="24"/>
          <w:szCs w:val="24"/>
        </w:rPr>
        <w:t>highlight</w:t>
      </w:r>
      <w:r w:rsidRPr="00F62F0F">
        <w:rPr>
          <w:rFonts w:cstheme="minorHAnsi"/>
          <w:bCs/>
          <w:sz w:val="24"/>
          <w:szCs w:val="24"/>
        </w:rPr>
        <w:t xml:space="preserve"> that enhanced supply chain visibility contributes not only to improved operational efficiency but also to greater resilience. By providing timely and accurate information, such visibility enables organisations to anticipate potential challenges and respond to disruptions with increased agility and effectiveness.</w:t>
      </w:r>
    </w:p>
    <w:p w14:paraId="63EDD593" w14:textId="77777777" w:rsidR="0044059D" w:rsidRDefault="0044059D" w:rsidP="0052532C">
      <w:pPr>
        <w:spacing w:line="360" w:lineRule="auto"/>
        <w:jc w:val="both"/>
        <w:rPr>
          <w:rFonts w:cstheme="minorHAnsi"/>
          <w:bCs/>
          <w:sz w:val="24"/>
          <w:szCs w:val="24"/>
        </w:rPr>
      </w:pPr>
    </w:p>
    <w:p w14:paraId="7FC3F8F5" w14:textId="77777777" w:rsidR="0044059D" w:rsidRDefault="0044059D" w:rsidP="0052532C">
      <w:pPr>
        <w:spacing w:line="360" w:lineRule="auto"/>
        <w:jc w:val="both"/>
        <w:rPr>
          <w:rFonts w:cstheme="minorHAnsi"/>
          <w:bCs/>
          <w:sz w:val="24"/>
          <w:szCs w:val="24"/>
        </w:rPr>
      </w:pPr>
    </w:p>
    <w:p w14:paraId="0AFC4EC6" w14:textId="77777777" w:rsidR="0044059D" w:rsidRDefault="0044059D" w:rsidP="0052532C">
      <w:pPr>
        <w:spacing w:line="360" w:lineRule="auto"/>
        <w:jc w:val="both"/>
        <w:rPr>
          <w:rFonts w:cstheme="minorHAnsi"/>
          <w:bCs/>
          <w:sz w:val="24"/>
          <w:szCs w:val="24"/>
        </w:rPr>
      </w:pPr>
    </w:p>
    <w:p w14:paraId="50A188C9" w14:textId="77777777" w:rsidR="0044059D" w:rsidRDefault="0044059D" w:rsidP="0052532C">
      <w:pPr>
        <w:spacing w:line="360" w:lineRule="auto"/>
        <w:jc w:val="both"/>
        <w:rPr>
          <w:rFonts w:cstheme="minorHAnsi"/>
          <w:bCs/>
          <w:sz w:val="24"/>
          <w:szCs w:val="24"/>
        </w:rPr>
      </w:pPr>
    </w:p>
    <w:p w14:paraId="68556A39" w14:textId="77777777" w:rsidR="0044059D" w:rsidRDefault="0044059D" w:rsidP="0052532C">
      <w:pPr>
        <w:spacing w:line="360" w:lineRule="auto"/>
        <w:jc w:val="both"/>
        <w:rPr>
          <w:rFonts w:cstheme="minorHAnsi"/>
          <w:bCs/>
          <w:sz w:val="24"/>
          <w:szCs w:val="24"/>
        </w:rPr>
      </w:pPr>
    </w:p>
    <w:p w14:paraId="50BF82C6" w14:textId="77777777" w:rsidR="0044059D" w:rsidRDefault="0044059D" w:rsidP="0052532C">
      <w:pPr>
        <w:spacing w:line="360" w:lineRule="auto"/>
        <w:jc w:val="both"/>
        <w:rPr>
          <w:rFonts w:cstheme="minorHAnsi"/>
          <w:bCs/>
          <w:sz w:val="24"/>
          <w:szCs w:val="24"/>
        </w:rPr>
      </w:pPr>
    </w:p>
    <w:p w14:paraId="16ED111B" w14:textId="77777777" w:rsidR="0044059D" w:rsidRDefault="0044059D" w:rsidP="0052532C">
      <w:pPr>
        <w:spacing w:line="360" w:lineRule="auto"/>
        <w:jc w:val="both"/>
        <w:rPr>
          <w:rFonts w:cstheme="minorHAnsi"/>
          <w:bCs/>
          <w:sz w:val="24"/>
          <w:szCs w:val="24"/>
        </w:rPr>
      </w:pPr>
    </w:p>
    <w:p w14:paraId="751D8C8C" w14:textId="77777777" w:rsidR="0044059D" w:rsidRDefault="0044059D" w:rsidP="0052532C">
      <w:pPr>
        <w:spacing w:line="360" w:lineRule="auto"/>
        <w:jc w:val="both"/>
        <w:rPr>
          <w:rFonts w:cstheme="minorHAnsi"/>
          <w:bCs/>
          <w:sz w:val="24"/>
          <w:szCs w:val="24"/>
        </w:rPr>
      </w:pPr>
    </w:p>
    <w:p w14:paraId="01662457" w14:textId="77777777" w:rsidR="0044059D" w:rsidRDefault="0044059D" w:rsidP="0052532C">
      <w:pPr>
        <w:spacing w:line="360" w:lineRule="auto"/>
        <w:jc w:val="both"/>
        <w:rPr>
          <w:rFonts w:cstheme="minorHAnsi"/>
          <w:bCs/>
          <w:sz w:val="24"/>
          <w:szCs w:val="24"/>
        </w:rPr>
      </w:pPr>
    </w:p>
    <w:p w14:paraId="1DE4CA0C" w14:textId="77777777" w:rsidR="0044059D" w:rsidRDefault="0044059D" w:rsidP="0052532C">
      <w:pPr>
        <w:spacing w:line="360" w:lineRule="auto"/>
        <w:jc w:val="both"/>
        <w:rPr>
          <w:rFonts w:cstheme="minorHAnsi"/>
          <w:bCs/>
          <w:sz w:val="24"/>
          <w:szCs w:val="24"/>
        </w:rPr>
      </w:pPr>
    </w:p>
    <w:p w14:paraId="3325E2C3" w14:textId="77777777" w:rsidR="0044059D" w:rsidRDefault="0044059D" w:rsidP="0052532C">
      <w:pPr>
        <w:spacing w:line="360" w:lineRule="auto"/>
        <w:jc w:val="both"/>
        <w:rPr>
          <w:rFonts w:cstheme="minorHAnsi"/>
          <w:bCs/>
          <w:sz w:val="24"/>
          <w:szCs w:val="24"/>
        </w:rPr>
      </w:pPr>
    </w:p>
    <w:p w14:paraId="23449691" w14:textId="77777777" w:rsidR="0044059D" w:rsidRDefault="0044059D" w:rsidP="0052532C">
      <w:pPr>
        <w:spacing w:line="360" w:lineRule="auto"/>
        <w:jc w:val="both"/>
        <w:rPr>
          <w:rFonts w:cstheme="minorHAnsi"/>
          <w:bCs/>
          <w:sz w:val="24"/>
          <w:szCs w:val="24"/>
        </w:rPr>
      </w:pPr>
    </w:p>
    <w:p w14:paraId="4FB0614E" w14:textId="77777777" w:rsidR="0044059D" w:rsidRDefault="0044059D" w:rsidP="0052532C">
      <w:pPr>
        <w:spacing w:line="360" w:lineRule="auto"/>
        <w:jc w:val="both"/>
        <w:rPr>
          <w:rFonts w:cstheme="minorHAnsi"/>
          <w:bCs/>
          <w:sz w:val="24"/>
          <w:szCs w:val="24"/>
        </w:rPr>
      </w:pPr>
    </w:p>
    <w:p w14:paraId="6A8A7627" w14:textId="77777777" w:rsidR="0044059D" w:rsidRDefault="0044059D" w:rsidP="0052532C">
      <w:pPr>
        <w:spacing w:line="360" w:lineRule="auto"/>
        <w:jc w:val="both"/>
        <w:rPr>
          <w:rFonts w:cstheme="minorHAnsi"/>
          <w:bCs/>
          <w:sz w:val="24"/>
          <w:szCs w:val="24"/>
        </w:rPr>
      </w:pPr>
    </w:p>
    <w:p w14:paraId="13DD64C2" w14:textId="3BE9A84F" w:rsidR="00E326ED" w:rsidRPr="00EF6E3D" w:rsidRDefault="009F1ADB" w:rsidP="009A5A9A">
      <w:pPr>
        <w:pStyle w:val="Heading2"/>
        <w:spacing w:line="360" w:lineRule="auto"/>
      </w:pPr>
      <w:bookmarkStart w:id="33" w:name="_Toc214299361"/>
      <w:r>
        <w:lastRenderedPageBreak/>
        <w:t>4</w:t>
      </w:r>
      <w:r w:rsidR="00C52B2C">
        <w:t xml:space="preserve">.5 </w:t>
      </w:r>
      <w:r w:rsidR="00E326ED" w:rsidRPr="00E94A03">
        <w:t xml:space="preserve">Step </w:t>
      </w:r>
      <w:r w:rsidR="00975B8B" w:rsidRPr="00E94A03">
        <w:t xml:space="preserve">Four: </w:t>
      </w:r>
      <w:r w:rsidR="00E94A03" w:rsidRPr="00E94A03">
        <w:t>Supplier Collaboration</w:t>
      </w:r>
      <w:bookmarkEnd w:id="33"/>
    </w:p>
    <w:p w14:paraId="26EF8805" w14:textId="46420E1B" w:rsidR="00275FCF" w:rsidRPr="00275FCF" w:rsidRDefault="00A5459D" w:rsidP="009A5A9A">
      <w:pPr>
        <w:spacing w:line="360" w:lineRule="auto"/>
        <w:jc w:val="both"/>
      </w:pPr>
      <w:r w:rsidRPr="00A5459D">
        <w:rPr>
          <w:rFonts w:cstheme="minorHAnsi"/>
          <w:bCs/>
          <w:sz w:val="24"/>
          <w:szCs w:val="24"/>
        </w:rPr>
        <w:t xml:space="preserve">The development of closer relationships with key suppliers can promote greater transparency and reliability within the supply chain. Practices such as regular performance reviews, joint quality audits, and the sharing of production schedules assist in anticipating potential bottlenecks. Collaborative engagement also facilitates the early detection of quality or capacity issues, thereby enhancing communication and trust across supply chain partners. </w:t>
      </w:r>
      <w:r>
        <w:rPr>
          <w:rFonts w:cstheme="minorHAnsi"/>
          <w:bCs/>
          <w:sz w:val="24"/>
          <w:szCs w:val="24"/>
        </w:rPr>
        <w:t>F</w:t>
      </w:r>
      <w:r w:rsidRPr="00A5459D">
        <w:rPr>
          <w:rFonts w:cstheme="minorHAnsi"/>
          <w:bCs/>
          <w:sz w:val="24"/>
          <w:szCs w:val="24"/>
        </w:rPr>
        <w:t>ostering collaboration throughout the supply chain yields substantial benefits by improving coordination, communication, and operational efficiency among all stakeholders, from suppliers to end customers</w:t>
      </w:r>
      <w:r>
        <w:rPr>
          <w:rFonts w:cstheme="minorHAnsi"/>
          <w:bCs/>
          <w:sz w:val="24"/>
          <w:szCs w:val="24"/>
        </w:rPr>
        <w:t xml:space="preserve"> </w:t>
      </w:r>
      <w:sdt>
        <w:sdtPr>
          <w:rPr>
            <w:rFonts w:cstheme="minorHAnsi"/>
            <w:bCs/>
            <w:sz w:val="24"/>
            <w:szCs w:val="24"/>
          </w:rPr>
          <w:id w:val="-161542427"/>
          <w:citation/>
        </w:sdtPr>
        <w:sdtContent>
          <w:r w:rsidR="00247CEA">
            <w:rPr>
              <w:rFonts w:cstheme="minorHAnsi"/>
              <w:bCs/>
              <w:sz w:val="24"/>
              <w:szCs w:val="24"/>
            </w:rPr>
            <w:fldChar w:fldCharType="begin"/>
          </w:r>
          <w:r w:rsidR="00247CEA">
            <w:rPr>
              <w:rFonts w:cstheme="minorHAnsi"/>
              <w:bCs/>
              <w:sz w:val="24"/>
              <w:szCs w:val="24"/>
              <w:lang w:val="en-US"/>
            </w:rPr>
            <w:instrText xml:space="preserve"> CITATION Teu25 \l 1033 </w:instrText>
          </w:r>
          <w:r w:rsidR="00247CEA">
            <w:rPr>
              <w:rFonts w:cstheme="minorHAnsi"/>
              <w:bCs/>
              <w:sz w:val="24"/>
              <w:szCs w:val="24"/>
            </w:rPr>
            <w:fldChar w:fldCharType="separate"/>
          </w:r>
          <w:r w:rsidR="008327FB" w:rsidRPr="008327FB">
            <w:rPr>
              <w:rFonts w:cstheme="minorHAnsi"/>
              <w:noProof/>
              <w:sz w:val="24"/>
              <w:szCs w:val="24"/>
              <w:lang w:val="en-US"/>
            </w:rPr>
            <w:t>(Teuchler, 2025)</w:t>
          </w:r>
          <w:r w:rsidR="00247CEA">
            <w:rPr>
              <w:rFonts w:cstheme="minorHAnsi"/>
              <w:bCs/>
              <w:sz w:val="24"/>
              <w:szCs w:val="24"/>
            </w:rPr>
            <w:fldChar w:fldCharType="end"/>
          </w:r>
        </w:sdtContent>
      </w:sdt>
      <w:r w:rsidR="00454E59" w:rsidRPr="00454E59">
        <w:rPr>
          <w:rFonts w:cstheme="minorHAnsi"/>
          <w:bCs/>
          <w:sz w:val="24"/>
          <w:szCs w:val="24"/>
        </w:rPr>
        <w:t xml:space="preserve">. </w:t>
      </w:r>
    </w:p>
    <w:p w14:paraId="4A69778C" w14:textId="1D995F8C" w:rsidR="00454E59" w:rsidRPr="00454E59" w:rsidRDefault="00A5459D" w:rsidP="009A5A9A">
      <w:pPr>
        <w:spacing w:line="360" w:lineRule="auto"/>
        <w:jc w:val="both"/>
        <w:rPr>
          <w:rFonts w:cstheme="minorHAnsi"/>
          <w:bCs/>
          <w:sz w:val="24"/>
          <w:szCs w:val="24"/>
        </w:rPr>
      </w:pPr>
      <w:r w:rsidRPr="00A5459D">
        <w:rPr>
          <w:rFonts w:cstheme="minorHAnsi"/>
          <w:bCs/>
          <w:sz w:val="24"/>
          <w:szCs w:val="24"/>
        </w:rPr>
        <w:t xml:space="preserve">For Tata Steel Port Talbot, which is dependent on imported steel slabs, close collaboration with international slab suppliers, logistics providers, and internal operational teams is essential to maintaining a consistent and reliable supply of raw materials. Collaborative planning enables alignment of production schedules, the sharing of demand forecasts, and the coordination of deliveries, thereby reducing the likelihood of delays, stockouts, or excess inventory. </w:t>
      </w:r>
      <w:r>
        <w:rPr>
          <w:rFonts w:cstheme="minorHAnsi"/>
          <w:bCs/>
          <w:sz w:val="24"/>
          <w:szCs w:val="24"/>
        </w:rPr>
        <w:t>C</w:t>
      </w:r>
      <w:r w:rsidRPr="00A5459D">
        <w:rPr>
          <w:rFonts w:cstheme="minorHAnsi"/>
          <w:bCs/>
          <w:sz w:val="24"/>
          <w:szCs w:val="24"/>
        </w:rPr>
        <w:t xml:space="preserve">ollaboration </w:t>
      </w:r>
      <w:r>
        <w:rPr>
          <w:rFonts w:cstheme="minorHAnsi"/>
          <w:bCs/>
          <w:sz w:val="24"/>
          <w:szCs w:val="24"/>
        </w:rPr>
        <w:t xml:space="preserve">also </w:t>
      </w:r>
      <w:r w:rsidRPr="00A5459D">
        <w:rPr>
          <w:rFonts w:cstheme="minorHAnsi"/>
          <w:bCs/>
          <w:sz w:val="24"/>
          <w:szCs w:val="24"/>
        </w:rPr>
        <w:t>supports rapid problem-solving in the face of disruptions</w:t>
      </w:r>
      <w:r>
        <w:rPr>
          <w:rFonts w:cstheme="minorHAnsi"/>
          <w:bCs/>
          <w:sz w:val="24"/>
          <w:szCs w:val="24"/>
        </w:rPr>
        <w:t xml:space="preserve"> </w:t>
      </w:r>
      <w:r w:rsidRPr="00A5459D">
        <w:rPr>
          <w:rFonts w:cstheme="minorHAnsi"/>
          <w:bCs/>
          <w:sz w:val="24"/>
          <w:szCs w:val="24"/>
        </w:rPr>
        <w:t>such as shipping delays, customs clearance challenges, or quality issues</w:t>
      </w:r>
      <w:r>
        <w:rPr>
          <w:rFonts w:cstheme="minorHAnsi"/>
          <w:bCs/>
          <w:sz w:val="24"/>
          <w:szCs w:val="24"/>
        </w:rPr>
        <w:t xml:space="preserve"> </w:t>
      </w:r>
      <w:r w:rsidRPr="00A5459D">
        <w:rPr>
          <w:rFonts w:cstheme="minorHAnsi"/>
          <w:bCs/>
          <w:sz w:val="24"/>
          <w:szCs w:val="24"/>
        </w:rPr>
        <w:t xml:space="preserve">by allowing stakeholders to implement contingency measures collectively rather than in isolation. </w:t>
      </w:r>
      <w:sdt>
        <w:sdtPr>
          <w:rPr>
            <w:rFonts w:cstheme="minorHAnsi"/>
            <w:bCs/>
            <w:sz w:val="24"/>
            <w:szCs w:val="24"/>
          </w:rPr>
          <w:id w:val="126284026"/>
          <w:citation/>
        </w:sdtPr>
        <w:sdtContent>
          <w:r w:rsidR="00D7471C">
            <w:rPr>
              <w:rFonts w:cstheme="minorHAnsi"/>
              <w:bCs/>
              <w:sz w:val="24"/>
              <w:szCs w:val="24"/>
            </w:rPr>
            <w:fldChar w:fldCharType="begin"/>
          </w:r>
          <w:r w:rsidR="00D7471C">
            <w:rPr>
              <w:rFonts w:cstheme="minorHAnsi"/>
              <w:bCs/>
              <w:sz w:val="24"/>
              <w:szCs w:val="24"/>
              <w:lang w:val="en-US"/>
            </w:rPr>
            <w:instrText xml:space="preserve"> CITATION Wei23 \l 1033 </w:instrText>
          </w:r>
          <w:r w:rsidR="00D7471C">
            <w:rPr>
              <w:rFonts w:cstheme="minorHAnsi"/>
              <w:bCs/>
              <w:sz w:val="24"/>
              <w:szCs w:val="24"/>
            </w:rPr>
            <w:fldChar w:fldCharType="separate"/>
          </w:r>
          <w:r w:rsidR="008327FB" w:rsidRPr="008327FB">
            <w:rPr>
              <w:rFonts w:cstheme="minorHAnsi"/>
              <w:noProof/>
              <w:sz w:val="24"/>
              <w:szCs w:val="24"/>
              <w:lang w:val="en-US"/>
            </w:rPr>
            <w:t>(Weiss, 2023)</w:t>
          </w:r>
          <w:r w:rsidR="00D7471C">
            <w:rPr>
              <w:rFonts w:cstheme="minorHAnsi"/>
              <w:bCs/>
              <w:sz w:val="24"/>
              <w:szCs w:val="24"/>
            </w:rPr>
            <w:fldChar w:fldCharType="end"/>
          </w:r>
        </w:sdtContent>
      </w:sdt>
      <w:r w:rsidR="00454E59" w:rsidRPr="00454E59">
        <w:rPr>
          <w:rFonts w:cstheme="minorHAnsi"/>
          <w:bCs/>
          <w:sz w:val="24"/>
          <w:szCs w:val="24"/>
        </w:rPr>
        <w:t>.</w:t>
      </w:r>
    </w:p>
    <w:p w14:paraId="7891AF4F" w14:textId="2AA29DEA" w:rsidR="00824D20" w:rsidRDefault="00A5459D" w:rsidP="009A5A9A">
      <w:pPr>
        <w:spacing w:line="360" w:lineRule="auto"/>
        <w:jc w:val="both"/>
        <w:rPr>
          <w:rFonts w:cstheme="minorHAnsi"/>
          <w:bCs/>
          <w:sz w:val="24"/>
          <w:szCs w:val="24"/>
        </w:rPr>
      </w:pPr>
      <w:r w:rsidRPr="00A5459D">
        <w:rPr>
          <w:rFonts w:cstheme="minorHAnsi"/>
          <w:bCs/>
          <w:sz w:val="24"/>
          <w:szCs w:val="24"/>
        </w:rPr>
        <w:t>Examples from other industries demonstrate the strategic value of supply chain collaboration. Following the 2011 earthquake and tsunami in Japan, numerous automotive manufacturers encountered significant disruptions due to the abrupt unavailability of essential components. Organisations that had established collaborative relationships with suppliers</w:t>
      </w:r>
      <w:r>
        <w:rPr>
          <w:rFonts w:cstheme="minorHAnsi"/>
          <w:bCs/>
          <w:sz w:val="24"/>
          <w:szCs w:val="24"/>
        </w:rPr>
        <w:t xml:space="preserve"> </w:t>
      </w:r>
      <w:r w:rsidRPr="00A5459D">
        <w:rPr>
          <w:rFonts w:cstheme="minorHAnsi"/>
          <w:bCs/>
          <w:sz w:val="24"/>
          <w:szCs w:val="24"/>
        </w:rPr>
        <w:t>were more successful in identifying alternative sources and mitigating production losses. In contrast, firms with limited supplier engagement experienced extended operational shutdowns</w:t>
      </w:r>
      <w:r>
        <w:rPr>
          <w:rFonts w:cstheme="minorHAnsi"/>
          <w:bCs/>
          <w:sz w:val="24"/>
          <w:szCs w:val="24"/>
        </w:rPr>
        <w:t xml:space="preserve"> </w:t>
      </w:r>
      <w:sdt>
        <w:sdtPr>
          <w:rPr>
            <w:rFonts w:cstheme="minorHAnsi"/>
            <w:bCs/>
            <w:sz w:val="24"/>
            <w:szCs w:val="24"/>
          </w:rPr>
          <w:id w:val="-1043047908"/>
          <w:citation/>
        </w:sdtPr>
        <w:sdtContent>
          <w:r w:rsidR="002C39D2">
            <w:rPr>
              <w:rFonts w:cstheme="minorHAnsi"/>
              <w:bCs/>
              <w:sz w:val="24"/>
              <w:szCs w:val="24"/>
            </w:rPr>
            <w:fldChar w:fldCharType="begin"/>
          </w:r>
          <w:r w:rsidR="002C39D2">
            <w:rPr>
              <w:rFonts w:cstheme="minorHAnsi"/>
              <w:bCs/>
              <w:sz w:val="24"/>
              <w:szCs w:val="24"/>
              <w:lang w:val="en-US"/>
            </w:rPr>
            <w:instrText xml:space="preserve"> CITATION Sch13 \l 1033 </w:instrText>
          </w:r>
          <w:r w:rsidR="002C39D2">
            <w:rPr>
              <w:rFonts w:cstheme="minorHAnsi"/>
              <w:bCs/>
              <w:sz w:val="24"/>
              <w:szCs w:val="24"/>
            </w:rPr>
            <w:fldChar w:fldCharType="separate"/>
          </w:r>
          <w:r w:rsidR="008327FB" w:rsidRPr="008327FB">
            <w:rPr>
              <w:rFonts w:cstheme="minorHAnsi"/>
              <w:noProof/>
              <w:sz w:val="24"/>
              <w:szCs w:val="24"/>
              <w:lang w:val="en-US"/>
            </w:rPr>
            <w:t>(Schmidt &amp; Simchi-Levi, 2013)</w:t>
          </w:r>
          <w:r w:rsidR="002C39D2">
            <w:rPr>
              <w:rFonts w:cstheme="minorHAnsi"/>
              <w:bCs/>
              <w:sz w:val="24"/>
              <w:szCs w:val="24"/>
            </w:rPr>
            <w:fldChar w:fldCharType="end"/>
          </w:r>
        </w:sdtContent>
      </w:sdt>
      <w:r w:rsidR="00454E59" w:rsidRPr="00454E59">
        <w:rPr>
          <w:rFonts w:cstheme="minorHAnsi"/>
          <w:bCs/>
          <w:sz w:val="24"/>
          <w:szCs w:val="24"/>
        </w:rPr>
        <w:t xml:space="preserve">. </w:t>
      </w:r>
    </w:p>
    <w:p w14:paraId="6B0832E9" w14:textId="13754F60" w:rsidR="00F27160" w:rsidRDefault="00A5459D" w:rsidP="009A5A9A">
      <w:pPr>
        <w:spacing w:line="360" w:lineRule="auto"/>
        <w:jc w:val="both"/>
        <w:rPr>
          <w:rFonts w:cstheme="minorHAnsi"/>
          <w:bCs/>
          <w:sz w:val="24"/>
          <w:szCs w:val="24"/>
        </w:rPr>
      </w:pPr>
      <w:r w:rsidRPr="00A5459D">
        <w:rPr>
          <w:rFonts w:cstheme="minorHAnsi"/>
          <w:bCs/>
          <w:sz w:val="24"/>
          <w:szCs w:val="24"/>
        </w:rPr>
        <w:t>Similarly, within the food retail sector, Kroger’s collaborative planning with suppliers facilitated more effective management of inventory and distribution during the COVID-19 pandemic. This approach ensured the continued availability of essential goods despite significant surges in consumer demand</w:t>
      </w:r>
      <w:r>
        <w:rPr>
          <w:rFonts w:cstheme="minorHAnsi"/>
          <w:bCs/>
          <w:sz w:val="24"/>
          <w:szCs w:val="24"/>
        </w:rPr>
        <w:t xml:space="preserve"> </w:t>
      </w:r>
      <w:sdt>
        <w:sdtPr>
          <w:rPr>
            <w:rFonts w:cstheme="minorHAnsi"/>
            <w:bCs/>
            <w:sz w:val="24"/>
            <w:szCs w:val="24"/>
          </w:rPr>
          <w:id w:val="-634171979"/>
          <w:citation/>
        </w:sdtPr>
        <w:sdtContent>
          <w:r w:rsidR="00F35842">
            <w:rPr>
              <w:rFonts w:cstheme="minorHAnsi"/>
              <w:bCs/>
              <w:sz w:val="24"/>
              <w:szCs w:val="24"/>
            </w:rPr>
            <w:fldChar w:fldCharType="begin"/>
          </w:r>
          <w:r w:rsidR="00F35842">
            <w:rPr>
              <w:rFonts w:cstheme="minorHAnsi"/>
              <w:bCs/>
              <w:sz w:val="24"/>
              <w:szCs w:val="24"/>
              <w:lang w:val="en-US"/>
            </w:rPr>
            <w:instrText xml:space="preserve"> CITATION Aco21 \l 1033 </w:instrText>
          </w:r>
          <w:r w:rsidR="00F35842">
            <w:rPr>
              <w:rFonts w:cstheme="minorHAnsi"/>
              <w:bCs/>
              <w:sz w:val="24"/>
              <w:szCs w:val="24"/>
            </w:rPr>
            <w:fldChar w:fldCharType="separate"/>
          </w:r>
          <w:r w:rsidR="008327FB" w:rsidRPr="008327FB">
            <w:rPr>
              <w:rFonts w:cstheme="minorHAnsi"/>
              <w:noProof/>
              <w:sz w:val="24"/>
              <w:szCs w:val="24"/>
              <w:lang w:val="en-US"/>
            </w:rPr>
            <w:t>(Acosta, 2021)</w:t>
          </w:r>
          <w:r w:rsidR="00F35842">
            <w:rPr>
              <w:rFonts w:cstheme="minorHAnsi"/>
              <w:bCs/>
              <w:sz w:val="24"/>
              <w:szCs w:val="24"/>
            </w:rPr>
            <w:fldChar w:fldCharType="end"/>
          </w:r>
        </w:sdtContent>
      </w:sdt>
      <w:r w:rsidR="00454E59" w:rsidRPr="00454E59">
        <w:rPr>
          <w:rFonts w:cstheme="minorHAnsi"/>
          <w:bCs/>
          <w:sz w:val="24"/>
          <w:szCs w:val="24"/>
        </w:rPr>
        <w:t xml:space="preserve">. </w:t>
      </w:r>
    </w:p>
    <w:p w14:paraId="5E2A0AC9" w14:textId="77777777" w:rsidR="00A5459D" w:rsidRDefault="00A5459D" w:rsidP="009A5A9A">
      <w:pPr>
        <w:spacing w:line="360" w:lineRule="auto"/>
        <w:jc w:val="both"/>
        <w:rPr>
          <w:rFonts w:cstheme="minorHAnsi"/>
          <w:bCs/>
          <w:sz w:val="24"/>
          <w:szCs w:val="24"/>
        </w:rPr>
      </w:pPr>
      <w:r w:rsidRPr="00A5459D">
        <w:rPr>
          <w:rFonts w:cstheme="minorHAnsi"/>
          <w:bCs/>
          <w:sz w:val="24"/>
          <w:szCs w:val="24"/>
        </w:rPr>
        <w:t xml:space="preserve">In the context of imported steel slabs, collaborative engagement could enable Tata Steel Port Talbot to coordinate effectively with suppliers based in Europe and Asia. Such coordination </w:t>
      </w:r>
      <w:r w:rsidRPr="00A5459D">
        <w:rPr>
          <w:rFonts w:cstheme="minorHAnsi"/>
          <w:bCs/>
          <w:sz w:val="24"/>
          <w:szCs w:val="24"/>
        </w:rPr>
        <w:lastRenderedPageBreak/>
        <w:t>would support the anticipation of production and shipping delays, the exchange of real-time information regarding slab quality and availability, and the alignment of internal production schedules. These practices collectively contribute to reducing risks to downstream operations and ensuring the timely fulfilment of customer deliveries.</w:t>
      </w:r>
    </w:p>
    <w:p w14:paraId="13C66480" w14:textId="77777777" w:rsidR="00801A15" w:rsidRDefault="00801A15" w:rsidP="009A5A9A">
      <w:pPr>
        <w:spacing w:line="360" w:lineRule="auto"/>
        <w:jc w:val="both"/>
        <w:rPr>
          <w:rFonts w:cstheme="minorHAnsi"/>
          <w:bCs/>
          <w:sz w:val="24"/>
          <w:szCs w:val="24"/>
        </w:rPr>
      </w:pPr>
    </w:p>
    <w:p w14:paraId="4CF07C0B" w14:textId="77777777" w:rsidR="00801A15" w:rsidRDefault="00801A15" w:rsidP="009A5A9A">
      <w:pPr>
        <w:spacing w:line="360" w:lineRule="auto"/>
        <w:jc w:val="both"/>
        <w:rPr>
          <w:rFonts w:cstheme="minorHAnsi"/>
          <w:bCs/>
          <w:sz w:val="24"/>
          <w:szCs w:val="24"/>
        </w:rPr>
      </w:pPr>
    </w:p>
    <w:p w14:paraId="098F3B7D" w14:textId="77777777" w:rsidR="00801A15" w:rsidRDefault="00801A15" w:rsidP="009A5A9A">
      <w:pPr>
        <w:spacing w:line="360" w:lineRule="auto"/>
        <w:jc w:val="both"/>
        <w:rPr>
          <w:rFonts w:cstheme="minorHAnsi"/>
          <w:bCs/>
          <w:sz w:val="24"/>
          <w:szCs w:val="24"/>
        </w:rPr>
      </w:pPr>
    </w:p>
    <w:p w14:paraId="330E24F3" w14:textId="77777777" w:rsidR="00801A15" w:rsidRDefault="00801A15" w:rsidP="009A5A9A">
      <w:pPr>
        <w:spacing w:line="360" w:lineRule="auto"/>
        <w:jc w:val="both"/>
        <w:rPr>
          <w:rFonts w:cstheme="minorHAnsi"/>
          <w:bCs/>
          <w:sz w:val="24"/>
          <w:szCs w:val="24"/>
        </w:rPr>
      </w:pPr>
    </w:p>
    <w:p w14:paraId="4E353157" w14:textId="77777777" w:rsidR="00801A15" w:rsidRDefault="00801A15" w:rsidP="009A5A9A">
      <w:pPr>
        <w:spacing w:line="360" w:lineRule="auto"/>
        <w:jc w:val="both"/>
        <w:rPr>
          <w:rFonts w:cstheme="minorHAnsi"/>
          <w:bCs/>
          <w:sz w:val="24"/>
          <w:szCs w:val="24"/>
        </w:rPr>
      </w:pPr>
    </w:p>
    <w:p w14:paraId="33F22A4E" w14:textId="77777777" w:rsidR="00801A15" w:rsidRDefault="00801A15" w:rsidP="009A5A9A">
      <w:pPr>
        <w:spacing w:line="360" w:lineRule="auto"/>
        <w:jc w:val="both"/>
        <w:rPr>
          <w:rFonts w:cstheme="minorHAnsi"/>
          <w:bCs/>
          <w:sz w:val="24"/>
          <w:szCs w:val="24"/>
        </w:rPr>
      </w:pPr>
    </w:p>
    <w:p w14:paraId="7B06D5FF" w14:textId="77777777" w:rsidR="00801A15" w:rsidRDefault="00801A15" w:rsidP="009A5A9A">
      <w:pPr>
        <w:spacing w:line="360" w:lineRule="auto"/>
        <w:jc w:val="both"/>
        <w:rPr>
          <w:rFonts w:cstheme="minorHAnsi"/>
          <w:bCs/>
          <w:sz w:val="24"/>
          <w:szCs w:val="24"/>
        </w:rPr>
      </w:pPr>
    </w:p>
    <w:p w14:paraId="3E8EA70C" w14:textId="77777777" w:rsidR="00801A15" w:rsidRDefault="00801A15" w:rsidP="009A5A9A">
      <w:pPr>
        <w:spacing w:line="360" w:lineRule="auto"/>
        <w:jc w:val="both"/>
        <w:rPr>
          <w:rFonts w:cstheme="minorHAnsi"/>
          <w:bCs/>
          <w:sz w:val="24"/>
          <w:szCs w:val="24"/>
        </w:rPr>
      </w:pPr>
    </w:p>
    <w:p w14:paraId="6C0AF53E" w14:textId="77777777" w:rsidR="00801A15" w:rsidRDefault="00801A15" w:rsidP="009A5A9A">
      <w:pPr>
        <w:spacing w:line="360" w:lineRule="auto"/>
        <w:jc w:val="both"/>
        <w:rPr>
          <w:rFonts w:cstheme="minorHAnsi"/>
          <w:bCs/>
          <w:sz w:val="24"/>
          <w:szCs w:val="24"/>
        </w:rPr>
      </w:pPr>
    </w:p>
    <w:p w14:paraId="4DD911FF" w14:textId="77777777" w:rsidR="00801A15" w:rsidRDefault="00801A15" w:rsidP="009A5A9A">
      <w:pPr>
        <w:spacing w:line="360" w:lineRule="auto"/>
        <w:jc w:val="both"/>
        <w:rPr>
          <w:rFonts w:cstheme="minorHAnsi"/>
          <w:bCs/>
          <w:sz w:val="24"/>
          <w:szCs w:val="24"/>
        </w:rPr>
      </w:pPr>
    </w:p>
    <w:p w14:paraId="2C881EE3" w14:textId="77777777" w:rsidR="00801A15" w:rsidRDefault="00801A15" w:rsidP="009A5A9A">
      <w:pPr>
        <w:spacing w:line="360" w:lineRule="auto"/>
        <w:jc w:val="both"/>
        <w:rPr>
          <w:rFonts w:cstheme="minorHAnsi"/>
          <w:bCs/>
          <w:sz w:val="24"/>
          <w:szCs w:val="24"/>
        </w:rPr>
      </w:pPr>
    </w:p>
    <w:p w14:paraId="7D2AEFD9" w14:textId="77777777" w:rsidR="00801A15" w:rsidRDefault="00801A15" w:rsidP="009A5A9A">
      <w:pPr>
        <w:spacing w:line="360" w:lineRule="auto"/>
        <w:jc w:val="both"/>
        <w:rPr>
          <w:rFonts w:cstheme="minorHAnsi"/>
          <w:bCs/>
          <w:sz w:val="24"/>
          <w:szCs w:val="24"/>
        </w:rPr>
      </w:pPr>
    </w:p>
    <w:p w14:paraId="461A22BE" w14:textId="1603ACAD" w:rsidR="00E94A03" w:rsidRPr="007A4570" w:rsidRDefault="009F1ADB" w:rsidP="009A5A9A">
      <w:pPr>
        <w:pStyle w:val="Heading2"/>
        <w:spacing w:line="360" w:lineRule="auto"/>
      </w:pPr>
      <w:bookmarkStart w:id="34" w:name="_Toc214299362"/>
      <w:r>
        <w:lastRenderedPageBreak/>
        <w:t>4</w:t>
      </w:r>
      <w:r w:rsidR="00C52B2C">
        <w:t>.</w:t>
      </w:r>
      <w:r>
        <w:t>6</w:t>
      </w:r>
      <w:r w:rsidR="00C52B2C">
        <w:t xml:space="preserve"> </w:t>
      </w:r>
      <w:r w:rsidR="00E94A03" w:rsidRPr="007A4570">
        <w:t xml:space="preserve">Step </w:t>
      </w:r>
      <w:r w:rsidR="007A4570">
        <w:t>Five</w:t>
      </w:r>
      <w:r w:rsidR="00E94A03" w:rsidRPr="007A4570">
        <w:t xml:space="preserve">: </w:t>
      </w:r>
      <w:r w:rsidR="007A4570" w:rsidRPr="007A4570">
        <w:t>Documentation and Customs Compliance</w:t>
      </w:r>
      <w:bookmarkEnd w:id="34"/>
    </w:p>
    <w:p w14:paraId="226FDB16" w14:textId="7A61329B" w:rsidR="00C94FB0" w:rsidRDefault="008D34E7" w:rsidP="009A5A9A">
      <w:pPr>
        <w:spacing w:line="360" w:lineRule="auto"/>
        <w:jc w:val="both"/>
        <w:rPr>
          <w:rFonts w:cstheme="minorHAnsi"/>
          <w:bCs/>
          <w:sz w:val="24"/>
          <w:szCs w:val="24"/>
        </w:rPr>
      </w:pPr>
      <w:r>
        <w:rPr>
          <w:noProof/>
        </w:rPr>
        <mc:AlternateContent>
          <mc:Choice Requires="wps">
            <w:drawing>
              <wp:anchor distT="0" distB="0" distL="114300" distR="114300" simplePos="0" relativeHeight="251688960" behindDoc="0" locked="0" layoutInCell="1" allowOverlap="1" wp14:anchorId="7DDF62B6" wp14:editId="31877BC2">
                <wp:simplePos x="0" y="0"/>
                <wp:positionH relativeFrom="column">
                  <wp:posOffset>-27940</wp:posOffset>
                </wp:positionH>
                <wp:positionV relativeFrom="paragraph">
                  <wp:posOffset>4289425</wp:posOffset>
                </wp:positionV>
                <wp:extent cx="5744845" cy="635"/>
                <wp:effectExtent l="0" t="0" r="0" b="0"/>
                <wp:wrapSquare wrapText="bothSides"/>
                <wp:docPr id="820742034" name="Text Box 1"/>
                <wp:cNvGraphicFramePr/>
                <a:graphic xmlns:a="http://schemas.openxmlformats.org/drawingml/2006/main">
                  <a:graphicData uri="http://schemas.microsoft.com/office/word/2010/wordprocessingShape">
                    <wps:wsp>
                      <wps:cNvSpPr txBox="1"/>
                      <wps:spPr>
                        <a:xfrm>
                          <a:off x="0" y="0"/>
                          <a:ext cx="5744845" cy="635"/>
                        </a:xfrm>
                        <a:prstGeom prst="rect">
                          <a:avLst/>
                        </a:prstGeom>
                        <a:solidFill>
                          <a:prstClr val="white"/>
                        </a:solidFill>
                        <a:ln>
                          <a:noFill/>
                        </a:ln>
                      </wps:spPr>
                      <wps:txbx>
                        <w:txbxContent>
                          <w:p w14:paraId="7A4313F2" w14:textId="7F7A7CCD" w:rsidR="008D34E7" w:rsidRPr="00DE04F0" w:rsidRDefault="008D34E7" w:rsidP="008D34E7">
                            <w:pPr>
                              <w:pStyle w:val="Caption"/>
                              <w:rPr>
                                <w:rFonts w:cstheme="minorHAnsi"/>
                                <w:bCs/>
                                <w:noProof/>
                              </w:rPr>
                            </w:pPr>
                            <w:bookmarkStart w:id="35" w:name="_Toc214254286"/>
                            <w:r>
                              <w:t xml:space="preserve">Figure </w:t>
                            </w:r>
                            <w:fldSimple w:instr=" SEQ Figure \* ARABIC ">
                              <w:r w:rsidR="000A7B00">
                                <w:rPr>
                                  <w:noProof/>
                                </w:rPr>
                                <w:t>5</w:t>
                              </w:r>
                            </w:fldSimple>
                            <w:r>
                              <w:t xml:space="preserve"> - </w:t>
                            </w:r>
                            <w:r w:rsidRPr="0033526A">
                              <w:t>Advantages of Digital Customs</w:t>
                            </w:r>
                            <w:r w:rsidR="005A6CAC">
                              <w:t xml:space="preserve"> </w:t>
                            </w:r>
                            <w:sdt>
                              <w:sdtPr>
                                <w:id w:val="-587689329"/>
                                <w:citation/>
                              </w:sdtPr>
                              <w:sdtContent>
                                <w:r w:rsidR="005A6CAC">
                                  <w:fldChar w:fldCharType="begin"/>
                                </w:r>
                                <w:r w:rsidR="005A6CAC">
                                  <w:instrText xml:space="preserve"> CITATION Emb25 \l 2057 </w:instrText>
                                </w:r>
                                <w:r w:rsidR="005A6CAC">
                                  <w:fldChar w:fldCharType="separate"/>
                                </w:r>
                                <w:r w:rsidR="005A6CAC">
                                  <w:rPr>
                                    <w:noProof/>
                                  </w:rPr>
                                  <w:t>(Embracing Digital Transformation: The Role of Technology in Modernising Customs Clearance Processes, 2025)</w:t>
                                </w:r>
                                <w:r w:rsidR="005A6CAC">
                                  <w:fldChar w:fldCharType="end"/>
                                </w:r>
                              </w:sdtContent>
                            </w:sdt>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DF62B6" id="_x0000_s1030" type="#_x0000_t202" style="position:absolute;left:0;text-align:left;margin-left:-2.2pt;margin-top:337.75pt;width:452.3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2g9GwIAAD8EAAAOAAAAZHJzL2Uyb0RvYy54bWysU8Fu2zAMvQ/YPwi6L066pC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" stroked="f">
                <v:textbox style="mso-fit-shape-to-text:t" inset="0,0,0,0">
                  <w:txbxContent>
                    <w:p w14:paraId="7A4313F2" w14:textId="7F7A7CCD" w:rsidR="008D34E7" w:rsidRPr="00DE04F0" w:rsidRDefault="008D34E7" w:rsidP="008D34E7">
                      <w:pPr>
                        <w:pStyle w:val="Caption"/>
                        <w:rPr>
                          <w:rFonts w:cstheme="minorHAnsi"/>
                          <w:bCs/>
                          <w:noProof/>
                        </w:rPr>
                      </w:pPr>
                      <w:bookmarkStart w:id="36" w:name="_Toc214254286"/>
                      <w:r>
                        <w:t xml:space="preserve">Figure </w:t>
                      </w:r>
                      <w:fldSimple w:instr=" SEQ Figure \* ARABIC ">
                        <w:r w:rsidR="000A7B00">
                          <w:rPr>
                            <w:noProof/>
                          </w:rPr>
                          <w:t>5</w:t>
                        </w:r>
                      </w:fldSimple>
                      <w:r>
                        <w:t xml:space="preserve"> - </w:t>
                      </w:r>
                      <w:r w:rsidRPr="0033526A">
                        <w:t>Advantages of Digital Customs</w:t>
                      </w:r>
                      <w:r w:rsidR="005A6CAC">
                        <w:t xml:space="preserve"> </w:t>
                      </w:r>
                      <w:sdt>
                        <w:sdtPr>
                          <w:id w:val="-587689329"/>
                          <w:citation/>
                        </w:sdtPr>
                        <w:sdtContent>
                          <w:r w:rsidR="005A6CAC">
                            <w:fldChar w:fldCharType="begin"/>
                          </w:r>
                          <w:r w:rsidR="005A6CAC">
                            <w:instrText xml:space="preserve"> CITATION Emb25 \l 2057 </w:instrText>
                          </w:r>
                          <w:r w:rsidR="005A6CAC">
                            <w:fldChar w:fldCharType="separate"/>
                          </w:r>
                          <w:r w:rsidR="005A6CAC">
                            <w:rPr>
                              <w:noProof/>
                            </w:rPr>
                            <w:t>(Embracing Digital Transformation: The Role of Technology in Modernising Customs Clearance Processes, 2025)</w:t>
                          </w:r>
                          <w:r w:rsidR="005A6CAC">
                            <w:fldChar w:fldCharType="end"/>
                          </w:r>
                        </w:sdtContent>
                      </w:sdt>
                      <w:bookmarkEnd w:id="36"/>
                    </w:p>
                  </w:txbxContent>
                </v:textbox>
                <w10:wrap type="square"/>
              </v:shape>
            </w:pict>
          </mc:Fallback>
        </mc:AlternateContent>
      </w:r>
      <w:r>
        <w:rPr>
          <w:rFonts w:cstheme="minorHAnsi"/>
          <w:bCs/>
          <w:noProof/>
          <w:sz w:val="24"/>
          <w:szCs w:val="24"/>
        </w:rPr>
        <w:drawing>
          <wp:anchor distT="0" distB="0" distL="114300" distR="114300" simplePos="0" relativeHeight="251667456" behindDoc="0" locked="0" layoutInCell="1" allowOverlap="1" wp14:anchorId="50448C03" wp14:editId="1509EB45">
            <wp:simplePos x="0" y="0"/>
            <wp:positionH relativeFrom="column">
              <wp:posOffset>-28552</wp:posOffset>
            </wp:positionH>
            <wp:positionV relativeFrom="paragraph">
              <wp:posOffset>1918852</wp:posOffset>
            </wp:positionV>
            <wp:extent cx="5745162" cy="2313975"/>
            <wp:effectExtent l="19050" t="19050" r="27305" b="10160"/>
            <wp:wrapSquare wrapText="bothSides"/>
            <wp:docPr id="6217973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797327" name="Picture 4"/>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45162" cy="2313975"/>
                    </a:xfrm>
                    <a:prstGeom prst="rect">
                      <a:avLst/>
                    </a:prstGeom>
                    <a:ln>
                      <a:solidFill>
                        <a:schemeClr val="tx1"/>
                      </a:solidFill>
                    </a:ln>
                  </pic:spPr>
                </pic:pic>
              </a:graphicData>
            </a:graphic>
          </wp:anchor>
        </w:drawing>
      </w:r>
      <w:r w:rsidR="00F418A1" w:rsidRPr="00F418A1">
        <w:rPr>
          <w:rFonts w:cstheme="minorHAnsi"/>
          <w:bCs/>
          <w:sz w:val="24"/>
          <w:szCs w:val="24"/>
        </w:rPr>
        <w:t xml:space="preserve">The implementation of digital document management and pre-clearance systems can significantly reduce customs delays and minimise human errors associated with import documentation. Furthermore, providing training for administrative personnel and suppliers in international trade compliance enhances the efficiency of port clearance processes and mitigates the risk of shipment rejections or incurring penalty charges </w:t>
      </w:r>
      <w:sdt>
        <w:sdtPr>
          <w:rPr>
            <w:rFonts w:cstheme="minorHAnsi"/>
            <w:bCs/>
            <w:sz w:val="24"/>
            <w:szCs w:val="24"/>
          </w:rPr>
          <w:id w:val="2124412779"/>
          <w:citation/>
        </w:sdtPr>
        <w:sdtContent>
          <w:r w:rsidR="00A85E65">
            <w:rPr>
              <w:rFonts w:cstheme="minorHAnsi"/>
              <w:bCs/>
              <w:sz w:val="24"/>
              <w:szCs w:val="24"/>
            </w:rPr>
            <w:fldChar w:fldCharType="begin"/>
          </w:r>
          <w:r w:rsidR="00A85E65">
            <w:rPr>
              <w:rFonts w:cstheme="minorHAnsi"/>
              <w:bCs/>
              <w:sz w:val="24"/>
              <w:szCs w:val="24"/>
              <w:lang w:val="en-US"/>
            </w:rPr>
            <w:instrText xml:space="preserve"> CITATION Emb25 \l 1033 </w:instrText>
          </w:r>
          <w:r w:rsidR="00A85E65">
            <w:rPr>
              <w:rFonts w:cstheme="minorHAnsi"/>
              <w:bCs/>
              <w:sz w:val="24"/>
              <w:szCs w:val="24"/>
            </w:rPr>
            <w:fldChar w:fldCharType="separate"/>
          </w:r>
          <w:r w:rsidR="008327FB" w:rsidRPr="008327FB">
            <w:rPr>
              <w:rFonts w:cstheme="minorHAnsi"/>
              <w:noProof/>
              <w:sz w:val="24"/>
              <w:szCs w:val="24"/>
              <w:lang w:val="en-US"/>
            </w:rPr>
            <w:t>(Embracing Digital Transformation: The Role of Technology in Modernising Customs Clearance Processes, 2025)</w:t>
          </w:r>
          <w:r w:rsidR="00A85E65">
            <w:rPr>
              <w:rFonts w:cstheme="minorHAnsi"/>
              <w:bCs/>
              <w:sz w:val="24"/>
              <w:szCs w:val="24"/>
            </w:rPr>
            <w:fldChar w:fldCharType="end"/>
          </w:r>
        </w:sdtContent>
      </w:sdt>
      <w:r w:rsidR="007A4570" w:rsidRPr="007A4570">
        <w:rPr>
          <w:rFonts w:cstheme="minorHAnsi"/>
          <w:bCs/>
          <w:sz w:val="24"/>
          <w:szCs w:val="24"/>
        </w:rPr>
        <w:t>.</w:t>
      </w:r>
    </w:p>
    <w:p w14:paraId="5D59F50E" w14:textId="1FAEF368" w:rsidR="00407811" w:rsidRDefault="00FB32C0" w:rsidP="009A5A9A">
      <w:pPr>
        <w:spacing w:line="360" w:lineRule="auto"/>
        <w:jc w:val="both"/>
        <w:rPr>
          <w:rFonts w:cstheme="minorHAnsi"/>
          <w:bCs/>
          <w:sz w:val="24"/>
          <w:szCs w:val="24"/>
        </w:rPr>
      </w:pPr>
      <w:r w:rsidRPr="00FB32C0">
        <w:rPr>
          <w:rFonts w:cstheme="minorHAnsi"/>
          <w:bCs/>
          <w:sz w:val="24"/>
          <w:szCs w:val="24"/>
        </w:rPr>
        <w:t>Improved documentation and stringent customs compliance are critical to sustaining the uninterrupted flow of imported goods, particularly in the case of Tata Steel Port Talbot, which depends on the importation of steel slabs. The provision of accurate and comprehensive documentation</w:t>
      </w:r>
      <w:r w:rsidR="00004171">
        <w:rPr>
          <w:rFonts w:cstheme="minorHAnsi"/>
          <w:bCs/>
          <w:sz w:val="24"/>
          <w:szCs w:val="24"/>
        </w:rPr>
        <w:t xml:space="preserve"> </w:t>
      </w:r>
      <w:r w:rsidRPr="00FB32C0">
        <w:rPr>
          <w:rFonts w:cstheme="minorHAnsi"/>
          <w:bCs/>
          <w:sz w:val="24"/>
          <w:szCs w:val="24"/>
        </w:rPr>
        <w:t>such as certificates of origin, customs declarations, and quality certificates</w:t>
      </w:r>
      <w:r w:rsidR="00004171">
        <w:rPr>
          <w:rFonts w:cstheme="minorHAnsi"/>
          <w:bCs/>
          <w:sz w:val="24"/>
          <w:szCs w:val="24"/>
        </w:rPr>
        <w:t xml:space="preserve"> </w:t>
      </w:r>
      <w:r w:rsidRPr="00FB32C0">
        <w:rPr>
          <w:rFonts w:cstheme="minorHAnsi"/>
          <w:bCs/>
          <w:sz w:val="24"/>
          <w:szCs w:val="24"/>
        </w:rPr>
        <w:t>facilitate efficient customs clearance and ensures adherence to relevant regulatory requirements</w:t>
      </w:r>
      <w:r>
        <w:rPr>
          <w:rFonts w:cstheme="minorHAnsi"/>
          <w:bCs/>
          <w:sz w:val="24"/>
          <w:szCs w:val="24"/>
        </w:rPr>
        <w:t xml:space="preserve"> </w:t>
      </w:r>
      <w:sdt>
        <w:sdtPr>
          <w:rPr>
            <w:rFonts w:cstheme="minorHAnsi"/>
            <w:bCs/>
            <w:sz w:val="24"/>
            <w:szCs w:val="24"/>
          </w:rPr>
          <w:id w:val="-840466707"/>
          <w:citation/>
        </w:sdtPr>
        <w:sdtContent>
          <w:r w:rsidR="00F05596">
            <w:rPr>
              <w:rFonts w:cstheme="minorHAnsi"/>
              <w:bCs/>
              <w:sz w:val="24"/>
              <w:szCs w:val="24"/>
            </w:rPr>
            <w:fldChar w:fldCharType="begin"/>
          </w:r>
          <w:r w:rsidR="00F05596">
            <w:rPr>
              <w:rFonts w:cstheme="minorHAnsi"/>
              <w:bCs/>
              <w:sz w:val="24"/>
              <w:szCs w:val="24"/>
              <w:lang w:val="en-US"/>
            </w:rPr>
            <w:instrText xml:space="preserve"> CITATION How25 \l 1033 </w:instrText>
          </w:r>
          <w:r w:rsidR="00F05596">
            <w:rPr>
              <w:rFonts w:cstheme="minorHAnsi"/>
              <w:bCs/>
              <w:sz w:val="24"/>
              <w:szCs w:val="24"/>
            </w:rPr>
            <w:fldChar w:fldCharType="separate"/>
          </w:r>
          <w:r w:rsidR="008327FB" w:rsidRPr="008327FB">
            <w:rPr>
              <w:rFonts w:cstheme="minorHAnsi"/>
              <w:noProof/>
              <w:sz w:val="24"/>
              <w:szCs w:val="24"/>
              <w:lang w:val="en-US"/>
            </w:rPr>
            <w:t>(“How to Stay Compliant with Customs and Import Rules for Steel Products”, 2025)</w:t>
          </w:r>
          <w:r w:rsidR="00F05596">
            <w:rPr>
              <w:rFonts w:cstheme="minorHAnsi"/>
              <w:bCs/>
              <w:sz w:val="24"/>
              <w:szCs w:val="24"/>
            </w:rPr>
            <w:fldChar w:fldCharType="end"/>
          </w:r>
        </w:sdtContent>
      </w:sdt>
      <w:r w:rsidR="00C94FB0" w:rsidRPr="00C94FB0">
        <w:rPr>
          <w:rFonts w:cstheme="minorHAnsi"/>
          <w:bCs/>
          <w:sz w:val="24"/>
          <w:szCs w:val="24"/>
        </w:rPr>
        <w:t xml:space="preserve">. </w:t>
      </w:r>
    </w:p>
    <w:p w14:paraId="31CF0444" w14:textId="1C691592" w:rsidR="00763C21" w:rsidRPr="00801A15" w:rsidRDefault="00A51AE3" w:rsidP="009A5A9A">
      <w:pPr>
        <w:spacing w:line="360" w:lineRule="auto"/>
        <w:jc w:val="both"/>
        <w:rPr>
          <w:rFonts w:cstheme="minorHAnsi"/>
          <w:bCs/>
          <w:sz w:val="24"/>
          <w:szCs w:val="24"/>
        </w:rPr>
      </w:pPr>
      <w:r w:rsidRPr="00801A15">
        <w:rPr>
          <w:rFonts w:cstheme="minorHAnsi"/>
          <w:bCs/>
          <w:sz w:val="24"/>
          <w:szCs w:val="24"/>
        </w:rPr>
        <w:t xml:space="preserve">This approach reduces the likelihood of delays at ports, financial penalties, or the confiscation of goods, all of which have the potential to disrupt production schedules and downstream operations. For Tata Steel, the accurate documentation of steel slabs imported from suppliers in Europe and Asia is especially critical, given the substantial volume, weight, and regulatory scrutiny associated with such imports. Robust customs compliance further supports the </w:t>
      </w:r>
      <w:r w:rsidRPr="00801A15">
        <w:rPr>
          <w:rFonts w:cstheme="minorHAnsi"/>
          <w:bCs/>
          <w:sz w:val="24"/>
          <w:szCs w:val="24"/>
        </w:rPr>
        <w:lastRenderedPageBreak/>
        <w:t xml:space="preserve">forecasting of delivery timelines, the negotiation of transport contracts, and the maintenance of cost predictability across the supply chain </w:t>
      </w:r>
      <w:sdt>
        <w:sdtPr>
          <w:rPr>
            <w:rFonts w:cstheme="minorHAnsi"/>
            <w:bCs/>
            <w:sz w:val="24"/>
            <w:szCs w:val="24"/>
          </w:rPr>
          <w:id w:val="-971212626"/>
          <w:citation/>
        </w:sdtPr>
        <w:sdtContent>
          <w:r w:rsidR="00B87409" w:rsidRPr="00801A15">
            <w:rPr>
              <w:rFonts w:cstheme="minorHAnsi"/>
              <w:bCs/>
              <w:sz w:val="24"/>
              <w:szCs w:val="24"/>
            </w:rPr>
            <w:fldChar w:fldCharType="begin"/>
          </w:r>
          <w:r w:rsidR="00B87409" w:rsidRPr="00801A15">
            <w:rPr>
              <w:rFonts w:cstheme="minorHAnsi"/>
              <w:bCs/>
              <w:sz w:val="24"/>
              <w:szCs w:val="24"/>
              <w:lang w:val="en-US"/>
            </w:rPr>
            <w:instrText xml:space="preserve"> CITATION Gos23 \l 1033 </w:instrText>
          </w:r>
          <w:r w:rsidR="00B87409" w:rsidRPr="00801A15">
            <w:rPr>
              <w:rFonts w:cstheme="minorHAnsi"/>
              <w:bCs/>
              <w:sz w:val="24"/>
              <w:szCs w:val="24"/>
            </w:rPr>
            <w:fldChar w:fldCharType="separate"/>
          </w:r>
          <w:r w:rsidR="008327FB" w:rsidRPr="00801A15">
            <w:rPr>
              <w:rFonts w:cstheme="minorHAnsi"/>
              <w:noProof/>
              <w:sz w:val="24"/>
              <w:szCs w:val="24"/>
              <w:lang w:val="en-US"/>
            </w:rPr>
            <w:t>(Gosain, 2023)</w:t>
          </w:r>
          <w:r w:rsidR="00B87409" w:rsidRPr="00801A15">
            <w:rPr>
              <w:rFonts w:cstheme="minorHAnsi"/>
              <w:bCs/>
              <w:sz w:val="24"/>
              <w:szCs w:val="24"/>
            </w:rPr>
            <w:fldChar w:fldCharType="end"/>
          </w:r>
        </w:sdtContent>
      </w:sdt>
      <w:r w:rsidR="00C94FB0" w:rsidRPr="00801A15">
        <w:rPr>
          <w:rFonts w:cstheme="minorHAnsi"/>
          <w:bCs/>
          <w:sz w:val="24"/>
          <w:szCs w:val="24"/>
        </w:rPr>
        <w:t>.</w:t>
      </w:r>
    </w:p>
    <w:p w14:paraId="2A6B217C" w14:textId="3FD18D4E" w:rsidR="00407811" w:rsidRPr="00801A15" w:rsidRDefault="00A51AE3" w:rsidP="009A5A9A">
      <w:pPr>
        <w:spacing w:line="360" w:lineRule="auto"/>
        <w:jc w:val="both"/>
        <w:rPr>
          <w:rFonts w:cstheme="minorHAnsi"/>
          <w:bCs/>
          <w:sz w:val="24"/>
          <w:szCs w:val="24"/>
        </w:rPr>
      </w:pPr>
      <w:r w:rsidRPr="00801A15">
        <w:rPr>
          <w:rFonts w:cstheme="minorHAnsi"/>
          <w:bCs/>
          <w:sz w:val="24"/>
          <w:szCs w:val="24"/>
        </w:rPr>
        <w:t xml:space="preserve">Examples from other industries demonstrate the consequences of inadequate documentation and insufficient customs compliance. In late 2023, UPS encountered significant difficulties in clearing international shipments through U.S. customs as a result of missing or incomplete information. Consequently, thousands of packages were delayed, and some were destroyed after failing to meet clearance requirements. This case </w:t>
      </w:r>
      <w:r w:rsidR="00052322" w:rsidRPr="00801A15">
        <w:rPr>
          <w:rFonts w:cstheme="minorHAnsi"/>
          <w:bCs/>
          <w:sz w:val="24"/>
          <w:szCs w:val="24"/>
        </w:rPr>
        <w:t>highlights</w:t>
      </w:r>
      <w:r w:rsidRPr="00801A15">
        <w:rPr>
          <w:rFonts w:cstheme="minorHAnsi"/>
          <w:bCs/>
          <w:sz w:val="24"/>
          <w:szCs w:val="24"/>
        </w:rPr>
        <w:t xml:space="preserve"> the critical importance of accurate and comprehensive customs documentation in sustaining efficient supply chain operations </w:t>
      </w:r>
      <w:sdt>
        <w:sdtPr>
          <w:rPr>
            <w:rFonts w:cstheme="minorHAnsi"/>
            <w:bCs/>
            <w:sz w:val="24"/>
            <w:szCs w:val="24"/>
          </w:rPr>
          <w:id w:val="422314046"/>
          <w:citation/>
        </w:sdtPr>
        <w:sdtContent>
          <w:r w:rsidR="008603E9" w:rsidRPr="00801A15">
            <w:rPr>
              <w:rFonts w:cstheme="minorHAnsi"/>
              <w:bCs/>
              <w:sz w:val="24"/>
              <w:szCs w:val="24"/>
            </w:rPr>
            <w:fldChar w:fldCharType="begin"/>
          </w:r>
          <w:r w:rsidR="008603E9" w:rsidRPr="00801A15">
            <w:rPr>
              <w:rFonts w:cstheme="minorHAnsi"/>
              <w:bCs/>
              <w:sz w:val="24"/>
              <w:szCs w:val="24"/>
              <w:lang w:val="en-US"/>
            </w:rPr>
            <w:instrText xml:space="preserve"> CITATION Mor25 \l 1033 </w:instrText>
          </w:r>
          <w:r w:rsidR="008603E9" w:rsidRPr="00801A15">
            <w:rPr>
              <w:rFonts w:cstheme="minorHAnsi"/>
              <w:bCs/>
              <w:sz w:val="24"/>
              <w:szCs w:val="24"/>
            </w:rPr>
            <w:fldChar w:fldCharType="separate"/>
          </w:r>
          <w:r w:rsidR="008327FB" w:rsidRPr="00801A15">
            <w:rPr>
              <w:rFonts w:cstheme="minorHAnsi"/>
              <w:noProof/>
              <w:sz w:val="24"/>
              <w:szCs w:val="24"/>
              <w:lang w:val="en-US"/>
            </w:rPr>
            <w:t>(Morales, 2025)</w:t>
          </w:r>
          <w:r w:rsidR="008603E9" w:rsidRPr="00801A15">
            <w:rPr>
              <w:rFonts w:cstheme="minorHAnsi"/>
              <w:bCs/>
              <w:sz w:val="24"/>
              <w:szCs w:val="24"/>
            </w:rPr>
            <w:fldChar w:fldCharType="end"/>
          </w:r>
        </w:sdtContent>
      </w:sdt>
      <w:r w:rsidR="00BB3580" w:rsidRPr="00801A15">
        <w:rPr>
          <w:rFonts w:cstheme="minorHAnsi"/>
          <w:bCs/>
          <w:sz w:val="24"/>
          <w:szCs w:val="24"/>
        </w:rPr>
        <w:t xml:space="preserve">. </w:t>
      </w:r>
    </w:p>
    <w:p w14:paraId="3822567B" w14:textId="3F8915BF" w:rsidR="00131616" w:rsidRPr="00801A15" w:rsidRDefault="00052322" w:rsidP="00052322">
      <w:pPr>
        <w:spacing w:line="360" w:lineRule="auto"/>
        <w:jc w:val="both"/>
        <w:rPr>
          <w:rFonts w:cstheme="minorHAnsi"/>
          <w:bCs/>
          <w:sz w:val="24"/>
          <w:szCs w:val="24"/>
          <w:u w:val="single"/>
        </w:rPr>
      </w:pPr>
      <w:r w:rsidRPr="00801A15">
        <w:rPr>
          <w:rFonts w:cstheme="minorHAnsi"/>
          <w:bCs/>
          <w:sz w:val="24"/>
          <w:szCs w:val="24"/>
        </w:rPr>
        <w:t>For Tata Steel Port Talbot, the implementation of rigorous documentation procedures and full adherence to customs compliance requirements would mitigate the risk of comparable disruptions, thereby ensuring the timely arrival of imported slabs, the continuity of production, and the fulfilment of customer demand. Strengthened documentation and compliance practices function as a preventive mechanism, enhancing supply chain reliability, reducing operational risks, and minimising the likelihood of costly delays.</w:t>
      </w:r>
    </w:p>
    <w:p w14:paraId="2D5A3A1E" w14:textId="77777777" w:rsidR="00131616" w:rsidRDefault="00131616" w:rsidP="00AF0188">
      <w:pPr>
        <w:jc w:val="both"/>
        <w:rPr>
          <w:rFonts w:cstheme="minorHAnsi"/>
          <w:bCs/>
          <w:sz w:val="24"/>
          <w:szCs w:val="24"/>
          <w:u w:val="single"/>
        </w:rPr>
      </w:pPr>
    </w:p>
    <w:p w14:paraId="7E7B1102" w14:textId="77777777" w:rsidR="00131616" w:rsidRDefault="00131616" w:rsidP="00AF0188">
      <w:pPr>
        <w:jc w:val="both"/>
        <w:rPr>
          <w:rFonts w:cstheme="minorHAnsi"/>
          <w:bCs/>
          <w:sz w:val="24"/>
          <w:szCs w:val="24"/>
          <w:u w:val="single"/>
        </w:rPr>
      </w:pPr>
    </w:p>
    <w:p w14:paraId="3E3E9674" w14:textId="77777777" w:rsidR="00131616" w:rsidRDefault="00131616" w:rsidP="00AF0188">
      <w:pPr>
        <w:jc w:val="both"/>
        <w:rPr>
          <w:rFonts w:cstheme="minorHAnsi"/>
          <w:bCs/>
          <w:sz w:val="24"/>
          <w:szCs w:val="24"/>
          <w:u w:val="single"/>
        </w:rPr>
      </w:pPr>
    </w:p>
    <w:p w14:paraId="6C6129D6" w14:textId="77777777" w:rsidR="00246475" w:rsidRDefault="00246475" w:rsidP="00AF0188">
      <w:pPr>
        <w:jc w:val="both"/>
        <w:rPr>
          <w:rFonts w:cstheme="minorHAnsi"/>
          <w:bCs/>
          <w:sz w:val="24"/>
          <w:szCs w:val="24"/>
          <w:u w:val="single"/>
        </w:rPr>
      </w:pPr>
    </w:p>
    <w:p w14:paraId="763A3BE6" w14:textId="77777777" w:rsidR="00763C21" w:rsidRDefault="00763C21" w:rsidP="00AF0188">
      <w:pPr>
        <w:jc w:val="both"/>
        <w:rPr>
          <w:rFonts w:cstheme="minorHAnsi"/>
          <w:bCs/>
          <w:sz w:val="24"/>
          <w:szCs w:val="24"/>
          <w:u w:val="single"/>
        </w:rPr>
      </w:pPr>
    </w:p>
    <w:p w14:paraId="4FCFBA8B" w14:textId="77777777" w:rsidR="009A5A9A" w:rsidRDefault="009A5A9A" w:rsidP="00AF0188">
      <w:pPr>
        <w:jc w:val="both"/>
        <w:rPr>
          <w:rFonts w:cstheme="minorHAnsi"/>
          <w:bCs/>
          <w:sz w:val="24"/>
          <w:szCs w:val="24"/>
          <w:u w:val="single"/>
        </w:rPr>
      </w:pPr>
    </w:p>
    <w:p w14:paraId="5E0BAA0F" w14:textId="77777777" w:rsidR="0039128A" w:rsidRDefault="0039128A" w:rsidP="00AF0188">
      <w:pPr>
        <w:jc w:val="both"/>
        <w:rPr>
          <w:rFonts w:cstheme="minorHAnsi"/>
          <w:bCs/>
          <w:sz w:val="24"/>
          <w:szCs w:val="24"/>
          <w:u w:val="single"/>
        </w:rPr>
      </w:pPr>
    </w:p>
    <w:p w14:paraId="431DDAB6" w14:textId="77777777" w:rsidR="008D34E7" w:rsidRDefault="008D34E7" w:rsidP="00AF0188">
      <w:pPr>
        <w:jc w:val="both"/>
        <w:rPr>
          <w:rFonts w:cstheme="minorHAnsi"/>
          <w:bCs/>
          <w:sz w:val="24"/>
          <w:szCs w:val="24"/>
          <w:u w:val="single"/>
        </w:rPr>
      </w:pPr>
    </w:p>
    <w:p w14:paraId="51B3192F" w14:textId="77777777" w:rsidR="00801A15" w:rsidRDefault="00801A15" w:rsidP="00AF0188">
      <w:pPr>
        <w:jc w:val="both"/>
        <w:rPr>
          <w:rFonts w:cstheme="minorHAnsi"/>
          <w:bCs/>
          <w:sz w:val="24"/>
          <w:szCs w:val="24"/>
          <w:u w:val="single"/>
        </w:rPr>
      </w:pPr>
    </w:p>
    <w:p w14:paraId="6EF2EE09" w14:textId="77777777" w:rsidR="00801A15" w:rsidRDefault="00801A15" w:rsidP="00AF0188">
      <w:pPr>
        <w:jc w:val="both"/>
        <w:rPr>
          <w:rFonts w:cstheme="minorHAnsi"/>
          <w:bCs/>
          <w:sz w:val="24"/>
          <w:szCs w:val="24"/>
          <w:u w:val="single"/>
        </w:rPr>
      </w:pPr>
    </w:p>
    <w:p w14:paraId="0F708014" w14:textId="77777777" w:rsidR="00801A15" w:rsidRDefault="00801A15" w:rsidP="00AF0188">
      <w:pPr>
        <w:jc w:val="both"/>
        <w:rPr>
          <w:rFonts w:cstheme="minorHAnsi"/>
          <w:bCs/>
          <w:sz w:val="24"/>
          <w:szCs w:val="24"/>
          <w:u w:val="single"/>
        </w:rPr>
      </w:pPr>
    </w:p>
    <w:p w14:paraId="16C1F1AD" w14:textId="72D09E61" w:rsidR="007A4570" w:rsidRDefault="009F1ADB" w:rsidP="009A5A9A">
      <w:pPr>
        <w:pStyle w:val="Heading2"/>
        <w:spacing w:line="360" w:lineRule="auto"/>
      </w:pPr>
      <w:bookmarkStart w:id="37" w:name="_Toc214299363"/>
      <w:r>
        <w:lastRenderedPageBreak/>
        <w:t>4</w:t>
      </w:r>
      <w:r w:rsidR="00C52B2C">
        <w:t>.</w:t>
      </w:r>
      <w:r>
        <w:t>7</w:t>
      </w:r>
      <w:r w:rsidR="00C52B2C">
        <w:t xml:space="preserve"> </w:t>
      </w:r>
      <w:r w:rsidR="007A4570" w:rsidRPr="003601B9">
        <w:t xml:space="preserve">Step Six: Sustainability </w:t>
      </w:r>
      <w:r w:rsidR="003601B9" w:rsidRPr="003601B9">
        <w:t>Strategy</w:t>
      </w:r>
      <w:bookmarkEnd w:id="37"/>
    </w:p>
    <w:p w14:paraId="46148F68" w14:textId="77777777" w:rsidR="00025F31" w:rsidRPr="00801A15" w:rsidRDefault="00025F31" w:rsidP="009A5A9A">
      <w:pPr>
        <w:spacing w:line="360" w:lineRule="auto"/>
        <w:jc w:val="both"/>
        <w:rPr>
          <w:rFonts w:cstheme="minorHAnsi"/>
          <w:bCs/>
          <w:sz w:val="24"/>
          <w:szCs w:val="24"/>
        </w:rPr>
      </w:pPr>
      <w:r w:rsidRPr="00801A15">
        <w:rPr>
          <w:rFonts w:cstheme="minorHAnsi"/>
          <w:bCs/>
          <w:sz w:val="24"/>
          <w:szCs w:val="24"/>
        </w:rPr>
        <w:t xml:space="preserve">Adopting sustainability oriented and risk-aware procurement practices offers substantial strategic and operational benefits for organisations operating within complex global supply chains, such as Tata Steel Port Talbot’s reliance on imported steel slabs. </w:t>
      </w:r>
    </w:p>
    <w:p w14:paraId="71B7F7BA" w14:textId="1B1EF78F" w:rsidR="007A54D8" w:rsidRDefault="00025F31" w:rsidP="009A5A9A">
      <w:pPr>
        <w:spacing w:line="360" w:lineRule="auto"/>
        <w:jc w:val="both"/>
        <w:rPr>
          <w:rFonts w:cstheme="minorHAnsi"/>
          <w:bCs/>
          <w:sz w:val="24"/>
          <w:szCs w:val="24"/>
        </w:rPr>
      </w:pPr>
      <w:r w:rsidRPr="00025F31">
        <w:rPr>
          <w:rFonts w:cstheme="minorHAnsi"/>
          <w:bCs/>
          <w:sz w:val="24"/>
          <w:szCs w:val="24"/>
        </w:rPr>
        <w:t xml:space="preserve">The integration of sustainability criteria into supplier selection supports both environmental objectives and long-term supply reliability. Prioritising suppliers committed to low-carbon production, ethical sourcing, and robust governance enhances resilience against prospective regulatory or reputational risks. </w:t>
      </w:r>
      <w:r>
        <w:rPr>
          <w:rFonts w:cstheme="minorHAnsi"/>
          <w:bCs/>
          <w:sz w:val="24"/>
          <w:szCs w:val="24"/>
        </w:rPr>
        <w:t>A</w:t>
      </w:r>
      <w:r w:rsidRPr="00025F31">
        <w:rPr>
          <w:rFonts w:cstheme="minorHAnsi"/>
          <w:bCs/>
          <w:sz w:val="24"/>
          <w:szCs w:val="24"/>
        </w:rPr>
        <w:t>ligning procurement practices with Tata Steel’s decarbonisation strategy strengthens long-term competitiveness and secures supply continuity</w:t>
      </w:r>
      <w:r>
        <w:rPr>
          <w:rFonts w:cstheme="minorHAnsi"/>
          <w:bCs/>
          <w:sz w:val="24"/>
          <w:szCs w:val="24"/>
        </w:rPr>
        <w:t xml:space="preserve"> </w:t>
      </w:r>
      <w:sdt>
        <w:sdtPr>
          <w:rPr>
            <w:rFonts w:cstheme="minorHAnsi"/>
            <w:bCs/>
            <w:sz w:val="24"/>
            <w:szCs w:val="24"/>
          </w:rPr>
          <w:id w:val="1446495421"/>
          <w:citation/>
        </w:sdtPr>
        <w:sdtContent>
          <w:r w:rsidR="006115AB">
            <w:rPr>
              <w:rFonts w:cstheme="minorHAnsi"/>
              <w:bCs/>
              <w:sz w:val="24"/>
              <w:szCs w:val="24"/>
            </w:rPr>
            <w:fldChar w:fldCharType="begin"/>
          </w:r>
          <w:r w:rsidR="006115AB">
            <w:rPr>
              <w:rFonts w:cstheme="minorHAnsi"/>
              <w:bCs/>
              <w:sz w:val="24"/>
              <w:szCs w:val="24"/>
              <w:lang w:val="en-US"/>
            </w:rPr>
            <w:instrText xml:space="preserve"> CITATION Why25 \l 1033 </w:instrText>
          </w:r>
          <w:r w:rsidR="006115AB">
            <w:rPr>
              <w:rFonts w:cstheme="minorHAnsi"/>
              <w:bCs/>
              <w:sz w:val="24"/>
              <w:szCs w:val="24"/>
            </w:rPr>
            <w:fldChar w:fldCharType="separate"/>
          </w:r>
          <w:r w:rsidR="008327FB" w:rsidRPr="008327FB">
            <w:rPr>
              <w:rFonts w:cstheme="minorHAnsi"/>
              <w:noProof/>
              <w:sz w:val="24"/>
              <w:szCs w:val="24"/>
              <w:lang w:val="en-US"/>
            </w:rPr>
            <w:t>(Why Sustainable Procurement Is Essential for Resilient Supply Chains, 2025)</w:t>
          </w:r>
          <w:r w:rsidR="006115AB">
            <w:rPr>
              <w:rFonts w:cstheme="minorHAnsi"/>
              <w:bCs/>
              <w:sz w:val="24"/>
              <w:szCs w:val="24"/>
            </w:rPr>
            <w:fldChar w:fldCharType="end"/>
          </w:r>
        </w:sdtContent>
      </w:sdt>
      <w:r w:rsidR="003601B9" w:rsidRPr="003601B9">
        <w:rPr>
          <w:rFonts w:cstheme="minorHAnsi"/>
          <w:bCs/>
          <w:sz w:val="24"/>
          <w:szCs w:val="24"/>
        </w:rPr>
        <w:t>.</w:t>
      </w:r>
      <w:r w:rsidR="00AA680C">
        <w:rPr>
          <w:rFonts w:cstheme="minorHAnsi"/>
          <w:bCs/>
          <w:sz w:val="24"/>
          <w:szCs w:val="24"/>
        </w:rPr>
        <w:t xml:space="preserve"> </w:t>
      </w:r>
    </w:p>
    <w:p w14:paraId="5E678CE7" w14:textId="53C833C4" w:rsidR="00AA680C" w:rsidRPr="00801A15" w:rsidRDefault="00C00480" w:rsidP="009A5A9A">
      <w:pPr>
        <w:spacing w:line="360" w:lineRule="auto"/>
        <w:jc w:val="both"/>
        <w:rPr>
          <w:rFonts w:cstheme="minorHAnsi"/>
          <w:bCs/>
          <w:sz w:val="24"/>
          <w:szCs w:val="24"/>
        </w:rPr>
      </w:pPr>
      <w:r>
        <w:rPr>
          <w:noProof/>
        </w:rPr>
        <mc:AlternateContent>
          <mc:Choice Requires="wps">
            <w:drawing>
              <wp:anchor distT="0" distB="0" distL="114300" distR="114300" simplePos="0" relativeHeight="251691008" behindDoc="0" locked="0" layoutInCell="1" allowOverlap="1" wp14:anchorId="7F877FFC" wp14:editId="4276D03A">
                <wp:simplePos x="0" y="0"/>
                <wp:positionH relativeFrom="margin">
                  <wp:align>center</wp:align>
                </wp:positionH>
                <wp:positionV relativeFrom="paragraph">
                  <wp:posOffset>5269699</wp:posOffset>
                </wp:positionV>
                <wp:extent cx="5692775" cy="635"/>
                <wp:effectExtent l="0" t="0" r="3175" b="0"/>
                <wp:wrapSquare wrapText="bothSides"/>
                <wp:docPr id="2036563575" name="Text Box 1"/>
                <wp:cNvGraphicFramePr/>
                <a:graphic xmlns:a="http://schemas.openxmlformats.org/drawingml/2006/main">
                  <a:graphicData uri="http://schemas.microsoft.com/office/word/2010/wordprocessingShape">
                    <wps:wsp>
                      <wps:cNvSpPr txBox="1"/>
                      <wps:spPr>
                        <a:xfrm>
                          <a:off x="0" y="0"/>
                          <a:ext cx="5692775" cy="635"/>
                        </a:xfrm>
                        <a:prstGeom prst="rect">
                          <a:avLst/>
                        </a:prstGeom>
                        <a:solidFill>
                          <a:prstClr val="white"/>
                        </a:solidFill>
                        <a:ln>
                          <a:noFill/>
                        </a:ln>
                      </wps:spPr>
                      <wps:txbx>
                        <w:txbxContent>
                          <w:p w14:paraId="37492BFC" w14:textId="768F5A79" w:rsidR="008D34E7" w:rsidRPr="0082152C" w:rsidRDefault="008D34E7" w:rsidP="008D34E7">
                            <w:pPr>
                              <w:pStyle w:val="Caption"/>
                              <w:rPr>
                                <w:rFonts w:cstheme="minorHAnsi"/>
                                <w:bCs/>
                                <w:noProof/>
                              </w:rPr>
                            </w:pPr>
                            <w:bookmarkStart w:id="38" w:name="_Toc214254287"/>
                            <w:r>
                              <w:t xml:space="preserve">Figure </w:t>
                            </w:r>
                            <w:fldSimple w:instr=" SEQ Figure \* ARABIC ">
                              <w:r w:rsidR="000A7B00">
                                <w:rPr>
                                  <w:noProof/>
                                </w:rPr>
                                <w:t>6</w:t>
                              </w:r>
                            </w:fldSimple>
                            <w:r>
                              <w:t xml:space="preserve"> </w:t>
                            </w:r>
                            <w:r w:rsidR="005A6CAC">
                              <w:t>–</w:t>
                            </w:r>
                            <w:r>
                              <w:t xml:space="preserve"> </w:t>
                            </w:r>
                            <w:r w:rsidR="005A6CAC">
                              <w:t xml:space="preserve">Percentages of Green Steel from various business’s </w:t>
                            </w:r>
                            <w:sdt>
                              <w:sdtPr>
                                <w:id w:val="-1546364822"/>
                                <w:citation/>
                              </w:sdtPr>
                              <w:sdtContent>
                                <w:r w:rsidR="005A6CAC">
                                  <w:fldChar w:fldCharType="begin"/>
                                </w:r>
                                <w:r w:rsidR="005A6CAC">
                                  <w:instrText xml:space="preserve"> CITATION Jab25 \l 2057 </w:instrText>
                                </w:r>
                                <w:r w:rsidR="005A6CAC">
                                  <w:fldChar w:fldCharType="separate"/>
                                </w:r>
                                <w:r w:rsidR="005A6CAC">
                                  <w:rPr>
                                    <w:noProof/>
                                  </w:rPr>
                                  <w:t>(Jaber, 2025)</w:t>
                                </w:r>
                                <w:r w:rsidR="005A6CAC">
                                  <w:fldChar w:fldCharType="end"/>
                                </w:r>
                              </w:sdtContent>
                            </w:sdt>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877FFC" id="_x0000_s1031" type="#_x0000_t202" style="position:absolute;left:0;text-align:left;margin-left:0;margin-top:414.95pt;width:448.25pt;height:.05pt;z-index:2516910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" stroked="f">
                <v:textbox style="mso-fit-shape-to-text:t" inset="0,0,0,0">
                  <w:txbxContent>
                    <w:p w14:paraId="37492BFC" w14:textId="768F5A79" w:rsidR="008D34E7" w:rsidRPr="0082152C" w:rsidRDefault="008D34E7" w:rsidP="008D34E7">
                      <w:pPr>
                        <w:pStyle w:val="Caption"/>
                        <w:rPr>
                          <w:rFonts w:cstheme="minorHAnsi"/>
                          <w:bCs/>
                          <w:noProof/>
                        </w:rPr>
                      </w:pPr>
                      <w:bookmarkStart w:id="39" w:name="_Toc214254287"/>
                      <w:r>
                        <w:t xml:space="preserve">Figure </w:t>
                      </w:r>
                      <w:fldSimple w:instr=" SEQ Figure \* ARABIC ">
                        <w:r w:rsidR="000A7B00">
                          <w:rPr>
                            <w:noProof/>
                          </w:rPr>
                          <w:t>6</w:t>
                        </w:r>
                      </w:fldSimple>
                      <w:r>
                        <w:t xml:space="preserve"> </w:t>
                      </w:r>
                      <w:r w:rsidR="005A6CAC">
                        <w:t>–</w:t>
                      </w:r>
                      <w:r>
                        <w:t xml:space="preserve"> </w:t>
                      </w:r>
                      <w:r w:rsidR="005A6CAC">
                        <w:t xml:space="preserve">Percentages of Green Steel from various business’s </w:t>
                      </w:r>
                      <w:sdt>
                        <w:sdtPr>
                          <w:id w:val="-1546364822"/>
                          <w:citation/>
                        </w:sdtPr>
                        <w:sdtContent>
                          <w:r w:rsidR="005A6CAC">
                            <w:fldChar w:fldCharType="begin"/>
                          </w:r>
                          <w:r w:rsidR="005A6CAC">
                            <w:instrText xml:space="preserve"> CITATION Jab25 \l 2057 </w:instrText>
                          </w:r>
                          <w:r w:rsidR="005A6CAC">
                            <w:fldChar w:fldCharType="separate"/>
                          </w:r>
                          <w:r w:rsidR="005A6CAC">
                            <w:rPr>
                              <w:noProof/>
                            </w:rPr>
                            <w:t>(Jaber, 2025)</w:t>
                          </w:r>
                          <w:r w:rsidR="005A6CAC">
                            <w:fldChar w:fldCharType="end"/>
                          </w:r>
                        </w:sdtContent>
                      </w:sdt>
                      <w:bookmarkEnd w:id="39"/>
                    </w:p>
                  </w:txbxContent>
                </v:textbox>
                <w10:wrap type="square" anchorx="margin"/>
              </v:shape>
            </w:pict>
          </mc:Fallback>
        </mc:AlternateContent>
      </w:r>
      <w:r>
        <w:rPr>
          <w:rFonts w:cstheme="minorHAnsi"/>
          <w:bCs/>
          <w:noProof/>
          <w:sz w:val="24"/>
          <w:szCs w:val="24"/>
        </w:rPr>
        <w:drawing>
          <wp:anchor distT="0" distB="0" distL="114300" distR="114300" simplePos="0" relativeHeight="251672576" behindDoc="0" locked="0" layoutInCell="1" allowOverlap="1" wp14:anchorId="50C09385" wp14:editId="03F3260D">
            <wp:simplePos x="0" y="0"/>
            <wp:positionH relativeFrom="margin">
              <wp:align>center</wp:align>
            </wp:positionH>
            <wp:positionV relativeFrom="paragraph">
              <wp:posOffset>2589999</wp:posOffset>
            </wp:positionV>
            <wp:extent cx="5530850" cy="2597785"/>
            <wp:effectExtent l="19050" t="19050" r="12700" b="12065"/>
            <wp:wrapSquare wrapText="bothSides"/>
            <wp:docPr id="20637916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791679" name="Picture 6"/>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30850" cy="25977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025F31" w:rsidRPr="00025F31">
        <w:rPr>
          <w:rFonts w:cstheme="minorHAnsi"/>
          <w:bCs/>
          <w:sz w:val="24"/>
          <w:szCs w:val="24"/>
        </w:rPr>
        <w:t>S</w:t>
      </w:r>
      <w:r w:rsidR="00025F31" w:rsidRPr="00801A15">
        <w:rPr>
          <w:rFonts w:cstheme="minorHAnsi"/>
          <w:bCs/>
          <w:sz w:val="24"/>
          <w:szCs w:val="24"/>
        </w:rPr>
        <w:t>ustainable procurement entails sourcing materials with consideration of environmental, social, and governance (ESG) factors, while risk-aware procurement requires the evaluation of suppliers against operational, financial, and geopolitical risks prior to engagement. For Tata Steel, the integration of these principles into the importation of slabs from international suppliers serves to mitigate potential disruptions arising from environmental regulations, ethical concerns, or supplier instability. In addition, such practices reinforce corporate commitments to carbon reduction and responsible sourcing, which are of growing importance in light of increasing customer expectations and regulatory scrutiny of the steel industry’s environmental impact.</w:t>
      </w:r>
      <w:r w:rsidR="00BD052A" w:rsidRPr="00801A15">
        <w:rPr>
          <w:rFonts w:cstheme="minorHAnsi"/>
          <w:bCs/>
          <w:sz w:val="24"/>
          <w:szCs w:val="24"/>
        </w:rPr>
        <w:t xml:space="preserve"> </w:t>
      </w:r>
      <w:sdt>
        <w:sdtPr>
          <w:rPr>
            <w:rFonts w:cstheme="minorHAnsi"/>
            <w:bCs/>
            <w:sz w:val="24"/>
            <w:szCs w:val="24"/>
          </w:rPr>
          <w:id w:val="-1372445859"/>
          <w:citation/>
        </w:sdtPr>
        <w:sdtContent>
          <w:r w:rsidR="00BD052A" w:rsidRPr="00801A15">
            <w:rPr>
              <w:rFonts w:cstheme="minorHAnsi"/>
              <w:bCs/>
              <w:sz w:val="24"/>
              <w:szCs w:val="24"/>
            </w:rPr>
            <w:fldChar w:fldCharType="begin"/>
          </w:r>
          <w:r w:rsidR="00BD052A" w:rsidRPr="00801A15">
            <w:rPr>
              <w:rFonts w:cstheme="minorHAnsi"/>
              <w:bCs/>
              <w:sz w:val="24"/>
              <w:szCs w:val="24"/>
              <w:lang w:val="en-US"/>
            </w:rPr>
            <w:instrText xml:space="preserve"> CITATION Jab25 \l 1033 </w:instrText>
          </w:r>
          <w:r w:rsidR="00BD052A" w:rsidRPr="00801A15">
            <w:rPr>
              <w:rFonts w:cstheme="minorHAnsi"/>
              <w:bCs/>
              <w:sz w:val="24"/>
              <w:szCs w:val="24"/>
            </w:rPr>
            <w:fldChar w:fldCharType="separate"/>
          </w:r>
          <w:r w:rsidR="008327FB" w:rsidRPr="00801A15">
            <w:rPr>
              <w:rFonts w:cstheme="minorHAnsi"/>
              <w:noProof/>
              <w:sz w:val="24"/>
              <w:szCs w:val="24"/>
              <w:lang w:val="en-US"/>
            </w:rPr>
            <w:t>(Jaber, 2025)</w:t>
          </w:r>
          <w:r w:rsidR="00BD052A" w:rsidRPr="00801A15">
            <w:rPr>
              <w:rFonts w:cstheme="minorHAnsi"/>
              <w:bCs/>
              <w:sz w:val="24"/>
              <w:szCs w:val="24"/>
            </w:rPr>
            <w:fldChar w:fldCharType="end"/>
          </w:r>
        </w:sdtContent>
      </w:sdt>
      <w:r w:rsidR="00AA680C" w:rsidRPr="00801A15">
        <w:rPr>
          <w:rFonts w:cstheme="minorHAnsi"/>
          <w:bCs/>
          <w:sz w:val="24"/>
          <w:szCs w:val="24"/>
        </w:rPr>
        <w:t>.</w:t>
      </w:r>
    </w:p>
    <w:p w14:paraId="11602DCD" w14:textId="141E2FF4" w:rsidR="00F12973" w:rsidRPr="00801A15" w:rsidRDefault="00A85D79" w:rsidP="009A5A9A">
      <w:pPr>
        <w:spacing w:line="360" w:lineRule="auto"/>
        <w:jc w:val="both"/>
        <w:rPr>
          <w:rFonts w:cstheme="minorHAnsi"/>
          <w:bCs/>
          <w:sz w:val="24"/>
          <w:szCs w:val="24"/>
        </w:rPr>
      </w:pPr>
      <w:r w:rsidRPr="00801A15">
        <w:rPr>
          <w:rFonts w:cstheme="minorHAnsi"/>
          <w:bCs/>
          <w:sz w:val="24"/>
          <w:szCs w:val="24"/>
        </w:rPr>
        <w:lastRenderedPageBreak/>
        <w:t xml:space="preserve">One key advantage of sustainability-focused procurement is the mitigation of regulatory and reputational risks. By ensuring that suppliers comply with environmental standards and labour regulations, Tata Steel is able to minimise exposure to potential fines, import restrictions, or adverse publicity arising from unethical practices or non-compliance with environmental requirements </w:t>
      </w:r>
      <w:sdt>
        <w:sdtPr>
          <w:rPr>
            <w:rFonts w:cstheme="minorHAnsi"/>
            <w:bCs/>
            <w:sz w:val="24"/>
            <w:szCs w:val="24"/>
          </w:rPr>
          <w:id w:val="264658554"/>
          <w:citation/>
        </w:sdtPr>
        <w:sdtContent>
          <w:r w:rsidR="000952B2" w:rsidRPr="00801A15">
            <w:rPr>
              <w:rFonts w:cstheme="minorHAnsi"/>
              <w:bCs/>
              <w:sz w:val="24"/>
              <w:szCs w:val="24"/>
            </w:rPr>
            <w:fldChar w:fldCharType="begin"/>
          </w:r>
          <w:r w:rsidR="000952B2" w:rsidRPr="00801A15">
            <w:rPr>
              <w:rFonts w:cstheme="minorHAnsi"/>
              <w:bCs/>
              <w:sz w:val="24"/>
              <w:szCs w:val="24"/>
              <w:lang w:val="en-US"/>
            </w:rPr>
            <w:instrText xml:space="preserve"> CITATION Ric25 \l 1033 </w:instrText>
          </w:r>
          <w:r w:rsidR="000952B2" w:rsidRPr="00801A15">
            <w:rPr>
              <w:rFonts w:cstheme="minorHAnsi"/>
              <w:bCs/>
              <w:sz w:val="24"/>
              <w:szCs w:val="24"/>
            </w:rPr>
            <w:fldChar w:fldCharType="separate"/>
          </w:r>
          <w:r w:rsidR="008327FB" w:rsidRPr="00801A15">
            <w:rPr>
              <w:rFonts w:cstheme="minorHAnsi"/>
              <w:noProof/>
              <w:sz w:val="24"/>
              <w:szCs w:val="24"/>
              <w:lang w:val="en-US"/>
            </w:rPr>
            <w:t>(Rice, 2025)</w:t>
          </w:r>
          <w:r w:rsidR="000952B2" w:rsidRPr="00801A15">
            <w:rPr>
              <w:rFonts w:cstheme="minorHAnsi"/>
              <w:bCs/>
              <w:sz w:val="24"/>
              <w:szCs w:val="24"/>
            </w:rPr>
            <w:fldChar w:fldCharType="end"/>
          </w:r>
        </w:sdtContent>
      </w:sdt>
      <w:r w:rsidR="00AA680C" w:rsidRPr="00801A15">
        <w:rPr>
          <w:rFonts w:cstheme="minorHAnsi"/>
          <w:bCs/>
          <w:sz w:val="24"/>
          <w:szCs w:val="24"/>
        </w:rPr>
        <w:t>.</w:t>
      </w:r>
    </w:p>
    <w:p w14:paraId="242834DE" w14:textId="330EC6FD" w:rsidR="00F12973" w:rsidRPr="00801A15" w:rsidRDefault="00E54B66" w:rsidP="009A5A9A">
      <w:pPr>
        <w:spacing w:line="360" w:lineRule="auto"/>
        <w:jc w:val="both"/>
        <w:rPr>
          <w:rFonts w:cstheme="minorHAnsi"/>
          <w:bCs/>
          <w:sz w:val="24"/>
          <w:szCs w:val="24"/>
        </w:rPr>
      </w:pPr>
      <w:r w:rsidRPr="00801A15">
        <w:rPr>
          <w:rFonts w:cstheme="minorHAnsi"/>
          <w:bCs/>
          <w:sz w:val="24"/>
          <w:szCs w:val="24"/>
        </w:rPr>
        <w:t xml:space="preserve">Risk-aware procurement further enables organisations to diversify their supplier base both geographically and operationally, thereby reducing dependence on single points of failure and mitigating vulnerabilities arising from political instability, natural disasters, or factory shutdowns </w:t>
      </w:r>
      <w:sdt>
        <w:sdtPr>
          <w:rPr>
            <w:rFonts w:cstheme="minorHAnsi"/>
            <w:bCs/>
            <w:sz w:val="24"/>
            <w:szCs w:val="24"/>
          </w:rPr>
          <w:id w:val="-11232641"/>
          <w:citation/>
        </w:sdtPr>
        <w:sdtContent>
          <w:r w:rsidR="003F6751" w:rsidRPr="00801A15">
            <w:rPr>
              <w:rFonts w:cstheme="minorHAnsi"/>
              <w:bCs/>
              <w:sz w:val="24"/>
              <w:szCs w:val="24"/>
            </w:rPr>
            <w:fldChar w:fldCharType="begin"/>
          </w:r>
          <w:r w:rsidR="003F6751" w:rsidRPr="00801A15">
            <w:rPr>
              <w:rFonts w:cstheme="minorHAnsi"/>
              <w:bCs/>
              <w:sz w:val="24"/>
              <w:szCs w:val="24"/>
              <w:lang w:val="en-US"/>
            </w:rPr>
            <w:instrText xml:space="preserve">CITATION Tat19 \l 1033 </w:instrText>
          </w:r>
          <w:r w:rsidR="003F6751" w:rsidRPr="00801A15">
            <w:rPr>
              <w:rFonts w:cstheme="minorHAnsi"/>
              <w:bCs/>
              <w:sz w:val="24"/>
              <w:szCs w:val="24"/>
            </w:rPr>
            <w:fldChar w:fldCharType="separate"/>
          </w:r>
          <w:r w:rsidR="008327FB" w:rsidRPr="00801A15">
            <w:rPr>
              <w:rFonts w:cstheme="minorHAnsi"/>
              <w:noProof/>
              <w:sz w:val="24"/>
              <w:szCs w:val="24"/>
              <w:lang w:val="en-US"/>
            </w:rPr>
            <w:t>(Tata Steel, 2019)</w:t>
          </w:r>
          <w:r w:rsidR="003F6751" w:rsidRPr="00801A15">
            <w:rPr>
              <w:rFonts w:cstheme="minorHAnsi"/>
              <w:bCs/>
              <w:sz w:val="24"/>
              <w:szCs w:val="24"/>
            </w:rPr>
            <w:fldChar w:fldCharType="end"/>
          </w:r>
        </w:sdtContent>
      </w:sdt>
      <w:r w:rsidR="00AA680C" w:rsidRPr="00801A15">
        <w:rPr>
          <w:rFonts w:cstheme="minorHAnsi"/>
          <w:bCs/>
          <w:sz w:val="24"/>
          <w:szCs w:val="24"/>
        </w:rPr>
        <w:t xml:space="preserve">. </w:t>
      </w:r>
    </w:p>
    <w:p w14:paraId="0084FE09" w14:textId="294B72B3" w:rsidR="003204A7" w:rsidRPr="00801A15" w:rsidRDefault="00E54B66" w:rsidP="009A5A9A">
      <w:pPr>
        <w:spacing w:line="360" w:lineRule="auto"/>
        <w:jc w:val="both"/>
        <w:rPr>
          <w:rFonts w:cstheme="minorHAnsi"/>
          <w:bCs/>
          <w:sz w:val="24"/>
          <w:szCs w:val="24"/>
        </w:rPr>
      </w:pPr>
      <w:r w:rsidRPr="00801A15">
        <w:rPr>
          <w:rFonts w:cstheme="minorHAnsi"/>
          <w:bCs/>
          <w:sz w:val="24"/>
          <w:szCs w:val="24"/>
        </w:rPr>
        <w:t xml:space="preserve">Examples from other industries illustrate the consequences of disregarding sustainability and risk considerations. An instance of this is the fast-fashion retailer H&amp;M experienced substantial reputational damage when suppliers in Bangladesh and Cambodia were found to be in violation of labour standards, resulting in consumer backlash and heightened scrutiny from non-governmental organisations (NGOs) </w:t>
      </w:r>
      <w:sdt>
        <w:sdtPr>
          <w:rPr>
            <w:rFonts w:cstheme="minorHAnsi"/>
            <w:bCs/>
            <w:sz w:val="24"/>
            <w:szCs w:val="24"/>
          </w:rPr>
          <w:id w:val="-487790213"/>
          <w:citation/>
        </w:sdtPr>
        <w:sdtContent>
          <w:r w:rsidR="00D924E0" w:rsidRPr="00801A15">
            <w:rPr>
              <w:rFonts w:cstheme="minorHAnsi"/>
              <w:bCs/>
              <w:sz w:val="24"/>
              <w:szCs w:val="24"/>
            </w:rPr>
            <w:fldChar w:fldCharType="begin"/>
          </w:r>
          <w:r w:rsidR="00D924E0" w:rsidRPr="00801A15">
            <w:rPr>
              <w:rFonts w:cstheme="minorHAnsi"/>
              <w:bCs/>
              <w:sz w:val="24"/>
              <w:szCs w:val="24"/>
              <w:lang w:val="en-US"/>
            </w:rPr>
            <w:instrText xml:space="preserve"> CITATION Hit18 \l 1033 </w:instrText>
          </w:r>
          <w:r w:rsidR="00D924E0" w:rsidRPr="00801A15">
            <w:rPr>
              <w:rFonts w:cstheme="minorHAnsi"/>
              <w:bCs/>
              <w:sz w:val="24"/>
              <w:szCs w:val="24"/>
            </w:rPr>
            <w:fldChar w:fldCharType="separate"/>
          </w:r>
          <w:r w:rsidR="008327FB" w:rsidRPr="00801A15">
            <w:rPr>
              <w:rFonts w:cstheme="minorHAnsi"/>
              <w:noProof/>
              <w:sz w:val="24"/>
              <w:szCs w:val="24"/>
              <w:lang w:val="en-US"/>
            </w:rPr>
            <w:t>(Hitchings-Hales, 2018)</w:t>
          </w:r>
          <w:r w:rsidR="00D924E0" w:rsidRPr="00801A15">
            <w:rPr>
              <w:rFonts w:cstheme="minorHAnsi"/>
              <w:bCs/>
              <w:sz w:val="24"/>
              <w:szCs w:val="24"/>
            </w:rPr>
            <w:fldChar w:fldCharType="end"/>
          </w:r>
        </w:sdtContent>
      </w:sdt>
      <w:r w:rsidR="00AA680C" w:rsidRPr="00801A15">
        <w:rPr>
          <w:rFonts w:cstheme="minorHAnsi"/>
          <w:bCs/>
          <w:sz w:val="24"/>
          <w:szCs w:val="24"/>
        </w:rPr>
        <w:t xml:space="preserve">. </w:t>
      </w:r>
    </w:p>
    <w:p w14:paraId="1DE0A7DE" w14:textId="1040462D" w:rsidR="003204A7" w:rsidRPr="00801A15" w:rsidRDefault="00E54B66" w:rsidP="009A5A9A">
      <w:pPr>
        <w:spacing w:line="360" w:lineRule="auto"/>
        <w:jc w:val="both"/>
        <w:rPr>
          <w:rFonts w:cstheme="minorHAnsi"/>
          <w:bCs/>
          <w:sz w:val="24"/>
          <w:szCs w:val="24"/>
        </w:rPr>
      </w:pPr>
      <w:r w:rsidRPr="00801A15">
        <w:rPr>
          <w:rFonts w:cstheme="minorHAnsi"/>
          <w:bCs/>
          <w:sz w:val="24"/>
          <w:szCs w:val="24"/>
        </w:rPr>
        <w:t xml:space="preserve">In the electronics sector, Apple experienced supply chain disruptions and reputational criticism arising from the sourcing of cobalt from mines in the Democratic Republic of Congo that were associated with child labour and unsafe working conditions. These issues required urgent remediation measures and the implementation of costly audit processes </w:t>
      </w:r>
      <w:sdt>
        <w:sdtPr>
          <w:rPr>
            <w:rFonts w:cstheme="minorHAnsi"/>
            <w:bCs/>
            <w:sz w:val="24"/>
            <w:szCs w:val="24"/>
          </w:rPr>
          <w:id w:val="1729888260"/>
          <w:citation/>
        </w:sdtPr>
        <w:sdtContent>
          <w:r w:rsidR="000E0381" w:rsidRPr="00801A15">
            <w:rPr>
              <w:rFonts w:cstheme="minorHAnsi"/>
              <w:bCs/>
              <w:sz w:val="24"/>
              <w:szCs w:val="24"/>
            </w:rPr>
            <w:fldChar w:fldCharType="begin"/>
          </w:r>
          <w:r w:rsidR="000E0381" w:rsidRPr="00801A15">
            <w:rPr>
              <w:rFonts w:cstheme="minorHAnsi"/>
              <w:bCs/>
              <w:sz w:val="24"/>
              <w:szCs w:val="24"/>
              <w:lang w:val="en-US"/>
            </w:rPr>
            <w:instrText xml:space="preserve"> CITATION Zen24 \l 1033 </w:instrText>
          </w:r>
          <w:r w:rsidR="000E0381" w:rsidRPr="00801A15">
            <w:rPr>
              <w:rFonts w:cstheme="minorHAnsi"/>
              <w:bCs/>
              <w:sz w:val="24"/>
              <w:szCs w:val="24"/>
            </w:rPr>
            <w:fldChar w:fldCharType="separate"/>
          </w:r>
          <w:r w:rsidR="008327FB" w:rsidRPr="00801A15">
            <w:rPr>
              <w:rFonts w:cstheme="minorHAnsi"/>
              <w:noProof/>
              <w:sz w:val="24"/>
              <w:szCs w:val="24"/>
              <w:lang w:val="en-US"/>
            </w:rPr>
            <w:t>(Zenda, 2024)</w:t>
          </w:r>
          <w:r w:rsidR="000E0381" w:rsidRPr="00801A15">
            <w:rPr>
              <w:rFonts w:cstheme="minorHAnsi"/>
              <w:bCs/>
              <w:sz w:val="24"/>
              <w:szCs w:val="24"/>
            </w:rPr>
            <w:fldChar w:fldCharType="end"/>
          </w:r>
        </w:sdtContent>
      </w:sdt>
      <w:r w:rsidR="00AA680C" w:rsidRPr="00801A15">
        <w:rPr>
          <w:rFonts w:cstheme="minorHAnsi"/>
          <w:bCs/>
          <w:sz w:val="24"/>
          <w:szCs w:val="24"/>
        </w:rPr>
        <w:t xml:space="preserve">. </w:t>
      </w:r>
    </w:p>
    <w:p w14:paraId="2CF9F0D1" w14:textId="0CF05CEE" w:rsidR="00757418" w:rsidRPr="00801A15" w:rsidRDefault="00FA01AD" w:rsidP="00FA01AD">
      <w:pPr>
        <w:spacing w:line="360" w:lineRule="auto"/>
        <w:jc w:val="both"/>
        <w:rPr>
          <w:rFonts w:cstheme="minorHAnsi"/>
          <w:bCs/>
          <w:sz w:val="24"/>
          <w:szCs w:val="24"/>
        </w:rPr>
      </w:pPr>
      <w:r w:rsidRPr="00801A15">
        <w:rPr>
          <w:rFonts w:cstheme="minorHAnsi"/>
          <w:bCs/>
          <w:sz w:val="24"/>
          <w:szCs w:val="24"/>
        </w:rPr>
        <w:t>For Tata Steel Port Talbot, the integration of sustainability and risk-aware practices into the procurement of imported slabs would not only reinforce supply chain resilience but also enhance corporate responsibility, ensure compliance with evolving environmental regulations, and safeguard the company’s reputation. Through the systematic assessment of supplier practices, environmental impact, and operational risks, Tata Steel is able to manage potential disruptions proactively while aligning procurement activities with broader ESG objectives.</w:t>
      </w:r>
    </w:p>
    <w:p w14:paraId="5D976330" w14:textId="77777777" w:rsidR="009A5A9A" w:rsidRDefault="009A5A9A" w:rsidP="003601B9">
      <w:pPr>
        <w:jc w:val="both"/>
        <w:rPr>
          <w:rFonts w:cstheme="minorHAnsi"/>
          <w:bCs/>
          <w:sz w:val="24"/>
          <w:szCs w:val="24"/>
          <w:u w:val="single"/>
        </w:rPr>
      </w:pPr>
    </w:p>
    <w:p w14:paraId="0C929A51" w14:textId="77777777" w:rsidR="009A5A9A" w:rsidRDefault="009A5A9A" w:rsidP="003601B9">
      <w:pPr>
        <w:jc w:val="both"/>
        <w:rPr>
          <w:rFonts w:cstheme="minorHAnsi"/>
          <w:bCs/>
          <w:sz w:val="24"/>
          <w:szCs w:val="24"/>
          <w:u w:val="single"/>
        </w:rPr>
      </w:pPr>
    </w:p>
    <w:p w14:paraId="2D63E320" w14:textId="4012D496" w:rsidR="003601B9" w:rsidRPr="00067A1A" w:rsidRDefault="00067A1A" w:rsidP="00AC7586">
      <w:pPr>
        <w:pStyle w:val="Heading1"/>
        <w:numPr>
          <w:ilvl w:val="0"/>
          <w:numId w:val="4"/>
        </w:numPr>
        <w:spacing w:line="360" w:lineRule="auto"/>
      </w:pPr>
      <w:bookmarkStart w:id="40" w:name="_Toc214299364"/>
      <w:r w:rsidRPr="00067A1A">
        <w:lastRenderedPageBreak/>
        <w:t>Conclusion</w:t>
      </w:r>
      <w:bookmarkEnd w:id="40"/>
    </w:p>
    <w:p w14:paraId="787198C8" w14:textId="77777777" w:rsidR="00FA01AD" w:rsidRPr="00801A15" w:rsidRDefault="00FA01AD" w:rsidP="009A5A9A">
      <w:pPr>
        <w:spacing w:line="360" w:lineRule="auto"/>
        <w:jc w:val="both"/>
        <w:rPr>
          <w:rFonts w:cstheme="minorHAnsi"/>
          <w:bCs/>
          <w:sz w:val="24"/>
          <w:szCs w:val="24"/>
        </w:rPr>
      </w:pPr>
      <w:r w:rsidRPr="00801A15">
        <w:rPr>
          <w:rFonts w:cstheme="minorHAnsi"/>
          <w:bCs/>
          <w:sz w:val="24"/>
          <w:szCs w:val="24"/>
        </w:rPr>
        <w:t>The project has examined the international supply chain for steel slab imports to Tata Steel Port Talbot, emphasising its critical importance during the transition to Electric Arc Furnace (EAF) steelmaking. Through the application of Failure Mode and Effects Analysis (FMEA), several key risks were identified, including supplier shortages, shipping delays, and supplier insolvency, each of which has the potential to cause significant disruption to downstream production.</w:t>
      </w:r>
    </w:p>
    <w:p w14:paraId="6784014E" w14:textId="51F51D72" w:rsidR="00067A1A" w:rsidRPr="00801A15" w:rsidRDefault="00FA01AD" w:rsidP="009A5A9A">
      <w:pPr>
        <w:spacing w:line="360" w:lineRule="auto"/>
        <w:jc w:val="both"/>
        <w:rPr>
          <w:rFonts w:cstheme="minorHAnsi"/>
          <w:bCs/>
          <w:sz w:val="24"/>
          <w:szCs w:val="24"/>
        </w:rPr>
      </w:pPr>
      <w:r w:rsidRPr="00801A15">
        <w:rPr>
          <w:rFonts w:cstheme="minorHAnsi"/>
          <w:bCs/>
          <w:sz w:val="24"/>
          <w:szCs w:val="24"/>
        </w:rPr>
        <w:t>The findings highlight that effective risk management and the development of supply chain resilience are critical to sustaining operational continuity and fulfilling customer demand. The six proposed resilience strategies offer a structured framework designed to enhance supply security</w:t>
      </w:r>
      <w:r w:rsidR="00067A1A" w:rsidRPr="00801A15">
        <w:rPr>
          <w:rFonts w:cstheme="minorHAnsi"/>
          <w:bCs/>
          <w:sz w:val="24"/>
          <w:szCs w:val="24"/>
        </w:rPr>
        <w:t>.</w:t>
      </w:r>
    </w:p>
    <w:p w14:paraId="0B1DDA19" w14:textId="4CFA7124" w:rsidR="00067A1A" w:rsidRPr="00801A15" w:rsidRDefault="00FA01AD" w:rsidP="00FA01AD">
      <w:pPr>
        <w:spacing w:line="360" w:lineRule="auto"/>
        <w:jc w:val="both"/>
        <w:rPr>
          <w:rFonts w:cstheme="minorHAnsi"/>
          <w:bCs/>
          <w:sz w:val="24"/>
          <w:szCs w:val="24"/>
        </w:rPr>
      </w:pPr>
      <w:r w:rsidRPr="00801A15">
        <w:rPr>
          <w:rFonts w:cstheme="minorHAnsi"/>
          <w:bCs/>
          <w:sz w:val="24"/>
          <w:szCs w:val="24"/>
        </w:rPr>
        <w:t>By adopting these measures, Tata Steel can mitigate its exposure to global supply chain volatility and facilitate a stable, efficient, and sustainable transition towards low</w:t>
      </w:r>
      <w:r w:rsidR="00801A15">
        <w:rPr>
          <w:rFonts w:ascii="Cambria Math" w:hAnsi="Cambria Math" w:cs="Cambria Math"/>
          <w:bCs/>
          <w:sz w:val="24"/>
          <w:szCs w:val="24"/>
        </w:rPr>
        <w:t xml:space="preserve"> </w:t>
      </w:r>
      <w:r w:rsidRPr="00801A15">
        <w:rPr>
          <w:rFonts w:cstheme="minorHAnsi"/>
          <w:bCs/>
          <w:sz w:val="24"/>
          <w:szCs w:val="24"/>
        </w:rPr>
        <w:t>carbon steelmaking. The study underscores the significance of proactive planning and continuous improvement as essential mechanisms for securing long</w:t>
      </w:r>
      <w:r w:rsidR="00801A15">
        <w:rPr>
          <w:rFonts w:ascii="Cambria Math" w:hAnsi="Cambria Math" w:cs="Cambria Math"/>
          <w:bCs/>
          <w:sz w:val="24"/>
          <w:szCs w:val="24"/>
        </w:rPr>
        <w:t xml:space="preserve"> </w:t>
      </w:r>
      <w:r w:rsidRPr="00801A15">
        <w:rPr>
          <w:rFonts w:cstheme="minorHAnsi"/>
          <w:bCs/>
          <w:sz w:val="24"/>
          <w:szCs w:val="24"/>
        </w:rPr>
        <w:t>term competitiveness within an increasingly dynamic and uncertain global market.</w:t>
      </w:r>
    </w:p>
    <w:p w14:paraId="3F97C421" w14:textId="77777777" w:rsidR="003601B9" w:rsidRDefault="003601B9" w:rsidP="00AF0188">
      <w:pPr>
        <w:jc w:val="both"/>
        <w:rPr>
          <w:rFonts w:cstheme="minorHAnsi"/>
          <w:bCs/>
          <w:sz w:val="24"/>
          <w:szCs w:val="24"/>
          <w:u w:val="single"/>
          <w:lang w:val="en-US"/>
        </w:rPr>
      </w:pPr>
    </w:p>
    <w:p w14:paraId="625DCF0F" w14:textId="77777777" w:rsidR="00537328" w:rsidRDefault="00537328" w:rsidP="00AF0188">
      <w:pPr>
        <w:jc w:val="both"/>
        <w:rPr>
          <w:rFonts w:cstheme="minorHAnsi"/>
          <w:bCs/>
          <w:sz w:val="24"/>
          <w:szCs w:val="24"/>
          <w:u w:val="single"/>
          <w:lang w:val="en-US"/>
        </w:rPr>
      </w:pPr>
    </w:p>
    <w:p w14:paraId="1E9BC3D6" w14:textId="77777777" w:rsidR="00537328" w:rsidRDefault="00537328" w:rsidP="00AF0188">
      <w:pPr>
        <w:jc w:val="both"/>
        <w:rPr>
          <w:rFonts w:cstheme="minorHAnsi"/>
          <w:bCs/>
          <w:sz w:val="24"/>
          <w:szCs w:val="24"/>
          <w:u w:val="single"/>
          <w:lang w:val="en-US"/>
        </w:rPr>
      </w:pPr>
    </w:p>
    <w:p w14:paraId="2882CC59" w14:textId="77777777" w:rsidR="00537328" w:rsidRDefault="00537328" w:rsidP="00AF0188">
      <w:pPr>
        <w:jc w:val="both"/>
        <w:rPr>
          <w:rFonts w:cstheme="minorHAnsi"/>
          <w:bCs/>
          <w:sz w:val="24"/>
          <w:szCs w:val="24"/>
          <w:u w:val="single"/>
          <w:lang w:val="en-US"/>
        </w:rPr>
      </w:pPr>
    </w:p>
    <w:p w14:paraId="669E0CD7" w14:textId="77777777" w:rsidR="00537328" w:rsidRDefault="00537328" w:rsidP="00AF0188">
      <w:pPr>
        <w:jc w:val="both"/>
        <w:rPr>
          <w:rFonts w:cstheme="minorHAnsi"/>
          <w:bCs/>
          <w:sz w:val="24"/>
          <w:szCs w:val="24"/>
          <w:u w:val="single"/>
          <w:lang w:val="en-US"/>
        </w:rPr>
      </w:pPr>
    </w:p>
    <w:p w14:paraId="63202B05" w14:textId="77777777" w:rsidR="00537328" w:rsidRDefault="00537328" w:rsidP="00AF0188">
      <w:pPr>
        <w:jc w:val="both"/>
        <w:rPr>
          <w:rFonts w:cstheme="minorHAnsi"/>
          <w:bCs/>
          <w:sz w:val="24"/>
          <w:szCs w:val="24"/>
          <w:u w:val="single"/>
          <w:lang w:val="en-US"/>
        </w:rPr>
      </w:pPr>
    </w:p>
    <w:p w14:paraId="1F5F9917" w14:textId="77777777" w:rsidR="00537328" w:rsidRDefault="00537328" w:rsidP="00AF0188">
      <w:pPr>
        <w:jc w:val="both"/>
        <w:rPr>
          <w:rFonts w:cstheme="minorHAnsi"/>
          <w:bCs/>
          <w:sz w:val="24"/>
          <w:szCs w:val="24"/>
          <w:u w:val="single"/>
          <w:lang w:val="en-US"/>
        </w:rPr>
      </w:pPr>
    </w:p>
    <w:p w14:paraId="7FA75398" w14:textId="77777777" w:rsidR="00537328" w:rsidRDefault="00537328" w:rsidP="00AF0188">
      <w:pPr>
        <w:jc w:val="both"/>
        <w:rPr>
          <w:rFonts w:cstheme="minorHAnsi"/>
          <w:bCs/>
          <w:sz w:val="24"/>
          <w:szCs w:val="24"/>
          <w:u w:val="single"/>
          <w:lang w:val="en-US"/>
        </w:rPr>
      </w:pPr>
    </w:p>
    <w:p w14:paraId="2F690381" w14:textId="77777777" w:rsidR="00A16650" w:rsidRDefault="00A16650" w:rsidP="00AF0188">
      <w:pPr>
        <w:jc w:val="both"/>
        <w:rPr>
          <w:rFonts w:cstheme="minorHAnsi"/>
          <w:bCs/>
          <w:sz w:val="24"/>
          <w:szCs w:val="24"/>
          <w:u w:val="single"/>
          <w:lang w:val="en-US"/>
        </w:rPr>
      </w:pPr>
    </w:p>
    <w:p w14:paraId="33BD068F" w14:textId="77777777" w:rsidR="00495CEF" w:rsidRDefault="00495CEF" w:rsidP="00AF0188">
      <w:pPr>
        <w:jc w:val="both"/>
        <w:rPr>
          <w:rFonts w:cstheme="minorHAnsi"/>
          <w:bCs/>
          <w:sz w:val="24"/>
          <w:szCs w:val="24"/>
          <w:u w:val="single"/>
          <w:lang w:val="en-US"/>
        </w:rPr>
      </w:pPr>
    </w:p>
    <w:bookmarkStart w:id="41" w:name="_Toc214299365" w:displacedByCustomXml="next"/>
    <w:sdt>
      <w:sdtPr>
        <w:rPr>
          <w:rFonts w:asciiTheme="minorHAnsi" w:eastAsiaTheme="minorHAnsi" w:hAnsiTheme="minorHAnsi" w:cstheme="minorBidi"/>
          <w:color w:val="auto"/>
          <w:sz w:val="22"/>
          <w:szCs w:val="22"/>
        </w:rPr>
        <w:id w:val="1544487537"/>
        <w:docPartObj>
          <w:docPartGallery w:val="Bibliographies"/>
          <w:docPartUnique/>
        </w:docPartObj>
      </w:sdtPr>
      <w:sdtContent>
        <w:p w14:paraId="33007DB0" w14:textId="60B4BBF7" w:rsidR="00001080" w:rsidRPr="00001080" w:rsidRDefault="00001080">
          <w:pPr>
            <w:pStyle w:val="Heading1"/>
            <w:rPr>
              <w:u w:val="single"/>
            </w:rPr>
          </w:pPr>
          <w:r w:rsidRPr="00001080">
            <w:rPr>
              <w:u w:val="single"/>
            </w:rPr>
            <w:t>References</w:t>
          </w:r>
          <w:bookmarkEnd w:id="41"/>
        </w:p>
        <w:sdt>
          <w:sdtPr>
            <w:id w:val="111145805"/>
            <w:bibliography/>
          </w:sdtPr>
          <w:sdtContent>
            <w:p w14:paraId="3A6E3AA0" w14:textId="77777777" w:rsidR="008327FB" w:rsidRDefault="00001080" w:rsidP="008327FB">
              <w:pPr>
                <w:pStyle w:val="Bibliography"/>
                <w:ind w:left="720" w:hanging="720"/>
                <w:rPr>
                  <w:noProof/>
                  <w:kern w:val="0"/>
                  <w:sz w:val="24"/>
                  <w:szCs w:val="24"/>
                  <w14:ligatures w14:val="none"/>
                </w:rPr>
              </w:pPr>
              <w:r>
                <w:fldChar w:fldCharType="begin"/>
              </w:r>
              <w:r>
                <w:instrText>BIBLIOGRAPHY</w:instrText>
              </w:r>
              <w:r>
                <w:fldChar w:fldCharType="separate"/>
              </w:r>
              <w:r w:rsidR="008327FB">
                <w:rPr>
                  <w:i/>
                  <w:iCs/>
                  <w:noProof/>
                </w:rPr>
                <w:t>“How to Stay Compliant with Customs and Import Rules for Steel Products”</w:t>
              </w:r>
              <w:r w:rsidR="008327FB">
                <w:rPr>
                  <w:noProof/>
                </w:rPr>
                <w:t>. (2025, June 4). Retrieved from EOXS: https://eoxs.com/new_blog/how-to-stay-compliant-with-customs-and-import-rules-for-steel-products/</w:t>
              </w:r>
            </w:p>
            <w:p w14:paraId="31CBDF4C" w14:textId="77777777" w:rsidR="008327FB" w:rsidRDefault="008327FB" w:rsidP="008327FB">
              <w:pPr>
                <w:pStyle w:val="Bibliography"/>
                <w:ind w:left="720" w:hanging="720"/>
                <w:rPr>
                  <w:noProof/>
                </w:rPr>
              </w:pPr>
              <w:r>
                <w:rPr>
                  <w:noProof/>
                </w:rPr>
                <w:t xml:space="preserve">Acosta, G. (2021). Progressive Grocer. </w:t>
              </w:r>
              <w:r>
                <w:rPr>
                  <w:i/>
                  <w:iCs/>
                  <w:noProof/>
                </w:rPr>
                <w:t>How Kroger Beat the Supply Chain Crisis</w:t>
              </w:r>
              <w:r>
                <w:rPr>
                  <w:noProof/>
                </w:rPr>
                <w:t>.</w:t>
              </w:r>
            </w:p>
            <w:p w14:paraId="754231E9" w14:textId="77777777" w:rsidR="008327FB" w:rsidRDefault="008327FB" w:rsidP="008327FB">
              <w:pPr>
                <w:pStyle w:val="Bibliography"/>
                <w:ind w:left="720" w:hanging="720"/>
                <w:rPr>
                  <w:noProof/>
                </w:rPr>
              </w:pPr>
              <w:r>
                <w:rPr>
                  <w:noProof/>
                </w:rPr>
                <w:t xml:space="preserve">Bain, M. (2023). RFID’s ‘Quiet Revolution’ in Retail. </w:t>
              </w:r>
              <w:r>
                <w:rPr>
                  <w:i/>
                  <w:iCs/>
                  <w:noProof/>
                </w:rPr>
                <w:t>RFID’s ‘Quiet Revolution’ in Retail</w:t>
              </w:r>
              <w:r>
                <w:rPr>
                  <w:noProof/>
                </w:rPr>
                <w:t>.</w:t>
              </w:r>
            </w:p>
            <w:p w14:paraId="0781A68B" w14:textId="77777777" w:rsidR="008327FB" w:rsidRDefault="008327FB" w:rsidP="008327FB">
              <w:pPr>
                <w:pStyle w:val="Bibliography"/>
                <w:ind w:left="720" w:hanging="720"/>
                <w:rPr>
                  <w:noProof/>
                </w:rPr>
              </w:pPr>
              <w:r>
                <w:rPr>
                  <w:noProof/>
                </w:rPr>
                <w:t xml:space="preserve">Banghart, M., Babski-Reeves, K., Bian, L., &amp; Strawderman, L. (2018). Subjectivity in Failure Mode Effects Analysis (FMEA) Severity Classification within a Reliability Centered Maintenance (RCM) Context. </w:t>
              </w:r>
              <w:r>
                <w:rPr>
                  <w:i/>
                  <w:iCs/>
                  <w:noProof/>
                </w:rPr>
                <w:t>International Journal of Aviation Aeronautics and Aerospace</w:t>
              </w:r>
              <w:r>
                <w:rPr>
                  <w:noProof/>
                </w:rPr>
                <w:t>.</w:t>
              </w:r>
            </w:p>
            <w:p w14:paraId="13DECF62" w14:textId="77777777" w:rsidR="008327FB" w:rsidRDefault="008327FB" w:rsidP="008327FB">
              <w:pPr>
                <w:pStyle w:val="Bibliography"/>
                <w:ind w:left="720" w:hanging="720"/>
                <w:rPr>
                  <w:noProof/>
                </w:rPr>
              </w:pPr>
              <w:r>
                <w:rPr>
                  <w:noProof/>
                </w:rPr>
                <w:t xml:space="preserve">Cargo, D. (2025). DELIVERING EFFICIENT RAIL. </w:t>
              </w:r>
              <w:r>
                <w:rPr>
                  <w:i/>
                  <w:iCs/>
                  <w:noProof/>
                </w:rPr>
                <w:t>DELIVERING EFFICIENT RAIL</w:t>
              </w:r>
              <w:r>
                <w:rPr>
                  <w:noProof/>
                </w:rPr>
                <w:t>.</w:t>
              </w:r>
            </w:p>
            <w:p w14:paraId="65C68E82" w14:textId="77777777" w:rsidR="008327FB" w:rsidRDefault="008327FB" w:rsidP="008327FB">
              <w:pPr>
                <w:pStyle w:val="Bibliography"/>
                <w:ind w:left="720" w:hanging="720"/>
                <w:rPr>
                  <w:noProof/>
                </w:rPr>
              </w:pPr>
              <w:r>
                <w:rPr>
                  <w:noProof/>
                </w:rPr>
                <w:t xml:space="preserve">Carrico, J. (2024). It's in the supply chain. </w:t>
              </w:r>
              <w:r>
                <w:rPr>
                  <w:i/>
                  <w:iCs/>
                  <w:noProof/>
                </w:rPr>
                <w:t>From Just in time to resilience</w:t>
              </w:r>
              <w:r>
                <w:rPr>
                  <w:noProof/>
                </w:rPr>
                <w:t>.</w:t>
              </w:r>
            </w:p>
            <w:p w14:paraId="0D55FC01" w14:textId="77777777" w:rsidR="008327FB" w:rsidRDefault="008327FB" w:rsidP="008327FB">
              <w:pPr>
                <w:pStyle w:val="Bibliography"/>
                <w:ind w:left="720" w:hanging="720"/>
                <w:rPr>
                  <w:noProof/>
                </w:rPr>
              </w:pPr>
              <w:r>
                <w:rPr>
                  <w:noProof/>
                </w:rPr>
                <w:t xml:space="preserve">Curkovic, S., Scannell, T., &amp; Wagner, B. (2013). Using FMEA for Supply Chain Risk Management . </w:t>
              </w:r>
              <w:r>
                <w:rPr>
                  <w:i/>
                  <w:iCs/>
                  <w:noProof/>
                </w:rPr>
                <w:t xml:space="preserve">Using FMEA for Supply Chain Risk Management </w:t>
              </w:r>
              <w:r>
                <w:rPr>
                  <w:noProof/>
                </w:rPr>
                <w:t>.</w:t>
              </w:r>
            </w:p>
            <w:p w14:paraId="36B15F9F" w14:textId="77777777" w:rsidR="008327FB" w:rsidRDefault="008327FB" w:rsidP="008327FB">
              <w:pPr>
                <w:pStyle w:val="Bibliography"/>
                <w:ind w:left="720" w:hanging="720"/>
                <w:rPr>
                  <w:noProof/>
                </w:rPr>
              </w:pPr>
              <w:r>
                <w:rPr>
                  <w:i/>
                  <w:iCs/>
                  <w:noProof/>
                </w:rPr>
                <w:t>Embracing Digital Transformation: The Role of Technology in Modernising Customs Clearance Processes</w:t>
              </w:r>
              <w:r>
                <w:rPr>
                  <w:noProof/>
                </w:rPr>
                <w:t>. (2025, May 26). Retrieved from WeFreight: https://wefreight.com/digital-customs-clearance-transformation/</w:t>
              </w:r>
            </w:p>
            <w:p w14:paraId="4DAE2583" w14:textId="77777777" w:rsidR="008327FB" w:rsidRDefault="008327FB" w:rsidP="008327FB">
              <w:pPr>
                <w:pStyle w:val="Bibliography"/>
                <w:ind w:left="720" w:hanging="720"/>
                <w:rPr>
                  <w:noProof/>
                </w:rPr>
              </w:pPr>
              <w:r>
                <w:rPr>
                  <w:i/>
                  <w:iCs/>
                  <w:noProof/>
                </w:rPr>
                <w:t>Embracing Digital Transformation: The Role of Technology in Modernising Customs Clearance Processes</w:t>
              </w:r>
              <w:r>
                <w:rPr>
                  <w:noProof/>
                </w:rPr>
                <w:t>. (2025, May 26). Retrieved from WeFreight: https://wefreight.com/digital-customs-clearance-transformation/</w:t>
              </w:r>
            </w:p>
            <w:p w14:paraId="2CE1E8C2" w14:textId="77777777" w:rsidR="008327FB" w:rsidRDefault="008327FB" w:rsidP="008327FB">
              <w:pPr>
                <w:pStyle w:val="Bibliography"/>
                <w:ind w:left="720" w:hanging="720"/>
                <w:rPr>
                  <w:noProof/>
                </w:rPr>
              </w:pPr>
              <w:r>
                <w:rPr>
                  <w:noProof/>
                </w:rPr>
                <w:t xml:space="preserve">Forrest, G. (2025, February 18). </w:t>
              </w:r>
              <w:r>
                <w:rPr>
                  <w:i/>
                  <w:iCs/>
                  <w:noProof/>
                </w:rPr>
                <w:t>FMEA (Failure Mode and Effects Analysis).</w:t>
              </w:r>
              <w:r>
                <w:rPr>
                  <w:noProof/>
                </w:rPr>
                <w:t xml:space="preserve"> Retrieved from ISIXSIGMA: https://www.isixsigma.com/fmea/fmea-quick-guide/</w:t>
              </w:r>
            </w:p>
            <w:p w14:paraId="71AB2FF8" w14:textId="77777777" w:rsidR="008327FB" w:rsidRDefault="008327FB" w:rsidP="008327FB">
              <w:pPr>
                <w:pStyle w:val="Bibliography"/>
                <w:ind w:left="720" w:hanging="720"/>
                <w:rPr>
                  <w:noProof/>
                </w:rPr>
              </w:pPr>
              <w:r>
                <w:rPr>
                  <w:noProof/>
                </w:rPr>
                <w:t xml:space="preserve">Fuel Cell Works. (2025). Fuel Cell Works. </w:t>
              </w:r>
              <w:r>
                <w:rPr>
                  <w:i/>
                  <w:iCs/>
                  <w:noProof/>
                </w:rPr>
                <w:t>Netherlands Pledges €2Bn to Tata Steel for Hydrogen-Driven Decarbonisation of IJmuiden Site</w:t>
              </w:r>
              <w:r>
                <w:rPr>
                  <w:noProof/>
                </w:rPr>
                <w:t>.</w:t>
              </w:r>
            </w:p>
            <w:p w14:paraId="4F5C2099" w14:textId="77777777" w:rsidR="008327FB" w:rsidRDefault="008327FB" w:rsidP="008327FB">
              <w:pPr>
                <w:pStyle w:val="Bibliography"/>
                <w:ind w:left="720" w:hanging="720"/>
                <w:rPr>
                  <w:noProof/>
                </w:rPr>
              </w:pPr>
              <w:r>
                <w:rPr>
                  <w:noProof/>
                </w:rPr>
                <w:t xml:space="preserve">Furukawa, Y., &amp; Alpeyev, P. (2021). Toyota Leads Losses After Renesas Fire Stokes Chip Crunch Fears. </w:t>
              </w:r>
              <w:r>
                <w:rPr>
                  <w:i/>
                  <w:iCs/>
                  <w:noProof/>
                </w:rPr>
                <w:t>Toyota Leads Losses After Renesas Fire Stokes Chip Crunch Fears</w:t>
              </w:r>
              <w:r>
                <w:rPr>
                  <w:noProof/>
                </w:rPr>
                <w:t>.</w:t>
              </w:r>
            </w:p>
            <w:p w14:paraId="1C5B6FD1" w14:textId="77777777" w:rsidR="008327FB" w:rsidRDefault="008327FB" w:rsidP="008327FB">
              <w:pPr>
                <w:pStyle w:val="Bibliography"/>
                <w:ind w:left="720" w:hanging="720"/>
                <w:rPr>
                  <w:noProof/>
                </w:rPr>
              </w:pPr>
              <w:r>
                <w:rPr>
                  <w:noProof/>
                </w:rPr>
                <w:t xml:space="preserve">Gosain, S. (2023). Minimizing Delays, Maximizing Success. </w:t>
              </w:r>
              <w:r>
                <w:rPr>
                  <w:i/>
                  <w:iCs/>
                  <w:noProof/>
                </w:rPr>
                <w:t>Streamlining Customs Compliance in International Logistics</w:t>
              </w:r>
              <w:r>
                <w:rPr>
                  <w:noProof/>
                </w:rPr>
                <w:t>.</w:t>
              </w:r>
            </w:p>
            <w:p w14:paraId="7ADD5D6B" w14:textId="77777777" w:rsidR="008327FB" w:rsidRDefault="008327FB" w:rsidP="008327FB">
              <w:pPr>
                <w:pStyle w:val="Bibliography"/>
                <w:ind w:left="720" w:hanging="720"/>
                <w:rPr>
                  <w:noProof/>
                </w:rPr>
              </w:pPr>
              <w:r>
                <w:rPr>
                  <w:noProof/>
                </w:rPr>
                <w:t xml:space="preserve">Grainger, S. (2024). </w:t>
              </w:r>
              <w:r>
                <w:rPr>
                  <w:i/>
                  <w:iCs/>
                  <w:noProof/>
                </w:rPr>
                <w:t>AIAG/VDA Combined PFMEA Practitioner Training.</w:t>
              </w:r>
              <w:r>
                <w:rPr>
                  <w:noProof/>
                </w:rPr>
                <w:t xml:space="preserve"> </w:t>
              </w:r>
            </w:p>
            <w:p w14:paraId="1955D06D" w14:textId="77777777" w:rsidR="008327FB" w:rsidRDefault="008327FB" w:rsidP="008327FB">
              <w:pPr>
                <w:pStyle w:val="Bibliography"/>
                <w:ind w:left="720" w:hanging="720"/>
                <w:rPr>
                  <w:noProof/>
                </w:rPr>
              </w:pPr>
              <w:r>
                <w:rPr>
                  <w:noProof/>
                </w:rPr>
                <w:t xml:space="preserve">Greenspan, R. (2024). Walmart’s Inventory Management. </w:t>
              </w:r>
              <w:r>
                <w:rPr>
                  <w:i/>
                  <w:iCs/>
                  <w:noProof/>
                </w:rPr>
                <w:t>Walmart’s Inventory Management</w:t>
              </w:r>
              <w:r>
                <w:rPr>
                  <w:noProof/>
                </w:rPr>
                <w:t>.</w:t>
              </w:r>
            </w:p>
            <w:p w14:paraId="0C29B77F" w14:textId="77777777" w:rsidR="008327FB" w:rsidRDefault="008327FB" w:rsidP="008327FB">
              <w:pPr>
                <w:pStyle w:val="Bibliography"/>
                <w:ind w:left="720" w:hanging="720"/>
                <w:rPr>
                  <w:noProof/>
                </w:rPr>
              </w:pPr>
              <w:r>
                <w:rPr>
                  <w:noProof/>
                </w:rPr>
                <w:t xml:space="preserve">Hitchings-Hales, J. (2018). Hundreds of H&amp;M and Gap Factory Workers Abused Daily: Report. </w:t>
              </w:r>
              <w:r>
                <w:rPr>
                  <w:i/>
                  <w:iCs/>
                  <w:noProof/>
                </w:rPr>
                <w:t>Hundreds of H&amp;M and Gap Factory Workers Abused Daily: Report</w:t>
              </w:r>
              <w:r>
                <w:rPr>
                  <w:noProof/>
                </w:rPr>
                <w:t>.</w:t>
              </w:r>
            </w:p>
            <w:p w14:paraId="37714B12" w14:textId="77777777" w:rsidR="008327FB" w:rsidRDefault="008327FB" w:rsidP="008327FB">
              <w:pPr>
                <w:pStyle w:val="Bibliography"/>
                <w:ind w:left="720" w:hanging="720"/>
                <w:rPr>
                  <w:noProof/>
                </w:rPr>
              </w:pPr>
              <w:r>
                <w:rPr>
                  <w:noProof/>
                </w:rPr>
                <w:t xml:space="preserve">Jaber, S. (2025). From Cost to Carbon: Rethinking Sustainable Steel Procurement. </w:t>
              </w:r>
              <w:r>
                <w:rPr>
                  <w:i/>
                  <w:iCs/>
                  <w:noProof/>
                </w:rPr>
                <w:t>From Cost to Carbon: Rethinking Sustainable Steel Procurement</w:t>
              </w:r>
              <w:r>
                <w:rPr>
                  <w:noProof/>
                </w:rPr>
                <w:t>.</w:t>
              </w:r>
            </w:p>
            <w:p w14:paraId="1059B367" w14:textId="77777777" w:rsidR="008327FB" w:rsidRDefault="008327FB" w:rsidP="008327FB">
              <w:pPr>
                <w:pStyle w:val="Bibliography"/>
                <w:ind w:left="720" w:hanging="720"/>
                <w:rPr>
                  <w:noProof/>
                </w:rPr>
              </w:pPr>
              <w:r>
                <w:rPr>
                  <w:noProof/>
                </w:rPr>
                <w:t xml:space="preserve">John, N. (2025). Fortune India. </w:t>
              </w:r>
              <w:r>
                <w:rPr>
                  <w:i/>
                  <w:iCs/>
                  <w:noProof/>
                </w:rPr>
                <w:t>Tata Steel UK’s two-stage transition plan promises historic turnaround</w:t>
              </w:r>
              <w:r>
                <w:rPr>
                  <w:noProof/>
                </w:rPr>
                <w:t>.</w:t>
              </w:r>
            </w:p>
            <w:p w14:paraId="5C44434B" w14:textId="77777777" w:rsidR="008327FB" w:rsidRDefault="008327FB" w:rsidP="008327FB">
              <w:pPr>
                <w:pStyle w:val="Bibliography"/>
                <w:ind w:left="720" w:hanging="720"/>
                <w:rPr>
                  <w:noProof/>
                </w:rPr>
              </w:pPr>
              <w:r>
                <w:rPr>
                  <w:noProof/>
                </w:rPr>
                <w:t xml:space="preserve">Kelion, L. (2021). BBC News. </w:t>
              </w:r>
              <w:r>
                <w:rPr>
                  <w:i/>
                  <w:iCs/>
                  <w:noProof/>
                </w:rPr>
                <w:t>Factory blaze adds to computer chip supply crisis</w:t>
              </w:r>
              <w:r>
                <w:rPr>
                  <w:noProof/>
                </w:rPr>
                <w:t>.</w:t>
              </w:r>
            </w:p>
            <w:p w14:paraId="41D67C06" w14:textId="77777777" w:rsidR="008327FB" w:rsidRDefault="008327FB" w:rsidP="008327FB">
              <w:pPr>
                <w:pStyle w:val="Bibliography"/>
                <w:ind w:left="720" w:hanging="720"/>
                <w:rPr>
                  <w:noProof/>
                </w:rPr>
              </w:pPr>
              <w:r>
                <w:rPr>
                  <w:noProof/>
                </w:rPr>
                <w:lastRenderedPageBreak/>
                <w:t xml:space="preserve">McCracken, M. (2024). McCracken. </w:t>
              </w:r>
              <w:r>
                <w:rPr>
                  <w:i/>
                  <w:iCs/>
                  <w:noProof/>
                </w:rPr>
                <w:t>Safety Stock: The CFO's Secret Weapon for Inventory Risk Management</w:t>
              </w:r>
              <w:r>
                <w:rPr>
                  <w:noProof/>
                </w:rPr>
                <w:t>.</w:t>
              </w:r>
            </w:p>
            <w:p w14:paraId="5C60BB9C" w14:textId="77777777" w:rsidR="008327FB" w:rsidRDefault="008327FB" w:rsidP="008327FB">
              <w:pPr>
                <w:pStyle w:val="Bibliography"/>
                <w:ind w:left="720" w:hanging="720"/>
                <w:rPr>
                  <w:noProof/>
                </w:rPr>
              </w:pPr>
              <w:r>
                <w:rPr>
                  <w:noProof/>
                </w:rPr>
                <w:t xml:space="preserve">Mitratech Staff. (2023, May 22). </w:t>
              </w:r>
              <w:r>
                <w:rPr>
                  <w:i/>
                  <w:iCs/>
                  <w:noProof/>
                </w:rPr>
                <w:t>Mitratech</w:t>
              </w:r>
              <w:r>
                <w:rPr>
                  <w:noProof/>
                </w:rPr>
                <w:t>. Retrieved from Managing Supply Chain Concentration Risk: 4 Strategies to Increase Resilience: https://mitratech.com/resource-hub/blog/supply-chain-concentration-risk/</w:t>
              </w:r>
            </w:p>
            <w:p w14:paraId="060A29D1" w14:textId="77777777" w:rsidR="008327FB" w:rsidRDefault="008327FB" w:rsidP="008327FB">
              <w:pPr>
                <w:pStyle w:val="Bibliography"/>
                <w:ind w:left="720" w:hanging="720"/>
                <w:rPr>
                  <w:noProof/>
                </w:rPr>
              </w:pPr>
              <w:r>
                <w:rPr>
                  <w:noProof/>
                </w:rPr>
                <w:t xml:space="preserve">Morales, J. (2025). UPS reportedly destroying packages due to customs confusion. </w:t>
              </w:r>
              <w:r>
                <w:rPr>
                  <w:i/>
                  <w:iCs/>
                  <w:noProof/>
                </w:rPr>
                <w:t>UPS reportedly destroying packages due to customs confusion</w:t>
              </w:r>
              <w:r>
                <w:rPr>
                  <w:noProof/>
                </w:rPr>
                <w:t>.</w:t>
              </w:r>
            </w:p>
            <w:p w14:paraId="4EF2D7BE" w14:textId="77777777" w:rsidR="008327FB" w:rsidRDefault="008327FB" w:rsidP="008327FB">
              <w:pPr>
                <w:pStyle w:val="Bibliography"/>
                <w:ind w:left="720" w:hanging="720"/>
                <w:rPr>
                  <w:noProof/>
                </w:rPr>
              </w:pPr>
              <w:r>
                <w:rPr>
                  <w:noProof/>
                </w:rPr>
                <w:t xml:space="preserve">Nair, R. (2024). Steel News. </w:t>
              </w:r>
              <w:r>
                <w:rPr>
                  <w:i/>
                  <w:iCs/>
                  <w:noProof/>
                </w:rPr>
                <w:t>Securing our future</w:t>
              </w:r>
              <w:r>
                <w:rPr>
                  <w:noProof/>
                </w:rPr>
                <w:t>, 3.</w:t>
              </w:r>
            </w:p>
            <w:p w14:paraId="554B834A" w14:textId="77777777" w:rsidR="008327FB" w:rsidRDefault="008327FB" w:rsidP="008327FB">
              <w:pPr>
                <w:pStyle w:val="Bibliography"/>
                <w:ind w:left="720" w:hanging="720"/>
                <w:rPr>
                  <w:noProof/>
                </w:rPr>
              </w:pPr>
              <w:r>
                <w:rPr>
                  <w:noProof/>
                </w:rPr>
                <w:t xml:space="preserve">Narendran, T. (2025). Tata Steel. </w:t>
              </w:r>
              <w:r>
                <w:rPr>
                  <w:i/>
                  <w:iCs/>
                  <w:noProof/>
                </w:rPr>
                <w:t>Tata Steel Responsible Supply Chain Policy</w:t>
              </w:r>
              <w:r>
                <w:rPr>
                  <w:noProof/>
                </w:rPr>
                <w:t>.</w:t>
              </w:r>
            </w:p>
            <w:p w14:paraId="4CF8A3F8" w14:textId="77777777" w:rsidR="008327FB" w:rsidRDefault="008327FB" w:rsidP="008327FB">
              <w:pPr>
                <w:pStyle w:val="Bibliography"/>
                <w:ind w:left="720" w:hanging="720"/>
                <w:rPr>
                  <w:noProof/>
                </w:rPr>
              </w:pPr>
              <w:r>
                <w:rPr>
                  <w:noProof/>
                </w:rPr>
                <w:t xml:space="preserve">Pettit, S. (2025). Supply Chain. </w:t>
              </w:r>
              <w:r>
                <w:rPr>
                  <w:i/>
                  <w:iCs/>
                  <w:noProof/>
                </w:rPr>
                <w:t>Buffer Stock: Beyond Just Emergency Reserves</w:t>
              </w:r>
              <w:r>
                <w:rPr>
                  <w:noProof/>
                </w:rPr>
                <w:t>.</w:t>
              </w:r>
            </w:p>
            <w:p w14:paraId="79B7451F" w14:textId="77777777" w:rsidR="008327FB" w:rsidRDefault="008327FB" w:rsidP="008327FB">
              <w:pPr>
                <w:pStyle w:val="Bibliography"/>
                <w:ind w:left="720" w:hanging="720"/>
                <w:rPr>
                  <w:noProof/>
                </w:rPr>
              </w:pPr>
              <w:r>
                <w:rPr>
                  <w:noProof/>
                </w:rPr>
                <w:t xml:space="preserve">Rice, S. (2025). The Role of Sustainable in Supply Chain and Procurement. </w:t>
              </w:r>
              <w:r>
                <w:rPr>
                  <w:i/>
                  <w:iCs/>
                  <w:noProof/>
                </w:rPr>
                <w:t>The Role of Sustainable in Supply Chain and Procurement</w:t>
              </w:r>
              <w:r>
                <w:rPr>
                  <w:noProof/>
                </w:rPr>
                <w:t>.</w:t>
              </w:r>
            </w:p>
            <w:p w14:paraId="06E3A2E9" w14:textId="77777777" w:rsidR="008327FB" w:rsidRDefault="008327FB" w:rsidP="008327FB">
              <w:pPr>
                <w:pStyle w:val="Bibliography"/>
                <w:ind w:left="720" w:hanging="720"/>
                <w:rPr>
                  <w:noProof/>
                </w:rPr>
              </w:pPr>
              <w:r>
                <w:rPr>
                  <w:noProof/>
                </w:rPr>
                <w:t xml:space="preserve">Roseburrough, J. (2025). Supply Chain KPI's. </w:t>
              </w:r>
              <w:r>
                <w:rPr>
                  <w:i/>
                  <w:iCs/>
                  <w:noProof/>
                </w:rPr>
                <w:t>Safety Stock: Definition and why you should have it</w:t>
              </w:r>
              <w:r>
                <w:rPr>
                  <w:noProof/>
                </w:rPr>
                <w:t>.</w:t>
              </w:r>
            </w:p>
            <w:p w14:paraId="65ED86CE" w14:textId="77777777" w:rsidR="008327FB" w:rsidRDefault="008327FB" w:rsidP="008327FB">
              <w:pPr>
                <w:pStyle w:val="Bibliography"/>
                <w:ind w:left="720" w:hanging="720"/>
                <w:rPr>
                  <w:noProof/>
                </w:rPr>
              </w:pPr>
              <w:r>
                <w:rPr>
                  <w:i/>
                  <w:iCs/>
                  <w:noProof/>
                </w:rPr>
                <w:t>SAP</w:t>
              </w:r>
              <w:r>
                <w:rPr>
                  <w:noProof/>
                </w:rPr>
                <w:t>. (2024, September 24). Retrieved from What is supply chain visibility and why is it important?: https://www.sap.com/resources/supply-chain-visibility</w:t>
              </w:r>
            </w:p>
            <w:p w14:paraId="64597595" w14:textId="77777777" w:rsidR="008327FB" w:rsidRDefault="008327FB" w:rsidP="008327FB">
              <w:pPr>
                <w:pStyle w:val="Bibliography"/>
                <w:ind w:left="720" w:hanging="720"/>
                <w:rPr>
                  <w:noProof/>
                </w:rPr>
              </w:pPr>
              <w:r>
                <w:rPr>
                  <w:noProof/>
                </w:rPr>
                <w:t xml:space="preserve">Schmidt, W., &amp; Simchi-Levi, D. (2013). Nissan Motor Company Ltd.: Building Operational. </w:t>
              </w:r>
              <w:r>
                <w:rPr>
                  <w:i/>
                  <w:iCs/>
                  <w:noProof/>
                </w:rPr>
                <w:t>Nissan Motor Company Ltd.: Building Operational</w:t>
              </w:r>
              <w:r>
                <w:rPr>
                  <w:noProof/>
                </w:rPr>
                <w:t>.</w:t>
              </w:r>
            </w:p>
            <w:p w14:paraId="5700D2C8" w14:textId="77777777" w:rsidR="008327FB" w:rsidRDefault="008327FB" w:rsidP="008327FB">
              <w:pPr>
                <w:pStyle w:val="Bibliography"/>
                <w:ind w:left="720" w:hanging="720"/>
                <w:rPr>
                  <w:noProof/>
                </w:rPr>
              </w:pPr>
              <w:r>
                <w:rPr>
                  <w:noProof/>
                </w:rPr>
                <w:t xml:space="preserve">Shane. (2025). MachineMFG. </w:t>
              </w:r>
              <w:r>
                <w:rPr>
                  <w:i/>
                  <w:iCs/>
                  <w:noProof/>
                </w:rPr>
                <w:t>Understanding Market Volatility and Its Impact on Steel Prices and Order Quantities</w:t>
              </w:r>
              <w:r>
                <w:rPr>
                  <w:noProof/>
                </w:rPr>
                <w:t>.</w:t>
              </w:r>
            </w:p>
            <w:p w14:paraId="55A333F2" w14:textId="77777777" w:rsidR="008327FB" w:rsidRDefault="008327FB" w:rsidP="008327FB">
              <w:pPr>
                <w:pStyle w:val="Bibliography"/>
                <w:ind w:left="720" w:hanging="720"/>
                <w:rPr>
                  <w:noProof/>
                </w:rPr>
              </w:pPr>
              <w:r>
                <w:rPr>
                  <w:noProof/>
                </w:rPr>
                <w:t xml:space="preserve">Shebl, N., Franklin, B., &amp; Barber, N. (2012). Failure mode and effects analysis outputs: are they valid? </w:t>
              </w:r>
              <w:r>
                <w:rPr>
                  <w:i/>
                  <w:iCs/>
                  <w:noProof/>
                </w:rPr>
                <w:t>Failure mode and effects analysis outputs: are they valid?</w:t>
              </w:r>
              <w:r>
                <w:rPr>
                  <w:noProof/>
                </w:rPr>
                <w:t xml:space="preserve"> </w:t>
              </w:r>
            </w:p>
            <w:p w14:paraId="710CBD54" w14:textId="77777777" w:rsidR="008327FB" w:rsidRDefault="008327FB" w:rsidP="008327FB">
              <w:pPr>
                <w:pStyle w:val="Bibliography"/>
                <w:ind w:left="720" w:hanging="720"/>
                <w:rPr>
                  <w:noProof/>
                </w:rPr>
              </w:pPr>
              <w:r>
                <w:rPr>
                  <w:noProof/>
                </w:rPr>
                <w:t xml:space="preserve">Snee, R. (2007). Failure Modes and Effects Analysis. </w:t>
              </w:r>
              <w:r>
                <w:rPr>
                  <w:i/>
                  <w:iCs/>
                  <w:noProof/>
                </w:rPr>
                <w:t>Failure Modes and Effects Analysis</w:t>
              </w:r>
              <w:r>
                <w:rPr>
                  <w:noProof/>
                </w:rPr>
                <w:t>.</w:t>
              </w:r>
            </w:p>
            <w:p w14:paraId="10C8275F" w14:textId="77777777" w:rsidR="008327FB" w:rsidRDefault="008327FB" w:rsidP="008327FB">
              <w:pPr>
                <w:pStyle w:val="Bibliography"/>
                <w:ind w:left="720" w:hanging="720"/>
                <w:rPr>
                  <w:noProof/>
                </w:rPr>
              </w:pPr>
              <w:r>
                <w:rPr>
                  <w:noProof/>
                </w:rPr>
                <w:t xml:space="preserve">Tata Steel. (2019). </w:t>
              </w:r>
              <w:r>
                <w:rPr>
                  <w:i/>
                  <w:iCs/>
                  <w:noProof/>
                </w:rPr>
                <w:t>Tata Steel Europe Responsible Procurement Policy.</w:t>
              </w:r>
              <w:r>
                <w:rPr>
                  <w:noProof/>
                </w:rPr>
                <w:t xml:space="preserve"> </w:t>
              </w:r>
            </w:p>
            <w:p w14:paraId="699B11B2" w14:textId="77777777" w:rsidR="008327FB" w:rsidRDefault="008327FB" w:rsidP="008327FB">
              <w:pPr>
                <w:pStyle w:val="Bibliography"/>
                <w:ind w:left="720" w:hanging="720"/>
                <w:rPr>
                  <w:noProof/>
                </w:rPr>
              </w:pPr>
              <w:r>
                <w:rPr>
                  <w:i/>
                  <w:iCs/>
                  <w:noProof/>
                </w:rPr>
                <w:t>Tata Steel</w:t>
              </w:r>
              <w:r>
                <w:rPr>
                  <w:noProof/>
                </w:rPr>
                <w:t>. (2024, January 19). Retrieved from Tata Steel: https://www.tatasteel.com/newsroom/press-releases/india/2024/tata-steel-announces-next-steps-towards-its-ambitious-transformation-from-blast-furnaces-to-green-steelmaking-in-the-uk-and-initiates-statutory-consultation</w:t>
              </w:r>
            </w:p>
            <w:p w14:paraId="7D02BD9D" w14:textId="77777777" w:rsidR="008327FB" w:rsidRDefault="008327FB" w:rsidP="008327FB">
              <w:pPr>
                <w:pStyle w:val="Bibliography"/>
                <w:ind w:left="720" w:hanging="720"/>
                <w:rPr>
                  <w:noProof/>
                </w:rPr>
              </w:pPr>
              <w:r>
                <w:rPr>
                  <w:noProof/>
                </w:rPr>
                <w:t xml:space="preserve">Teuchler, R. (2025). Supplier Collaboration. </w:t>
              </w:r>
              <w:r>
                <w:rPr>
                  <w:i/>
                  <w:iCs/>
                  <w:noProof/>
                </w:rPr>
                <w:t>Understanding Supplier Collaboration: Importance, Benefits, and Strategies</w:t>
              </w:r>
              <w:r>
                <w:rPr>
                  <w:noProof/>
                </w:rPr>
                <w:t>.</w:t>
              </w:r>
            </w:p>
            <w:p w14:paraId="6D313C13" w14:textId="77777777" w:rsidR="008327FB" w:rsidRDefault="008327FB" w:rsidP="008327FB">
              <w:pPr>
                <w:pStyle w:val="Bibliography"/>
                <w:ind w:left="720" w:hanging="720"/>
                <w:rPr>
                  <w:noProof/>
                </w:rPr>
              </w:pPr>
              <w:r>
                <w:rPr>
                  <w:noProof/>
                </w:rPr>
                <w:t xml:space="preserve">Thomas, R. (2021). SupplyChain Digital. </w:t>
              </w:r>
              <w:r>
                <w:rPr>
                  <w:i/>
                  <w:iCs/>
                  <w:noProof/>
                </w:rPr>
                <w:t>Chip maker Renesas shifts production following factory fire</w:t>
              </w:r>
              <w:r>
                <w:rPr>
                  <w:noProof/>
                </w:rPr>
                <w:t>.</w:t>
              </w:r>
            </w:p>
            <w:p w14:paraId="14DA917A" w14:textId="77777777" w:rsidR="008327FB" w:rsidRDefault="008327FB" w:rsidP="008327FB">
              <w:pPr>
                <w:pStyle w:val="Bibliography"/>
                <w:ind w:left="720" w:hanging="720"/>
                <w:rPr>
                  <w:noProof/>
                </w:rPr>
              </w:pPr>
              <w:r>
                <w:rPr>
                  <w:noProof/>
                </w:rPr>
                <w:t xml:space="preserve">To, S. (2023). Forbes. </w:t>
              </w:r>
              <w:r>
                <w:rPr>
                  <w:i/>
                  <w:iCs/>
                  <w:noProof/>
                </w:rPr>
                <w:t>Toyota Production Malfunction: Just-In-Time For Supply Chain Upgrade</w:t>
              </w:r>
              <w:r>
                <w:rPr>
                  <w:noProof/>
                </w:rPr>
                <w:t>.</w:t>
              </w:r>
            </w:p>
            <w:p w14:paraId="200BB071" w14:textId="77777777" w:rsidR="008327FB" w:rsidRDefault="008327FB" w:rsidP="008327FB">
              <w:pPr>
                <w:pStyle w:val="Bibliography"/>
                <w:ind w:left="720" w:hanging="720"/>
                <w:rPr>
                  <w:noProof/>
                </w:rPr>
              </w:pPr>
              <w:r>
                <w:rPr>
                  <w:i/>
                  <w:iCs/>
                  <w:noProof/>
                </w:rPr>
                <w:t>UN Trade &amp; Development</w:t>
              </w:r>
              <w:r>
                <w:rPr>
                  <w:noProof/>
                </w:rPr>
                <w:t>. (2024, October 22). Retrieved from High freight rates strain global supply chains, threaten vulnerable economies: https://unctad.org/news/high-freight-rates-strain-global-supply-chains-threaten-vulnerable-economies</w:t>
              </w:r>
            </w:p>
            <w:p w14:paraId="7B7C9E96" w14:textId="77777777" w:rsidR="008327FB" w:rsidRDefault="008327FB" w:rsidP="008327FB">
              <w:pPr>
                <w:pStyle w:val="Bibliography"/>
                <w:ind w:left="720" w:hanging="720"/>
                <w:rPr>
                  <w:noProof/>
                </w:rPr>
              </w:pPr>
              <w:r>
                <w:rPr>
                  <w:noProof/>
                </w:rPr>
                <w:t xml:space="preserve">Verma, P. (2025). Understanding Supply Chain Visibility and Its Importance. </w:t>
              </w:r>
              <w:r>
                <w:rPr>
                  <w:i/>
                  <w:iCs/>
                  <w:noProof/>
                </w:rPr>
                <w:t>Understanding Supply Chain Visibility and Its Importance</w:t>
              </w:r>
              <w:r>
                <w:rPr>
                  <w:noProof/>
                </w:rPr>
                <w:t>.</w:t>
              </w:r>
            </w:p>
            <w:p w14:paraId="76DCE1E4" w14:textId="77777777" w:rsidR="008327FB" w:rsidRDefault="008327FB" w:rsidP="008327FB">
              <w:pPr>
                <w:pStyle w:val="Bibliography"/>
                <w:ind w:left="720" w:hanging="720"/>
                <w:rPr>
                  <w:noProof/>
                </w:rPr>
              </w:pPr>
              <w:r>
                <w:rPr>
                  <w:noProof/>
                </w:rPr>
                <w:lastRenderedPageBreak/>
                <w:t xml:space="preserve">Walton, S. (2024). World Cargo News. </w:t>
              </w:r>
              <w:r>
                <w:rPr>
                  <w:i/>
                  <w:iCs/>
                  <w:noProof/>
                </w:rPr>
                <w:t>DB Cargo Polska and DB Cargo UK collaborate on rolling stock repurposing</w:t>
              </w:r>
              <w:r>
                <w:rPr>
                  <w:noProof/>
                </w:rPr>
                <w:t>.</w:t>
              </w:r>
            </w:p>
            <w:p w14:paraId="12D2DC58" w14:textId="77777777" w:rsidR="008327FB" w:rsidRDefault="008327FB" w:rsidP="008327FB">
              <w:pPr>
                <w:pStyle w:val="Bibliography"/>
                <w:ind w:left="720" w:hanging="720"/>
                <w:rPr>
                  <w:noProof/>
                </w:rPr>
              </w:pPr>
              <w:r>
                <w:rPr>
                  <w:noProof/>
                </w:rPr>
                <w:t xml:space="preserve">Weiss, A. (2023). Supply Chain Management. </w:t>
              </w:r>
              <w:r>
                <w:rPr>
                  <w:i/>
                  <w:iCs/>
                  <w:noProof/>
                </w:rPr>
                <w:t>Benefits of Collaborative Planning in Supply Chain Management</w:t>
              </w:r>
              <w:r>
                <w:rPr>
                  <w:noProof/>
                </w:rPr>
                <w:t>.</w:t>
              </w:r>
            </w:p>
            <w:p w14:paraId="3E5BE0D4" w14:textId="77777777" w:rsidR="008327FB" w:rsidRDefault="008327FB" w:rsidP="008327FB">
              <w:pPr>
                <w:pStyle w:val="Bibliography"/>
                <w:ind w:left="720" w:hanging="720"/>
                <w:rPr>
                  <w:noProof/>
                </w:rPr>
              </w:pPr>
              <w:r>
                <w:rPr>
                  <w:i/>
                  <w:iCs/>
                  <w:noProof/>
                </w:rPr>
                <w:t>Why Sustainable Procurement Is Essential for Resilient Supply Chains</w:t>
              </w:r>
              <w:r>
                <w:rPr>
                  <w:noProof/>
                </w:rPr>
                <w:t>. (2025, October 6). Retrieved from ISO20400: https://www.iso20400.org/why-sustainable-procurement-is-essential-for-resilient-supply-chains/</w:t>
              </w:r>
            </w:p>
            <w:p w14:paraId="65CCFC15" w14:textId="77777777" w:rsidR="008327FB" w:rsidRDefault="008327FB" w:rsidP="008327FB">
              <w:pPr>
                <w:pStyle w:val="Bibliography"/>
                <w:ind w:left="720" w:hanging="720"/>
                <w:rPr>
                  <w:noProof/>
                </w:rPr>
              </w:pPr>
              <w:r>
                <w:rPr>
                  <w:noProof/>
                </w:rPr>
                <w:t xml:space="preserve">Zenda, C. (2024). Congo takes on Apple. </w:t>
              </w:r>
              <w:r>
                <w:rPr>
                  <w:i/>
                  <w:iCs/>
                  <w:noProof/>
                </w:rPr>
                <w:t>Congo takes on Apple</w:t>
              </w:r>
              <w:r>
                <w:rPr>
                  <w:noProof/>
                </w:rPr>
                <w:t>.</w:t>
              </w:r>
            </w:p>
            <w:p w14:paraId="2D91BE13" w14:textId="77777777" w:rsidR="00E56A10" w:rsidRDefault="00001080" w:rsidP="00722CA8">
              <w:pPr>
                <w:rPr>
                  <w:b/>
                  <w:bCs/>
                </w:rPr>
              </w:pPr>
              <w:r>
                <w:rPr>
                  <w:b/>
                  <w:bCs/>
                </w:rPr>
                <w:fldChar w:fldCharType="end"/>
              </w:r>
            </w:p>
          </w:sdtContent>
        </w:sdt>
      </w:sdtContent>
    </w:sdt>
    <w:p w14:paraId="5F5C1806" w14:textId="033CC778" w:rsidR="00722CA8" w:rsidRPr="00537328" w:rsidRDefault="00722CA8" w:rsidP="00E56A10">
      <w:pPr>
        <w:rPr>
          <w:lang w:val="en-US"/>
        </w:rPr>
      </w:pPr>
    </w:p>
    <w:sectPr w:rsidR="00722CA8" w:rsidRPr="00537328" w:rsidSect="00FA06D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0BA40" w14:textId="77777777" w:rsidR="004B4192" w:rsidRDefault="004B4192" w:rsidP="00C140F6">
      <w:pPr>
        <w:spacing w:after="0" w:line="240" w:lineRule="auto"/>
      </w:pPr>
      <w:r>
        <w:separator/>
      </w:r>
    </w:p>
  </w:endnote>
  <w:endnote w:type="continuationSeparator" w:id="0">
    <w:p w14:paraId="6CFFA593" w14:textId="77777777" w:rsidR="004B4192" w:rsidRDefault="004B4192" w:rsidP="00C14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954A9" w14:textId="77777777" w:rsidR="00C140F6" w:rsidRPr="00C140F6" w:rsidRDefault="00C140F6">
    <w:pPr>
      <w:pStyle w:val="Footer"/>
      <w:jc w:val="center"/>
      <w:rPr>
        <w:caps/>
      </w:rPr>
    </w:pPr>
    <w:r w:rsidRPr="00C140F6">
      <w:rPr>
        <w:caps/>
      </w:rPr>
      <w:fldChar w:fldCharType="begin"/>
    </w:r>
    <w:r w:rsidRPr="00C140F6">
      <w:rPr>
        <w:caps/>
      </w:rPr>
      <w:instrText>PAGE   \* MERGEFORMAT</w:instrText>
    </w:r>
    <w:r w:rsidRPr="00C140F6">
      <w:rPr>
        <w:caps/>
      </w:rPr>
      <w:fldChar w:fldCharType="separate"/>
    </w:r>
    <w:r w:rsidRPr="00C140F6">
      <w:rPr>
        <w:caps/>
      </w:rPr>
      <w:t>2</w:t>
    </w:r>
    <w:r w:rsidRPr="00C140F6">
      <w:rPr>
        <w:caps/>
      </w:rPr>
      <w:fldChar w:fldCharType="end"/>
    </w:r>
  </w:p>
  <w:p w14:paraId="477AAA93" w14:textId="77777777" w:rsidR="00C140F6" w:rsidRDefault="00C140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64427" w14:textId="77777777" w:rsidR="004B4192" w:rsidRDefault="004B4192" w:rsidP="00C140F6">
      <w:pPr>
        <w:spacing w:after="0" w:line="240" w:lineRule="auto"/>
      </w:pPr>
      <w:r>
        <w:separator/>
      </w:r>
    </w:p>
  </w:footnote>
  <w:footnote w:type="continuationSeparator" w:id="0">
    <w:p w14:paraId="519BCC02" w14:textId="77777777" w:rsidR="004B4192" w:rsidRDefault="004B4192" w:rsidP="00C140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4F14B" w14:textId="612A97CB" w:rsidR="00C140F6" w:rsidRPr="00C140F6" w:rsidRDefault="00C140F6" w:rsidP="00C140F6">
    <w:pPr>
      <w:pStyle w:val="Header"/>
      <w:jc w:val="both"/>
    </w:pPr>
    <w:r w:rsidRPr="00C140F6">
      <w:t>ACHA7024</w:t>
    </w:r>
    <w:r>
      <w:t xml:space="preserve">                         </w:t>
    </w:r>
    <w:r w:rsidRPr="00C140F6">
      <w:t>Procurement &amp; Supply Chain Management</w:t>
    </w:r>
    <w:r w:rsidRPr="00C140F6">
      <w:tab/>
      <w:t>Alex Greenslade – 2216245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80110"/>
    <w:multiLevelType w:val="multilevel"/>
    <w:tmpl w:val="DFF45334"/>
    <w:styleLink w:val="CurrentList1"/>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0B84D49"/>
    <w:multiLevelType w:val="multilevel"/>
    <w:tmpl w:val="63AAE452"/>
    <w:lvl w:ilvl="0">
      <w:start w:val="4"/>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0F4404E"/>
    <w:multiLevelType w:val="multilevel"/>
    <w:tmpl w:val="3D8485F6"/>
    <w:lvl w:ilvl="0">
      <w:start w:val="4"/>
      <w:numFmt w:val="decimal"/>
      <w:lvlText w:val="%1"/>
      <w:lvlJc w:val="left"/>
      <w:pPr>
        <w:ind w:left="405" w:hanging="40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8136592"/>
    <w:multiLevelType w:val="hybridMultilevel"/>
    <w:tmpl w:val="8E3E6E2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271795"/>
    <w:multiLevelType w:val="multilevel"/>
    <w:tmpl w:val="A7108C60"/>
    <w:lvl w:ilvl="0">
      <w:start w:val="4"/>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6A712EE1"/>
    <w:multiLevelType w:val="multilevel"/>
    <w:tmpl w:val="4F1A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C37205"/>
    <w:multiLevelType w:val="multilevel"/>
    <w:tmpl w:val="DFF4533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7FDD2870"/>
    <w:multiLevelType w:val="hybridMultilevel"/>
    <w:tmpl w:val="835CD2AE"/>
    <w:lvl w:ilvl="0" w:tplc="0809000F">
      <w:start w:val="4"/>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3585695">
    <w:abstractNumId w:val="5"/>
  </w:num>
  <w:num w:numId="2" w16cid:durableId="1516844514">
    <w:abstractNumId w:val="6"/>
  </w:num>
  <w:num w:numId="3" w16cid:durableId="1824931597">
    <w:abstractNumId w:val="0"/>
  </w:num>
  <w:num w:numId="4" w16cid:durableId="307519552">
    <w:abstractNumId w:val="7"/>
  </w:num>
  <w:num w:numId="5" w16cid:durableId="1307277585">
    <w:abstractNumId w:val="3"/>
  </w:num>
  <w:num w:numId="6" w16cid:durableId="1635989818">
    <w:abstractNumId w:val="4"/>
  </w:num>
  <w:num w:numId="7" w16cid:durableId="1577742505">
    <w:abstractNumId w:val="2"/>
  </w:num>
  <w:num w:numId="8" w16cid:durableId="1828277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FE5"/>
    <w:rsid w:val="00001080"/>
    <w:rsid w:val="00001BFA"/>
    <w:rsid w:val="000032A9"/>
    <w:rsid w:val="00004171"/>
    <w:rsid w:val="00025F31"/>
    <w:rsid w:val="00034872"/>
    <w:rsid w:val="00036C1F"/>
    <w:rsid w:val="00037B06"/>
    <w:rsid w:val="000421AC"/>
    <w:rsid w:val="000430A3"/>
    <w:rsid w:val="00052322"/>
    <w:rsid w:val="000525BB"/>
    <w:rsid w:val="000529AD"/>
    <w:rsid w:val="000652BC"/>
    <w:rsid w:val="00067A1A"/>
    <w:rsid w:val="00073947"/>
    <w:rsid w:val="0007500E"/>
    <w:rsid w:val="00081903"/>
    <w:rsid w:val="00084A2C"/>
    <w:rsid w:val="000952B2"/>
    <w:rsid w:val="00095CCE"/>
    <w:rsid w:val="000A2966"/>
    <w:rsid w:val="000A6F80"/>
    <w:rsid w:val="000A7B00"/>
    <w:rsid w:val="000B342F"/>
    <w:rsid w:val="000C0DBB"/>
    <w:rsid w:val="000C57FB"/>
    <w:rsid w:val="000C5CAB"/>
    <w:rsid w:val="000D110C"/>
    <w:rsid w:val="000D7B69"/>
    <w:rsid w:val="000E0381"/>
    <w:rsid w:val="000F06D6"/>
    <w:rsid w:val="00107684"/>
    <w:rsid w:val="001111B1"/>
    <w:rsid w:val="00131616"/>
    <w:rsid w:val="00133BFA"/>
    <w:rsid w:val="00143818"/>
    <w:rsid w:val="00145EFD"/>
    <w:rsid w:val="001472E7"/>
    <w:rsid w:val="001521BF"/>
    <w:rsid w:val="00155CCA"/>
    <w:rsid w:val="001755A2"/>
    <w:rsid w:val="00182874"/>
    <w:rsid w:val="00183D5D"/>
    <w:rsid w:val="00184456"/>
    <w:rsid w:val="00193E71"/>
    <w:rsid w:val="001A4D3E"/>
    <w:rsid w:val="001B02C7"/>
    <w:rsid w:val="001C0079"/>
    <w:rsid w:val="001C2541"/>
    <w:rsid w:val="001C7845"/>
    <w:rsid w:val="0020065D"/>
    <w:rsid w:val="00201A5D"/>
    <w:rsid w:val="00203EE9"/>
    <w:rsid w:val="00205028"/>
    <w:rsid w:val="00206FAD"/>
    <w:rsid w:val="00207F00"/>
    <w:rsid w:val="00213360"/>
    <w:rsid w:val="002174B9"/>
    <w:rsid w:val="00226F06"/>
    <w:rsid w:val="00227306"/>
    <w:rsid w:val="00242C2E"/>
    <w:rsid w:val="00245A0B"/>
    <w:rsid w:val="00246475"/>
    <w:rsid w:val="00247CEA"/>
    <w:rsid w:val="00250658"/>
    <w:rsid w:val="0025213D"/>
    <w:rsid w:val="00267F8C"/>
    <w:rsid w:val="00270CC8"/>
    <w:rsid w:val="00275EBA"/>
    <w:rsid w:val="00275FCF"/>
    <w:rsid w:val="0027627D"/>
    <w:rsid w:val="00280525"/>
    <w:rsid w:val="00282C92"/>
    <w:rsid w:val="0028516C"/>
    <w:rsid w:val="00287075"/>
    <w:rsid w:val="002923D4"/>
    <w:rsid w:val="0029410A"/>
    <w:rsid w:val="002A14C0"/>
    <w:rsid w:val="002B51D3"/>
    <w:rsid w:val="002B618F"/>
    <w:rsid w:val="002C39D2"/>
    <w:rsid w:val="002C56B8"/>
    <w:rsid w:val="002C7874"/>
    <w:rsid w:val="002D529B"/>
    <w:rsid w:val="002D5C82"/>
    <w:rsid w:val="002E2697"/>
    <w:rsid w:val="002E4186"/>
    <w:rsid w:val="002E4453"/>
    <w:rsid w:val="00301876"/>
    <w:rsid w:val="003078F6"/>
    <w:rsid w:val="003103CA"/>
    <w:rsid w:val="0031110A"/>
    <w:rsid w:val="00313E2D"/>
    <w:rsid w:val="00314AE4"/>
    <w:rsid w:val="00320316"/>
    <w:rsid w:val="003204A7"/>
    <w:rsid w:val="003300D8"/>
    <w:rsid w:val="00335B19"/>
    <w:rsid w:val="003360FA"/>
    <w:rsid w:val="0034766B"/>
    <w:rsid w:val="003476AB"/>
    <w:rsid w:val="00347A7A"/>
    <w:rsid w:val="003601B9"/>
    <w:rsid w:val="003648B1"/>
    <w:rsid w:val="00366F39"/>
    <w:rsid w:val="00367E69"/>
    <w:rsid w:val="00371965"/>
    <w:rsid w:val="00372089"/>
    <w:rsid w:val="003812FE"/>
    <w:rsid w:val="0038498A"/>
    <w:rsid w:val="0039128A"/>
    <w:rsid w:val="003A7F4E"/>
    <w:rsid w:val="003B0E9C"/>
    <w:rsid w:val="003C09BE"/>
    <w:rsid w:val="003D2201"/>
    <w:rsid w:val="003F1E36"/>
    <w:rsid w:val="003F3AE2"/>
    <w:rsid w:val="003F6751"/>
    <w:rsid w:val="00400A0F"/>
    <w:rsid w:val="00407811"/>
    <w:rsid w:val="00410FEA"/>
    <w:rsid w:val="00431448"/>
    <w:rsid w:val="0044059D"/>
    <w:rsid w:val="0044701C"/>
    <w:rsid w:val="00450884"/>
    <w:rsid w:val="00454E59"/>
    <w:rsid w:val="0045730D"/>
    <w:rsid w:val="00460EBE"/>
    <w:rsid w:val="00463091"/>
    <w:rsid w:val="00482274"/>
    <w:rsid w:val="00482542"/>
    <w:rsid w:val="00484D23"/>
    <w:rsid w:val="00485CD9"/>
    <w:rsid w:val="00491524"/>
    <w:rsid w:val="00491AB3"/>
    <w:rsid w:val="00495CEF"/>
    <w:rsid w:val="00497630"/>
    <w:rsid w:val="00497D81"/>
    <w:rsid w:val="004A76EC"/>
    <w:rsid w:val="004B4192"/>
    <w:rsid w:val="004C1F07"/>
    <w:rsid w:val="004C3D3F"/>
    <w:rsid w:val="004E312A"/>
    <w:rsid w:val="004F0B0F"/>
    <w:rsid w:val="004F53BB"/>
    <w:rsid w:val="0050146B"/>
    <w:rsid w:val="0050353D"/>
    <w:rsid w:val="00521C73"/>
    <w:rsid w:val="0052532C"/>
    <w:rsid w:val="00532776"/>
    <w:rsid w:val="00534721"/>
    <w:rsid w:val="00537328"/>
    <w:rsid w:val="005373E0"/>
    <w:rsid w:val="0054047A"/>
    <w:rsid w:val="00555B3A"/>
    <w:rsid w:val="005568D1"/>
    <w:rsid w:val="0056228D"/>
    <w:rsid w:val="00574046"/>
    <w:rsid w:val="005877F8"/>
    <w:rsid w:val="005A0857"/>
    <w:rsid w:val="005A6CAC"/>
    <w:rsid w:val="005B07AA"/>
    <w:rsid w:val="005B58DE"/>
    <w:rsid w:val="005C5709"/>
    <w:rsid w:val="005D2AD4"/>
    <w:rsid w:val="005D7A6E"/>
    <w:rsid w:val="005E5919"/>
    <w:rsid w:val="005E5F18"/>
    <w:rsid w:val="005F3682"/>
    <w:rsid w:val="005F6C19"/>
    <w:rsid w:val="00607BBA"/>
    <w:rsid w:val="006115AB"/>
    <w:rsid w:val="006121F3"/>
    <w:rsid w:val="006204E2"/>
    <w:rsid w:val="00627A1F"/>
    <w:rsid w:val="00633376"/>
    <w:rsid w:val="00635E67"/>
    <w:rsid w:val="006479DC"/>
    <w:rsid w:val="00654599"/>
    <w:rsid w:val="00674CC6"/>
    <w:rsid w:val="0067768F"/>
    <w:rsid w:val="00685FBB"/>
    <w:rsid w:val="00691AD7"/>
    <w:rsid w:val="006A716E"/>
    <w:rsid w:val="006B01DB"/>
    <w:rsid w:val="006C0779"/>
    <w:rsid w:val="006C5D57"/>
    <w:rsid w:val="006D2934"/>
    <w:rsid w:val="006D3587"/>
    <w:rsid w:val="006D36F3"/>
    <w:rsid w:val="006D4289"/>
    <w:rsid w:val="006D651A"/>
    <w:rsid w:val="006E4E6F"/>
    <w:rsid w:val="006E6177"/>
    <w:rsid w:val="006E62BC"/>
    <w:rsid w:val="00703B6F"/>
    <w:rsid w:val="00707CFA"/>
    <w:rsid w:val="0071775C"/>
    <w:rsid w:val="00722CA8"/>
    <w:rsid w:val="007241B7"/>
    <w:rsid w:val="00731EA5"/>
    <w:rsid w:val="00732401"/>
    <w:rsid w:val="00741646"/>
    <w:rsid w:val="007557D4"/>
    <w:rsid w:val="00757418"/>
    <w:rsid w:val="00761604"/>
    <w:rsid w:val="00763C21"/>
    <w:rsid w:val="00786E22"/>
    <w:rsid w:val="00790B0E"/>
    <w:rsid w:val="007A4570"/>
    <w:rsid w:val="007A54D8"/>
    <w:rsid w:val="007D51D1"/>
    <w:rsid w:val="007E6119"/>
    <w:rsid w:val="007E6D7D"/>
    <w:rsid w:val="007F0FD6"/>
    <w:rsid w:val="00801587"/>
    <w:rsid w:val="00801A15"/>
    <w:rsid w:val="0080327F"/>
    <w:rsid w:val="00806CEC"/>
    <w:rsid w:val="00812F59"/>
    <w:rsid w:val="00824D20"/>
    <w:rsid w:val="00827C8D"/>
    <w:rsid w:val="0083198D"/>
    <w:rsid w:val="008327FB"/>
    <w:rsid w:val="00834B18"/>
    <w:rsid w:val="0084102F"/>
    <w:rsid w:val="00857608"/>
    <w:rsid w:val="008603E9"/>
    <w:rsid w:val="0086367D"/>
    <w:rsid w:val="00863C65"/>
    <w:rsid w:val="0087087A"/>
    <w:rsid w:val="00884BDA"/>
    <w:rsid w:val="00890CB5"/>
    <w:rsid w:val="00896767"/>
    <w:rsid w:val="00897012"/>
    <w:rsid w:val="008A3718"/>
    <w:rsid w:val="008B6EB8"/>
    <w:rsid w:val="008C022D"/>
    <w:rsid w:val="008D34E7"/>
    <w:rsid w:val="00902B30"/>
    <w:rsid w:val="009035D9"/>
    <w:rsid w:val="009124E3"/>
    <w:rsid w:val="0091308D"/>
    <w:rsid w:val="0093005C"/>
    <w:rsid w:val="00936C4E"/>
    <w:rsid w:val="0093778F"/>
    <w:rsid w:val="00944DE4"/>
    <w:rsid w:val="00947C79"/>
    <w:rsid w:val="00964BAD"/>
    <w:rsid w:val="00970BDF"/>
    <w:rsid w:val="00971857"/>
    <w:rsid w:val="009726A8"/>
    <w:rsid w:val="00975B8B"/>
    <w:rsid w:val="009939EB"/>
    <w:rsid w:val="009952C8"/>
    <w:rsid w:val="009A4DFE"/>
    <w:rsid w:val="009A5A9A"/>
    <w:rsid w:val="009B5A1E"/>
    <w:rsid w:val="009D0034"/>
    <w:rsid w:val="009D6008"/>
    <w:rsid w:val="009D6A6B"/>
    <w:rsid w:val="009D73DD"/>
    <w:rsid w:val="009E2288"/>
    <w:rsid w:val="009F1ADB"/>
    <w:rsid w:val="009F245D"/>
    <w:rsid w:val="00A01760"/>
    <w:rsid w:val="00A0450E"/>
    <w:rsid w:val="00A04B9E"/>
    <w:rsid w:val="00A16650"/>
    <w:rsid w:val="00A21D10"/>
    <w:rsid w:val="00A32164"/>
    <w:rsid w:val="00A40325"/>
    <w:rsid w:val="00A42410"/>
    <w:rsid w:val="00A51AE3"/>
    <w:rsid w:val="00A5459D"/>
    <w:rsid w:val="00A75DD4"/>
    <w:rsid w:val="00A76EFE"/>
    <w:rsid w:val="00A8125A"/>
    <w:rsid w:val="00A81AA2"/>
    <w:rsid w:val="00A85360"/>
    <w:rsid w:val="00A85D79"/>
    <w:rsid w:val="00A85E65"/>
    <w:rsid w:val="00A86F1F"/>
    <w:rsid w:val="00A92003"/>
    <w:rsid w:val="00AA5AFA"/>
    <w:rsid w:val="00AA680C"/>
    <w:rsid w:val="00AB05B9"/>
    <w:rsid w:val="00AB2D9E"/>
    <w:rsid w:val="00AC7586"/>
    <w:rsid w:val="00AC7F52"/>
    <w:rsid w:val="00AE07FF"/>
    <w:rsid w:val="00AE17B2"/>
    <w:rsid w:val="00AF0188"/>
    <w:rsid w:val="00AF4C5B"/>
    <w:rsid w:val="00B02FE5"/>
    <w:rsid w:val="00B06D70"/>
    <w:rsid w:val="00B1444E"/>
    <w:rsid w:val="00B3015C"/>
    <w:rsid w:val="00B33F45"/>
    <w:rsid w:val="00B36137"/>
    <w:rsid w:val="00B7585D"/>
    <w:rsid w:val="00B7588F"/>
    <w:rsid w:val="00B87409"/>
    <w:rsid w:val="00B9295A"/>
    <w:rsid w:val="00BA670A"/>
    <w:rsid w:val="00BB0187"/>
    <w:rsid w:val="00BB0D17"/>
    <w:rsid w:val="00BB301F"/>
    <w:rsid w:val="00BB3580"/>
    <w:rsid w:val="00BC2472"/>
    <w:rsid w:val="00BD052A"/>
    <w:rsid w:val="00C00480"/>
    <w:rsid w:val="00C1046E"/>
    <w:rsid w:val="00C1270F"/>
    <w:rsid w:val="00C140F6"/>
    <w:rsid w:val="00C148C6"/>
    <w:rsid w:val="00C31E69"/>
    <w:rsid w:val="00C42ED3"/>
    <w:rsid w:val="00C502FA"/>
    <w:rsid w:val="00C52B2C"/>
    <w:rsid w:val="00C607DC"/>
    <w:rsid w:val="00C6313D"/>
    <w:rsid w:val="00C6412F"/>
    <w:rsid w:val="00C873F2"/>
    <w:rsid w:val="00C912AB"/>
    <w:rsid w:val="00C94FB0"/>
    <w:rsid w:val="00C97DEB"/>
    <w:rsid w:val="00CA292D"/>
    <w:rsid w:val="00CB280D"/>
    <w:rsid w:val="00CB7A31"/>
    <w:rsid w:val="00CD26AE"/>
    <w:rsid w:val="00CD4F65"/>
    <w:rsid w:val="00CE0B63"/>
    <w:rsid w:val="00CF3A06"/>
    <w:rsid w:val="00D010DB"/>
    <w:rsid w:val="00D027A5"/>
    <w:rsid w:val="00D127BA"/>
    <w:rsid w:val="00D13697"/>
    <w:rsid w:val="00D136BE"/>
    <w:rsid w:val="00D20708"/>
    <w:rsid w:val="00D25984"/>
    <w:rsid w:val="00D35935"/>
    <w:rsid w:val="00D417C6"/>
    <w:rsid w:val="00D459EC"/>
    <w:rsid w:val="00D52F1D"/>
    <w:rsid w:val="00D5305E"/>
    <w:rsid w:val="00D5341A"/>
    <w:rsid w:val="00D56A55"/>
    <w:rsid w:val="00D570BB"/>
    <w:rsid w:val="00D6187E"/>
    <w:rsid w:val="00D7471C"/>
    <w:rsid w:val="00D75DA4"/>
    <w:rsid w:val="00D839F0"/>
    <w:rsid w:val="00D83E60"/>
    <w:rsid w:val="00D85DA9"/>
    <w:rsid w:val="00D924E0"/>
    <w:rsid w:val="00D9467D"/>
    <w:rsid w:val="00D96B16"/>
    <w:rsid w:val="00DB59B4"/>
    <w:rsid w:val="00DB5B58"/>
    <w:rsid w:val="00E0486C"/>
    <w:rsid w:val="00E06207"/>
    <w:rsid w:val="00E13D88"/>
    <w:rsid w:val="00E326ED"/>
    <w:rsid w:val="00E40C8E"/>
    <w:rsid w:val="00E42C97"/>
    <w:rsid w:val="00E451C0"/>
    <w:rsid w:val="00E54B66"/>
    <w:rsid w:val="00E56A10"/>
    <w:rsid w:val="00E60C46"/>
    <w:rsid w:val="00E67744"/>
    <w:rsid w:val="00E74326"/>
    <w:rsid w:val="00E8464C"/>
    <w:rsid w:val="00E873DD"/>
    <w:rsid w:val="00E9208D"/>
    <w:rsid w:val="00E946E2"/>
    <w:rsid w:val="00E94A03"/>
    <w:rsid w:val="00E96617"/>
    <w:rsid w:val="00EA29A3"/>
    <w:rsid w:val="00EA5EB3"/>
    <w:rsid w:val="00EB0787"/>
    <w:rsid w:val="00EB29E3"/>
    <w:rsid w:val="00EB3A8A"/>
    <w:rsid w:val="00ED2385"/>
    <w:rsid w:val="00EE0517"/>
    <w:rsid w:val="00EE196C"/>
    <w:rsid w:val="00EE5805"/>
    <w:rsid w:val="00EE58F3"/>
    <w:rsid w:val="00EE5F77"/>
    <w:rsid w:val="00EF0A1A"/>
    <w:rsid w:val="00EF6E3D"/>
    <w:rsid w:val="00F05596"/>
    <w:rsid w:val="00F12973"/>
    <w:rsid w:val="00F152E7"/>
    <w:rsid w:val="00F173D0"/>
    <w:rsid w:val="00F27160"/>
    <w:rsid w:val="00F35201"/>
    <w:rsid w:val="00F35842"/>
    <w:rsid w:val="00F418A1"/>
    <w:rsid w:val="00F537D4"/>
    <w:rsid w:val="00F53F3A"/>
    <w:rsid w:val="00F57BE7"/>
    <w:rsid w:val="00F61053"/>
    <w:rsid w:val="00F6146E"/>
    <w:rsid w:val="00F62F0F"/>
    <w:rsid w:val="00F70990"/>
    <w:rsid w:val="00F8097A"/>
    <w:rsid w:val="00F83EDF"/>
    <w:rsid w:val="00F85C8B"/>
    <w:rsid w:val="00F87AAF"/>
    <w:rsid w:val="00F87AF3"/>
    <w:rsid w:val="00F970DA"/>
    <w:rsid w:val="00FA01AD"/>
    <w:rsid w:val="00FA06D2"/>
    <w:rsid w:val="00FB32C0"/>
    <w:rsid w:val="00FC2373"/>
    <w:rsid w:val="00FF6240"/>
    <w:rsid w:val="00FF7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9AA0D"/>
  <w15:chartTrackingRefBased/>
  <w15:docId w15:val="{F3D8EE7F-2BD6-419E-BAFE-976568385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F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02F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02F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02F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2F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2F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2F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2F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2F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F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02F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02FE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02F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2F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2F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2F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2F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2FE5"/>
    <w:rPr>
      <w:rFonts w:eastAsiaTheme="majorEastAsia" w:cstheme="majorBidi"/>
      <w:color w:val="272727" w:themeColor="text1" w:themeTint="D8"/>
    </w:rPr>
  </w:style>
  <w:style w:type="paragraph" w:styleId="Title">
    <w:name w:val="Title"/>
    <w:basedOn w:val="Normal"/>
    <w:next w:val="Normal"/>
    <w:link w:val="TitleChar"/>
    <w:uiPriority w:val="10"/>
    <w:qFormat/>
    <w:rsid w:val="00B02F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2F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2F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2F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2FE5"/>
    <w:pPr>
      <w:spacing w:before="160"/>
      <w:jc w:val="center"/>
    </w:pPr>
    <w:rPr>
      <w:i/>
      <w:iCs/>
      <w:color w:val="404040" w:themeColor="text1" w:themeTint="BF"/>
    </w:rPr>
  </w:style>
  <w:style w:type="character" w:customStyle="1" w:styleId="QuoteChar">
    <w:name w:val="Quote Char"/>
    <w:basedOn w:val="DefaultParagraphFont"/>
    <w:link w:val="Quote"/>
    <w:uiPriority w:val="29"/>
    <w:rsid w:val="00B02FE5"/>
    <w:rPr>
      <w:i/>
      <w:iCs/>
      <w:color w:val="404040" w:themeColor="text1" w:themeTint="BF"/>
    </w:rPr>
  </w:style>
  <w:style w:type="paragraph" w:styleId="ListParagraph">
    <w:name w:val="List Paragraph"/>
    <w:basedOn w:val="Normal"/>
    <w:uiPriority w:val="34"/>
    <w:qFormat/>
    <w:rsid w:val="00B02FE5"/>
    <w:pPr>
      <w:ind w:left="720"/>
      <w:contextualSpacing/>
    </w:pPr>
  </w:style>
  <w:style w:type="character" w:styleId="IntenseEmphasis">
    <w:name w:val="Intense Emphasis"/>
    <w:basedOn w:val="DefaultParagraphFont"/>
    <w:uiPriority w:val="21"/>
    <w:qFormat/>
    <w:rsid w:val="00B02FE5"/>
    <w:rPr>
      <w:i/>
      <w:iCs/>
      <w:color w:val="2F5496" w:themeColor="accent1" w:themeShade="BF"/>
    </w:rPr>
  </w:style>
  <w:style w:type="paragraph" w:styleId="IntenseQuote">
    <w:name w:val="Intense Quote"/>
    <w:basedOn w:val="Normal"/>
    <w:next w:val="Normal"/>
    <w:link w:val="IntenseQuoteChar"/>
    <w:uiPriority w:val="30"/>
    <w:qFormat/>
    <w:rsid w:val="00B02F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2FE5"/>
    <w:rPr>
      <w:i/>
      <w:iCs/>
      <w:color w:val="2F5496" w:themeColor="accent1" w:themeShade="BF"/>
    </w:rPr>
  </w:style>
  <w:style w:type="character" w:styleId="IntenseReference">
    <w:name w:val="Intense Reference"/>
    <w:basedOn w:val="DefaultParagraphFont"/>
    <w:uiPriority w:val="32"/>
    <w:qFormat/>
    <w:rsid w:val="00B02FE5"/>
    <w:rPr>
      <w:b/>
      <w:bCs/>
      <w:smallCaps/>
      <w:color w:val="2F5496" w:themeColor="accent1" w:themeShade="BF"/>
      <w:spacing w:val="5"/>
    </w:rPr>
  </w:style>
  <w:style w:type="table" w:styleId="TableGrid">
    <w:name w:val="Table Grid"/>
    <w:basedOn w:val="TableNormal"/>
    <w:uiPriority w:val="39"/>
    <w:rsid w:val="00410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01080"/>
  </w:style>
  <w:style w:type="paragraph" w:styleId="TOCHeading">
    <w:name w:val="TOC Heading"/>
    <w:basedOn w:val="Heading1"/>
    <w:next w:val="Normal"/>
    <w:uiPriority w:val="39"/>
    <w:unhideWhenUsed/>
    <w:qFormat/>
    <w:rsid w:val="002923D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923D4"/>
    <w:pPr>
      <w:spacing w:after="100"/>
    </w:pPr>
  </w:style>
  <w:style w:type="paragraph" w:styleId="TOC2">
    <w:name w:val="toc 2"/>
    <w:basedOn w:val="Normal"/>
    <w:next w:val="Normal"/>
    <w:autoRedefine/>
    <w:uiPriority w:val="39"/>
    <w:unhideWhenUsed/>
    <w:rsid w:val="002923D4"/>
    <w:pPr>
      <w:spacing w:after="100"/>
      <w:ind w:left="220"/>
    </w:pPr>
  </w:style>
  <w:style w:type="character" w:styleId="Hyperlink">
    <w:name w:val="Hyperlink"/>
    <w:basedOn w:val="DefaultParagraphFont"/>
    <w:uiPriority w:val="99"/>
    <w:unhideWhenUsed/>
    <w:rsid w:val="002923D4"/>
    <w:rPr>
      <w:color w:val="0563C1" w:themeColor="hyperlink"/>
      <w:u w:val="single"/>
    </w:rPr>
  </w:style>
  <w:style w:type="numbering" w:customStyle="1" w:styleId="CurrentList1">
    <w:name w:val="Current List1"/>
    <w:uiPriority w:val="99"/>
    <w:rsid w:val="003300D8"/>
    <w:pPr>
      <w:numPr>
        <w:numId w:val="3"/>
      </w:numPr>
    </w:pPr>
  </w:style>
  <w:style w:type="paragraph" w:styleId="Header">
    <w:name w:val="header"/>
    <w:basedOn w:val="Normal"/>
    <w:link w:val="HeaderChar"/>
    <w:uiPriority w:val="99"/>
    <w:unhideWhenUsed/>
    <w:rsid w:val="00C140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0F6"/>
  </w:style>
  <w:style w:type="paragraph" w:styleId="Footer">
    <w:name w:val="footer"/>
    <w:basedOn w:val="Normal"/>
    <w:link w:val="FooterChar"/>
    <w:uiPriority w:val="99"/>
    <w:unhideWhenUsed/>
    <w:rsid w:val="00C140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0F6"/>
  </w:style>
  <w:style w:type="paragraph" w:styleId="NormalWeb">
    <w:name w:val="Normal (Web)"/>
    <w:basedOn w:val="Normal"/>
    <w:uiPriority w:val="99"/>
    <w:semiHidden/>
    <w:unhideWhenUsed/>
    <w:rsid w:val="00F87AAF"/>
    <w:rPr>
      <w:rFonts w:ascii="Times New Roman" w:hAnsi="Times New Roman" w:cs="Times New Roman"/>
      <w:sz w:val="24"/>
      <w:szCs w:val="24"/>
    </w:rPr>
  </w:style>
  <w:style w:type="character" w:styleId="PlaceholderText">
    <w:name w:val="Placeholder Text"/>
    <w:basedOn w:val="DefaultParagraphFont"/>
    <w:uiPriority w:val="99"/>
    <w:semiHidden/>
    <w:rsid w:val="00275EBA"/>
    <w:rPr>
      <w:color w:val="666666"/>
    </w:rPr>
  </w:style>
  <w:style w:type="paragraph" w:styleId="Caption">
    <w:name w:val="caption"/>
    <w:basedOn w:val="Normal"/>
    <w:next w:val="Normal"/>
    <w:uiPriority w:val="35"/>
    <w:unhideWhenUsed/>
    <w:qFormat/>
    <w:rsid w:val="00275EB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F0FD6"/>
    <w:pPr>
      <w:spacing w:after="0"/>
    </w:pPr>
  </w:style>
  <w:style w:type="character" w:styleId="FollowedHyperlink">
    <w:name w:val="FollowedHyperlink"/>
    <w:basedOn w:val="DefaultParagraphFont"/>
    <w:uiPriority w:val="99"/>
    <w:semiHidden/>
    <w:unhideWhenUsed/>
    <w:rsid w:val="004F0B0F"/>
    <w:rPr>
      <w:color w:val="800080"/>
      <w:u w:val="single"/>
    </w:rPr>
  </w:style>
  <w:style w:type="paragraph" w:customStyle="1" w:styleId="msonormal0">
    <w:name w:val="msonormal"/>
    <w:basedOn w:val="Normal"/>
    <w:rsid w:val="004F0B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8">
    <w:name w:val="xl68"/>
    <w:basedOn w:val="Normal"/>
    <w:rsid w:val="004F0B0F"/>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en-GB"/>
      <w14:ligatures w14:val="none"/>
    </w:rPr>
  </w:style>
  <w:style w:type="paragraph" w:customStyle="1" w:styleId="xl69">
    <w:name w:val="xl69"/>
    <w:basedOn w:val="Normal"/>
    <w:rsid w:val="004F0B0F"/>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70">
    <w:name w:val="xl70"/>
    <w:basedOn w:val="Normal"/>
    <w:rsid w:val="004F0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n-GB"/>
      <w14:ligatures w14:val="none"/>
    </w:rPr>
  </w:style>
  <w:style w:type="paragraph" w:customStyle="1" w:styleId="xl71">
    <w:name w:val="xl71"/>
    <w:basedOn w:val="Normal"/>
    <w:rsid w:val="004F0B0F"/>
    <w:pPr>
      <w:pBdr>
        <w:top w:val="single" w:sz="8" w:space="0" w:color="auto"/>
        <w:left w:val="single" w:sz="8" w:space="0" w:color="auto"/>
      </w:pBdr>
      <w:spacing w:before="100" w:beforeAutospacing="1" w:after="100" w:afterAutospacing="1" w:line="240" w:lineRule="auto"/>
      <w:jc w:val="center"/>
      <w:textAlignment w:val="center"/>
    </w:pPr>
    <w:rPr>
      <w:rFonts w:ascii="Calibri" w:eastAsia="Times New Roman" w:hAnsi="Calibri" w:cs="Calibri"/>
      <w:b/>
      <w:bCs/>
      <w:kern w:val="0"/>
      <w:sz w:val="24"/>
      <w:szCs w:val="24"/>
      <w:lang w:eastAsia="en-GB"/>
      <w14:ligatures w14:val="none"/>
    </w:rPr>
  </w:style>
  <w:style w:type="paragraph" w:customStyle="1" w:styleId="xl72">
    <w:name w:val="xl72"/>
    <w:basedOn w:val="Normal"/>
    <w:rsid w:val="004F0B0F"/>
    <w:pPr>
      <w:pBdr>
        <w:top w:val="single" w:sz="8" w:space="0" w:color="auto"/>
      </w:pBdr>
      <w:spacing w:before="100" w:beforeAutospacing="1" w:after="100" w:afterAutospacing="1" w:line="240" w:lineRule="auto"/>
      <w:textAlignment w:val="center"/>
    </w:pPr>
    <w:rPr>
      <w:rFonts w:ascii="Calibri" w:eastAsia="Times New Roman" w:hAnsi="Calibri" w:cs="Calibri"/>
      <w:b/>
      <w:bCs/>
      <w:kern w:val="0"/>
      <w:sz w:val="24"/>
      <w:szCs w:val="24"/>
      <w:lang w:eastAsia="en-GB"/>
      <w14:ligatures w14:val="none"/>
    </w:rPr>
  </w:style>
  <w:style w:type="paragraph" w:customStyle="1" w:styleId="xl73">
    <w:name w:val="xl73"/>
    <w:basedOn w:val="Normal"/>
    <w:rsid w:val="004F0B0F"/>
    <w:pPr>
      <w:pBdr>
        <w:top w:val="single" w:sz="8" w:space="0" w:color="auto"/>
        <w:bottom w:val="single" w:sz="8" w:space="0" w:color="auto"/>
      </w:pBdr>
      <w:spacing w:before="100" w:beforeAutospacing="1" w:after="100" w:afterAutospacing="1" w:line="240" w:lineRule="auto"/>
      <w:textAlignment w:val="center"/>
    </w:pPr>
    <w:rPr>
      <w:rFonts w:ascii="Calibri" w:eastAsia="Times New Roman" w:hAnsi="Calibri" w:cs="Calibri"/>
      <w:b/>
      <w:bCs/>
      <w:kern w:val="0"/>
      <w:sz w:val="24"/>
      <w:szCs w:val="24"/>
      <w:lang w:eastAsia="en-GB"/>
      <w14:ligatures w14:val="none"/>
    </w:rPr>
  </w:style>
  <w:style w:type="paragraph" w:customStyle="1" w:styleId="xl74">
    <w:name w:val="xl74"/>
    <w:basedOn w:val="Normal"/>
    <w:rsid w:val="004F0B0F"/>
    <w:pPr>
      <w:pBdr>
        <w:top w:val="single" w:sz="8" w:space="0" w:color="auto"/>
        <w:bottom w:val="single" w:sz="8" w:space="0" w:color="auto"/>
      </w:pBdr>
      <w:spacing w:before="100" w:beforeAutospacing="1" w:after="100" w:afterAutospacing="1" w:line="240" w:lineRule="auto"/>
      <w:textAlignment w:val="center"/>
    </w:pPr>
    <w:rPr>
      <w:rFonts w:ascii="Calibri" w:eastAsia="Times New Roman" w:hAnsi="Calibri" w:cs="Calibri"/>
      <w:b/>
      <w:bCs/>
      <w:kern w:val="0"/>
      <w:sz w:val="24"/>
      <w:szCs w:val="24"/>
      <w:lang w:eastAsia="en-GB"/>
      <w14:ligatures w14:val="none"/>
    </w:rPr>
  </w:style>
  <w:style w:type="paragraph" w:customStyle="1" w:styleId="xl75">
    <w:name w:val="xl75"/>
    <w:basedOn w:val="Normal"/>
    <w:rsid w:val="004F0B0F"/>
    <w:pPr>
      <w:pBdr>
        <w:top w:val="single" w:sz="8" w:space="0" w:color="auto"/>
        <w:right w:val="single" w:sz="4" w:space="0" w:color="auto"/>
      </w:pBdr>
      <w:spacing w:before="100" w:beforeAutospacing="1" w:after="100" w:afterAutospacing="1" w:line="240" w:lineRule="auto"/>
      <w:textAlignment w:val="center"/>
    </w:pPr>
    <w:rPr>
      <w:rFonts w:ascii="Calibri" w:eastAsia="Times New Roman" w:hAnsi="Calibri" w:cs="Calibri"/>
      <w:b/>
      <w:bCs/>
      <w:kern w:val="0"/>
      <w:sz w:val="24"/>
      <w:szCs w:val="24"/>
      <w:lang w:eastAsia="en-GB"/>
      <w14:ligatures w14:val="none"/>
    </w:rPr>
  </w:style>
  <w:style w:type="paragraph" w:customStyle="1" w:styleId="xl76">
    <w:name w:val="xl76"/>
    <w:basedOn w:val="Normal"/>
    <w:rsid w:val="004F0B0F"/>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b/>
      <w:bCs/>
      <w:kern w:val="0"/>
      <w:sz w:val="24"/>
      <w:szCs w:val="24"/>
      <w:lang w:eastAsia="en-GB"/>
      <w14:ligatures w14:val="none"/>
    </w:rPr>
  </w:style>
  <w:style w:type="paragraph" w:customStyle="1" w:styleId="xl77">
    <w:name w:val="xl77"/>
    <w:basedOn w:val="Normal"/>
    <w:rsid w:val="004F0B0F"/>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78">
    <w:name w:val="xl78"/>
    <w:basedOn w:val="Normal"/>
    <w:rsid w:val="004F0B0F"/>
    <w:pPr>
      <w:pBdr>
        <w:top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kern w:val="0"/>
      <w:sz w:val="24"/>
      <w:szCs w:val="24"/>
      <w:lang w:eastAsia="en-GB"/>
      <w14:ligatures w14:val="none"/>
    </w:rPr>
  </w:style>
  <w:style w:type="paragraph" w:customStyle="1" w:styleId="xl79">
    <w:name w:val="xl79"/>
    <w:basedOn w:val="Normal"/>
    <w:rsid w:val="004F0B0F"/>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kern w:val="0"/>
      <w:sz w:val="24"/>
      <w:szCs w:val="24"/>
      <w:lang w:eastAsia="en-GB"/>
      <w14:ligatures w14:val="none"/>
    </w:rPr>
  </w:style>
  <w:style w:type="paragraph" w:customStyle="1" w:styleId="xl80">
    <w:name w:val="xl80"/>
    <w:basedOn w:val="Normal"/>
    <w:rsid w:val="004F0B0F"/>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kern w:val="0"/>
      <w:sz w:val="24"/>
      <w:szCs w:val="24"/>
      <w:lang w:eastAsia="en-GB"/>
      <w14:ligatures w14:val="none"/>
    </w:rPr>
  </w:style>
  <w:style w:type="paragraph" w:customStyle="1" w:styleId="xl81">
    <w:name w:val="xl81"/>
    <w:basedOn w:val="Normal"/>
    <w:rsid w:val="004F0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82">
    <w:name w:val="xl82"/>
    <w:basedOn w:val="Normal"/>
    <w:rsid w:val="004F0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83">
    <w:name w:val="xl83"/>
    <w:basedOn w:val="Normal"/>
    <w:rsid w:val="004F0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84">
    <w:name w:val="xl84"/>
    <w:basedOn w:val="Normal"/>
    <w:rsid w:val="004F0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kern w:val="0"/>
      <w:sz w:val="24"/>
      <w:szCs w:val="24"/>
      <w:lang w:eastAsia="en-GB"/>
      <w14:ligatures w14:val="none"/>
    </w:rPr>
  </w:style>
  <w:style w:type="paragraph" w:customStyle="1" w:styleId="xl85">
    <w:name w:val="xl85"/>
    <w:basedOn w:val="Normal"/>
    <w:rsid w:val="004F0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Calibri"/>
      <w:kern w:val="0"/>
      <w:sz w:val="24"/>
      <w:szCs w:val="24"/>
      <w:lang w:eastAsia="en-GB"/>
      <w14:ligatures w14:val="none"/>
    </w:rPr>
  </w:style>
  <w:style w:type="paragraph" w:customStyle="1" w:styleId="xl86">
    <w:name w:val="xl86"/>
    <w:basedOn w:val="Normal"/>
    <w:rsid w:val="004F0B0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87">
    <w:name w:val="xl87"/>
    <w:basedOn w:val="Normal"/>
    <w:rsid w:val="004F0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Calibri"/>
      <w:kern w:val="0"/>
      <w:sz w:val="24"/>
      <w:szCs w:val="24"/>
      <w:lang w:eastAsia="en-GB"/>
      <w14:ligatures w14:val="none"/>
    </w:rPr>
  </w:style>
  <w:style w:type="paragraph" w:customStyle="1" w:styleId="xl88">
    <w:name w:val="xl88"/>
    <w:basedOn w:val="Normal"/>
    <w:rsid w:val="004F0B0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89">
    <w:name w:val="xl89"/>
    <w:basedOn w:val="Normal"/>
    <w:rsid w:val="004F0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90">
    <w:name w:val="xl90"/>
    <w:basedOn w:val="Normal"/>
    <w:rsid w:val="004F0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kern w:val="0"/>
      <w:sz w:val="24"/>
      <w:szCs w:val="24"/>
      <w:lang w:eastAsia="en-GB"/>
      <w14:ligatures w14:val="none"/>
    </w:rPr>
  </w:style>
  <w:style w:type="paragraph" w:customStyle="1" w:styleId="xl91">
    <w:name w:val="xl91"/>
    <w:basedOn w:val="Normal"/>
    <w:rsid w:val="004F0B0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kern w:val="0"/>
      <w:sz w:val="24"/>
      <w:szCs w:val="24"/>
      <w:lang w:eastAsia="en-GB"/>
      <w14:ligatures w14:val="none"/>
    </w:rPr>
  </w:style>
  <w:style w:type="paragraph" w:customStyle="1" w:styleId="xl92">
    <w:name w:val="xl92"/>
    <w:basedOn w:val="Normal"/>
    <w:rsid w:val="004F0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n-GB"/>
      <w14:ligatures w14:val="none"/>
    </w:rPr>
  </w:style>
  <w:style w:type="paragraph" w:customStyle="1" w:styleId="xl93">
    <w:name w:val="xl93"/>
    <w:basedOn w:val="Normal"/>
    <w:rsid w:val="004F0B0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94">
    <w:name w:val="xl94"/>
    <w:basedOn w:val="Normal"/>
    <w:rsid w:val="004F0B0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kern w:val="0"/>
      <w:sz w:val="24"/>
      <w:szCs w:val="24"/>
      <w:lang w:eastAsia="en-GB"/>
      <w14:ligatures w14:val="none"/>
    </w:rPr>
  </w:style>
  <w:style w:type="paragraph" w:customStyle="1" w:styleId="xl95">
    <w:name w:val="xl95"/>
    <w:basedOn w:val="Normal"/>
    <w:rsid w:val="004F0B0F"/>
    <w:pPr>
      <w:pBdr>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kern w:val="0"/>
      <w:sz w:val="24"/>
      <w:szCs w:val="24"/>
      <w:lang w:eastAsia="en-GB"/>
      <w14:ligatures w14:val="none"/>
    </w:rPr>
  </w:style>
  <w:style w:type="paragraph" w:customStyle="1" w:styleId="xl96">
    <w:name w:val="xl96"/>
    <w:basedOn w:val="Normal"/>
    <w:rsid w:val="004F0B0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kern w:val="0"/>
      <w:sz w:val="24"/>
      <w:szCs w:val="24"/>
      <w:lang w:eastAsia="en-GB"/>
      <w14:ligatures w14:val="none"/>
    </w:rPr>
  </w:style>
  <w:style w:type="paragraph" w:customStyle="1" w:styleId="xl97">
    <w:name w:val="xl97"/>
    <w:basedOn w:val="Normal"/>
    <w:rsid w:val="004F0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kern w:val="0"/>
      <w:sz w:val="24"/>
      <w:szCs w:val="24"/>
      <w:lang w:eastAsia="en-GB"/>
      <w14:ligatures w14:val="none"/>
    </w:rPr>
  </w:style>
  <w:style w:type="paragraph" w:customStyle="1" w:styleId="xl98">
    <w:name w:val="xl98"/>
    <w:basedOn w:val="Normal"/>
    <w:rsid w:val="004F0B0F"/>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99">
    <w:name w:val="xl99"/>
    <w:basedOn w:val="Normal"/>
    <w:rsid w:val="004F0B0F"/>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100">
    <w:name w:val="xl100"/>
    <w:basedOn w:val="Normal"/>
    <w:rsid w:val="004F0B0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101">
    <w:name w:val="xl101"/>
    <w:basedOn w:val="Normal"/>
    <w:rsid w:val="004F0B0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102">
    <w:name w:val="xl102"/>
    <w:basedOn w:val="Normal"/>
    <w:rsid w:val="004F0B0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103">
    <w:name w:val="xl103"/>
    <w:basedOn w:val="Normal"/>
    <w:rsid w:val="004F0B0F"/>
    <w:pPr>
      <w:pBdr>
        <w:top w:val="single" w:sz="8" w:space="0" w:color="auto"/>
      </w:pBdr>
      <w:spacing w:before="100" w:beforeAutospacing="1" w:after="100" w:afterAutospacing="1" w:line="240" w:lineRule="auto"/>
      <w:jc w:val="center"/>
      <w:textAlignment w:val="center"/>
    </w:pPr>
    <w:rPr>
      <w:rFonts w:ascii="Calibri" w:eastAsia="Times New Roman" w:hAnsi="Calibri" w:cs="Calibri"/>
      <w:b/>
      <w:bCs/>
      <w:kern w:val="0"/>
      <w:sz w:val="48"/>
      <w:szCs w:val="48"/>
      <w:lang w:eastAsia="en-GB"/>
      <w14:ligatures w14:val="none"/>
    </w:rPr>
  </w:style>
  <w:style w:type="paragraph" w:customStyle="1" w:styleId="xl104">
    <w:name w:val="xl104"/>
    <w:basedOn w:val="Normal"/>
    <w:rsid w:val="004F0B0F"/>
    <w:pPr>
      <w:spacing w:before="100" w:beforeAutospacing="1" w:after="100" w:afterAutospacing="1" w:line="240" w:lineRule="auto"/>
      <w:jc w:val="center"/>
      <w:textAlignment w:val="center"/>
    </w:pPr>
    <w:rPr>
      <w:rFonts w:ascii="Calibri" w:eastAsia="Times New Roman" w:hAnsi="Calibri" w:cs="Calibri"/>
      <w:b/>
      <w:bCs/>
      <w:kern w:val="0"/>
      <w:sz w:val="48"/>
      <w:szCs w:val="48"/>
      <w:lang w:eastAsia="en-GB"/>
      <w14:ligatures w14:val="none"/>
    </w:rPr>
  </w:style>
  <w:style w:type="paragraph" w:customStyle="1" w:styleId="xl105">
    <w:name w:val="xl105"/>
    <w:basedOn w:val="Normal"/>
    <w:rsid w:val="004F0B0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106">
    <w:name w:val="xl106"/>
    <w:basedOn w:val="Normal"/>
    <w:rsid w:val="004F0B0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107">
    <w:name w:val="xl107"/>
    <w:basedOn w:val="Normal"/>
    <w:rsid w:val="004F0B0F"/>
    <w:pPr>
      <w:pBdr>
        <w:bottom w:val="single" w:sz="8" w:space="0" w:color="auto"/>
      </w:pBdr>
      <w:spacing w:before="100" w:beforeAutospacing="1" w:after="100" w:afterAutospacing="1" w:line="240" w:lineRule="auto"/>
      <w:jc w:val="center"/>
      <w:textAlignment w:val="center"/>
    </w:pPr>
    <w:rPr>
      <w:rFonts w:ascii="Calibri" w:eastAsia="Times New Roman" w:hAnsi="Calibri" w:cs="Calibri"/>
      <w:b/>
      <w:bCs/>
      <w:kern w:val="0"/>
      <w:sz w:val="48"/>
      <w:szCs w:val="48"/>
      <w:lang w:eastAsia="en-GB"/>
      <w14:ligatures w14:val="none"/>
    </w:rPr>
  </w:style>
  <w:style w:type="paragraph" w:customStyle="1" w:styleId="xl108">
    <w:name w:val="xl108"/>
    <w:basedOn w:val="Normal"/>
    <w:rsid w:val="004F0B0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109">
    <w:name w:val="xl109"/>
    <w:basedOn w:val="Normal"/>
    <w:rsid w:val="004F0B0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paragraph" w:customStyle="1" w:styleId="xl110">
    <w:name w:val="xl110"/>
    <w:basedOn w:val="Normal"/>
    <w:rsid w:val="004F0B0F"/>
    <w:pPr>
      <w:pBdr>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kern w:val="0"/>
      <w:sz w:val="24"/>
      <w:szCs w:val="24"/>
      <w:lang w:eastAsia="en-GB"/>
      <w14:ligatures w14:val="none"/>
    </w:rPr>
  </w:style>
  <w:style w:type="numbering" w:customStyle="1" w:styleId="NoList1">
    <w:name w:val="No List1"/>
    <w:next w:val="NoList"/>
    <w:uiPriority w:val="99"/>
    <w:semiHidden/>
    <w:unhideWhenUsed/>
    <w:rsid w:val="00947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9189">
      <w:bodyDiv w:val="1"/>
      <w:marLeft w:val="0"/>
      <w:marRight w:val="0"/>
      <w:marTop w:val="0"/>
      <w:marBottom w:val="0"/>
      <w:divBdr>
        <w:top w:val="none" w:sz="0" w:space="0" w:color="auto"/>
        <w:left w:val="none" w:sz="0" w:space="0" w:color="auto"/>
        <w:bottom w:val="none" w:sz="0" w:space="0" w:color="auto"/>
        <w:right w:val="none" w:sz="0" w:space="0" w:color="auto"/>
      </w:divBdr>
    </w:div>
    <w:div w:id="5981913">
      <w:bodyDiv w:val="1"/>
      <w:marLeft w:val="0"/>
      <w:marRight w:val="0"/>
      <w:marTop w:val="0"/>
      <w:marBottom w:val="0"/>
      <w:divBdr>
        <w:top w:val="none" w:sz="0" w:space="0" w:color="auto"/>
        <w:left w:val="none" w:sz="0" w:space="0" w:color="auto"/>
        <w:bottom w:val="none" w:sz="0" w:space="0" w:color="auto"/>
        <w:right w:val="none" w:sz="0" w:space="0" w:color="auto"/>
      </w:divBdr>
    </w:div>
    <w:div w:id="10231463">
      <w:bodyDiv w:val="1"/>
      <w:marLeft w:val="0"/>
      <w:marRight w:val="0"/>
      <w:marTop w:val="0"/>
      <w:marBottom w:val="0"/>
      <w:divBdr>
        <w:top w:val="none" w:sz="0" w:space="0" w:color="auto"/>
        <w:left w:val="none" w:sz="0" w:space="0" w:color="auto"/>
        <w:bottom w:val="none" w:sz="0" w:space="0" w:color="auto"/>
        <w:right w:val="none" w:sz="0" w:space="0" w:color="auto"/>
      </w:divBdr>
    </w:div>
    <w:div w:id="11689246">
      <w:bodyDiv w:val="1"/>
      <w:marLeft w:val="0"/>
      <w:marRight w:val="0"/>
      <w:marTop w:val="0"/>
      <w:marBottom w:val="0"/>
      <w:divBdr>
        <w:top w:val="none" w:sz="0" w:space="0" w:color="auto"/>
        <w:left w:val="none" w:sz="0" w:space="0" w:color="auto"/>
        <w:bottom w:val="none" w:sz="0" w:space="0" w:color="auto"/>
        <w:right w:val="none" w:sz="0" w:space="0" w:color="auto"/>
      </w:divBdr>
    </w:div>
    <w:div w:id="14693774">
      <w:bodyDiv w:val="1"/>
      <w:marLeft w:val="0"/>
      <w:marRight w:val="0"/>
      <w:marTop w:val="0"/>
      <w:marBottom w:val="0"/>
      <w:divBdr>
        <w:top w:val="none" w:sz="0" w:space="0" w:color="auto"/>
        <w:left w:val="none" w:sz="0" w:space="0" w:color="auto"/>
        <w:bottom w:val="none" w:sz="0" w:space="0" w:color="auto"/>
        <w:right w:val="none" w:sz="0" w:space="0" w:color="auto"/>
      </w:divBdr>
    </w:div>
    <w:div w:id="44566080">
      <w:bodyDiv w:val="1"/>
      <w:marLeft w:val="0"/>
      <w:marRight w:val="0"/>
      <w:marTop w:val="0"/>
      <w:marBottom w:val="0"/>
      <w:divBdr>
        <w:top w:val="none" w:sz="0" w:space="0" w:color="auto"/>
        <w:left w:val="none" w:sz="0" w:space="0" w:color="auto"/>
        <w:bottom w:val="none" w:sz="0" w:space="0" w:color="auto"/>
        <w:right w:val="none" w:sz="0" w:space="0" w:color="auto"/>
      </w:divBdr>
    </w:div>
    <w:div w:id="46224539">
      <w:bodyDiv w:val="1"/>
      <w:marLeft w:val="0"/>
      <w:marRight w:val="0"/>
      <w:marTop w:val="0"/>
      <w:marBottom w:val="0"/>
      <w:divBdr>
        <w:top w:val="none" w:sz="0" w:space="0" w:color="auto"/>
        <w:left w:val="none" w:sz="0" w:space="0" w:color="auto"/>
        <w:bottom w:val="none" w:sz="0" w:space="0" w:color="auto"/>
        <w:right w:val="none" w:sz="0" w:space="0" w:color="auto"/>
      </w:divBdr>
    </w:div>
    <w:div w:id="51852933">
      <w:bodyDiv w:val="1"/>
      <w:marLeft w:val="0"/>
      <w:marRight w:val="0"/>
      <w:marTop w:val="0"/>
      <w:marBottom w:val="0"/>
      <w:divBdr>
        <w:top w:val="none" w:sz="0" w:space="0" w:color="auto"/>
        <w:left w:val="none" w:sz="0" w:space="0" w:color="auto"/>
        <w:bottom w:val="none" w:sz="0" w:space="0" w:color="auto"/>
        <w:right w:val="none" w:sz="0" w:space="0" w:color="auto"/>
      </w:divBdr>
    </w:div>
    <w:div w:id="56325041">
      <w:bodyDiv w:val="1"/>
      <w:marLeft w:val="0"/>
      <w:marRight w:val="0"/>
      <w:marTop w:val="0"/>
      <w:marBottom w:val="0"/>
      <w:divBdr>
        <w:top w:val="none" w:sz="0" w:space="0" w:color="auto"/>
        <w:left w:val="none" w:sz="0" w:space="0" w:color="auto"/>
        <w:bottom w:val="none" w:sz="0" w:space="0" w:color="auto"/>
        <w:right w:val="none" w:sz="0" w:space="0" w:color="auto"/>
      </w:divBdr>
    </w:div>
    <w:div w:id="70005514">
      <w:bodyDiv w:val="1"/>
      <w:marLeft w:val="0"/>
      <w:marRight w:val="0"/>
      <w:marTop w:val="0"/>
      <w:marBottom w:val="0"/>
      <w:divBdr>
        <w:top w:val="none" w:sz="0" w:space="0" w:color="auto"/>
        <w:left w:val="none" w:sz="0" w:space="0" w:color="auto"/>
        <w:bottom w:val="none" w:sz="0" w:space="0" w:color="auto"/>
        <w:right w:val="none" w:sz="0" w:space="0" w:color="auto"/>
      </w:divBdr>
    </w:div>
    <w:div w:id="77487713">
      <w:bodyDiv w:val="1"/>
      <w:marLeft w:val="0"/>
      <w:marRight w:val="0"/>
      <w:marTop w:val="0"/>
      <w:marBottom w:val="0"/>
      <w:divBdr>
        <w:top w:val="none" w:sz="0" w:space="0" w:color="auto"/>
        <w:left w:val="none" w:sz="0" w:space="0" w:color="auto"/>
        <w:bottom w:val="none" w:sz="0" w:space="0" w:color="auto"/>
        <w:right w:val="none" w:sz="0" w:space="0" w:color="auto"/>
      </w:divBdr>
    </w:div>
    <w:div w:id="102695221">
      <w:bodyDiv w:val="1"/>
      <w:marLeft w:val="0"/>
      <w:marRight w:val="0"/>
      <w:marTop w:val="0"/>
      <w:marBottom w:val="0"/>
      <w:divBdr>
        <w:top w:val="none" w:sz="0" w:space="0" w:color="auto"/>
        <w:left w:val="none" w:sz="0" w:space="0" w:color="auto"/>
        <w:bottom w:val="none" w:sz="0" w:space="0" w:color="auto"/>
        <w:right w:val="none" w:sz="0" w:space="0" w:color="auto"/>
      </w:divBdr>
    </w:div>
    <w:div w:id="109083461">
      <w:bodyDiv w:val="1"/>
      <w:marLeft w:val="0"/>
      <w:marRight w:val="0"/>
      <w:marTop w:val="0"/>
      <w:marBottom w:val="0"/>
      <w:divBdr>
        <w:top w:val="none" w:sz="0" w:space="0" w:color="auto"/>
        <w:left w:val="none" w:sz="0" w:space="0" w:color="auto"/>
        <w:bottom w:val="none" w:sz="0" w:space="0" w:color="auto"/>
        <w:right w:val="none" w:sz="0" w:space="0" w:color="auto"/>
      </w:divBdr>
    </w:div>
    <w:div w:id="124197609">
      <w:bodyDiv w:val="1"/>
      <w:marLeft w:val="0"/>
      <w:marRight w:val="0"/>
      <w:marTop w:val="0"/>
      <w:marBottom w:val="0"/>
      <w:divBdr>
        <w:top w:val="none" w:sz="0" w:space="0" w:color="auto"/>
        <w:left w:val="none" w:sz="0" w:space="0" w:color="auto"/>
        <w:bottom w:val="none" w:sz="0" w:space="0" w:color="auto"/>
        <w:right w:val="none" w:sz="0" w:space="0" w:color="auto"/>
      </w:divBdr>
    </w:div>
    <w:div w:id="125006826">
      <w:bodyDiv w:val="1"/>
      <w:marLeft w:val="0"/>
      <w:marRight w:val="0"/>
      <w:marTop w:val="0"/>
      <w:marBottom w:val="0"/>
      <w:divBdr>
        <w:top w:val="none" w:sz="0" w:space="0" w:color="auto"/>
        <w:left w:val="none" w:sz="0" w:space="0" w:color="auto"/>
        <w:bottom w:val="none" w:sz="0" w:space="0" w:color="auto"/>
        <w:right w:val="none" w:sz="0" w:space="0" w:color="auto"/>
      </w:divBdr>
    </w:div>
    <w:div w:id="148980490">
      <w:bodyDiv w:val="1"/>
      <w:marLeft w:val="0"/>
      <w:marRight w:val="0"/>
      <w:marTop w:val="0"/>
      <w:marBottom w:val="0"/>
      <w:divBdr>
        <w:top w:val="none" w:sz="0" w:space="0" w:color="auto"/>
        <w:left w:val="none" w:sz="0" w:space="0" w:color="auto"/>
        <w:bottom w:val="none" w:sz="0" w:space="0" w:color="auto"/>
        <w:right w:val="none" w:sz="0" w:space="0" w:color="auto"/>
      </w:divBdr>
    </w:div>
    <w:div w:id="156239416">
      <w:bodyDiv w:val="1"/>
      <w:marLeft w:val="0"/>
      <w:marRight w:val="0"/>
      <w:marTop w:val="0"/>
      <w:marBottom w:val="0"/>
      <w:divBdr>
        <w:top w:val="none" w:sz="0" w:space="0" w:color="auto"/>
        <w:left w:val="none" w:sz="0" w:space="0" w:color="auto"/>
        <w:bottom w:val="none" w:sz="0" w:space="0" w:color="auto"/>
        <w:right w:val="none" w:sz="0" w:space="0" w:color="auto"/>
      </w:divBdr>
    </w:div>
    <w:div w:id="166866715">
      <w:bodyDiv w:val="1"/>
      <w:marLeft w:val="0"/>
      <w:marRight w:val="0"/>
      <w:marTop w:val="0"/>
      <w:marBottom w:val="0"/>
      <w:divBdr>
        <w:top w:val="none" w:sz="0" w:space="0" w:color="auto"/>
        <w:left w:val="none" w:sz="0" w:space="0" w:color="auto"/>
        <w:bottom w:val="none" w:sz="0" w:space="0" w:color="auto"/>
        <w:right w:val="none" w:sz="0" w:space="0" w:color="auto"/>
      </w:divBdr>
    </w:div>
    <w:div w:id="178081107">
      <w:bodyDiv w:val="1"/>
      <w:marLeft w:val="0"/>
      <w:marRight w:val="0"/>
      <w:marTop w:val="0"/>
      <w:marBottom w:val="0"/>
      <w:divBdr>
        <w:top w:val="none" w:sz="0" w:space="0" w:color="auto"/>
        <w:left w:val="none" w:sz="0" w:space="0" w:color="auto"/>
        <w:bottom w:val="none" w:sz="0" w:space="0" w:color="auto"/>
        <w:right w:val="none" w:sz="0" w:space="0" w:color="auto"/>
      </w:divBdr>
    </w:div>
    <w:div w:id="191306809">
      <w:bodyDiv w:val="1"/>
      <w:marLeft w:val="0"/>
      <w:marRight w:val="0"/>
      <w:marTop w:val="0"/>
      <w:marBottom w:val="0"/>
      <w:divBdr>
        <w:top w:val="none" w:sz="0" w:space="0" w:color="auto"/>
        <w:left w:val="none" w:sz="0" w:space="0" w:color="auto"/>
        <w:bottom w:val="none" w:sz="0" w:space="0" w:color="auto"/>
        <w:right w:val="none" w:sz="0" w:space="0" w:color="auto"/>
      </w:divBdr>
    </w:div>
    <w:div w:id="214318452">
      <w:bodyDiv w:val="1"/>
      <w:marLeft w:val="0"/>
      <w:marRight w:val="0"/>
      <w:marTop w:val="0"/>
      <w:marBottom w:val="0"/>
      <w:divBdr>
        <w:top w:val="none" w:sz="0" w:space="0" w:color="auto"/>
        <w:left w:val="none" w:sz="0" w:space="0" w:color="auto"/>
        <w:bottom w:val="none" w:sz="0" w:space="0" w:color="auto"/>
        <w:right w:val="none" w:sz="0" w:space="0" w:color="auto"/>
      </w:divBdr>
    </w:div>
    <w:div w:id="221646108">
      <w:bodyDiv w:val="1"/>
      <w:marLeft w:val="0"/>
      <w:marRight w:val="0"/>
      <w:marTop w:val="0"/>
      <w:marBottom w:val="0"/>
      <w:divBdr>
        <w:top w:val="none" w:sz="0" w:space="0" w:color="auto"/>
        <w:left w:val="none" w:sz="0" w:space="0" w:color="auto"/>
        <w:bottom w:val="none" w:sz="0" w:space="0" w:color="auto"/>
        <w:right w:val="none" w:sz="0" w:space="0" w:color="auto"/>
      </w:divBdr>
    </w:div>
    <w:div w:id="225991636">
      <w:bodyDiv w:val="1"/>
      <w:marLeft w:val="0"/>
      <w:marRight w:val="0"/>
      <w:marTop w:val="0"/>
      <w:marBottom w:val="0"/>
      <w:divBdr>
        <w:top w:val="none" w:sz="0" w:space="0" w:color="auto"/>
        <w:left w:val="none" w:sz="0" w:space="0" w:color="auto"/>
        <w:bottom w:val="none" w:sz="0" w:space="0" w:color="auto"/>
        <w:right w:val="none" w:sz="0" w:space="0" w:color="auto"/>
      </w:divBdr>
    </w:div>
    <w:div w:id="229270244">
      <w:bodyDiv w:val="1"/>
      <w:marLeft w:val="0"/>
      <w:marRight w:val="0"/>
      <w:marTop w:val="0"/>
      <w:marBottom w:val="0"/>
      <w:divBdr>
        <w:top w:val="none" w:sz="0" w:space="0" w:color="auto"/>
        <w:left w:val="none" w:sz="0" w:space="0" w:color="auto"/>
        <w:bottom w:val="none" w:sz="0" w:space="0" w:color="auto"/>
        <w:right w:val="none" w:sz="0" w:space="0" w:color="auto"/>
      </w:divBdr>
    </w:div>
    <w:div w:id="240452206">
      <w:bodyDiv w:val="1"/>
      <w:marLeft w:val="0"/>
      <w:marRight w:val="0"/>
      <w:marTop w:val="0"/>
      <w:marBottom w:val="0"/>
      <w:divBdr>
        <w:top w:val="none" w:sz="0" w:space="0" w:color="auto"/>
        <w:left w:val="none" w:sz="0" w:space="0" w:color="auto"/>
        <w:bottom w:val="none" w:sz="0" w:space="0" w:color="auto"/>
        <w:right w:val="none" w:sz="0" w:space="0" w:color="auto"/>
      </w:divBdr>
    </w:div>
    <w:div w:id="247806736">
      <w:bodyDiv w:val="1"/>
      <w:marLeft w:val="0"/>
      <w:marRight w:val="0"/>
      <w:marTop w:val="0"/>
      <w:marBottom w:val="0"/>
      <w:divBdr>
        <w:top w:val="none" w:sz="0" w:space="0" w:color="auto"/>
        <w:left w:val="none" w:sz="0" w:space="0" w:color="auto"/>
        <w:bottom w:val="none" w:sz="0" w:space="0" w:color="auto"/>
        <w:right w:val="none" w:sz="0" w:space="0" w:color="auto"/>
      </w:divBdr>
    </w:div>
    <w:div w:id="267004282">
      <w:bodyDiv w:val="1"/>
      <w:marLeft w:val="0"/>
      <w:marRight w:val="0"/>
      <w:marTop w:val="0"/>
      <w:marBottom w:val="0"/>
      <w:divBdr>
        <w:top w:val="none" w:sz="0" w:space="0" w:color="auto"/>
        <w:left w:val="none" w:sz="0" w:space="0" w:color="auto"/>
        <w:bottom w:val="none" w:sz="0" w:space="0" w:color="auto"/>
        <w:right w:val="none" w:sz="0" w:space="0" w:color="auto"/>
      </w:divBdr>
    </w:div>
    <w:div w:id="270746140">
      <w:bodyDiv w:val="1"/>
      <w:marLeft w:val="0"/>
      <w:marRight w:val="0"/>
      <w:marTop w:val="0"/>
      <w:marBottom w:val="0"/>
      <w:divBdr>
        <w:top w:val="none" w:sz="0" w:space="0" w:color="auto"/>
        <w:left w:val="none" w:sz="0" w:space="0" w:color="auto"/>
        <w:bottom w:val="none" w:sz="0" w:space="0" w:color="auto"/>
        <w:right w:val="none" w:sz="0" w:space="0" w:color="auto"/>
      </w:divBdr>
    </w:div>
    <w:div w:id="276528902">
      <w:bodyDiv w:val="1"/>
      <w:marLeft w:val="0"/>
      <w:marRight w:val="0"/>
      <w:marTop w:val="0"/>
      <w:marBottom w:val="0"/>
      <w:divBdr>
        <w:top w:val="none" w:sz="0" w:space="0" w:color="auto"/>
        <w:left w:val="none" w:sz="0" w:space="0" w:color="auto"/>
        <w:bottom w:val="none" w:sz="0" w:space="0" w:color="auto"/>
        <w:right w:val="none" w:sz="0" w:space="0" w:color="auto"/>
      </w:divBdr>
    </w:div>
    <w:div w:id="298415786">
      <w:bodyDiv w:val="1"/>
      <w:marLeft w:val="0"/>
      <w:marRight w:val="0"/>
      <w:marTop w:val="0"/>
      <w:marBottom w:val="0"/>
      <w:divBdr>
        <w:top w:val="none" w:sz="0" w:space="0" w:color="auto"/>
        <w:left w:val="none" w:sz="0" w:space="0" w:color="auto"/>
        <w:bottom w:val="none" w:sz="0" w:space="0" w:color="auto"/>
        <w:right w:val="none" w:sz="0" w:space="0" w:color="auto"/>
      </w:divBdr>
    </w:div>
    <w:div w:id="306519952">
      <w:bodyDiv w:val="1"/>
      <w:marLeft w:val="0"/>
      <w:marRight w:val="0"/>
      <w:marTop w:val="0"/>
      <w:marBottom w:val="0"/>
      <w:divBdr>
        <w:top w:val="none" w:sz="0" w:space="0" w:color="auto"/>
        <w:left w:val="none" w:sz="0" w:space="0" w:color="auto"/>
        <w:bottom w:val="none" w:sz="0" w:space="0" w:color="auto"/>
        <w:right w:val="none" w:sz="0" w:space="0" w:color="auto"/>
      </w:divBdr>
    </w:div>
    <w:div w:id="311953737">
      <w:bodyDiv w:val="1"/>
      <w:marLeft w:val="0"/>
      <w:marRight w:val="0"/>
      <w:marTop w:val="0"/>
      <w:marBottom w:val="0"/>
      <w:divBdr>
        <w:top w:val="none" w:sz="0" w:space="0" w:color="auto"/>
        <w:left w:val="none" w:sz="0" w:space="0" w:color="auto"/>
        <w:bottom w:val="none" w:sz="0" w:space="0" w:color="auto"/>
        <w:right w:val="none" w:sz="0" w:space="0" w:color="auto"/>
      </w:divBdr>
    </w:div>
    <w:div w:id="314266237">
      <w:bodyDiv w:val="1"/>
      <w:marLeft w:val="0"/>
      <w:marRight w:val="0"/>
      <w:marTop w:val="0"/>
      <w:marBottom w:val="0"/>
      <w:divBdr>
        <w:top w:val="none" w:sz="0" w:space="0" w:color="auto"/>
        <w:left w:val="none" w:sz="0" w:space="0" w:color="auto"/>
        <w:bottom w:val="none" w:sz="0" w:space="0" w:color="auto"/>
        <w:right w:val="none" w:sz="0" w:space="0" w:color="auto"/>
      </w:divBdr>
    </w:div>
    <w:div w:id="321201403">
      <w:bodyDiv w:val="1"/>
      <w:marLeft w:val="0"/>
      <w:marRight w:val="0"/>
      <w:marTop w:val="0"/>
      <w:marBottom w:val="0"/>
      <w:divBdr>
        <w:top w:val="none" w:sz="0" w:space="0" w:color="auto"/>
        <w:left w:val="none" w:sz="0" w:space="0" w:color="auto"/>
        <w:bottom w:val="none" w:sz="0" w:space="0" w:color="auto"/>
        <w:right w:val="none" w:sz="0" w:space="0" w:color="auto"/>
      </w:divBdr>
    </w:div>
    <w:div w:id="333653818">
      <w:bodyDiv w:val="1"/>
      <w:marLeft w:val="0"/>
      <w:marRight w:val="0"/>
      <w:marTop w:val="0"/>
      <w:marBottom w:val="0"/>
      <w:divBdr>
        <w:top w:val="none" w:sz="0" w:space="0" w:color="auto"/>
        <w:left w:val="none" w:sz="0" w:space="0" w:color="auto"/>
        <w:bottom w:val="none" w:sz="0" w:space="0" w:color="auto"/>
        <w:right w:val="none" w:sz="0" w:space="0" w:color="auto"/>
      </w:divBdr>
    </w:div>
    <w:div w:id="341709186">
      <w:bodyDiv w:val="1"/>
      <w:marLeft w:val="0"/>
      <w:marRight w:val="0"/>
      <w:marTop w:val="0"/>
      <w:marBottom w:val="0"/>
      <w:divBdr>
        <w:top w:val="none" w:sz="0" w:space="0" w:color="auto"/>
        <w:left w:val="none" w:sz="0" w:space="0" w:color="auto"/>
        <w:bottom w:val="none" w:sz="0" w:space="0" w:color="auto"/>
        <w:right w:val="none" w:sz="0" w:space="0" w:color="auto"/>
      </w:divBdr>
    </w:div>
    <w:div w:id="346368228">
      <w:bodyDiv w:val="1"/>
      <w:marLeft w:val="0"/>
      <w:marRight w:val="0"/>
      <w:marTop w:val="0"/>
      <w:marBottom w:val="0"/>
      <w:divBdr>
        <w:top w:val="none" w:sz="0" w:space="0" w:color="auto"/>
        <w:left w:val="none" w:sz="0" w:space="0" w:color="auto"/>
        <w:bottom w:val="none" w:sz="0" w:space="0" w:color="auto"/>
        <w:right w:val="none" w:sz="0" w:space="0" w:color="auto"/>
      </w:divBdr>
    </w:div>
    <w:div w:id="363679161">
      <w:bodyDiv w:val="1"/>
      <w:marLeft w:val="0"/>
      <w:marRight w:val="0"/>
      <w:marTop w:val="0"/>
      <w:marBottom w:val="0"/>
      <w:divBdr>
        <w:top w:val="none" w:sz="0" w:space="0" w:color="auto"/>
        <w:left w:val="none" w:sz="0" w:space="0" w:color="auto"/>
        <w:bottom w:val="none" w:sz="0" w:space="0" w:color="auto"/>
        <w:right w:val="none" w:sz="0" w:space="0" w:color="auto"/>
      </w:divBdr>
    </w:div>
    <w:div w:id="368140458">
      <w:bodyDiv w:val="1"/>
      <w:marLeft w:val="0"/>
      <w:marRight w:val="0"/>
      <w:marTop w:val="0"/>
      <w:marBottom w:val="0"/>
      <w:divBdr>
        <w:top w:val="none" w:sz="0" w:space="0" w:color="auto"/>
        <w:left w:val="none" w:sz="0" w:space="0" w:color="auto"/>
        <w:bottom w:val="none" w:sz="0" w:space="0" w:color="auto"/>
        <w:right w:val="none" w:sz="0" w:space="0" w:color="auto"/>
      </w:divBdr>
    </w:div>
    <w:div w:id="383985663">
      <w:bodyDiv w:val="1"/>
      <w:marLeft w:val="0"/>
      <w:marRight w:val="0"/>
      <w:marTop w:val="0"/>
      <w:marBottom w:val="0"/>
      <w:divBdr>
        <w:top w:val="none" w:sz="0" w:space="0" w:color="auto"/>
        <w:left w:val="none" w:sz="0" w:space="0" w:color="auto"/>
        <w:bottom w:val="none" w:sz="0" w:space="0" w:color="auto"/>
        <w:right w:val="none" w:sz="0" w:space="0" w:color="auto"/>
      </w:divBdr>
    </w:div>
    <w:div w:id="404954538">
      <w:bodyDiv w:val="1"/>
      <w:marLeft w:val="0"/>
      <w:marRight w:val="0"/>
      <w:marTop w:val="0"/>
      <w:marBottom w:val="0"/>
      <w:divBdr>
        <w:top w:val="none" w:sz="0" w:space="0" w:color="auto"/>
        <w:left w:val="none" w:sz="0" w:space="0" w:color="auto"/>
        <w:bottom w:val="none" w:sz="0" w:space="0" w:color="auto"/>
        <w:right w:val="none" w:sz="0" w:space="0" w:color="auto"/>
      </w:divBdr>
    </w:div>
    <w:div w:id="406803501">
      <w:bodyDiv w:val="1"/>
      <w:marLeft w:val="0"/>
      <w:marRight w:val="0"/>
      <w:marTop w:val="0"/>
      <w:marBottom w:val="0"/>
      <w:divBdr>
        <w:top w:val="none" w:sz="0" w:space="0" w:color="auto"/>
        <w:left w:val="none" w:sz="0" w:space="0" w:color="auto"/>
        <w:bottom w:val="none" w:sz="0" w:space="0" w:color="auto"/>
        <w:right w:val="none" w:sz="0" w:space="0" w:color="auto"/>
      </w:divBdr>
    </w:div>
    <w:div w:id="419448207">
      <w:bodyDiv w:val="1"/>
      <w:marLeft w:val="0"/>
      <w:marRight w:val="0"/>
      <w:marTop w:val="0"/>
      <w:marBottom w:val="0"/>
      <w:divBdr>
        <w:top w:val="none" w:sz="0" w:space="0" w:color="auto"/>
        <w:left w:val="none" w:sz="0" w:space="0" w:color="auto"/>
        <w:bottom w:val="none" w:sz="0" w:space="0" w:color="auto"/>
        <w:right w:val="none" w:sz="0" w:space="0" w:color="auto"/>
      </w:divBdr>
    </w:div>
    <w:div w:id="426660559">
      <w:bodyDiv w:val="1"/>
      <w:marLeft w:val="0"/>
      <w:marRight w:val="0"/>
      <w:marTop w:val="0"/>
      <w:marBottom w:val="0"/>
      <w:divBdr>
        <w:top w:val="none" w:sz="0" w:space="0" w:color="auto"/>
        <w:left w:val="none" w:sz="0" w:space="0" w:color="auto"/>
        <w:bottom w:val="none" w:sz="0" w:space="0" w:color="auto"/>
        <w:right w:val="none" w:sz="0" w:space="0" w:color="auto"/>
      </w:divBdr>
    </w:div>
    <w:div w:id="433870051">
      <w:bodyDiv w:val="1"/>
      <w:marLeft w:val="0"/>
      <w:marRight w:val="0"/>
      <w:marTop w:val="0"/>
      <w:marBottom w:val="0"/>
      <w:divBdr>
        <w:top w:val="none" w:sz="0" w:space="0" w:color="auto"/>
        <w:left w:val="none" w:sz="0" w:space="0" w:color="auto"/>
        <w:bottom w:val="none" w:sz="0" w:space="0" w:color="auto"/>
        <w:right w:val="none" w:sz="0" w:space="0" w:color="auto"/>
      </w:divBdr>
    </w:div>
    <w:div w:id="437674849">
      <w:bodyDiv w:val="1"/>
      <w:marLeft w:val="0"/>
      <w:marRight w:val="0"/>
      <w:marTop w:val="0"/>
      <w:marBottom w:val="0"/>
      <w:divBdr>
        <w:top w:val="none" w:sz="0" w:space="0" w:color="auto"/>
        <w:left w:val="none" w:sz="0" w:space="0" w:color="auto"/>
        <w:bottom w:val="none" w:sz="0" w:space="0" w:color="auto"/>
        <w:right w:val="none" w:sz="0" w:space="0" w:color="auto"/>
      </w:divBdr>
    </w:div>
    <w:div w:id="462112783">
      <w:bodyDiv w:val="1"/>
      <w:marLeft w:val="0"/>
      <w:marRight w:val="0"/>
      <w:marTop w:val="0"/>
      <w:marBottom w:val="0"/>
      <w:divBdr>
        <w:top w:val="none" w:sz="0" w:space="0" w:color="auto"/>
        <w:left w:val="none" w:sz="0" w:space="0" w:color="auto"/>
        <w:bottom w:val="none" w:sz="0" w:space="0" w:color="auto"/>
        <w:right w:val="none" w:sz="0" w:space="0" w:color="auto"/>
      </w:divBdr>
    </w:div>
    <w:div w:id="469834422">
      <w:bodyDiv w:val="1"/>
      <w:marLeft w:val="0"/>
      <w:marRight w:val="0"/>
      <w:marTop w:val="0"/>
      <w:marBottom w:val="0"/>
      <w:divBdr>
        <w:top w:val="none" w:sz="0" w:space="0" w:color="auto"/>
        <w:left w:val="none" w:sz="0" w:space="0" w:color="auto"/>
        <w:bottom w:val="none" w:sz="0" w:space="0" w:color="auto"/>
        <w:right w:val="none" w:sz="0" w:space="0" w:color="auto"/>
      </w:divBdr>
    </w:div>
    <w:div w:id="471408140">
      <w:bodyDiv w:val="1"/>
      <w:marLeft w:val="0"/>
      <w:marRight w:val="0"/>
      <w:marTop w:val="0"/>
      <w:marBottom w:val="0"/>
      <w:divBdr>
        <w:top w:val="none" w:sz="0" w:space="0" w:color="auto"/>
        <w:left w:val="none" w:sz="0" w:space="0" w:color="auto"/>
        <w:bottom w:val="none" w:sz="0" w:space="0" w:color="auto"/>
        <w:right w:val="none" w:sz="0" w:space="0" w:color="auto"/>
      </w:divBdr>
    </w:div>
    <w:div w:id="476146056">
      <w:bodyDiv w:val="1"/>
      <w:marLeft w:val="0"/>
      <w:marRight w:val="0"/>
      <w:marTop w:val="0"/>
      <w:marBottom w:val="0"/>
      <w:divBdr>
        <w:top w:val="none" w:sz="0" w:space="0" w:color="auto"/>
        <w:left w:val="none" w:sz="0" w:space="0" w:color="auto"/>
        <w:bottom w:val="none" w:sz="0" w:space="0" w:color="auto"/>
        <w:right w:val="none" w:sz="0" w:space="0" w:color="auto"/>
      </w:divBdr>
    </w:div>
    <w:div w:id="493226306">
      <w:bodyDiv w:val="1"/>
      <w:marLeft w:val="0"/>
      <w:marRight w:val="0"/>
      <w:marTop w:val="0"/>
      <w:marBottom w:val="0"/>
      <w:divBdr>
        <w:top w:val="none" w:sz="0" w:space="0" w:color="auto"/>
        <w:left w:val="none" w:sz="0" w:space="0" w:color="auto"/>
        <w:bottom w:val="none" w:sz="0" w:space="0" w:color="auto"/>
        <w:right w:val="none" w:sz="0" w:space="0" w:color="auto"/>
      </w:divBdr>
    </w:div>
    <w:div w:id="496188481">
      <w:bodyDiv w:val="1"/>
      <w:marLeft w:val="0"/>
      <w:marRight w:val="0"/>
      <w:marTop w:val="0"/>
      <w:marBottom w:val="0"/>
      <w:divBdr>
        <w:top w:val="none" w:sz="0" w:space="0" w:color="auto"/>
        <w:left w:val="none" w:sz="0" w:space="0" w:color="auto"/>
        <w:bottom w:val="none" w:sz="0" w:space="0" w:color="auto"/>
        <w:right w:val="none" w:sz="0" w:space="0" w:color="auto"/>
      </w:divBdr>
    </w:div>
    <w:div w:id="498345996">
      <w:bodyDiv w:val="1"/>
      <w:marLeft w:val="0"/>
      <w:marRight w:val="0"/>
      <w:marTop w:val="0"/>
      <w:marBottom w:val="0"/>
      <w:divBdr>
        <w:top w:val="none" w:sz="0" w:space="0" w:color="auto"/>
        <w:left w:val="none" w:sz="0" w:space="0" w:color="auto"/>
        <w:bottom w:val="none" w:sz="0" w:space="0" w:color="auto"/>
        <w:right w:val="none" w:sz="0" w:space="0" w:color="auto"/>
      </w:divBdr>
    </w:div>
    <w:div w:id="503055848">
      <w:bodyDiv w:val="1"/>
      <w:marLeft w:val="0"/>
      <w:marRight w:val="0"/>
      <w:marTop w:val="0"/>
      <w:marBottom w:val="0"/>
      <w:divBdr>
        <w:top w:val="none" w:sz="0" w:space="0" w:color="auto"/>
        <w:left w:val="none" w:sz="0" w:space="0" w:color="auto"/>
        <w:bottom w:val="none" w:sz="0" w:space="0" w:color="auto"/>
        <w:right w:val="none" w:sz="0" w:space="0" w:color="auto"/>
      </w:divBdr>
    </w:div>
    <w:div w:id="526872134">
      <w:bodyDiv w:val="1"/>
      <w:marLeft w:val="0"/>
      <w:marRight w:val="0"/>
      <w:marTop w:val="0"/>
      <w:marBottom w:val="0"/>
      <w:divBdr>
        <w:top w:val="none" w:sz="0" w:space="0" w:color="auto"/>
        <w:left w:val="none" w:sz="0" w:space="0" w:color="auto"/>
        <w:bottom w:val="none" w:sz="0" w:space="0" w:color="auto"/>
        <w:right w:val="none" w:sz="0" w:space="0" w:color="auto"/>
      </w:divBdr>
    </w:div>
    <w:div w:id="527983627">
      <w:bodyDiv w:val="1"/>
      <w:marLeft w:val="0"/>
      <w:marRight w:val="0"/>
      <w:marTop w:val="0"/>
      <w:marBottom w:val="0"/>
      <w:divBdr>
        <w:top w:val="none" w:sz="0" w:space="0" w:color="auto"/>
        <w:left w:val="none" w:sz="0" w:space="0" w:color="auto"/>
        <w:bottom w:val="none" w:sz="0" w:space="0" w:color="auto"/>
        <w:right w:val="none" w:sz="0" w:space="0" w:color="auto"/>
      </w:divBdr>
    </w:div>
    <w:div w:id="528645687">
      <w:bodyDiv w:val="1"/>
      <w:marLeft w:val="0"/>
      <w:marRight w:val="0"/>
      <w:marTop w:val="0"/>
      <w:marBottom w:val="0"/>
      <w:divBdr>
        <w:top w:val="none" w:sz="0" w:space="0" w:color="auto"/>
        <w:left w:val="none" w:sz="0" w:space="0" w:color="auto"/>
        <w:bottom w:val="none" w:sz="0" w:space="0" w:color="auto"/>
        <w:right w:val="none" w:sz="0" w:space="0" w:color="auto"/>
      </w:divBdr>
    </w:div>
    <w:div w:id="531964393">
      <w:bodyDiv w:val="1"/>
      <w:marLeft w:val="0"/>
      <w:marRight w:val="0"/>
      <w:marTop w:val="0"/>
      <w:marBottom w:val="0"/>
      <w:divBdr>
        <w:top w:val="none" w:sz="0" w:space="0" w:color="auto"/>
        <w:left w:val="none" w:sz="0" w:space="0" w:color="auto"/>
        <w:bottom w:val="none" w:sz="0" w:space="0" w:color="auto"/>
        <w:right w:val="none" w:sz="0" w:space="0" w:color="auto"/>
      </w:divBdr>
    </w:div>
    <w:div w:id="532811637">
      <w:bodyDiv w:val="1"/>
      <w:marLeft w:val="0"/>
      <w:marRight w:val="0"/>
      <w:marTop w:val="0"/>
      <w:marBottom w:val="0"/>
      <w:divBdr>
        <w:top w:val="none" w:sz="0" w:space="0" w:color="auto"/>
        <w:left w:val="none" w:sz="0" w:space="0" w:color="auto"/>
        <w:bottom w:val="none" w:sz="0" w:space="0" w:color="auto"/>
        <w:right w:val="none" w:sz="0" w:space="0" w:color="auto"/>
      </w:divBdr>
    </w:div>
    <w:div w:id="554589196">
      <w:bodyDiv w:val="1"/>
      <w:marLeft w:val="0"/>
      <w:marRight w:val="0"/>
      <w:marTop w:val="0"/>
      <w:marBottom w:val="0"/>
      <w:divBdr>
        <w:top w:val="none" w:sz="0" w:space="0" w:color="auto"/>
        <w:left w:val="none" w:sz="0" w:space="0" w:color="auto"/>
        <w:bottom w:val="none" w:sz="0" w:space="0" w:color="auto"/>
        <w:right w:val="none" w:sz="0" w:space="0" w:color="auto"/>
      </w:divBdr>
    </w:div>
    <w:div w:id="560870862">
      <w:bodyDiv w:val="1"/>
      <w:marLeft w:val="0"/>
      <w:marRight w:val="0"/>
      <w:marTop w:val="0"/>
      <w:marBottom w:val="0"/>
      <w:divBdr>
        <w:top w:val="none" w:sz="0" w:space="0" w:color="auto"/>
        <w:left w:val="none" w:sz="0" w:space="0" w:color="auto"/>
        <w:bottom w:val="none" w:sz="0" w:space="0" w:color="auto"/>
        <w:right w:val="none" w:sz="0" w:space="0" w:color="auto"/>
      </w:divBdr>
    </w:div>
    <w:div w:id="563879076">
      <w:bodyDiv w:val="1"/>
      <w:marLeft w:val="0"/>
      <w:marRight w:val="0"/>
      <w:marTop w:val="0"/>
      <w:marBottom w:val="0"/>
      <w:divBdr>
        <w:top w:val="none" w:sz="0" w:space="0" w:color="auto"/>
        <w:left w:val="none" w:sz="0" w:space="0" w:color="auto"/>
        <w:bottom w:val="none" w:sz="0" w:space="0" w:color="auto"/>
        <w:right w:val="none" w:sz="0" w:space="0" w:color="auto"/>
      </w:divBdr>
    </w:div>
    <w:div w:id="564025726">
      <w:bodyDiv w:val="1"/>
      <w:marLeft w:val="0"/>
      <w:marRight w:val="0"/>
      <w:marTop w:val="0"/>
      <w:marBottom w:val="0"/>
      <w:divBdr>
        <w:top w:val="none" w:sz="0" w:space="0" w:color="auto"/>
        <w:left w:val="none" w:sz="0" w:space="0" w:color="auto"/>
        <w:bottom w:val="none" w:sz="0" w:space="0" w:color="auto"/>
        <w:right w:val="none" w:sz="0" w:space="0" w:color="auto"/>
      </w:divBdr>
    </w:div>
    <w:div w:id="588273455">
      <w:bodyDiv w:val="1"/>
      <w:marLeft w:val="0"/>
      <w:marRight w:val="0"/>
      <w:marTop w:val="0"/>
      <w:marBottom w:val="0"/>
      <w:divBdr>
        <w:top w:val="none" w:sz="0" w:space="0" w:color="auto"/>
        <w:left w:val="none" w:sz="0" w:space="0" w:color="auto"/>
        <w:bottom w:val="none" w:sz="0" w:space="0" w:color="auto"/>
        <w:right w:val="none" w:sz="0" w:space="0" w:color="auto"/>
      </w:divBdr>
    </w:div>
    <w:div w:id="589504519">
      <w:bodyDiv w:val="1"/>
      <w:marLeft w:val="0"/>
      <w:marRight w:val="0"/>
      <w:marTop w:val="0"/>
      <w:marBottom w:val="0"/>
      <w:divBdr>
        <w:top w:val="none" w:sz="0" w:space="0" w:color="auto"/>
        <w:left w:val="none" w:sz="0" w:space="0" w:color="auto"/>
        <w:bottom w:val="none" w:sz="0" w:space="0" w:color="auto"/>
        <w:right w:val="none" w:sz="0" w:space="0" w:color="auto"/>
      </w:divBdr>
    </w:div>
    <w:div w:id="600183476">
      <w:bodyDiv w:val="1"/>
      <w:marLeft w:val="0"/>
      <w:marRight w:val="0"/>
      <w:marTop w:val="0"/>
      <w:marBottom w:val="0"/>
      <w:divBdr>
        <w:top w:val="none" w:sz="0" w:space="0" w:color="auto"/>
        <w:left w:val="none" w:sz="0" w:space="0" w:color="auto"/>
        <w:bottom w:val="none" w:sz="0" w:space="0" w:color="auto"/>
        <w:right w:val="none" w:sz="0" w:space="0" w:color="auto"/>
      </w:divBdr>
    </w:div>
    <w:div w:id="603071613">
      <w:bodyDiv w:val="1"/>
      <w:marLeft w:val="0"/>
      <w:marRight w:val="0"/>
      <w:marTop w:val="0"/>
      <w:marBottom w:val="0"/>
      <w:divBdr>
        <w:top w:val="none" w:sz="0" w:space="0" w:color="auto"/>
        <w:left w:val="none" w:sz="0" w:space="0" w:color="auto"/>
        <w:bottom w:val="none" w:sz="0" w:space="0" w:color="auto"/>
        <w:right w:val="none" w:sz="0" w:space="0" w:color="auto"/>
      </w:divBdr>
    </w:div>
    <w:div w:id="609165503">
      <w:bodyDiv w:val="1"/>
      <w:marLeft w:val="0"/>
      <w:marRight w:val="0"/>
      <w:marTop w:val="0"/>
      <w:marBottom w:val="0"/>
      <w:divBdr>
        <w:top w:val="none" w:sz="0" w:space="0" w:color="auto"/>
        <w:left w:val="none" w:sz="0" w:space="0" w:color="auto"/>
        <w:bottom w:val="none" w:sz="0" w:space="0" w:color="auto"/>
        <w:right w:val="none" w:sz="0" w:space="0" w:color="auto"/>
      </w:divBdr>
    </w:div>
    <w:div w:id="616452393">
      <w:bodyDiv w:val="1"/>
      <w:marLeft w:val="0"/>
      <w:marRight w:val="0"/>
      <w:marTop w:val="0"/>
      <w:marBottom w:val="0"/>
      <w:divBdr>
        <w:top w:val="none" w:sz="0" w:space="0" w:color="auto"/>
        <w:left w:val="none" w:sz="0" w:space="0" w:color="auto"/>
        <w:bottom w:val="none" w:sz="0" w:space="0" w:color="auto"/>
        <w:right w:val="none" w:sz="0" w:space="0" w:color="auto"/>
      </w:divBdr>
    </w:div>
    <w:div w:id="633756756">
      <w:bodyDiv w:val="1"/>
      <w:marLeft w:val="0"/>
      <w:marRight w:val="0"/>
      <w:marTop w:val="0"/>
      <w:marBottom w:val="0"/>
      <w:divBdr>
        <w:top w:val="none" w:sz="0" w:space="0" w:color="auto"/>
        <w:left w:val="none" w:sz="0" w:space="0" w:color="auto"/>
        <w:bottom w:val="none" w:sz="0" w:space="0" w:color="auto"/>
        <w:right w:val="none" w:sz="0" w:space="0" w:color="auto"/>
      </w:divBdr>
    </w:div>
    <w:div w:id="641884045">
      <w:bodyDiv w:val="1"/>
      <w:marLeft w:val="0"/>
      <w:marRight w:val="0"/>
      <w:marTop w:val="0"/>
      <w:marBottom w:val="0"/>
      <w:divBdr>
        <w:top w:val="none" w:sz="0" w:space="0" w:color="auto"/>
        <w:left w:val="none" w:sz="0" w:space="0" w:color="auto"/>
        <w:bottom w:val="none" w:sz="0" w:space="0" w:color="auto"/>
        <w:right w:val="none" w:sz="0" w:space="0" w:color="auto"/>
      </w:divBdr>
    </w:div>
    <w:div w:id="662587619">
      <w:bodyDiv w:val="1"/>
      <w:marLeft w:val="0"/>
      <w:marRight w:val="0"/>
      <w:marTop w:val="0"/>
      <w:marBottom w:val="0"/>
      <w:divBdr>
        <w:top w:val="none" w:sz="0" w:space="0" w:color="auto"/>
        <w:left w:val="none" w:sz="0" w:space="0" w:color="auto"/>
        <w:bottom w:val="none" w:sz="0" w:space="0" w:color="auto"/>
        <w:right w:val="none" w:sz="0" w:space="0" w:color="auto"/>
      </w:divBdr>
    </w:div>
    <w:div w:id="666982752">
      <w:bodyDiv w:val="1"/>
      <w:marLeft w:val="0"/>
      <w:marRight w:val="0"/>
      <w:marTop w:val="0"/>
      <w:marBottom w:val="0"/>
      <w:divBdr>
        <w:top w:val="none" w:sz="0" w:space="0" w:color="auto"/>
        <w:left w:val="none" w:sz="0" w:space="0" w:color="auto"/>
        <w:bottom w:val="none" w:sz="0" w:space="0" w:color="auto"/>
        <w:right w:val="none" w:sz="0" w:space="0" w:color="auto"/>
      </w:divBdr>
    </w:div>
    <w:div w:id="674918214">
      <w:bodyDiv w:val="1"/>
      <w:marLeft w:val="0"/>
      <w:marRight w:val="0"/>
      <w:marTop w:val="0"/>
      <w:marBottom w:val="0"/>
      <w:divBdr>
        <w:top w:val="none" w:sz="0" w:space="0" w:color="auto"/>
        <w:left w:val="none" w:sz="0" w:space="0" w:color="auto"/>
        <w:bottom w:val="none" w:sz="0" w:space="0" w:color="auto"/>
        <w:right w:val="none" w:sz="0" w:space="0" w:color="auto"/>
      </w:divBdr>
    </w:div>
    <w:div w:id="700863620">
      <w:bodyDiv w:val="1"/>
      <w:marLeft w:val="0"/>
      <w:marRight w:val="0"/>
      <w:marTop w:val="0"/>
      <w:marBottom w:val="0"/>
      <w:divBdr>
        <w:top w:val="none" w:sz="0" w:space="0" w:color="auto"/>
        <w:left w:val="none" w:sz="0" w:space="0" w:color="auto"/>
        <w:bottom w:val="none" w:sz="0" w:space="0" w:color="auto"/>
        <w:right w:val="none" w:sz="0" w:space="0" w:color="auto"/>
      </w:divBdr>
    </w:div>
    <w:div w:id="718091189">
      <w:bodyDiv w:val="1"/>
      <w:marLeft w:val="0"/>
      <w:marRight w:val="0"/>
      <w:marTop w:val="0"/>
      <w:marBottom w:val="0"/>
      <w:divBdr>
        <w:top w:val="none" w:sz="0" w:space="0" w:color="auto"/>
        <w:left w:val="none" w:sz="0" w:space="0" w:color="auto"/>
        <w:bottom w:val="none" w:sz="0" w:space="0" w:color="auto"/>
        <w:right w:val="none" w:sz="0" w:space="0" w:color="auto"/>
      </w:divBdr>
    </w:div>
    <w:div w:id="723679663">
      <w:bodyDiv w:val="1"/>
      <w:marLeft w:val="0"/>
      <w:marRight w:val="0"/>
      <w:marTop w:val="0"/>
      <w:marBottom w:val="0"/>
      <w:divBdr>
        <w:top w:val="none" w:sz="0" w:space="0" w:color="auto"/>
        <w:left w:val="none" w:sz="0" w:space="0" w:color="auto"/>
        <w:bottom w:val="none" w:sz="0" w:space="0" w:color="auto"/>
        <w:right w:val="none" w:sz="0" w:space="0" w:color="auto"/>
      </w:divBdr>
    </w:div>
    <w:div w:id="733041808">
      <w:bodyDiv w:val="1"/>
      <w:marLeft w:val="0"/>
      <w:marRight w:val="0"/>
      <w:marTop w:val="0"/>
      <w:marBottom w:val="0"/>
      <w:divBdr>
        <w:top w:val="none" w:sz="0" w:space="0" w:color="auto"/>
        <w:left w:val="none" w:sz="0" w:space="0" w:color="auto"/>
        <w:bottom w:val="none" w:sz="0" w:space="0" w:color="auto"/>
        <w:right w:val="none" w:sz="0" w:space="0" w:color="auto"/>
      </w:divBdr>
    </w:div>
    <w:div w:id="733697791">
      <w:bodyDiv w:val="1"/>
      <w:marLeft w:val="0"/>
      <w:marRight w:val="0"/>
      <w:marTop w:val="0"/>
      <w:marBottom w:val="0"/>
      <w:divBdr>
        <w:top w:val="none" w:sz="0" w:space="0" w:color="auto"/>
        <w:left w:val="none" w:sz="0" w:space="0" w:color="auto"/>
        <w:bottom w:val="none" w:sz="0" w:space="0" w:color="auto"/>
        <w:right w:val="none" w:sz="0" w:space="0" w:color="auto"/>
      </w:divBdr>
    </w:div>
    <w:div w:id="756437650">
      <w:bodyDiv w:val="1"/>
      <w:marLeft w:val="0"/>
      <w:marRight w:val="0"/>
      <w:marTop w:val="0"/>
      <w:marBottom w:val="0"/>
      <w:divBdr>
        <w:top w:val="none" w:sz="0" w:space="0" w:color="auto"/>
        <w:left w:val="none" w:sz="0" w:space="0" w:color="auto"/>
        <w:bottom w:val="none" w:sz="0" w:space="0" w:color="auto"/>
        <w:right w:val="none" w:sz="0" w:space="0" w:color="auto"/>
      </w:divBdr>
    </w:div>
    <w:div w:id="759760619">
      <w:bodyDiv w:val="1"/>
      <w:marLeft w:val="0"/>
      <w:marRight w:val="0"/>
      <w:marTop w:val="0"/>
      <w:marBottom w:val="0"/>
      <w:divBdr>
        <w:top w:val="none" w:sz="0" w:space="0" w:color="auto"/>
        <w:left w:val="none" w:sz="0" w:space="0" w:color="auto"/>
        <w:bottom w:val="none" w:sz="0" w:space="0" w:color="auto"/>
        <w:right w:val="none" w:sz="0" w:space="0" w:color="auto"/>
      </w:divBdr>
    </w:div>
    <w:div w:id="795022733">
      <w:bodyDiv w:val="1"/>
      <w:marLeft w:val="0"/>
      <w:marRight w:val="0"/>
      <w:marTop w:val="0"/>
      <w:marBottom w:val="0"/>
      <w:divBdr>
        <w:top w:val="none" w:sz="0" w:space="0" w:color="auto"/>
        <w:left w:val="none" w:sz="0" w:space="0" w:color="auto"/>
        <w:bottom w:val="none" w:sz="0" w:space="0" w:color="auto"/>
        <w:right w:val="none" w:sz="0" w:space="0" w:color="auto"/>
      </w:divBdr>
    </w:div>
    <w:div w:id="811869855">
      <w:bodyDiv w:val="1"/>
      <w:marLeft w:val="0"/>
      <w:marRight w:val="0"/>
      <w:marTop w:val="0"/>
      <w:marBottom w:val="0"/>
      <w:divBdr>
        <w:top w:val="none" w:sz="0" w:space="0" w:color="auto"/>
        <w:left w:val="none" w:sz="0" w:space="0" w:color="auto"/>
        <w:bottom w:val="none" w:sz="0" w:space="0" w:color="auto"/>
        <w:right w:val="none" w:sz="0" w:space="0" w:color="auto"/>
      </w:divBdr>
    </w:div>
    <w:div w:id="814369898">
      <w:bodyDiv w:val="1"/>
      <w:marLeft w:val="0"/>
      <w:marRight w:val="0"/>
      <w:marTop w:val="0"/>
      <w:marBottom w:val="0"/>
      <w:divBdr>
        <w:top w:val="none" w:sz="0" w:space="0" w:color="auto"/>
        <w:left w:val="none" w:sz="0" w:space="0" w:color="auto"/>
        <w:bottom w:val="none" w:sz="0" w:space="0" w:color="auto"/>
        <w:right w:val="none" w:sz="0" w:space="0" w:color="auto"/>
      </w:divBdr>
    </w:div>
    <w:div w:id="876090706">
      <w:bodyDiv w:val="1"/>
      <w:marLeft w:val="0"/>
      <w:marRight w:val="0"/>
      <w:marTop w:val="0"/>
      <w:marBottom w:val="0"/>
      <w:divBdr>
        <w:top w:val="none" w:sz="0" w:space="0" w:color="auto"/>
        <w:left w:val="none" w:sz="0" w:space="0" w:color="auto"/>
        <w:bottom w:val="none" w:sz="0" w:space="0" w:color="auto"/>
        <w:right w:val="none" w:sz="0" w:space="0" w:color="auto"/>
      </w:divBdr>
    </w:div>
    <w:div w:id="877276089">
      <w:bodyDiv w:val="1"/>
      <w:marLeft w:val="0"/>
      <w:marRight w:val="0"/>
      <w:marTop w:val="0"/>
      <w:marBottom w:val="0"/>
      <w:divBdr>
        <w:top w:val="none" w:sz="0" w:space="0" w:color="auto"/>
        <w:left w:val="none" w:sz="0" w:space="0" w:color="auto"/>
        <w:bottom w:val="none" w:sz="0" w:space="0" w:color="auto"/>
        <w:right w:val="none" w:sz="0" w:space="0" w:color="auto"/>
      </w:divBdr>
    </w:div>
    <w:div w:id="897089128">
      <w:bodyDiv w:val="1"/>
      <w:marLeft w:val="0"/>
      <w:marRight w:val="0"/>
      <w:marTop w:val="0"/>
      <w:marBottom w:val="0"/>
      <w:divBdr>
        <w:top w:val="none" w:sz="0" w:space="0" w:color="auto"/>
        <w:left w:val="none" w:sz="0" w:space="0" w:color="auto"/>
        <w:bottom w:val="none" w:sz="0" w:space="0" w:color="auto"/>
        <w:right w:val="none" w:sz="0" w:space="0" w:color="auto"/>
      </w:divBdr>
    </w:div>
    <w:div w:id="916743973">
      <w:bodyDiv w:val="1"/>
      <w:marLeft w:val="0"/>
      <w:marRight w:val="0"/>
      <w:marTop w:val="0"/>
      <w:marBottom w:val="0"/>
      <w:divBdr>
        <w:top w:val="none" w:sz="0" w:space="0" w:color="auto"/>
        <w:left w:val="none" w:sz="0" w:space="0" w:color="auto"/>
        <w:bottom w:val="none" w:sz="0" w:space="0" w:color="auto"/>
        <w:right w:val="none" w:sz="0" w:space="0" w:color="auto"/>
      </w:divBdr>
    </w:div>
    <w:div w:id="925961908">
      <w:bodyDiv w:val="1"/>
      <w:marLeft w:val="0"/>
      <w:marRight w:val="0"/>
      <w:marTop w:val="0"/>
      <w:marBottom w:val="0"/>
      <w:divBdr>
        <w:top w:val="none" w:sz="0" w:space="0" w:color="auto"/>
        <w:left w:val="none" w:sz="0" w:space="0" w:color="auto"/>
        <w:bottom w:val="none" w:sz="0" w:space="0" w:color="auto"/>
        <w:right w:val="none" w:sz="0" w:space="0" w:color="auto"/>
      </w:divBdr>
    </w:div>
    <w:div w:id="946624663">
      <w:bodyDiv w:val="1"/>
      <w:marLeft w:val="0"/>
      <w:marRight w:val="0"/>
      <w:marTop w:val="0"/>
      <w:marBottom w:val="0"/>
      <w:divBdr>
        <w:top w:val="none" w:sz="0" w:space="0" w:color="auto"/>
        <w:left w:val="none" w:sz="0" w:space="0" w:color="auto"/>
        <w:bottom w:val="none" w:sz="0" w:space="0" w:color="auto"/>
        <w:right w:val="none" w:sz="0" w:space="0" w:color="auto"/>
      </w:divBdr>
    </w:div>
    <w:div w:id="974485879">
      <w:bodyDiv w:val="1"/>
      <w:marLeft w:val="0"/>
      <w:marRight w:val="0"/>
      <w:marTop w:val="0"/>
      <w:marBottom w:val="0"/>
      <w:divBdr>
        <w:top w:val="none" w:sz="0" w:space="0" w:color="auto"/>
        <w:left w:val="none" w:sz="0" w:space="0" w:color="auto"/>
        <w:bottom w:val="none" w:sz="0" w:space="0" w:color="auto"/>
        <w:right w:val="none" w:sz="0" w:space="0" w:color="auto"/>
      </w:divBdr>
    </w:div>
    <w:div w:id="979069091">
      <w:bodyDiv w:val="1"/>
      <w:marLeft w:val="0"/>
      <w:marRight w:val="0"/>
      <w:marTop w:val="0"/>
      <w:marBottom w:val="0"/>
      <w:divBdr>
        <w:top w:val="none" w:sz="0" w:space="0" w:color="auto"/>
        <w:left w:val="none" w:sz="0" w:space="0" w:color="auto"/>
        <w:bottom w:val="none" w:sz="0" w:space="0" w:color="auto"/>
        <w:right w:val="none" w:sz="0" w:space="0" w:color="auto"/>
      </w:divBdr>
    </w:div>
    <w:div w:id="1007364093">
      <w:bodyDiv w:val="1"/>
      <w:marLeft w:val="0"/>
      <w:marRight w:val="0"/>
      <w:marTop w:val="0"/>
      <w:marBottom w:val="0"/>
      <w:divBdr>
        <w:top w:val="none" w:sz="0" w:space="0" w:color="auto"/>
        <w:left w:val="none" w:sz="0" w:space="0" w:color="auto"/>
        <w:bottom w:val="none" w:sz="0" w:space="0" w:color="auto"/>
        <w:right w:val="none" w:sz="0" w:space="0" w:color="auto"/>
      </w:divBdr>
    </w:div>
    <w:div w:id="1040861346">
      <w:bodyDiv w:val="1"/>
      <w:marLeft w:val="0"/>
      <w:marRight w:val="0"/>
      <w:marTop w:val="0"/>
      <w:marBottom w:val="0"/>
      <w:divBdr>
        <w:top w:val="none" w:sz="0" w:space="0" w:color="auto"/>
        <w:left w:val="none" w:sz="0" w:space="0" w:color="auto"/>
        <w:bottom w:val="none" w:sz="0" w:space="0" w:color="auto"/>
        <w:right w:val="none" w:sz="0" w:space="0" w:color="auto"/>
      </w:divBdr>
    </w:div>
    <w:div w:id="1065299778">
      <w:bodyDiv w:val="1"/>
      <w:marLeft w:val="0"/>
      <w:marRight w:val="0"/>
      <w:marTop w:val="0"/>
      <w:marBottom w:val="0"/>
      <w:divBdr>
        <w:top w:val="none" w:sz="0" w:space="0" w:color="auto"/>
        <w:left w:val="none" w:sz="0" w:space="0" w:color="auto"/>
        <w:bottom w:val="none" w:sz="0" w:space="0" w:color="auto"/>
        <w:right w:val="none" w:sz="0" w:space="0" w:color="auto"/>
      </w:divBdr>
    </w:div>
    <w:div w:id="1065763940">
      <w:bodyDiv w:val="1"/>
      <w:marLeft w:val="0"/>
      <w:marRight w:val="0"/>
      <w:marTop w:val="0"/>
      <w:marBottom w:val="0"/>
      <w:divBdr>
        <w:top w:val="none" w:sz="0" w:space="0" w:color="auto"/>
        <w:left w:val="none" w:sz="0" w:space="0" w:color="auto"/>
        <w:bottom w:val="none" w:sz="0" w:space="0" w:color="auto"/>
        <w:right w:val="none" w:sz="0" w:space="0" w:color="auto"/>
      </w:divBdr>
    </w:div>
    <w:div w:id="1071541287">
      <w:bodyDiv w:val="1"/>
      <w:marLeft w:val="0"/>
      <w:marRight w:val="0"/>
      <w:marTop w:val="0"/>
      <w:marBottom w:val="0"/>
      <w:divBdr>
        <w:top w:val="none" w:sz="0" w:space="0" w:color="auto"/>
        <w:left w:val="none" w:sz="0" w:space="0" w:color="auto"/>
        <w:bottom w:val="none" w:sz="0" w:space="0" w:color="auto"/>
        <w:right w:val="none" w:sz="0" w:space="0" w:color="auto"/>
      </w:divBdr>
    </w:div>
    <w:div w:id="1077021503">
      <w:bodyDiv w:val="1"/>
      <w:marLeft w:val="0"/>
      <w:marRight w:val="0"/>
      <w:marTop w:val="0"/>
      <w:marBottom w:val="0"/>
      <w:divBdr>
        <w:top w:val="none" w:sz="0" w:space="0" w:color="auto"/>
        <w:left w:val="none" w:sz="0" w:space="0" w:color="auto"/>
        <w:bottom w:val="none" w:sz="0" w:space="0" w:color="auto"/>
        <w:right w:val="none" w:sz="0" w:space="0" w:color="auto"/>
      </w:divBdr>
    </w:div>
    <w:div w:id="1086878476">
      <w:bodyDiv w:val="1"/>
      <w:marLeft w:val="0"/>
      <w:marRight w:val="0"/>
      <w:marTop w:val="0"/>
      <w:marBottom w:val="0"/>
      <w:divBdr>
        <w:top w:val="none" w:sz="0" w:space="0" w:color="auto"/>
        <w:left w:val="none" w:sz="0" w:space="0" w:color="auto"/>
        <w:bottom w:val="none" w:sz="0" w:space="0" w:color="auto"/>
        <w:right w:val="none" w:sz="0" w:space="0" w:color="auto"/>
      </w:divBdr>
    </w:div>
    <w:div w:id="1114328983">
      <w:bodyDiv w:val="1"/>
      <w:marLeft w:val="0"/>
      <w:marRight w:val="0"/>
      <w:marTop w:val="0"/>
      <w:marBottom w:val="0"/>
      <w:divBdr>
        <w:top w:val="none" w:sz="0" w:space="0" w:color="auto"/>
        <w:left w:val="none" w:sz="0" w:space="0" w:color="auto"/>
        <w:bottom w:val="none" w:sz="0" w:space="0" w:color="auto"/>
        <w:right w:val="none" w:sz="0" w:space="0" w:color="auto"/>
      </w:divBdr>
    </w:div>
    <w:div w:id="1117024980">
      <w:bodyDiv w:val="1"/>
      <w:marLeft w:val="0"/>
      <w:marRight w:val="0"/>
      <w:marTop w:val="0"/>
      <w:marBottom w:val="0"/>
      <w:divBdr>
        <w:top w:val="none" w:sz="0" w:space="0" w:color="auto"/>
        <w:left w:val="none" w:sz="0" w:space="0" w:color="auto"/>
        <w:bottom w:val="none" w:sz="0" w:space="0" w:color="auto"/>
        <w:right w:val="none" w:sz="0" w:space="0" w:color="auto"/>
      </w:divBdr>
    </w:div>
    <w:div w:id="1120804162">
      <w:bodyDiv w:val="1"/>
      <w:marLeft w:val="0"/>
      <w:marRight w:val="0"/>
      <w:marTop w:val="0"/>
      <w:marBottom w:val="0"/>
      <w:divBdr>
        <w:top w:val="none" w:sz="0" w:space="0" w:color="auto"/>
        <w:left w:val="none" w:sz="0" w:space="0" w:color="auto"/>
        <w:bottom w:val="none" w:sz="0" w:space="0" w:color="auto"/>
        <w:right w:val="none" w:sz="0" w:space="0" w:color="auto"/>
      </w:divBdr>
    </w:div>
    <w:div w:id="1138838262">
      <w:bodyDiv w:val="1"/>
      <w:marLeft w:val="0"/>
      <w:marRight w:val="0"/>
      <w:marTop w:val="0"/>
      <w:marBottom w:val="0"/>
      <w:divBdr>
        <w:top w:val="none" w:sz="0" w:space="0" w:color="auto"/>
        <w:left w:val="none" w:sz="0" w:space="0" w:color="auto"/>
        <w:bottom w:val="none" w:sz="0" w:space="0" w:color="auto"/>
        <w:right w:val="none" w:sz="0" w:space="0" w:color="auto"/>
      </w:divBdr>
    </w:div>
    <w:div w:id="1153377588">
      <w:bodyDiv w:val="1"/>
      <w:marLeft w:val="0"/>
      <w:marRight w:val="0"/>
      <w:marTop w:val="0"/>
      <w:marBottom w:val="0"/>
      <w:divBdr>
        <w:top w:val="none" w:sz="0" w:space="0" w:color="auto"/>
        <w:left w:val="none" w:sz="0" w:space="0" w:color="auto"/>
        <w:bottom w:val="none" w:sz="0" w:space="0" w:color="auto"/>
        <w:right w:val="none" w:sz="0" w:space="0" w:color="auto"/>
      </w:divBdr>
    </w:div>
    <w:div w:id="1180706507">
      <w:bodyDiv w:val="1"/>
      <w:marLeft w:val="0"/>
      <w:marRight w:val="0"/>
      <w:marTop w:val="0"/>
      <w:marBottom w:val="0"/>
      <w:divBdr>
        <w:top w:val="none" w:sz="0" w:space="0" w:color="auto"/>
        <w:left w:val="none" w:sz="0" w:space="0" w:color="auto"/>
        <w:bottom w:val="none" w:sz="0" w:space="0" w:color="auto"/>
        <w:right w:val="none" w:sz="0" w:space="0" w:color="auto"/>
      </w:divBdr>
    </w:div>
    <w:div w:id="1187793705">
      <w:bodyDiv w:val="1"/>
      <w:marLeft w:val="0"/>
      <w:marRight w:val="0"/>
      <w:marTop w:val="0"/>
      <w:marBottom w:val="0"/>
      <w:divBdr>
        <w:top w:val="none" w:sz="0" w:space="0" w:color="auto"/>
        <w:left w:val="none" w:sz="0" w:space="0" w:color="auto"/>
        <w:bottom w:val="none" w:sz="0" w:space="0" w:color="auto"/>
        <w:right w:val="none" w:sz="0" w:space="0" w:color="auto"/>
      </w:divBdr>
    </w:div>
    <w:div w:id="1197428529">
      <w:bodyDiv w:val="1"/>
      <w:marLeft w:val="0"/>
      <w:marRight w:val="0"/>
      <w:marTop w:val="0"/>
      <w:marBottom w:val="0"/>
      <w:divBdr>
        <w:top w:val="none" w:sz="0" w:space="0" w:color="auto"/>
        <w:left w:val="none" w:sz="0" w:space="0" w:color="auto"/>
        <w:bottom w:val="none" w:sz="0" w:space="0" w:color="auto"/>
        <w:right w:val="none" w:sz="0" w:space="0" w:color="auto"/>
      </w:divBdr>
    </w:div>
    <w:div w:id="1198200488">
      <w:bodyDiv w:val="1"/>
      <w:marLeft w:val="0"/>
      <w:marRight w:val="0"/>
      <w:marTop w:val="0"/>
      <w:marBottom w:val="0"/>
      <w:divBdr>
        <w:top w:val="none" w:sz="0" w:space="0" w:color="auto"/>
        <w:left w:val="none" w:sz="0" w:space="0" w:color="auto"/>
        <w:bottom w:val="none" w:sz="0" w:space="0" w:color="auto"/>
        <w:right w:val="none" w:sz="0" w:space="0" w:color="auto"/>
      </w:divBdr>
    </w:div>
    <w:div w:id="1232158449">
      <w:bodyDiv w:val="1"/>
      <w:marLeft w:val="0"/>
      <w:marRight w:val="0"/>
      <w:marTop w:val="0"/>
      <w:marBottom w:val="0"/>
      <w:divBdr>
        <w:top w:val="none" w:sz="0" w:space="0" w:color="auto"/>
        <w:left w:val="none" w:sz="0" w:space="0" w:color="auto"/>
        <w:bottom w:val="none" w:sz="0" w:space="0" w:color="auto"/>
        <w:right w:val="none" w:sz="0" w:space="0" w:color="auto"/>
      </w:divBdr>
    </w:div>
    <w:div w:id="1236278647">
      <w:bodyDiv w:val="1"/>
      <w:marLeft w:val="0"/>
      <w:marRight w:val="0"/>
      <w:marTop w:val="0"/>
      <w:marBottom w:val="0"/>
      <w:divBdr>
        <w:top w:val="none" w:sz="0" w:space="0" w:color="auto"/>
        <w:left w:val="none" w:sz="0" w:space="0" w:color="auto"/>
        <w:bottom w:val="none" w:sz="0" w:space="0" w:color="auto"/>
        <w:right w:val="none" w:sz="0" w:space="0" w:color="auto"/>
      </w:divBdr>
    </w:div>
    <w:div w:id="1243687699">
      <w:bodyDiv w:val="1"/>
      <w:marLeft w:val="0"/>
      <w:marRight w:val="0"/>
      <w:marTop w:val="0"/>
      <w:marBottom w:val="0"/>
      <w:divBdr>
        <w:top w:val="none" w:sz="0" w:space="0" w:color="auto"/>
        <w:left w:val="none" w:sz="0" w:space="0" w:color="auto"/>
        <w:bottom w:val="none" w:sz="0" w:space="0" w:color="auto"/>
        <w:right w:val="none" w:sz="0" w:space="0" w:color="auto"/>
      </w:divBdr>
    </w:div>
    <w:div w:id="1253779169">
      <w:bodyDiv w:val="1"/>
      <w:marLeft w:val="0"/>
      <w:marRight w:val="0"/>
      <w:marTop w:val="0"/>
      <w:marBottom w:val="0"/>
      <w:divBdr>
        <w:top w:val="none" w:sz="0" w:space="0" w:color="auto"/>
        <w:left w:val="none" w:sz="0" w:space="0" w:color="auto"/>
        <w:bottom w:val="none" w:sz="0" w:space="0" w:color="auto"/>
        <w:right w:val="none" w:sz="0" w:space="0" w:color="auto"/>
      </w:divBdr>
    </w:div>
    <w:div w:id="1293243082">
      <w:bodyDiv w:val="1"/>
      <w:marLeft w:val="0"/>
      <w:marRight w:val="0"/>
      <w:marTop w:val="0"/>
      <w:marBottom w:val="0"/>
      <w:divBdr>
        <w:top w:val="none" w:sz="0" w:space="0" w:color="auto"/>
        <w:left w:val="none" w:sz="0" w:space="0" w:color="auto"/>
        <w:bottom w:val="none" w:sz="0" w:space="0" w:color="auto"/>
        <w:right w:val="none" w:sz="0" w:space="0" w:color="auto"/>
      </w:divBdr>
    </w:div>
    <w:div w:id="1295522108">
      <w:bodyDiv w:val="1"/>
      <w:marLeft w:val="0"/>
      <w:marRight w:val="0"/>
      <w:marTop w:val="0"/>
      <w:marBottom w:val="0"/>
      <w:divBdr>
        <w:top w:val="none" w:sz="0" w:space="0" w:color="auto"/>
        <w:left w:val="none" w:sz="0" w:space="0" w:color="auto"/>
        <w:bottom w:val="none" w:sz="0" w:space="0" w:color="auto"/>
        <w:right w:val="none" w:sz="0" w:space="0" w:color="auto"/>
      </w:divBdr>
    </w:div>
    <w:div w:id="1295987366">
      <w:bodyDiv w:val="1"/>
      <w:marLeft w:val="0"/>
      <w:marRight w:val="0"/>
      <w:marTop w:val="0"/>
      <w:marBottom w:val="0"/>
      <w:divBdr>
        <w:top w:val="none" w:sz="0" w:space="0" w:color="auto"/>
        <w:left w:val="none" w:sz="0" w:space="0" w:color="auto"/>
        <w:bottom w:val="none" w:sz="0" w:space="0" w:color="auto"/>
        <w:right w:val="none" w:sz="0" w:space="0" w:color="auto"/>
      </w:divBdr>
    </w:div>
    <w:div w:id="1304046097">
      <w:bodyDiv w:val="1"/>
      <w:marLeft w:val="0"/>
      <w:marRight w:val="0"/>
      <w:marTop w:val="0"/>
      <w:marBottom w:val="0"/>
      <w:divBdr>
        <w:top w:val="none" w:sz="0" w:space="0" w:color="auto"/>
        <w:left w:val="none" w:sz="0" w:space="0" w:color="auto"/>
        <w:bottom w:val="none" w:sz="0" w:space="0" w:color="auto"/>
        <w:right w:val="none" w:sz="0" w:space="0" w:color="auto"/>
      </w:divBdr>
    </w:div>
    <w:div w:id="1345278631">
      <w:bodyDiv w:val="1"/>
      <w:marLeft w:val="0"/>
      <w:marRight w:val="0"/>
      <w:marTop w:val="0"/>
      <w:marBottom w:val="0"/>
      <w:divBdr>
        <w:top w:val="none" w:sz="0" w:space="0" w:color="auto"/>
        <w:left w:val="none" w:sz="0" w:space="0" w:color="auto"/>
        <w:bottom w:val="none" w:sz="0" w:space="0" w:color="auto"/>
        <w:right w:val="none" w:sz="0" w:space="0" w:color="auto"/>
      </w:divBdr>
    </w:div>
    <w:div w:id="1347251763">
      <w:bodyDiv w:val="1"/>
      <w:marLeft w:val="0"/>
      <w:marRight w:val="0"/>
      <w:marTop w:val="0"/>
      <w:marBottom w:val="0"/>
      <w:divBdr>
        <w:top w:val="none" w:sz="0" w:space="0" w:color="auto"/>
        <w:left w:val="none" w:sz="0" w:space="0" w:color="auto"/>
        <w:bottom w:val="none" w:sz="0" w:space="0" w:color="auto"/>
        <w:right w:val="none" w:sz="0" w:space="0" w:color="auto"/>
      </w:divBdr>
    </w:div>
    <w:div w:id="1349716577">
      <w:bodyDiv w:val="1"/>
      <w:marLeft w:val="0"/>
      <w:marRight w:val="0"/>
      <w:marTop w:val="0"/>
      <w:marBottom w:val="0"/>
      <w:divBdr>
        <w:top w:val="none" w:sz="0" w:space="0" w:color="auto"/>
        <w:left w:val="none" w:sz="0" w:space="0" w:color="auto"/>
        <w:bottom w:val="none" w:sz="0" w:space="0" w:color="auto"/>
        <w:right w:val="none" w:sz="0" w:space="0" w:color="auto"/>
      </w:divBdr>
    </w:div>
    <w:div w:id="1355227352">
      <w:bodyDiv w:val="1"/>
      <w:marLeft w:val="0"/>
      <w:marRight w:val="0"/>
      <w:marTop w:val="0"/>
      <w:marBottom w:val="0"/>
      <w:divBdr>
        <w:top w:val="none" w:sz="0" w:space="0" w:color="auto"/>
        <w:left w:val="none" w:sz="0" w:space="0" w:color="auto"/>
        <w:bottom w:val="none" w:sz="0" w:space="0" w:color="auto"/>
        <w:right w:val="none" w:sz="0" w:space="0" w:color="auto"/>
      </w:divBdr>
    </w:div>
    <w:div w:id="1380470223">
      <w:bodyDiv w:val="1"/>
      <w:marLeft w:val="0"/>
      <w:marRight w:val="0"/>
      <w:marTop w:val="0"/>
      <w:marBottom w:val="0"/>
      <w:divBdr>
        <w:top w:val="none" w:sz="0" w:space="0" w:color="auto"/>
        <w:left w:val="none" w:sz="0" w:space="0" w:color="auto"/>
        <w:bottom w:val="none" w:sz="0" w:space="0" w:color="auto"/>
        <w:right w:val="none" w:sz="0" w:space="0" w:color="auto"/>
      </w:divBdr>
    </w:div>
    <w:div w:id="1384216643">
      <w:bodyDiv w:val="1"/>
      <w:marLeft w:val="0"/>
      <w:marRight w:val="0"/>
      <w:marTop w:val="0"/>
      <w:marBottom w:val="0"/>
      <w:divBdr>
        <w:top w:val="none" w:sz="0" w:space="0" w:color="auto"/>
        <w:left w:val="none" w:sz="0" w:space="0" w:color="auto"/>
        <w:bottom w:val="none" w:sz="0" w:space="0" w:color="auto"/>
        <w:right w:val="none" w:sz="0" w:space="0" w:color="auto"/>
      </w:divBdr>
    </w:div>
    <w:div w:id="1388719500">
      <w:bodyDiv w:val="1"/>
      <w:marLeft w:val="0"/>
      <w:marRight w:val="0"/>
      <w:marTop w:val="0"/>
      <w:marBottom w:val="0"/>
      <w:divBdr>
        <w:top w:val="none" w:sz="0" w:space="0" w:color="auto"/>
        <w:left w:val="none" w:sz="0" w:space="0" w:color="auto"/>
        <w:bottom w:val="none" w:sz="0" w:space="0" w:color="auto"/>
        <w:right w:val="none" w:sz="0" w:space="0" w:color="auto"/>
      </w:divBdr>
    </w:div>
    <w:div w:id="1405639163">
      <w:bodyDiv w:val="1"/>
      <w:marLeft w:val="0"/>
      <w:marRight w:val="0"/>
      <w:marTop w:val="0"/>
      <w:marBottom w:val="0"/>
      <w:divBdr>
        <w:top w:val="none" w:sz="0" w:space="0" w:color="auto"/>
        <w:left w:val="none" w:sz="0" w:space="0" w:color="auto"/>
        <w:bottom w:val="none" w:sz="0" w:space="0" w:color="auto"/>
        <w:right w:val="none" w:sz="0" w:space="0" w:color="auto"/>
      </w:divBdr>
    </w:div>
    <w:div w:id="1407341813">
      <w:bodyDiv w:val="1"/>
      <w:marLeft w:val="0"/>
      <w:marRight w:val="0"/>
      <w:marTop w:val="0"/>
      <w:marBottom w:val="0"/>
      <w:divBdr>
        <w:top w:val="none" w:sz="0" w:space="0" w:color="auto"/>
        <w:left w:val="none" w:sz="0" w:space="0" w:color="auto"/>
        <w:bottom w:val="none" w:sz="0" w:space="0" w:color="auto"/>
        <w:right w:val="none" w:sz="0" w:space="0" w:color="auto"/>
      </w:divBdr>
    </w:div>
    <w:div w:id="1417899709">
      <w:bodyDiv w:val="1"/>
      <w:marLeft w:val="0"/>
      <w:marRight w:val="0"/>
      <w:marTop w:val="0"/>
      <w:marBottom w:val="0"/>
      <w:divBdr>
        <w:top w:val="none" w:sz="0" w:space="0" w:color="auto"/>
        <w:left w:val="none" w:sz="0" w:space="0" w:color="auto"/>
        <w:bottom w:val="none" w:sz="0" w:space="0" w:color="auto"/>
        <w:right w:val="none" w:sz="0" w:space="0" w:color="auto"/>
      </w:divBdr>
    </w:div>
    <w:div w:id="1421029197">
      <w:bodyDiv w:val="1"/>
      <w:marLeft w:val="0"/>
      <w:marRight w:val="0"/>
      <w:marTop w:val="0"/>
      <w:marBottom w:val="0"/>
      <w:divBdr>
        <w:top w:val="none" w:sz="0" w:space="0" w:color="auto"/>
        <w:left w:val="none" w:sz="0" w:space="0" w:color="auto"/>
        <w:bottom w:val="none" w:sz="0" w:space="0" w:color="auto"/>
        <w:right w:val="none" w:sz="0" w:space="0" w:color="auto"/>
      </w:divBdr>
    </w:div>
    <w:div w:id="1447459422">
      <w:bodyDiv w:val="1"/>
      <w:marLeft w:val="0"/>
      <w:marRight w:val="0"/>
      <w:marTop w:val="0"/>
      <w:marBottom w:val="0"/>
      <w:divBdr>
        <w:top w:val="none" w:sz="0" w:space="0" w:color="auto"/>
        <w:left w:val="none" w:sz="0" w:space="0" w:color="auto"/>
        <w:bottom w:val="none" w:sz="0" w:space="0" w:color="auto"/>
        <w:right w:val="none" w:sz="0" w:space="0" w:color="auto"/>
      </w:divBdr>
    </w:div>
    <w:div w:id="1453941027">
      <w:bodyDiv w:val="1"/>
      <w:marLeft w:val="0"/>
      <w:marRight w:val="0"/>
      <w:marTop w:val="0"/>
      <w:marBottom w:val="0"/>
      <w:divBdr>
        <w:top w:val="none" w:sz="0" w:space="0" w:color="auto"/>
        <w:left w:val="none" w:sz="0" w:space="0" w:color="auto"/>
        <w:bottom w:val="none" w:sz="0" w:space="0" w:color="auto"/>
        <w:right w:val="none" w:sz="0" w:space="0" w:color="auto"/>
      </w:divBdr>
    </w:div>
    <w:div w:id="1457409393">
      <w:bodyDiv w:val="1"/>
      <w:marLeft w:val="0"/>
      <w:marRight w:val="0"/>
      <w:marTop w:val="0"/>
      <w:marBottom w:val="0"/>
      <w:divBdr>
        <w:top w:val="none" w:sz="0" w:space="0" w:color="auto"/>
        <w:left w:val="none" w:sz="0" w:space="0" w:color="auto"/>
        <w:bottom w:val="none" w:sz="0" w:space="0" w:color="auto"/>
        <w:right w:val="none" w:sz="0" w:space="0" w:color="auto"/>
      </w:divBdr>
    </w:div>
    <w:div w:id="1480658917">
      <w:bodyDiv w:val="1"/>
      <w:marLeft w:val="0"/>
      <w:marRight w:val="0"/>
      <w:marTop w:val="0"/>
      <w:marBottom w:val="0"/>
      <w:divBdr>
        <w:top w:val="none" w:sz="0" w:space="0" w:color="auto"/>
        <w:left w:val="none" w:sz="0" w:space="0" w:color="auto"/>
        <w:bottom w:val="none" w:sz="0" w:space="0" w:color="auto"/>
        <w:right w:val="none" w:sz="0" w:space="0" w:color="auto"/>
      </w:divBdr>
    </w:div>
    <w:div w:id="1483692514">
      <w:bodyDiv w:val="1"/>
      <w:marLeft w:val="0"/>
      <w:marRight w:val="0"/>
      <w:marTop w:val="0"/>
      <w:marBottom w:val="0"/>
      <w:divBdr>
        <w:top w:val="none" w:sz="0" w:space="0" w:color="auto"/>
        <w:left w:val="none" w:sz="0" w:space="0" w:color="auto"/>
        <w:bottom w:val="none" w:sz="0" w:space="0" w:color="auto"/>
        <w:right w:val="none" w:sz="0" w:space="0" w:color="auto"/>
      </w:divBdr>
    </w:div>
    <w:div w:id="1484351342">
      <w:bodyDiv w:val="1"/>
      <w:marLeft w:val="0"/>
      <w:marRight w:val="0"/>
      <w:marTop w:val="0"/>
      <w:marBottom w:val="0"/>
      <w:divBdr>
        <w:top w:val="none" w:sz="0" w:space="0" w:color="auto"/>
        <w:left w:val="none" w:sz="0" w:space="0" w:color="auto"/>
        <w:bottom w:val="none" w:sz="0" w:space="0" w:color="auto"/>
        <w:right w:val="none" w:sz="0" w:space="0" w:color="auto"/>
      </w:divBdr>
    </w:div>
    <w:div w:id="1493646084">
      <w:bodyDiv w:val="1"/>
      <w:marLeft w:val="0"/>
      <w:marRight w:val="0"/>
      <w:marTop w:val="0"/>
      <w:marBottom w:val="0"/>
      <w:divBdr>
        <w:top w:val="none" w:sz="0" w:space="0" w:color="auto"/>
        <w:left w:val="none" w:sz="0" w:space="0" w:color="auto"/>
        <w:bottom w:val="none" w:sz="0" w:space="0" w:color="auto"/>
        <w:right w:val="none" w:sz="0" w:space="0" w:color="auto"/>
      </w:divBdr>
    </w:div>
    <w:div w:id="1523588210">
      <w:bodyDiv w:val="1"/>
      <w:marLeft w:val="0"/>
      <w:marRight w:val="0"/>
      <w:marTop w:val="0"/>
      <w:marBottom w:val="0"/>
      <w:divBdr>
        <w:top w:val="none" w:sz="0" w:space="0" w:color="auto"/>
        <w:left w:val="none" w:sz="0" w:space="0" w:color="auto"/>
        <w:bottom w:val="none" w:sz="0" w:space="0" w:color="auto"/>
        <w:right w:val="none" w:sz="0" w:space="0" w:color="auto"/>
      </w:divBdr>
    </w:div>
    <w:div w:id="1542286069">
      <w:bodyDiv w:val="1"/>
      <w:marLeft w:val="0"/>
      <w:marRight w:val="0"/>
      <w:marTop w:val="0"/>
      <w:marBottom w:val="0"/>
      <w:divBdr>
        <w:top w:val="none" w:sz="0" w:space="0" w:color="auto"/>
        <w:left w:val="none" w:sz="0" w:space="0" w:color="auto"/>
        <w:bottom w:val="none" w:sz="0" w:space="0" w:color="auto"/>
        <w:right w:val="none" w:sz="0" w:space="0" w:color="auto"/>
      </w:divBdr>
    </w:div>
    <w:div w:id="1546675528">
      <w:bodyDiv w:val="1"/>
      <w:marLeft w:val="0"/>
      <w:marRight w:val="0"/>
      <w:marTop w:val="0"/>
      <w:marBottom w:val="0"/>
      <w:divBdr>
        <w:top w:val="none" w:sz="0" w:space="0" w:color="auto"/>
        <w:left w:val="none" w:sz="0" w:space="0" w:color="auto"/>
        <w:bottom w:val="none" w:sz="0" w:space="0" w:color="auto"/>
        <w:right w:val="none" w:sz="0" w:space="0" w:color="auto"/>
      </w:divBdr>
    </w:div>
    <w:div w:id="1549686819">
      <w:bodyDiv w:val="1"/>
      <w:marLeft w:val="0"/>
      <w:marRight w:val="0"/>
      <w:marTop w:val="0"/>
      <w:marBottom w:val="0"/>
      <w:divBdr>
        <w:top w:val="none" w:sz="0" w:space="0" w:color="auto"/>
        <w:left w:val="none" w:sz="0" w:space="0" w:color="auto"/>
        <w:bottom w:val="none" w:sz="0" w:space="0" w:color="auto"/>
        <w:right w:val="none" w:sz="0" w:space="0" w:color="auto"/>
      </w:divBdr>
    </w:div>
    <w:div w:id="1576669183">
      <w:bodyDiv w:val="1"/>
      <w:marLeft w:val="0"/>
      <w:marRight w:val="0"/>
      <w:marTop w:val="0"/>
      <w:marBottom w:val="0"/>
      <w:divBdr>
        <w:top w:val="none" w:sz="0" w:space="0" w:color="auto"/>
        <w:left w:val="none" w:sz="0" w:space="0" w:color="auto"/>
        <w:bottom w:val="none" w:sz="0" w:space="0" w:color="auto"/>
        <w:right w:val="none" w:sz="0" w:space="0" w:color="auto"/>
      </w:divBdr>
    </w:div>
    <w:div w:id="1588810820">
      <w:bodyDiv w:val="1"/>
      <w:marLeft w:val="0"/>
      <w:marRight w:val="0"/>
      <w:marTop w:val="0"/>
      <w:marBottom w:val="0"/>
      <w:divBdr>
        <w:top w:val="none" w:sz="0" w:space="0" w:color="auto"/>
        <w:left w:val="none" w:sz="0" w:space="0" w:color="auto"/>
        <w:bottom w:val="none" w:sz="0" w:space="0" w:color="auto"/>
        <w:right w:val="none" w:sz="0" w:space="0" w:color="auto"/>
      </w:divBdr>
    </w:div>
    <w:div w:id="1593777415">
      <w:bodyDiv w:val="1"/>
      <w:marLeft w:val="0"/>
      <w:marRight w:val="0"/>
      <w:marTop w:val="0"/>
      <w:marBottom w:val="0"/>
      <w:divBdr>
        <w:top w:val="none" w:sz="0" w:space="0" w:color="auto"/>
        <w:left w:val="none" w:sz="0" w:space="0" w:color="auto"/>
        <w:bottom w:val="none" w:sz="0" w:space="0" w:color="auto"/>
        <w:right w:val="none" w:sz="0" w:space="0" w:color="auto"/>
      </w:divBdr>
    </w:div>
    <w:div w:id="1598564829">
      <w:bodyDiv w:val="1"/>
      <w:marLeft w:val="0"/>
      <w:marRight w:val="0"/>
      <w:marTop w:val="0"/>
      <w:marBottom w:val="0"/>
      <w:divBdr>
        <w:top w:val="none" w:sz="0" w:space="0" w:color="auto"/>
        <w:left w:val="none" w:sz="0" w:space="0" w:color="auto"/>
        <w:bottom w:val="none" w:sz="0" w:space="0" w:color="auto"/>
        <w:right w:val="none" w:sz="0" w:space="0" w:color="auto"/>
      </w:divBdr>
    </w:div>
    <w:div w:id="1606427276">
      <w:bodyDiv w:val="1"/>
      <w:marLeft w:val="0"/>
      <w:marRight w:val="0"/>
      <w:marTop w:val="0"/>
      <w:marBottom w:val="0"/>
      <w:divBdr>
        <w:top w:val="none" w:sz="0" w:space="0" w:color="auto"/>
        <w:left w:val="none" w:sz="0" w:space="0" w:color="auto"/>
        <w:bottom w:val="none" w:sz="0" w:space="0" w:color="auto"/>
        <w:right w:val="none" w:sz="0" w:space="0" w:color="auto"/>
      </w:divBdr>
    </w:div>
    <w:div w:id="1610310662">
      <w:bodyDiv w:val="1"/>
      <w:marLeft w:val="0"/>
      <w:marRight w:val="0"/>
      <w:marTop w:val="0"/>
      <w:marBottom w:val="0"/>
      <w:divBdr>
        <w:top w:val="none" w:sz="0" w:space="0" w:color="auto"/>
        <w:left w:val="none" w:sz="0" w:space="0" w:color="auto"/>
        <w:bottom w:val="none" w:sz="0" w:space="0" w:color="auto"/>
        <w:right w:val="none" w:sz="0" w:space="0" w:color="auto"/>
      </w:divBdr>
    </w:div>
    <w:div w:id="1616520414">
      <w:bodyDiv w:val="1"/>
      <w:marLeft w:val="0"/>
      <w:marRight w:val="0"/>
      <w:marTop w:val="0"/>
      <w:marBottom w:val="0"/>
      <w:divBdr>
        <w:top w:val="none" w:sz="0" w:space="0" w:color="auto"/>
        <w:left w:val="none" w:sz="0" w:space="0" w:color="auto"/>
        <w:bottom w:val="none" w:sz="0" w:space="0" w:color="auto"/>
        <w:right w:val="none" w:sz="0" w:space="0" w:color="auto"/>
      </w:divBdr>
    </w:div>
    <w:div w:id="1633096988">
      <w:bodyDiv w:val="1"/>
      <w:marLeft w:val="0"/>
      <w:marRight w:val="0"/>
      <w:marTop w:val="0"/>
      <w:marBottom w:val="0"/>
      <w:divBdr>
        <w:top w:val="none" w:sz="0" w:space="0" w:color="auto"/>
        <w:left w:val="none" w:sz="0" w:space="0" w:color="auto"/>
        <w:bottom w:val="none" w:sz="0" w:space="0" w:color="auto"/>
        <w:right w:val="none" w:sz="0" w:space="0" w:color="auto"/>
      </w:divBdr>
    </w:div>
    <w:div w:id="1684236163">
      <w:bodyDiv w:val="1"/>
      <w:marLeft w:val="0"/>
      <w:marRight w:val="0"/>
      <w:marTop w:val="0"/>
      <w:marBottom w:val="0"/>
      <w:divBdr>
        <w:top w:val="none" w:sz="0" w:space="0" w:color="auto"/>
        <w:left w:val="none" w:sz="0" w:space="0" w:color="auto"/>
        <w:bottom w:val="none" w:sz="0" w:space="0" w:color="auto"/>
        <w:right w:val="none" w:sz="0" w:space="0" w:color="auto"/>
      </w:divBdr>
    </w:div>
    <w:div w:id="1707948665">
      <w:bodyDiv w:val="1"/>
      <w:marLeft w:val="0"/>
      <w:marRight w:val="0"/>
      <w:marTop w:val="0"/>
      <w:marBottom w:val="0"/>
      <w:divBdr>
        <w:top w:val="none" w:sz="0" w:space="0" w:color="auto"/>
        <w:left w:val="none" w:sz="0" w:space="0" w:color="auto"/>
        <w:bottom w:val="none" w:sz="0" w:space="0" w:color="auto"/>
        <w:right w:val="none" w:sz="0" w:space="0" w:color="auto"/>
      </w:divBdr>
    </w:div>
    <w:div w:id="1712800283">
      <w:bodyDiv w:val="1"/>
      <w:marLeft w:val="0"/>
      <w:marRight w:val="0"/>
      <w:marTop w:val="0"/>
      <w:marBottom w:val="0"/>
      <w:divBdr>
        <w:top w:val="none" w:sz="0" w:space="0" w:color="auto"/>
        <w:left w:val="none" w:sz="0" w:space="0" w:color="auto"/>
        <w:bottom w:val="none" w:sz="0" w:space="0" w:color="auto"/>
        <w:right w:val="none" w:sz="0" w:space="0" w:color="auto"/>
      </w:divBdr>
    </w:div>
    <w:div w:id="1717267307">
      <w:bodyDiv w:val="1"/>
      <w:marLeft w:val="0"/>
      <w:marRight w:val="0"/>
      <w:marTop w:val="0"/>
      <w:marBottom w:val="0"/>
      <w:divBdr>
        <w:top w:val="none" w:sz="0" w:space="0" w:color="auto"/>
        <w:left w:val="none" w:sz="0" w:space="0" w:color="auto"/>
        <w:bottom w:val="none" w:sz="0" w:space="0" w:color="auto"/>
        <w:right w:val="none" w:sz="0" w:space="0" w:color="auto"/>
      </w:divBdr>
    </w:div>
    <w:div w:id="1743678444">
      <w:bodyDiv w:val="1"/>
      <w:marLeft w:val="0"/>
      <w:marRight w:val="0"/>
      <w:marTop w:val="0"/>
      <w:marBottom w:val="0"/>
      <w:divBdr>
        <w:top w:val="none" w:sz="0" w:space="0" w:color="auto"/>
        <w:left w:val="none" w:sz="0" w:space="0" w:color="auto"/>
        <w:bottom w:val="none" w:sz="0" w:space="0" w:color="auto"/>
        <w:right w:val="none" w:sz="0" w:space="0" w:color="auto"/>
      </w:divBdr>
    </w:div>
    <w:div w:id="1744376751">
      <w:bodyDiv w:val="1"/>
      <w:marLeft w:val="0"/>
      <w:marRight w:val="0"/>
      <w:marTop w:val="0"/>
      <w:marBottom w:val="0"/>
      <w:divBdr>
        <w:top w:val="none" w:sz="0" w:space="0" w:color="auto"/>
        <w:left w:val="none" w:sz="0" w:space="0" w:color="auto"/>
        <w:bottom w:val="none" w:sz="0" w:space="0" w:color="auto"/>
        <w:right w:val="none" w:sz="0" w:space="0" w:color="auto"/>
      </w:divBdr>
    </w:div>
    <w:div w:id="1745447306">
      <w:bodyDiv w:val="1"/>
      <w:marLeft w:val="0"/>
      <w:marRight w:val="0"/>
      <w:marTop w:val="0"/>
      <w:marBottom w:val="0"/>
      <w:divBdr>
        <w:top w:val="none" w:sz="0" w:space="0" w:color="auto"/>
        <w:left w:val="none" w:sz="0" w:space="0" w:color="auto"/>
        <w:bottom w:val="none" w:sz="0" w:space="0" w:color="auto"/>
        <w:right w:val="none" w:sz="0" w:space="0" w:color="auto"/>
      </w:divBdr>
    </w:div>
    <w:div w:id="1750805695">
      <w:bodyDiv w:val="1"/>
      <w:marLeft w:val="0"/>
      <w:marRight w:val="0"/>
      <w:marTop w:val="0"/>
      <w:marBottom w:val="0"/>
      <w:divBdr>
        <w:top w:val="none" w:sz="0" w:space="0" w:color="auto"/>
        <w:left w:val="none" w:sz="0" w:space="0" w:color="auto"/>
        <w:bottom w:val="none" w:sz="0" w:space="0" w:color="auto"/>
        <w:right w:val="none" w:sz="0" w:space="0" w:color="auto"/>
      </w:divBdr>
    </w:div>
    <w:div w:id="1755468537">
      <w:bodyDiv w:val="1"/>
      <w:marLeft w:val="0"/>
      <w:marRight w:val="0"/>
      <w:marTop w:val="0"/>
      <w:marBottom w:val="0"/>
      <w:divBdr>
        <w:top w:val="none" w:sz="0" w:space="0" w:color="auto"/>
        <w:left w:val="none" w:sz="0" w:space="0" w:color="auto"/>
        <w:bottom w:val="none" w:sz="0" w:space="0" w:color="auto"/>
        <w:right w:val="none" w:sz="0" w:space="0" w:color="auto"/>
      </w:divBdr>
    </w:div>
    <w:div w:id="1763986124">
      <w:bodyDiv w:val="1"/>
      <w:marLeft w:val="0"/>
      <w:marRight w:val="0"/>
      <w:marTop w:val="0"/>
      <w:marBottom w:val="0"/>
      <w:divBdr>
        <w:top w:val="none" w:sz="0" w:space="0" w:color="auto"/>
        <w:left w:val="none" w:sz="0" w:space="0" w:color="auto"/>
        <w:bottom w:val="none" w:sz="0" w:space="0" w:color="auto"/>
        <w:right w:val="none" w:sz="0" w:space="0" w:color="auto"/>
      </w:divBdr>
    </w:div>
    <w:div w:id="1771466729">
      <w:bodyDiv w:val="1"/>
      <w:marLeft w:val="0"/>
      <w:marRight w:val="0"/>
      <w:marTop w:val="0"/>
      <w:marBottom w:val="0"/>
      <w:divBdr>
        <w:top w:val="none" w:sz="0" w:space="0" w:color="auto"/>
        <w:left w:val="none" w:sz="0" w:space="0" w:color="auto"/>
        <w:bottom w:val="none" w:sz="0" w:space="0" w:color="auto"/>
        <w:right w:val="none" w:sz="0" w:space="0" w:color="auto"/>
      </w:divBdr>
    </w:div>
    <w:div w:id="1775443634">
      <w:bodyDiv w:val="1"/>
      <w:marLeft w:val="0"/>
      <w:marRight w:val="0"/>
      <w:marTop w:val="0"/>
      <w:marBottom w:val="0"/>
      <w:divBdr>
        <w:top w:val="none" w:sz="0" w:space="0" w:color="auto"/>
        <w:left w:val="none" w:sz="0" w:space="0" w:color="auto"/>
        <w:bottom w:val="none" w:sz="0" w:space="0" w:color="auto"/>
        <w:right w:val="none" w:sz="0" w:space="0" w:color="auto"/>
      </w:divBdr>
    </w:div>
    <w:div w:id="1776438927">
      <w:bodyDiv w:val="1"/>
      <w:marLeft w:val="0"/>
      <w:marRight w:val="0"/>
      <w:marTop w:val="0"/>
      <w:marBottom w:val="0"/>
      <w:divBdr>
        <w:top w:val="none" w:sz="0" w:space="0" w:color="auto"/>
        <w:left w:val="none" w:sz="0" w:space="0" w:color="auto"/>
        <w:bottom w:val="none" w:sz="0" w:space="0" w:color="auto"/>
        <w:right w:val="none" w:sz="0" w:space="0" w:color="auto"/>
      </w:divBdr>
    </w:div>
    <w:div w:id="1786463592">
      <w:bodyDiv w:val="1"/>
      <w:marLeft w:val="0"/>
      <w:marRight w:val="0"/>
      <w:marTop w:val="0"/>
      <w:marBottom w:val="0"/>
      <w:divBdr>
        <w:top w:val="none" w:sz="0" w:space="0" w:color="auto"/>
        <w:left w:val="none" w:sz="0" w:space="0" w:color="auto"/>
        <w:bottom w:val="none" w:sz="0" w:space="0" w:color="auto"/>
        <w:right w:val="none" w:sz="0" w:space="0" w:color="auto"/>
      </w:divBdr>
    </w:div>
    <w:div w:id="1787776829">
      <w:bodyDiv w:val="1"/>
      <w:marLeft w:val="0"/>
      <w:marRight w:val="0"/>
      <w:marTop w:val="0"/>
      <w:marBottom w:val="0"/>
      <w:divBdr>
        <w:top w:val="none" w:sz="0" w:space="0" w:color="auto"/>
        <w:left w:val="none" w:sz="0" w:space="0" w:color="auto"/>
        <w:bottom w:val="none" w:sz="0" w:space="0" w:color="auto"/>
        <w:right w:val="none" w:sz="0" w:space="0" w:color="auto"/>
      </w:divBdr>
    </w:div>
    <w:div w:id="1794128241">
      <w:bodyDiv w:val="1"/>
      <w:marLeft w:val="0"/>
      <w:marRight w:val="0"/>
      <w:marTop w:val="0"/>
      <w:marBottom w:val="0"/>
      <w:divBdr>
        <w:top w:val="none" w:sz="0" w:space="0" w:color="auto"/>
        <w:left w:val="none" w:sz="0" w:space="0" w:color="auto"/>
        <w:bottom w:val="none" w:sz="0" w:space="0" w:color="auto"/>
        <w:right w:val="none" w:sz="0" w:space="0" w:color="auto"/>
      </w:divBdr>
    </w:div>
    <w:div w:id="1800298445">
      <w:bodyDiv w:val="1"/>
      <w:marLeft w:val="0"/>
      <w:marRight w:val="0"/>
      <w:marTop w:val="0"/>
      <w:marBottom w:val="0"/>
      <w:divBdr>
        <w:top w:val="none" w:sz="0" w:space="0" w:color="auto"/>
        <w:left w:val="none" w:sz="0" w:space="0" w:color="auto"/>
        <w:bottom w:val="none" w:sz="0" w:space="0" w:color="auto"/>
        <w:right w:val="none" w:sz="0" w:space="0" w:color="auto"/>
      </w:divBdr>
    </w:div>
    <w:div w:id="1802457238">
      <w:bodyDiv w:val="1"/>
      <w:marLeft w:val="0"/>
      <w:marRight w:val="0"/>
      <w:marTop w:val="0"/>
      <w:marBottom w:val="0"/>
      <w:divBdr>
        <w:top w:val="none" w:sz="0" w:space="0" w:color="auto"/>
        <w:left w:val="none" w:sz="0" w:space="0" w:color="auto"/>
        <w:bottom w:val="none" w:sz="0" w:space="0" w:color="auto"/>
        <w:right w:val="none" w:sz="0" w:space="0" w:color="auto"/>
      </w:divBdr>
    </w:div>
    <w:div w:id="1814903020">
      <w:bodyDiv w:val="1"/>
      <w:marLeft w:val="0"/>
      <w:marRight w:val="0"/>
      <w:marTop w:val="0"/>
      <w:marBottom w:val="0"/>
      <w:divBdr>
        <w:top w:val="none" w:sz="0" w:space="0" w:color="auto"/>
        <w:left w:val="none" w:sz="0" w:space="0" w:color="auto"/>
        <w:bottom w:val="none" w:sz="0" w:space="0" w:color="auto"/>
        <w:right w:val="none" w:sz="0" w:space="0" w:color="auto"/>
      </w:divBdr>
    </w:div>
    <w:div w:id="1820725536">
      <w:bodyDiv w:val="1"/>
      <w:marLeft w:val="0"/>
      <w:marRight w:val="0"/>
      <w:marTop w:val="0"/>
      <w:marBottom w:val="0"/>
      <w:divBdr>
        <w:top w:val="none" w:sz="0" w:space="0" w:color="auto"/>
        <w:left w:val="none" w:sz="0" w:space="0" w:color="auto"/>
        <w:bottom w:val="none" w:sz="0" w:space="0" w:color="auto"/>
        <w:right w:val="none" w:sz="0" w:space="0" w:color="auto"/>
      </w:divBdr>
    </w:div>
    <w:div w:id="1836993156">
      <w:bodyDiv w:val="1"/>
      <w:marLeft w:val="0"/>
      <w:marRight w:val="0"/>
      <w:marTop w:val="0"/>
      <w:marBottom w:val="0"/>
      <w:divBdr>
        <w:top w:val="none" w:sz="0" w:space="0" w:color="auto"/>
        <w:left w:val="none" w:sz="0" w:space="0" w:color="auto"/>
        <w:bottom w:val="none" w:sz="0" w:space="0" w:color="auto"/>
        <w:right w:val="none" w:sz="0" w:space="0" w:color="auto"/>
      </w:divBdr>
    </w:div>
    <w:div w:id="1856531042">
      <w:bodyDiv w:val="1"/>
      <w:marLeft w:val="0"/>
      <w:marRight w:val="0"/>
      <w:marTop w:val="0"/>
      <w:marBottom w:val="0"/>
      <w:divBdr>
        <w:top w:val="none" w:sz="0" w:space="0" w:color="auto"/>
        <w:left w:val="none" w:sz="0" w:space="0" w:color="auto"/>
        <w:bottom w:val="none" w:sz="0" w:space="0" w:color="auto"/>
        <w:right w:val="none" w:sz="0" w:space="0" w:color="auto"/>
      </w:divBdr>
    </w:div>
    <w:div w:id="1858302899">
      <w:bodyDiv w:val="1"/>
      <w:marLeft w:val="0"/>
      <w:marRight w:val="0"/>
      <w:marTop w:val="0"/>
      <w:marBottom w:val="0"/>
      <w:divBdr>
        <w:top w:val="none" w:sz="0" w:space="0" w:color="auto"/>
        <w:left w:val="none" w:sz="0" w:space="0" w:color="auto"/>
        <w:bottom w:val="none" w:sz="0" w:space="0" w:color="auto"/>
        <w:right w:val="none" w:sz="0" w:space="0" w:color="auto"/>
      </w:divBdr>
    </w:div>
    <w:div w:id="1880167082">
      <w:bodyDiv w:val="1"/>
      <w:marLeft w:val="0"/>
      <w:marRight w:val="0"/>
      <w:marTop w:val="0"/>
      <w:marBottom w:val="0"/>
      <w:divBdr>
        <w:top w:val="none" w:sz="0" w:space="0" w:color="auto"/>
        <w:left w:val="none" w:sz="0" w:space="0" w:color="auto"/>
        <w:bottom w:val="none" w:sz="0" w:space="0" w:color="auto"/>
        <w:right w:val="none" w:sz="0" w:space="0" w:color="auto"/>
      </w:divBdr>
    </w:div>
    <w:div w:id="1881934316">
      <w:bodyDiv w:val="1"/>
      <w:marLeft w:val="0"/>
      <w:marRight w:val="0"/>
      <w:marTop w:val="0"/>
      <w:marBottom w:val="0"/>
      <w:divBdr>
        <w:top w:val="none" w:sz="0" w:space="0" w:color="auto"/>
        <w:left w:val="none" w:sz="0" w:space="0" w:color="auto"/>
        <w:bottom w:val="none" w:sz="0" w:space="0" w:color="auto"/>
        <w:right w:val="none" w:sz="0" w:space="0" w:color="auto"/>
      </w:divBdr>
    </w:div>
    <w:div w:id="1929079441">
      <w:bodyDiv w:val="1"/>
      <w:marLeft w:val="0"/>
      <w:marRight w:val="0"/>
      <w:marTop w:val="0"/>
      <w:marBottom w:val="0"/>
      <w:divBdr>
        <w:top w:val="none" w:sz="0" w:space="0" w:color="auto"/>
        <w:left w:val="none" w:sz="0" w:space="0" w:color="auto"/>
        <w:bottom w:val="none" w:sz="0" w:space="0" w:color="auto"/>
        <w:right w:val="none" w:sz="0" w:space="0" w:color="auto"/>
      </w:divBdr>
    </w:div>
    <w:div w:id="1930505344">
      <w:bodyDiv w:val="1"/>
      <w:marLeft w:val="0"/>
      <w:marRight w:val="0"/>
      <w:marTop w:val="0"/>
      <w:marBottom w:val="0"/>
      <w:divBdr>
        <w:top w:val="none" w:sz="0" w:space="0" w:color="auto"/>
        <w:left w:val="none" w:sz="0" w:space="0" w:color="auto"/>
        <w:bottom w:val="none" w:sz="0" w:space="0" w:color="auto"/>
        <w:right w:val="none" w:sz="0" w:space="0" w:color="auto"/>
      </w:divBdr>
    </w:div>
    <w:div w:id="1934776496">
      <w:bodyDiv w:val="1"/>
      <w:marLeft w:val="0"/>
      <w:marRight w:val="0"/>
      <w:marTop w:val="0"/>
      <w:marBottom w:val="0"/>
      <w:divBdr>
        <w:top w:val="none" w:sz="0" w:space="0" w:color="auto"/>
        <w:left w:val="none" w:sz="0" w:space="0" w:color="auto"/>
        <w:bottom w:val="none" w:sz="0" w:space="0" w:color="auto"/>
        <w:right w:val="none" w:sz="0" w:space="0" w:color="auto"/>
      </w:divBdr>
    </w:div>
    <w:div w:id="1939605963">
      <w:bodyDiv w:val="1"/>
      <w:marLeft w:val="0"/>
      <w:marRight w:val="0"/>
      <w:marTop w:val="0"/>
      <w:marBottom w:val="0"/>
      <w:divBdr>
        <w:top w:val="none" w:sz="0" w:space="0" w:color="auto"/>
        <w:left w:val="none" w:sz="0" w:space="0" w:color="auto"/>
        <w:bottom w:val="none" w:sz="0" w:space="0" w:color="auto"/>
        <w:right w:val="none" w:sz="0" w:space="0" w:color="auto"/>
      </w:divBdr>
    </w:div>
    <w:div w:id="1981685144">
      <w:bodyDiv w:val="1"/>
      <w:marLeft w:val="0"/>
      <w:marRight w:val="0"/>
      <w:marTop w:val="0"/>
      <w:marBottom w:val="0"/>
      <w:divBdr>
        <w:top w:val="none" w:sz="0" w:space="0" w:color="auto"/>
        <w:left w:val="none" w:sz="0" w:space="0" w:color="auto"/>
        <w:bottom w:val="none" w:sz="0" w:space="0" w:color="auto"/>
        <w:right w:val="none" w:sz="0" w:space="0" w:color="auto"/>
      </w:divBdr>
    </w:div>
    <w:div w:id="1984700022">
      <w:bodyDiv w:val="1"/>
      <w:marLeft w:val="0"/>
      <w:marRight w:val="0"/>
      <w:marTop w:val="0"/>
      <w:marBottom w:val="0"/>
      <w:divBdr>
        <w:top w:val="none" w:sz="0" w:space="0" w:color="auto"/>
        <w:left w:val="none" w:sz="0" w:space="0" w:color="auto"/>
        <w:bottom w:val="none" w:sz="0" w:space="0" w:color="auto"/>
        <w:right w:val="none" w:sz="0" w:space="0" w:color="auto"/>
      </w:divBdr>
    </w:div>
    <w:div w:id="1985353703">
      <w:bodyDiv w:val="1"/>
      <w:marLeft w:val="0"/>
      <w:marRight w:val="0"/>
      <w:marTop w:val="0"/>
      <w:marBottom w:val="0"/>
      <w:divBdr>
        <w:top w:val="none" w:sz="0" w:space="0" w:color="auto"/>
        <w:left w:val="none" w:sz="0" w:space="0" w:color="auto"/>
        <w:bottom w:val="none" w:sz="0" w:space="0" w:color="auto"/>
        <w:right w:val="none" w:sz="0" w:space="0" w:color="auto"/>
      </w:divBdr>
    </w:div>
    <w:div w:id="1987125267">
      <w:bodyDiv w:val="1"/>
      <w:marLeft w:val="0"/>
      <w:marRight w:val="0"/>
      <w:marTop w:val="0"/>
      <w:marBottom w:val="0"/>
      <w:divBdr>
        <w:top w:val="none" w:sz="0" w:space="0" w:color="auto"/>
        <w:left w:val="none" w:sz="0" w:space="0" w:color="auto"/>
        <w:bottom w:val="none" w:sz="0" w:space="0" w:color="auto"/>
        <w:right w:val="none" w:sz="0" w:space="0" w:color="auto"/>
      </w:divBdr>
    </w:div>
    <w:div w:id="1999919991">
      <w:bodyDiv w:val="1"/>
      <w:marLeft w:val="0"/>
      <w:marRight w:val="0"/>
      <w:marTop w:val="0"/>
      <w:marBottom w:val="0"/>
      <w:divBdr>
        <w:top w:val="none" w:sz="0" w:space="0" w:color="auto"/>
        <w:left w:val="none" w:sz="0" w:space="0" w:color="auto"/>
        <w:bottom w:val="none" w:sz="0" w:space="0" w:color="auto"/>
        <w:right w:val="none" w:sz="0" w:space="0" w:color="auto"/>
      </w:divBdr>
    </w:div>
    <w:div w:id="2014263405">
      <w:bodyDiv w:val="1"/>
      <w:marLeft w:val="0"/>
      <w:marRight w:val="0"/>
      <w:marTop w:val="0"/>
      <w:marBottom w:val="0"/>
      <w:divBdr>
        <w:top w:val="none" w:sz="0" w:space="0" w:color="auto"/>
        <w:left w:val="none" w:sz="0" w:space="0" w:color="auto"/>
        <w:bottom w:val="none" w:sz="0" w:space="0" w:color="auto"/>
        <w:right w:val="none" w:sz="0" w:space="0" w:color="auto"/>
      </w:divBdr>
    </w:div>
    <w:div w:id="2025279783">
      <w:bodyDiv w:val="1"/>
      <w:marLeft w:val="0"/>
      <w:marRight w:val="0"/>
      <w:marTop w:val="0"/>
      <w:marBottom w:val="0"/>
      <w:divBdr>
        <w:top w:val="none" w:sz="0" w:space="0" w:color="auto"/>
        <w:left w:val="none" w:sz="0" w:space="0" w:color="auto"/>
        <w:bottom w:val="none" w:sz="0" w:space="0" w:color="auto"/>
        <w:right w:val="none" w:sz="0" w:space="0" w:color="auto"/>
      </w:divBdr>
    </w:div>
    <w:div w:id="2038578368">
      <w:bodyDiv w:val="1"/>
      <w:marLeft w:val="0"/>
      <w:marRight w:val="0"/>
      <w:marTop w:val="0"/>
      <w:marBottom w:val="0"/>
      <w:divBdr>
        <w:top w:val="none" w:sz="0" w:space="0" w:color="auto"/>
        <w:left w:val="none" w:sz="0" w:space="0" w:color="auto"/>
        <w:bottom w:val="none" w:sz="0" w:space="0" w:color="auto"/>
        <w:right w:val="none" w:sz="0" w:space="0" w:color="auto"/>
      </w:divBdr>
    </w:div>
    <w:div w:id="2046443076">
      <w:bodyDiv w:val="1"/>
      <w:marLeft w:val="0"/>
      <w:marRight w:val="0"/>
      <w:marTop w:val="0"/>
      <w:marBottom w:val="0"/>
      <w:divBdr>
        <w:top w:val="none" w:sz="0" w:space="0" w:color="auto"/>
        <w:left w:val="none" w:sz="0" w:space="0" w:color="auto"/>
        <w:bottom w:val="none" w:sz="0" w:space="0" w:color="auto"/>
        <w:right w:val="none" w:sz="0" w:space="0" w:color="auto"/>
      </w:divBdr>
    </w:div>
    <w:div w:id="2046564560">
      <w:bodyDiv w:val="1"/>
      <w:marLeft w:val="0"/>
      <w:marRight w:val="0"/>
      <w:marTop w:val="0"/>
      <w:marBottom w:val="0"/>
      <w:divBdr>
        <w:top w:val="none" w:sz="0" w:space="0" w:color="auto"/>
        <w:left w:val="none" w:sz="0" w:space="0" w:color="auto"/>
        <w:bottom w:val="none" w:sz="0" w:space="0" w:color="auto"/>
        <w:right w:val="none" w:sz="0" w:space="0" w:color="auto"/>
      </w:divBdr>
    </w:div>
    <w:div w:id="2048990828">
      <w:bodyDiv w:val="1"/>
      <w:marLeft w:val="0"/>
      <w:marRight w:val="0"/>
      <w:marTop w:val="0"/>
      <w:marBottom w:val="0"/>
      <w:divBdr>
        <w:top w:val="none" w:sz="0" w:space="0" w:color="auto"/>
        <w:left w:val="none" w:sz="0" w:space="0" w:color="auto"/>
        <w:bottom w:val="none" w:sz="0" w:space="0" w:color="auto"/>
        <w:right w:val="none" w:sz="0" w:space="0" w:color="auto"/>
      </w:divBdr>
    </w:div>
    <w:div w:id="2049259376">
      <w:bodyDiv w:val="1"/>
      <w:marLeft w:val="0"/>
      <w:marRight w:val="0"/>
      <w:marTop w:val="0"/>
      <w:marBottom w:val="0"/>
      <w:divBdr>
        <w:top w:val="none" w:sz="0" w:space="0" w:color="auto"/>
        <w:left w:val="none" w:sz="0" w:space="0" w:color="auto"/>
        <w:bottom w:val="none" w:sz="0" w:space="0" w:color="auto"/>
        <w:right w:val="none" w:sz="0" w:space="0" w:color="auto"/>
      </w:divBdr>
    </w:div>
    <w:div w:id="2090537697">
      <w:bodyDiv w:val="1"/>
      <w:marLeft w:val="0"/>
      <w:marRight w:val="0"/>
      <w:marTop w:val="0"/>
      <w:marBottom w:val="0"/>
      <w:divBdr>
        <w:top w:val="none" w:sz="0" w:space="0" w:color="auto"/>
        <w:left w:val="none" w:sz="0" w:space="0" w:color="auto"/>
        <w:bottom w:val="none" w:sz="0" w:space="0" w:color="auto"/>
        <w:right w:val="none" w:sz="0" w:space="0" w:color="auto"/>
      </w:divBdr>
    </w:div>
    <w:div w:id="2100132835">
      <w:bodyDiv w:val="1"/>
      <w:marLeft w:val="0"/>
      <w:marRight w:val="0"/>
      <w:marTop w:val="0"/>
      <w:marBottom w:val="0"/>
      <w:divBdr>
        <w:top w:val="none" w:sz="0" w:space="0" w:color="auto"/>
        <w:left w:val="none" w:sz="0" w:space="0" w:color="auto"/>
        <w:bottom w:val="none" w:sz="0" w:space="0" w:color="auto"/>
        <w:right w:val="none" w:sz="0" w:space="0" w:color="auto"/>
      </w:divBdr>
    </w:div>
    <w:div w:id="2112698166">
      <w:bodyDiv w:val="1"/>
      <w:marLeft w:val="0"/>
      <w:marRight w:val="0"/>
      <w:marTop w:val="0"/>
      <w:marBottom w:val="0"/>
      <w:divBdr>
        <w:top w:val="none" w:sz="0" w:space="0" w:color="auto"/>
        <w:left w:val="none" w:sz="0" w:space="0" w:color="auto"/>
        <w:bottom w:val="none" w:sz="0" w:space="0" w:color="auto"/>
        <w:right w:val="none" w:sz="0" w:space="0" w:color="auto"/>
      </w:divBdr>
    </w:div>
    <w:div w:id="2128235373">
      <w:bodyDiv w:val="1"/>
      <w:marLeft w:val="0"/>
      <w:marRight w:val="0"/>
      <w:marTop w:val="0"/>
      <w:marBottom w:val="0"/>
      <w:divBdr>
        <w:top w:val="none" w:sz="0" w:space="0" w:color="auto"/>
        <w:left w:val="none" w:sz="0" w:space="0" w:color="auto"/>
        <w:bottom w:val="none" w:sz="0" w:space="0" w:color="auto"/>
        <w:right w:val="none" w:sz="0" w:space="0" w:color="auto"/>
      </w:divBdr>
    </w:div>
    <w:div w:id="213458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Cur13</b:Tag>
    <b:SourceType>JournalArticle</b:SourceType>
    <b:Guid>{179AC94D-7161-4799-88CD-443CDF7FDA45}</b:Guid>
    <b:Title>Using FMEA for Supply Chain Risk Management </b:Title>
    <b:JournalName>Using FMEA for Supply Chain Risk Management </b:JournalName>
    <b:Year>2013</b:Year>
    <b:Author>
      <b:Author>
        <b:NameList>
          <b:Person>
            <b:Last>Curkovic</b:Last>
            <b:First>S</b:First>
          </b:Person>
          <b:Person>
            <b:Last>Scannell</b:Last>
            <b:First>T</b:First>
          </b:Person>
          <b:Person>
            <b:Last>Wagner</b:Last>
            <b:First>B</b:First>
          </b:Person>
        </b:NameList>
      </b:Author>
    </b:Author>
    <b:RefOrder>5</b:RefOrder>
  </b:Source>
  <b:Source>
    <b:Tag>Sne07</b:Tag>
    <b:SourceType>JournalArticle</b:SourceType>
    <b:Guid>{2F4C715E-E48F-4EE6-8C3E-0DB49A0A3FD0}</b:Guid>
    <b:Author>
      <b:Author>
        <b:NameList>
          <b:Person>
            <b:Last>Snee</b:Last>
            <b:First>Ron</b:First>
          </b:Person>
        </b:NameList>
      </b:Author>
    </b:Author>
    <b:Title>Failure Modes and Effects Analysis</b:Title>
    <b:JournalName>Failure Modes and Effects Analysis</b:JournalName>
    <b:Year>2007</b:Year>
    <b:RefOrder>7</b:RefOrder>
  </b:Source>
  <b:Source>
    <b:Tag>Tat242</b:Tag>
    <b:SourceType>InternetSite</b:SourceType>
    <b:Guid>{C3D0B967-DB66-4ADF-A1F4-E94F6564C1EF}</b:Guid>
    <b:Title>Tata Steel</b:Title>
    <b:Year>2024</b:Year>
    <b:InternetSiteTitle>Tata Steel</b:InternetSiteTitle>
    <b:Month>January</b:Month>
    <b:Day>19</b:Day>
    <b:URL>https://www.tatasteel.com/newsroom/press-releases/india/2024/tata-steel-announces-next-steps-towards-its-ambitious-transformation-from-blast-furnaces-to-green-steelmaking-in-the-uk-and-initiates-statutory-consultation</b:URL>
    <b:RefOrder>11</b:RefOrder>
  </b:Source>
  <b:Source>
    <b:Tag>Nai24</b:Tag>
    <b:SourceType>JournalArticle</b:SourceType>
    <b:Guid>{9FCFD504-E3B4-42E6-9273-1D9BA61F36B9}</b:Guid>
    <b:Title>Steel News</b:Title>
    <b:Year>2024</b:Year>
    <b:Author>
      <b:Author>
        <b:NameList>
          <b:Person>
            <b:Last>Nair</b:Last>
            <b:First>Rajesh</b:First>
          </b:Person>
        </b:NameList>
      </b:Author>
    </b:Author>
    <b:JournalName>Securing our future</b:JournalName>
    <b:Pages>3</b:Pages>
    <b:RefOrder>12</b:RefOrder>
  </b:Source>
  <b:Source>
    <b:Tag>Car25</b:Tag>
    <b:SourceType>JournalArticle</b:SourceType>
    <b:Guid>{74B6A31F-DC6B-482F-A378-90CCD0286427}</b:Guid>
    <b:Title>DELIVERING EFFICIENT RAIL</b:Title>
    <b:JournalName>DELIVERING EFFICIENT RAIL</b:JournalName>
    <b:Year>2025</b:Year>
    <b:Author>
      <b:Author>
        <b:NameList>
          <b:Person>
            <b:Last>Cargo</b:Last>
            <b:First>DB</b:First>
          </b:Person>
        </b:NameList>
      </b:Author>
    </b:Author>
    <b:RefOrder>14</b:RefOrder>
  </b:Source>
  <b:Source>
    <b:Tag>Wal24</b:Tag>
    <b:SourceType>JournalArticle</b:SourceType>
    <b:Guid>{9C009A86-F8DE-4C09-BB4A-8F8187AB3674}</b:Guid>
    <b:Author>
      <b:Author>
        <b:NameList>
          <b:Person>
            <b:Last>Walton</b:Last>
            <b:First>Simon</b:First>
          </b:Person>
        </b:NameList>
      </b:Author>
    </b:Author>
    <b:Title>World Cargo News</b:Title>
    <b:JournalName>DB Cargo Polska and DB Cargo UK collaborate on rolling stock repurposing</b:JournalName>
    <b:Year>2024</b:Year>
    <b:RefOrder>45</b:RefOrder>
  </b:Source>
  <b:Source>
    <b:Tag>Sha251</b:Tag>
    <b:SourceType>JournalArticle</b:SourceType>
    <b:Guid>{D8C9C9E5-5F62-4CB4-B1B9-E3D6874A6D2A}</b:Guid>
    <b:Author>
      <b:Author>
        <b:NameList>
          <b:Person>
            <b:Last>Shane</b:Last>
          </b:Person>
        </b:NameList>
      </b:Author>
    </b:Author>
    <b:Title>MachineMFG</b:Title>
    <b:JournalName>Understanding Market Volatility and Its Impact on Steel Prices and Order Quantities</b:JournalName>
    <b:Year>2025</b:Year>
    <b:RefOrder>15</b:RefOrder>
  </b:Source>
  <b:Source>
    <b:Tag>UNT24</b:Tag>
    <b:SourceType>InternetSite</b:SourceType>
    <b:Guid>{BA1FFF26-BF95-4508-B0F3-A78E1FDB08E7}</b:Guid>
    <b:Title>UN Trade &amp; Development</b:Title>
    <b:Year>2024</b:Year>
    <b:InternetSiteTitle>High freight rates strain global supply chains, threaten vulnerable economies</b:InternetSiteTitle>
    <b:Month>October</b:Month>
    <b:Day>22</b:Day>
    <b:URL>https://unctad.org/news/high-freight-rates-strain-global-supply-chains-threaten-vulnerable-economies</b:URL>
    <b:RefOrder>16</b:RefOrder>
  </b:Source>
  <b:Source>
    <b:Tag>Joh25</b:Tag>
    <b:SourceType>JournalArticle</b:SourceType>
    <b:Guid>{893FDD96-15C2-4E28-945D-183E1D7E464B}</b:Guid>
    <b:Title>Fortune India</b:Title>
    <b:Year>2025</b:Year>
    <b:Author>
      <b:Author>
        <b:NameList>
          <b:Person>
            <b:Last>John</b:Last>
            <b:First>Nevin</b:First>
          </b:Person>
        </b:NameList>
      </b:Author>
    </b:Author>
    <b:JournalName>Tata Steel UK’s two-stage transition plan promises historic turnaround</b:JournalName>
    <b:RefOrder>13</b:RefOrder>
  </b:Source>
  <b:Source>
    <b:Tag>Nar25</b:Tag>
    <b:SourceType>JournalArticle</b:SourceType>
    <b:Guid>{C7CB279D-7DA2-47C9-8B0B-15C9D965CE26}</b:Guid>
    <b:Author>
      <b:Author>
        <b:NameList>
          <b:Person>
            <b:Last>Narendran</b:Last>
            <b:First>TV</b:First>
          </b:Person>
        </b:NameList>
      </b:Author>
    </b:Author>
    <b:Title>Tata Steel</b:Title>
    <b:JournalName>Tata Steel Responsible Supply Chain Policy</b:JournalName>
    <b:Year>2025</b:Year>
    <b:RefOrder>17</b:RefOrder>
  </b:Source>
  <b:Source>
    <b:Tag>Kel21</b:Tag>
    <b:SourceType>JournalArticle</b:SourceType>
    <b:Guid>{C336264A-0D95-44E7-AFDA-8E5A59A68190}</b:Guid>
    <b:Author>
      <b:Author>
        <b:NameList>
          <b:Person>
            <b:Last>Kelion</b:Last>
            <b:First>Leo</b:First>
          </b:Person>
        </b:NameList>
      </b:Author>
    </b:Author>
    <b:Title>BBC News</b:Title>
    <b:JournalName>Factory blaze adds to computer chip supply crisis</b:JournalName>
    <b:Year>2021</b:Year>
    <b:RefOrder>46</b:RefOrder>
  </b:Source>
  <b:Source>
    <b:Tag>Mit23</b:Tag>
    <b:SourceType>InternetSite</b:SourceType>
    <b:Guid>{5F34436F-CF50-485D-9F66-8DAA0A71D89C}</b:Guid>
    <b:Title>Mitratech</b:Title>
    <b:Year>2023</b:Year>
    <b:Author>
      <b:Author>
        <b:NameList>
          <b:Person>
            <b:Last>Mitratech Staff</b:Last>
          </b:Person>
        </b:NameList>
      </b:Author>
    </b:Author>
    <b:InternetSiteTitle>Managing Supply Chain Concentration Risk: 4 Strategies to Increase Resilience</b:InternetSiteTitle>
    <b:Month>May</b:Month>
    <b:Day>22</b:Day>
    <b:URL>https://mitratech.com/resource-hub/blog/supply-chain-concentration-risk/</b:URL>
    <b:RefOrder>18</b:RefOrder>
  </b:Source>
  <b:Source>
    <b:Tag>Tho21</b:Tag>
    <b:SourceType>JournalArticle</b:SourceType>
    <b:Guid>{D3B24D22-236D-48A1-8279-8E342E1D3488}</b:Guid>
    <b:Title>SupplyChain Digital</b:Title>
    <b:Year>2021</b:Year>
    <b:Author>
      <b:Author>
        <b:NameList>
          <b:Person>
            <b:Last>Thomas</b:Last>
            <b:First>Rhys</b:First>
          </b:Person>
        </b:NameList>
      </b:Author>
    </b:Author>
    <b:JournalName>Chip maker Renesas shifts production following factory fire</b:JournalName>
    <b:RefOrder>19</b:RefOrder>
  </b:Source>
  <b:Source>
    <b:Tag>Fur21</b:Tag>
    <b:SourceType>JournalArticle</b:SourceType>
    <b:Guid>{CFE4B64B-3696-45E4-B548-E4A9C42FB1FD}</b:Guid>
    <b:Author>
      <b:Author>
        <b:NameList>
          <b:Person>
            <b:Last>Furukawa</b:Last>
            <b:First>Yuki</b:First>
          </b:Person>
          <b:Person>
            <b:Last>Alpeyev</b:Last>
            <b:First>Pavel</b:First>
          </b:Person>
        </b:NameList>
      </b:Author>
    </b:Author>
    <b:Title>Toyota Leads Losses After Renesas Fire Stokes Chip Crunch Fears</b:Title>
    <b:JournalName>Toyota Leads Losses After Renesas Fire Stokes Chip Crunch Fears</b:JournalName>
    <b:Year>2021</b:Year>
    <b:RefOrder>20</b:RefOrder>
  </b:Source>
  <b:Source>
    <b:Tag>Fue25</b:Tag>
    <b:SourceType>JournalArticle</b:SourceType>
    <b:Guid>{68D4FD09-E271-48AF-A5DD-AB32BEB1391D}</b:Guid>
    <b:Author>
      <b:Author>
        <b:NameList>
          <b:Person>
            <b:Last>Fuel Cell Works</b:Last>
          </b:Person>
        </b:NameList>
      </b:Author>
    </b:Author>
    <b:Title>Fuel Cell Works</b:Title>
    <b:JournalName>Netherlands Pledges €2Bn to Tata Steel for Hydrogen-Driven Decarbonisation of IJmuiden Site</b:JournalName>
    <b:Year>2025</b:Year>
    <b:RefOrder>21</b:RefOrder>
  </b:Source>
  <b:Source>
    <b:Tag>Ros25</b:Tag>
    <b:SourceType>JournalArticle</b:SourceType>
    <b:Guid>{31608A52-A012-48E3-A6BE-56E59EF3EEA5}</b:Guid>
    <b:Author>
      <b:Author>
        <b:NameList>
          <b:Person>
            <b:Last>Roseburrough</b:Last>
            <b:First>Jacob</b:First>
          </b:Person>
        </b:NameList>
      </b:Author>
    </b:Author>
    <b:Title>Supply Chain KPI's</b:Title>
    <b:JournalName>Safety Stock: Definition and why you should have it</b:JournalName>
    <b:Year>2025</b:Year>
    <b:RefOrder>22</b:RefOrder>
  </b:Source>
  <b:Source>
    <b:Tag>Pet25</b:Tag>
    <b:SourceType>JournalArticle</b:SourceType>
    <b:Guid>{A5E484E1-8572-4DAF-AA74-DB89CB9187DD}</b:Guid>
    <b:Author>
      <b:Author>
        <b:NameList>
          <b:Person>
            <b:Last>Pettit</b:Last>
            <b:First>Stephen</b:First>
          </b:Person>
        </b:NameList>
      </b:Author>
    </b:Author>
    <b:Title>Supply Chain</b:Title>
    <b:JournalName>Buffer Stock: Beyond Just Emergency Reserves</b:JournalName>
    <b:Year>2025</b:Year>
    <b:RefOrder>23</b:RefOrder>
  </b:Source>
  <b:Source>
    <b:Tag>McC24</b:Tag>
    <b:SourceType>JournalArticle</b:SourceType>
    <b:Guid>{E01C1BE2-07CC-4E84-9198-E8E0D3E8C707}</b:Guid>
    <b:Author>
      <b:Author>
        <b:NameList>
          <b:Person>
            <b:Last>McCracken</b:Last>
            <b:First>Mike</b:First>
          </b:Person>
        </b:NameList>
      </b:Author>
    </b:Author>
    <b:Title>McCracken</b:Title>
    <b:JournalName>Safety Stock: The CFO's Secret Weapon for Inventory Risk Management</b:JournalName>
    <b:Year>2024</b:Year>
    <b:RefOrder>25</b:RefOrder>
  </b:Source>
  <b:Source>
    <b:Tag>Car24</b:Tag>
    <b:SourceType>JournalArticle</b:SourceType>
    <b:Guid>{EF569031-968E-40A3-AF09-F568D721CE1C}</b:Guid>
    <b:Author>
      <b:Author>
        <b:NameList>
          <b:Person>
            <b:Last>Carrico</b:Last>
            <b:First>John</b:First>
          </b:Person>
        </b:NameList>
      </b:Author>
    </b:Author>
    <b:Title>It's in the supply chain</b:Title>
    <b:JournalName>From Just in time to resilience</b:JournalName>
    <b:Year>2024</b:Year>
    <b:RefOrder>24</b:RefOrder>
  </b:Source>
  <b:Source>
    <b:Tag>ToS23</b:Tag>
    <b:SourceType>JournalArticle</b:SourceType>
    <b:Guid>{23B898AA-8995-40D0-8115-2423BEE7B9B0}</b:Guid>
    <b:Author>
      <b:Author>
        <b:NameList>
          <b:Person>
            <b:Last>To</b:Last>
            <b:First>Sin</b:First>
          </b:Person>
        </b:NameList>
      </b:Author>
    </b:Author>
    <b:Title>Forbes</b:Title>
    <b:JournalName>Toyota Production Malfunction: Just-In-Time For Supply Chain Upgrade</b:JournalName>
    <b:Year>2023</b:Year>
    <b:RefOrder>26</b:RefOrder>
  </b:Source>
  <b:Source>
    <b:Tag>SAP24</b:Tag>
    <b:SourceType>InternetSite</b:SourceType>
    <b:Guid>{F110E1C5-F1FB-49BB-B935-A20C2E093ECA}</b:Guid>
    <b:Title>SAP</b:Title>
    <b:Year>2024</b:Year>
    <b:InternetSiteTitle>What is supply chain visibility and why is it important?</b:InternetSiteTitle>
    <b:Month>September</b:Month>
    <b:Day>24</b:Day>
    <b:URL>https://www.sap.com/resources/supply-chain-visibility</b:URL>
    <b:RefOrder>27</b:RefOrder>
  </b:Source>
  <b:Source>
    <b:Tag>Ver25</b:Tag>
    <b:SourceType>JournalArticle</b:SourceType>
    <b:Guid>{6A7E6D96-544A-4AA0-9761-B7C7DB0DCDC6}</b:Guid>
    <b:Title>Understanding Supply Chain Visibility and Its Importance</b:Title>
    <b:Year>2025</b:Year>
    <b:Author>
      <b:Author>
        <b:NameList>
          <b:Person>
            <b:Last>Verma</b:Last>
            <b:First>Prasoon</b:First>
          </b:Person>
        </b:NameList>
      </b:Author>
    </b:Author>
    <b:JournalName>Understanding Supply Chain Visibility and Its Importance</b:JournalName>
    <b:RefOrder>28</b:RefOrder>
  </b:Source>
  <b:Source>
    <b:Tag>Gre24</b:Tag>
    <b:SourceType>JournalArticle</b:SourceType>
    <b:Guid>{5BED259F-8DE7-4647-9BC1-5A06EAA2C93B}</b:Guid>
    <b:Author>
      <b:Author>
        <b:NameList>
          <b:Person>
            <b:Last>Greenspan</b:Last>
            <b:First>Roberta</b:First>
          </b:Person>
        </b:NameList>
      </b:Author>
    </b:Author>
    <b:Title>Walmart’s Inventory Management</b:Title>
    <b:JournalName>Walmart’s Inventory Management</b:JournalName>
    <b:Year>2024</b:Year>
    <b:RefOrder>29</b:RefOrder>
  </b:Source>
  <b:Source>
    <b:Tag>Bai23</b:Tag>
    <b:SourceType>JournalArticle</b:SourceType>
    <b:Guid>{C1EA22F9-F413-4C08-B4E6-66165A8A5F56}</b:Guid>
    <b:Author>
      <b:Author>
        <b:NameList>
          <b:Person>
            <b:Last>Bain</b:Last>
            <b:First>Marc</b:First>
          </b:Person>
        </b:NameList>
      </b:Author>
    </b:Author>
    <b:Title>RFID’s ‘Quiet Revolution’ in Retail</b:Title>
    <b:JournalName>RFID’s ‘Quiet Revolution’ in Retail</b:JournalName>
    <b:Year>2023</b:Year>
    <b:RefOrder>30</b:RefOrder>
  </b:Source>
  <b:Source>
    <b:Tag>Teu25</b:Tag>
    <b:SourceType>JournalArticle</b:SourceType>
    <b:Guid>{311190BF-7557-446F-A690-3A72F63FCE68}</b:Guid>
    <b:Author>
      <b:Author>
        <b:NameList>
          <b:Person>
            <b:Last>Teuchler</b:Last>
            <b:First>Richard</b:First>
          </b:Person>
        </b:NameList>
      </b:Author>
    </b:Author>
    <b:Title>Supplier Collaboration</b:Title>
    <b:JournalName>Understanding Supplier Collaboration: Importance, Benefits, and Strategies</b:JournalName>
    <b:Year>2025</b:Year>
    <b:RefOrder>31</b:RefOrder>
  </b:Source>
  <b:Source>
    <b:Tag>Wei23</b:Tag>
    <b:SourceType>JournalArticle</b:SourceType>
    <b:Guid>{C416437B-ECF8-4E70-B344-F827593C3ECB}</b:Guid>
    <b:Author>
      <b:Author>
        <b:NameList>
          <b:Person>
            <b:Last>Weiss</b:Last>
            <b:First>Amara</b:First>
          </b:Person>
        </b:NameList>
      </b:Author>
    </b:Author>
    <b:Title>Supply Chain Management</b:Title>
    <b:JournalName>Benefits of Collaborative Planning in Supply Chain Management</b:JournalName>
    <b:Year>2023</b:Year>
    <b:RefOrder>32</b:RefOrder>
  </b:Source>
  <b:Source>
    <b:Tag>Sch13</b:Tag>
    <b:SourceType>JournalArticle</b:SourceType>
    <b:Guid>{266A497D-F8B4-4EBD-8AB0-6834221C754C}</b:Guid>
    <b:Author>
      <b:Author>
        <b:NameList>
          <b:Person>
            <b:Last>Schmidt</b:Last>
            <b:First>William</b:First>
          </b:Person>
          <b:Person>
            <b:Last>Simchi-Levi</b:Last>
            <b:First>David</b:First>
          </b:Person>
        </b:NameList>
      </b:Author>
    </b:Author>
    <b:Title>Nissan Motor Company Ltd.: Building Operational</b:Title>
    <b:JournalName>Nissan Motor Company Ltd.: Building Operational</b:JournalName>
    <b:Year>2013</b:Year>
    <b:RefOrder>33</b:RefOrder>
  </b:Source>
  <b:Source>
    <b:Tag>Aco21</b:Tag>
    <b:SourceType>JournalArticle</b:SourceType>
    <b:Guid>{136ABA5D-8DE9-4608-94BC-0FB2234EA586}</b:Guid>
    <b:Author>
      <b:Author>
        <b:NameList>
          <b:Person>
            <b:Last>Acosta</b:Last>
            <b:First>Gina</b:First>
          </b:Person>
        </b:NameList>
      </b:Author>
    </b:Author>
    <b:Title>Progressive Grocer</b:Title>
    <b:JournalName>How Kroger Beat the Supply Chain Crisis</b:JournalName>
    <b:Year>2021</b:Year>
    <b:RefOrder>34</b:RefOrder>
  </b:Source>
  <b:Source>
    <b:Tag>Mor25</b:Tag>
    <b:SourceType>JournalArticle</b:SourceType>
    <b:Guid>{4E158FBB-8848-4AEC-B679-956F25B1CEB0}</b:Guid>
    <b:Author>
      <b:Author>
        <b:NameList>
          <b:Person>
            <b:Last>Morales</b:Last>
            <b:First>Jowi</b:First>
          </b:Person>
        </b:NameList>
      </b:Author>
    </b:Author>
    <b:Title>UPS reportedly destroying packages due to customs confusion</b:Title>
    <b:JournalName>UPS reportedly destroying packages due to customs confusion</b:JournalName>
    <b:Year>2025</b:Year>
    <b:RefOrder>38</b:RefOrder>
  </b:Source>
  <b:Source>
    <b:Tag>Emb25</b:Tag>
    <b:SourceType>InternetSite</b:SourceType>
    <b:Guid>{92D7DFCE-D101-42BA-A1AB-835D3752927D}</b:Guid>
    <b:Title>Embracing Digital Transformation: The Role of Technology in Modernising Customs Clearance Processes</b:Title>
    <b:Year>2025</b:Year>
    <b:InternetSiteTitle>WeFreight</b:InternetSiteTitle>
    <b:Month>May</b:Month>
    <b:Day>26</b:Day>
    <b:URL>https://wefreight.com/digital-customs-clearance-transformation/</b:URL>
    <b:RefOrder>35</b:RefOrder>
  </b:Source>
  <b:Source>
    <b:Tag>Emb251</b:Tag>
    <b:SourceType>InternetSite</b:SourceType>
    <b:Guid>{D2B73EB6-25B8-437E-8E3C-E6AA95DB19B2}</b:Guid>
    <b:Title>Embracing Digital Transformation: The Role of Technology in Modernising Customs Clearance Processes</b:Title>
    <b:InternetSiteTitle>WeFreight</b:InternetSiteTitle>
    <b:Year>2025</b:Year>
    <b:Month>May</b:Month>
    <b:Day>26</b:Day>
    <b:URL>https://wefreight.com/digital-customs-clearance-transformation/</b:URL>
    <b:RefOrder>47</b:RefOrder>
  </b:Source>
  <b:Source>
    <b:Tag>How25</b:Tag>
    <b:SourceType>InternetSite</b:SourceType>
    <b:Guid>{D253474C-9D03-4FBA-8CD3-2B6168A09C00}</b:Guid>
    <b:Title>“How to Stay Compliant with Customs and Import Rules for Steel Products”</b:Title>
    <b:InternetSiteTitle>EOXS</b:InternetSiteTitle>
    <b:Year>2025</b:Year>
    <b:Month>June</b:Month>
    <b:Day>4</b:Day>
    <b:URL>https://eoxs.com/new_blog/how-to-stay-compliant-with-customs-and-import-rules-for-steel-products/</b:URL>
    <b:RefOrder>36</b:RefOrder>
  </b:Source>
  <b:Source>
    <b:Tag>Gos23</b:Tag>
    <b:SourceType>JournalArticle</b:SourceType>
    <b:Guid>{16CB282C-650E-440F-BB28-491FE39A274E}</b:Guid>
    <b:Title>Minimizing Delays, Maximizing Success</b:Title>
    <b:Year>2023</b:Year>
    <b:Author>
      <b:Author>
        <b:NameList>
          <b:Person>
            <b:Last>Gosain</b:Last>
            <b:First>Srishti</b:First>
          </b:Person>
        </b:NameList>
      </b:Author>
    </b:Author>
    <b:JournalName>Streamlining Customs Compliance in International Logistics</b:JournalName>
    <b:RefOrder>37</b:RefOrder>
  </b:Source>
  <b:Source>
    <b:Tag>Why25</b:Tag>
    <b:SourceType>InternetSite</b:SourceType>
    <b:Guid>{97461979-8F79-4923-B562-988116977F61}</b:Guid>
    <b:Title>Why Sustainable Procurement Is Essential for Resilient Supply Chains</b:Title>
    <b:Year>2025</b:Year>
    <b:InternetSiteTitle>ISO20400</b:InternetSiteTitle>
    <b:Month>October</b:Month>
    <b:Day>6</b:Day>
    <b:URL>https://www.iso20400.org/why-sustainable-procurement-is-essential-for-resilient-supply-chains/</b:URL>
    <b:RefOrder>39</b:RefOrder>
  </b:Source>
  <b:Source>
    <b:Tag>Jab25</b:Tag>
    <b:SourceType>JournalArticle</b:SourceType>
    <b:Guid>{B6C826EC-4D6D-465B-8E95-29BBB736604E}</b:Guid>
    <b:Title>From Cost to Carbon: Rethinking Sustainable Steel Procurement</b:Title>
    <b:Year>2025</b:Year>
    <b:Author>
      <b:Author>
        <b:NameList>
          <b:Person>
            <b:Last>Jaber</b:Last>
            <b:First>Samir</b:First>
          </b:Person>
        </b:NameList>
      </b:Author>
    </b:Author>
    <b:JournalName>From Cost to Carbon: Rethinking Sustainable Steel Procurement</b:JournalName>
    <b:RefOrder>40</b:RefOrder>
  </b:Source>
  <b:Source>
    <b:Tag>Ric25</b:Tag>
    <b:SourceType>JournalArticle</b:SourceType>
    <b:Guid>{D448632C-4352-40E2-9DD1-7F6A57EBF5BF}</b:Guid>
    <b:Author>
      <b:Author>
        <b:NameList>
          <b:Person>
            <b:Last>Rice</b:Last>
            <b:First>Sophie</b:First>
          </b:Person>
        </b:NameList>
      </b:Author>
    </b:Author>
    <b:Title>The Role of Sustainable in Supply Chain and Procurement</b:Title>
    <b:JournalName>The Role of Sustainable in Supply Chain and Procurement</b:JournalName>
    <b:Year>2025</b:Year>
    <b:RefOrder>41</b:RefOrder>
  </b:Source>
  <b:Source>
    <b:Tag>Tat19</b:Tag>
    <b:SourceType>Report</b:SourceType>
    <b:Guid>{CE6437B1-1E51-4F5E-ABB0-CFAE24E0E11E}</b:Guid>
    <b:Title>Tata Steel Europe Responsible Procurement Policy</b:Title>
    <b:Year>2019</b:Year>
    <b:Author>
      <b:Author>
        <b:NameList>
          <b:Person>
            <b:Last>Tata Steel</b:Last>
          </b:Person>
        </b:NameList>
      </b:Author>
    </b:Author>
    <b:RefOrder>42</b:RefOrder>
  </b:Source>
  <b:Source>
    <b:Tag>Hit18</b:Tag>
    <b:SourceType>JournalArticle</b:SourceType>
    <b:Guid>{4B2AA26A-717D-4A51-A504-DC6DAC3063F6}</b:Guid>
    <b:Title>Hundreds of H&amp;M and Gap Factory Workers Abused Daily: Report</b:Title>
    <b:Year>2018</b:Year>
    <b:Author>
      <b:Author>
        <b:NameList>
          <b:Person>
            <b:Last>Hitchings-Hales</b:Last>
            <b:First>James</b:First>
          </b:Person>
        </b:NameList>
      </b:Author>
    </b:Author>
    <b:JournalName>Hundreds of H&amp;M and Gap Factory Workers Abused Daily: Report</b:JournalName>
    <b:RefOrder>43</b:RefOrder>
  </b:Source>
  <b:Source>
    <b:Tag>Zen24</b:Tag>
    <b:SourceType>JournalArticle</b:SourceType>
    <b:Guid>{A0854CB7-E432-4756-AD2D-4554669D282F}</b:Guid>
    <b:Author>
      <b:Author>
        <b:NameList>
          <b:Person>
            <b:Last>Zenda</b:Last>
            <b:First>Cyril</b:First>
          </b:Person>
        </b:NameList>
      </b:Author>
    </b:Author>
    <b:Title>Congo takes on Apple</b:Title>
    <b:JournalName>Congo takes on Apple</b:JournalName>
    <b:Year>2024</b:Year>
    <b:RefOrder>44</b:RefOrder>
  </b:Source>
  <b:Source>
    <b:Tag>Liu13</b:Tag>
    <b:SourceType>DocumentFromInternetSite</b:SourceType>
    <b:Guid>{011F12C0-8212-41A6-A2E8-149B6A89E068}</b:Guid>
    <b:Author>
      <b:Author>
        <b:NameList>
          <b:Person>
            <b:Last>Forrest</b:Last>
            <b:First>George</b:First>
          </b:Person>
        </b:NameList>
      </b:Author>
    </b:Author>
    <b:Title>FMEA (Failure Mode and Effects Analysis)</b:Title>
    <b:JournalName>Risk evaluation approaches in failure mode and effects analysis: A literature review</b:JournalName>
    <b:Year>2025</b:Year>
    <b:InternetSiteTitle>ISIXSIGMA</b:InternetSiteTitle>
    <b:Month>February</b:Month>
    <b:Day>18</b:Day>
    <b:URL>https://www.isixsigma.com/fmea/fmea-quick-guide/</b:URL>
    <b:RefOrder>6</b:RefOrder>
  </b:Source>
  <b:Source>
    <b:Tag>Ban18</b:Tag>
    <b:SourceType>JournalArticle</b:SourceType>
    <b:Guid>{FC1AF301-337A-4732-A6D4-341A91D57FD5}</b:Guid>
    <b:Author>
      <b:Author>
        <b:NameList>
          <b:Person>
            <b:Last>Banghart</b:Last>
            <b:First>Marc</b:First>
          </b:Person>
          <b:Person>
            <b:Last>Babski-Reeves</b:Last>
            <b:First>Kari</b:First>
          </b:Person>
          <b:Person>
            <b:Last>Bian</b:Last>
            <b:First>Linkan</b:First>
          </b:Person>
          <b:Person>
            <b:Last>Strawderman</b:Last>
            <b:First>Lesley</b:First>
          </b:Person>
        </b:NameList>
      </b:Author>
    </b:Author>
    <b:Title>Subjectivity in Failure Mode Effects Analysis (FMEA) Severity Classification within a Reliability Centered Maintenance (RCM) Context</b:Title>
    <b:JournalName>International Journal of Aviation Aeronautics and Aerospace</b:JournalName>
    <b:Year>2018</b:Year>
    <b:RefOrder>8</b:RefOrder>
  </b:Source>
  <b:Source>
    <b:Tag>She12</b:Tag>
    <b:SourceType>JournalArticle</b:SourceType>
    <b:Guid>{AAA58B3A-8E86-4051-8D9F-BE0B8624DCF9}</b:Guid>
    <b:Author>
      <b:Author>
        <b:NameList>
          <b:Person>
            <b:Last>Shebl</b:Last>
            <b:First>Nada</b:First>
          </b:Person>
          <b:Person>
            <b:Last>Franklin</b:Last>
            <b:First>Bryony</b:First>
          </b:Person>
          <b:Person>
            <b:Last>Barber</b:Last>
            <b:First>Nick</b:First>
          </b:Person>
        </b:NameList>
      </b:Author>
    </b:Author>
    <b:Title>Failure mode and effects analysis outputs: are they valid?</b:Title>
    <b:JournalName>Failure mode and effects analysis outputs: are they valid?</b:JournalName>
    <b:Year>2012</b:Year>
    <b:RefOrder>9</b:RefOrder>
  </b:Source>
  <b:Source>
    <b:Tag>Gra24</b:Tag>
    <b:SourceType>Book</b:SourceType>
    <b:Guid>{45B1F90F-11FB-4488-A64E-8F02A19B707D}</b:Guid>
    <b:Title>AIAG/VDA Combined PFMEA Practitioner Training</b:Title>
    <b:Year>2024</b:Year>
    <b:Author>
      <b:Author>
        <b:NameList>
          <b:Person>
            <b:Last>Grainger</b:Last>
            <b:First>Sarah</b:First>
          </b:Person>
        </b:NameList>
      </b:Author>
    </b:Author>
    <b:RefOrder>10</b:RefOrder>
  </b:Source>
  <b:Source>
    <b:Tag>Doy23</b:Tag>
    <b:SourceType>JournalArticle</b:SourceType>
    <b:Guid>{B2B436C6-CE3F-4CD8-8307-7D5B191E4B87}</b:Guid>
    <b:Title>American Express</b:Title>
    <b:Year>2023</b:Year>
    <b:Author>
      <b:Author>
        <b:NameList>
          <b:Person>
            <b:Last>Doyle</b:Last>
            <b:First>Megan</b:First>
          </b:Person>
        </b:NameList>
      </b:Author>
    </b:Author>
    <b:JournalName>Supply Chain Mapping - Definition, Importance, and...</b:JournalName>
    <b:RefOrder>1</b:RefOrder>
  </b:Source>
  <b:Source>
    <b:Tag>Tom24</b:Tag>
    <b:SourceType>JournalArticle</b:SourceType>
    <b:Guid>{5CA7FBE4-9556-4EB5-8DBF-52240E17B5B3}</b:Guid>
    <b:Author>
      <b:Author>
        <b:NameList>
          <b:Person>
            <b:Last>K</b:Last>
            <b:First>Tom</b:First>
          </b:Person>
        </b:NameList>
      </b:Author>
    </b:Author>
    <b:Title>Lean Supply Solutions</b:Title>
    <b:JournalName>A Comprehensive Guide to Supply Chain Mapping in 2024</b:JournalName>
    <b:Year>2024</b:Year>
    <b:RefOrder>2</b:RefOrder>
  </b:Source>
  <b:Source>
    <b:Tag>Mub25</b:Tag>
    <b:SourceType>Book</b:SourceType>
    <b:Guid>{2616A134-0D1F-4103-8BE3-16A31162A049}</b:Guid>
    <b:Title>Smart Supply Chain Management </b:Title>
    <b:Year>2025</b:Year>
    <b:Author>
      <b:Author>
        <b:NameList>
          <b:Person>
            <b:Last>Mubarik</b:Last>
            <b:First>Muhammad</b:First>
          </b:Person>
          <b:Person>
            <b:Last>Ahmed</b:Last>
            <b:First>Shuaib</b:First>
          </b:Person>
          <b:Person>
            <b:Last>Wasim</b:Last>
            <b:First>Syed</b:First>
          </b:Person>
        </b:NameList>
      </b:Author>
    </b:Author>
    <b:City>Singapore</b:City>
    <b:Publisher>Springer</b:Publisher>
    <b:RefOrder>3</b:RefOrder>
  </b:Source>
  <b:Source>
    <b:Tag>Dix25</b:Tag>
    <b:SourceType>JournalArticle</b:SourceType>
    <b:Guid>{AF9DF76C-3E00-4364-A903-515D08742401}</b:Guid>
    <b:Title>SupplyChain</b:Title>
    <b:Year>2025</b:Year>
    <b:Author>
      <b:Author>
        <b:NameList>
          <b:Person>
            <b:Last>Dixon</b:Last>
            <b:First>Felicity</b:First>
          </b:Person>
        </b:NameList>
      </b:Author>
    </b:Author>
    <b:JournalName>How to Minimize Risks Through Supply Chain Mapping</b:JournalName>
    <b:RefOrder>4</b:RefOrder>
  </b:Source>
</b:Sources>
</file>

<file path=customXml/itemProps1.xml><?xml version="1.0" encoding="utf-8"?>
<ds:datastoreItem xmlns:ds="http://schemas.openxmlformats.org/officeDocument/2006/customXml" ds:itemID="{9CD20FF8-C4E6-49B2-81CB-2A8D7CAF1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71</Pages>
  <Words>15393</Words>
  <Characters>87742</Characters>
  <Application>Microsoft Office Word</Application>
  <DocSecurity>0</DocSecurity>
  <Lines>731</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GREENSLADE</dc:creator>
  <cp:keywords/>
  <dc:description/>
  <cp:lastModifiedBy>ALEXANDER GREENSLADE</cp:lastModifiedBy>
  <cp:revision>3</cp:revision>
  <cp:lastPrinted>2025-11-17T19:29:00Z</cp:lastPrinted>
  <dcterms:created xsi:type="dcterms:W3CDTF">2025-11-17T19:29:00Z</dcterms:created>
  <dcterms:modified xsi:type="dcterms:W3CDTF">2025-11-17T19:30:00Z</dcterms:modified>
</cp:coreProperties>
</file>