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D2D0C" w14:textId="77777777" w:rsidR="0015765E" w:rsidRDefault="0015765E" w:rsidP="0015765E">
      <w:pPr>
        <w:pStyle w:val="NormalWeb"/>
        <w:shd w:val="clear" w:color="auto" w:fill="FFFFFF"/>
        <w:spacing w:before="0" w:beforeAutospacing="0" w:after="0" w:afterAutospacing="0"/>
        <w:rPr>
          <w:rFonts w:ascii="UICTFontTextStyleBody" w:hAnsi="UICTFontTextStyleBody" w:cs="Segoe UI"/>
          <w:b/>
          <w:bCs/>
          <w:color w:val="000000"/>
          <w:sz w:val="32"/>
          <w:szCs w:val="32"/>
          <w:u w:val="single"/>
          <w:bdr w:val="none" w:sz="0" w:space="0" w:color="auto" w:frame="1"/>
        </w:rPr>
      </w:pPr>
      <w:r w:rsidRPr="0015765E">
        <w:rPr>
          <w:rFonts w:ascii="UICTFontTextStyleBody" w:hAnsi="UICTFontTextStyleBody" w:cs="Segoe UI"/>
          <w:b/>
          <w:bCs/>
          <w:color w:val="000000"/>
          <w:sz w:val="32"/>
          <w:szCs w:val="32"/>
          <w:u w:val="single"/>
          <w:bdr w:val="none" w:sz="0" w:space="0" w:color="auto" w:frame="1"/>
        </w:rPr>
        <w:t>Why the new hybrid working is a win-win</w:t>
      </w:r>
    </w:p>
    <w:p w14:paraId="6EDDB070" w14:textId="77777777" w:rsidR="0015765E" w:rsidRDefault="0015765E" w:rsidP="0015765E">
      <w:pPr>
        <w:pStyle w:val="NormalWeb"/>
        <w:shd w:val="clear" w:color="auto" w:fill="FFFFFF"/>
        <w:spacing w:before="0" w:beforeAutospacing="0" w:after="0" w:afterAutospacing="0"/>
        <w:rPr>
          <w:rFonts w:ascii="UICTFontTextStyleBody" w:hAnsi="UICTFontTextStyleBody" w:cs="Segoe UI"/>
          <w:b/>
          <w:bCs/>
          <w:color w:val="000000"/>
          <w:sz w:val="32"/>
          <w:szCs w:val="32"/>
          <w:u w:val="single"/>
          <w:bdr w:val="none" w:sz="0" w:space="0" w:color="auto" w:frame="1"/>
        </w:rPr>
      </w:pPr>
    </w:p>
    <w:p w14:paraId="62E18BED" w14:textId="77777777" w:rsidR="0015765E" w:rsidRPr="0015765E" w:rsidRDefault="0015765E" w:rsidP="0015765E">
      <w:pPr>
        <w:pStyle w:val="NormalWeb"/>
        <w:shd w:val="clear" w:color="auto" w:fill="FFFFFF"/>
        <w:spacing w:before="0" w:beforeAutospacing="0" w:after="0" w:afterAutospacing="0"/>
        <w:rPr>
          <w:rFonts w:ascii="Segoe UI" w:hAnsi="Segoe UI" w:cs="Segoe UI"/>
          <w:b/>
          <w:bCs/>
          <w:color w:val="000000"/>
          <w:sz w:val="32"/>
          <w:szCs w:val="32"/>
          <w:u w:val="single"/>
        </w:rPr>
      </w:pPr>
    </w:p>
    <w:p w14:paraId="7F1615C0" w14:textId="77777777"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t>Changes to working practices have brought advantages for both businesses and employees, but we need to continue to adapt, argues Perry Burton, Head of People and Culture at Grant Thornton UK.</w:t>
      </w:r>
    </w:p>
    <w:p w14:paraId="061D4B2A"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p>
    <w:p w14:paraId="0D4D5247" w14:textId="77777777"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t>For many of us, the pandemic has caused a fundamental shift in how we work, with work no longer a location, but simply what we do. As offices across the UK continue to open, many companies are starting to embed new ways of working with a hybrid working approach - where people split their time between the office and home - seeming very much the norm for those in office-based roles. A Grant Thornton Business Outlook Tracker Report found that 88 per cent of the mid-sized businesses surveyed were adopting a hybrid working approach in December 2021.</w:t>
      </w:r>
    </w:p>
    <w:p w14:paraId="24BDA27E"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p>
    <w:p w14:paraId="6A5A1414" w14:textId="77777777"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t>However, this employer, along with others, was faced with a decision on hybrid working when the UK Government allowed office premises to re-open as part of their plan for post-pandemic economic recovery.</w:t>
      </w:r>
    </w:p>
    <w:p w14:paraId="5DD3E45B"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p>
    <w:p w14:paraId="3C3AD04B" w14:textId="3E7329F5"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t>The end of daily commuting after March 2020 and increased flexibility made pandemic working arrangements very appealing to some workers. Effective digital tools for virtual working also enable employers to make the most of the benefits it offers such as reduced spend on office space and a more agile workforce. A UK Government survey showed favourable results</w:t>
      </w:r>
      <w:r>
        <w:rPr>
          <w:rFonts w:ascii="UICTFontTextStyleBody" w:hAnsi="UICTFontTextStyleBody" w:cs="Segoe UI"/>
          <w:color w:val="000000"/>
          <w:sz w:val="26"/>
          <w:szCs w:val="26"/>
          <w:bdr w:val="none" w:sz="0" w:space="0" w:color="auto" w:frame="1"/>
        </w:rPr>
        <w:t xml:space="preserve"> in terms of productivity among hybrid workers, with output per hour in the last quarter of 2021 exceeding pre-pandemic levels </w:t>
      </w:r>
      <w:r>
        <w:rPr>
          <w:rFonts w:ascii="UICTFontTextStyleBody" w:hAnsi="UICTFontTextStyleBody" w:cs="Segoe UI"/>
          <w:color w:val="000000"/>
          <w:sz w:val="26"/>
          <w:szCs w:val="26"/>
          <w:bdr w:val="none" w:sz="0" w:space="0" w:color="auto" w:frame="1"/>
        </w:rPr>
        <w:t>despite the return of work-from-home guidance during that period.</w:t>
      </w:r>
    </w:p>
    <w:p w14:paraId="7DAEA095" w14:textId="77777777" w:rsidR="0015765E" w:rsidRP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p>
    <w:p w14:paraId="3755A643" w14:textId="77777777"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t>In Grant Thornton's case, the future of working patterns will involve people deciding for themselves the best approach to take for the type of work they have to do, balancing what works best for the individual worker, their teams and clients. A framework for how we work was intended to support people in making decisions about when and where they work. A variety of working patterns had resulted.</w:t>
      </w:r>
    </w:p>
    <w:p w14:paraId="310162D9"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p>
    <w:p w14:paraId="6BD82A16" w14:textId="2516E7ED"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t>Perry Burton notes that there is no one size fits all approach'</w:t>
      </w:r>
      <w:r>
        <w:rPr>
          <w:rFonts w:ascii="UICTFontTextStyleBody" w:hAnsi="UICTFontTextStyleBody" w:cs="Segoe UI"/>
          <w:color w:val="000000"/>
          <w:sz w:val="26"/>
          <w:szCs w:val="26"/>
          <w:bdr w:val="none" w:sz="0" w:space="0" w:color="auto" w:frame="1"/>
        </w:rPr>
        <w:t>…</w:t>
      </w:r>
      <w:r>
        <w:rPr>
          <w:rFonts w:ascii="UICTFontTextStyleBody" w:hAnsi="UICTFontTextStyleBody" w:cs="Segoe UI"/>
          <w:color w:val="000000"/>
          <w:sz w:val="26"/>
          <w:szCs w:val="26"/>
          <w:bdr w:val="none" w:sz="0" w:space="0" w:color="auto" w:frame="1"/>
        </w:rPr>
        <w:t>He also cautioned that it is too early for approaches to be set in stone'.</w:t>
      </w:r>
    </w:p>
    <w:p w14:paraId="08340697"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p>
    <w:p w14:paraId="5ED36E59"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r>
        <w:rPr>
          <w:rFonts w:ascii="UICTFontTextStyleBody" w:hAnsi="UICTFontTextStyleBody" w:cs="Segoe UI"/>
          <w:color w:val="000000"/>
          <w:sz w:val="26"/>
          <w:szCs w:val="26"/>
          <w:bdr w:val="none" w:sz="0" w:space="0" w:color="auto" w:frame="1"/>
        </w:rPr>
        <w:t>However, the overall conclusion based on Grant Thornton's approach was that 'moving away from the idea of presenteeism and trusting your people to decide how, where and when they work, enabled by an effective use of digital technology, will enable you to get the best from each other, deliver genuine value to clients and make your business more inclusive'.</w:t>
      </w:r>
    </w:p>
    <w:p w14:paraId="703D3CF2" w14:textId="782C18EA"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lastRenderedPageBreak/>
        <w:t xml:space="preserve">1 Identify four jobs where </w:t>
      </w:r>
      <w:r>
        <w:rPr>
          <w:rFonts w:ascii="UICTFontTextStyleBody" w:hAnsi="UICTFontTextStyleBody" w:cs="Segoe UI"/>
          <w:color w:val="000000"/>
          <w:sz w:val="26"/>
          <w:szCs w:val="26"/>
          <w:bdr w:val="none" w:sz="0" w:space="0" w:color="auto" w:frame="1"/>
        </w:rPr>
        <w:t>h</w:t>
      </w:r>
      <w:r>
        <w:rPr>
          <w:rFonts w:ascii="UICTFontTextStyleBody" w:hAnsi="UICTFontTextStyleBody" w:cs="Segoe UI"/>
          <w:color w:val="000000"/>
          <w:sz w:val="26"/>
          <w:szCs w:val="26"/>
          <w:bdr w:val="none" w:sz="0" w:space="0" w:color="auto" w:frame="1"/>
        </w:rPr>
        <w:t>ybrid working would not be appropriate and give reasons for your choices.</w:t>
      </w:r>
    </w:p>
    <w:p w14:paraId="08E745F8"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p>
    <w:p w14:paraId="78581057" w14:textId="6EC4C2B8"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r>
        <w:rPr>
          <w:rFonts w:ascii="UICTFontTextStyleBody" w:hAnsi="UICTFontTextStyleBody" w:cs="Segoe UI"/>
          <w:color w:val="000000"/>
          <w:sz w:val="26"/>
          <w:szCs w:val="26"/>
          <w:bdr w:val="none" w:sz="0" w:space="0" w:color="auto" w:frame="1"/>
        </w:rPr>
        <w:t xml:space="preserve">2 </w:t>
      </w:r>
      <w:r>
        <w:rPr>
          <w:rFonts w:ascii="UICTFontTextStyleBody" w:hAnsi="UICTFontTextStyleBody" w:cs="Segoe UI"/>
          <w:color w:val="000000"/>
          <w:sz w:val="26"/>
          <w:szCs w:val="26"/>
          <w:bdr w:val="none" w:sz="0" w:space="0" w:color="auto" w:frame="1"/>
        </w:rPr>
        <w:t>Conduct</w:t>
      </w:r>
      <w:r>
        <w:rPr>
          <w:rFonts w:ascii="UICTFontTextStyleBody" w:hAnsi="UICTFontTextStyleBody" w:cs="Segoe UI"/>
          <w:color w:val="000000"/>
          <w:sz w:val="26"/>
          <w:szCs w:val="26"/>
          <w:bdr w:val="none" w:sz="0" w:space="0" w:color="auto" w:frame="1"/>
        </w:rPr>
        <w:t xml:space="preserve"> research on the term "inclusivity at work and identi</w:t>
      </w:r>
      <w:r>
        <w:rPr>
          <w:rFonts w:ascii="UICTFontTextStyleBody" w:hAnsi="UICTFontTextStyleBody" w:cs="Segoe UI"/>
          <w:color w:val="000000"/>
          <w:sz w:val="26"/>
          <w:szCs w:val="26"/>
          <w:bdr w:val="none" w:sz="0" w:space="0" w:color="auto" w:frame="1"/>
        </w:rPr>
        <w:t>f</w:t>
      </w:r>
      <w:r>
        <w:rPr>
          <w:rFonts w:ascii="UICTFontTextStyleBody" w:hAnsi="UICTFontTextStyleBody" w:cs="Segoe UI"/>
          <w:color w:val="000000"/>
          <w:sz w:val="26"/>
          <w:szCs w:val="26"/>
          <w:bdr w:val="none" w:sz="0" w:space="0" w:color="auto" w:frame="1"/>
        </w:rPr>
        <w:t>y ways in which hybrid working may make an employing organisation more inclusive.</w:t>
      </w:r>
    </w:p>
    <w:p w14:paraId="6C87E3E2" w14:textId="77777777" w:rsidR="0015765E" w:rsidRDefault="0015765E" w:rsidP="0015765E">
      <w:pPr>
        <w:pStyle w:val="NormalWeb"/>
        <w:shd w:val="clear" w:color="auto" w:fill="FFFFFF"/>
        <w:spacing w:before="0" w:beforeAutospacing="0" w:after="0" w:afterAutospacing="0"/>
        <w:rPr>
          <w:rFonts w:ascii="UICTFontTextStyleBody" w:hAnsi="UICTFontTextStyleBody" w:cs="Segoe UI"/>
          <w:color w:val="000000"/>
          <w:sz w:val="26"/>
          <w:szCs w:val="26"/>
          <w:bdr w:val="none" w:sz="0" w:space="0" w:color="auto" w:frame="1"/>
        </w:rPr>
      </w:pPr>
    </w:p>
    <w:p w14:paraId="55F107F1" w14:textId="77777777" w:rsidR="0015765E" w:rsidRDefault="0015765E" w:rsidP="0015765E">
      <w:pPr>
        <w:pStyle w:val="NormalWeb"/>
        <w:shd w:val="clear" w:color="auto" w:fill="FFFFFF"/>
        <w:spacing w:before="0" w:beforeAutospacing="0" w:after="0" w:afterAutospacing="0"/>
        <w:rPr>
          <w:rFonts w:ascii="Segoe UI" w:hAnsi="Segoe UI" w:cs="Segoe UI"/>
          <w:color w:val="000000"/>
          <w:sz w:val="26"/>
          <w:szCs w:val="26"/>
        </w:rPr>
      </w:pPr>
    </w:p>
    <w:p w14:paraId="5349B334" w14:textId="77777777" w:rsidR="00A27332" w:rsidRDefault="00A27332"/>
    <w:p w14:paraId="67D91267" w14:textId="1B29D951" w:rsidR="0015765E" w:rsidRDefault="0015765E">
      <w:r>
        <w:t>(Burton, 2022, cited in Rees and French, 2023)</w:t>
      </w:r>
    </w:p>
    <w:sectPr w:rsidR="001576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UICTFontTextStyle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65E"/>
    <w:rsid w:val="0015765E"/>
    <w:rsid w:val="00547511"/>
    <w:rsid w:val="00A273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BB46A"/>
  <w15:chartTrackingRefBased/>
  <w15:docId w15:val="{6CF268B5-BC55-4F61-A450-0193BB3E2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765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194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409</Words>
  <Characters>2332</Characters>
  <Application>Microsoft Office Word</Application>
  <DocSecurity>0</DocSecurity>
  <Lines>19</Lines>
  <Paragraphs>5</Paragraphs>
  <ScaleCrop>false</ScaleCrop>
  <Company>University of Wales Trinity Saint David</Company>
  <LinksUpToDate>false</LinksUpToDate>
  <CharactersWithSpaces>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1</cp:revision>
  <dcterms:created xsi:type="dcterms:W3CDTF">2023-10-31T10:13:00Z</dcterms:created>
  <dcterms:modified xsi:type="dcterms:W3CDTF">2023-10-31T10:20:00Z</dcterms:modified>
</cp:coreProperties>
</file>