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169461DC" w14:textId="2441956C" w:rsidR="007177DD" w:rsidRPr="007177DD" w:rsidRDefault="007177DD" w:rsidP="007177DD">
      <w:pPr>
        <w:jc w:val="center"/>
        <w:rPr>
          <w:b/>
          <w:u w:val="single"/>
        </w:rPr>
      </w:pPr>
      <w:r w:rsidRPr="007177DD">
        <w:rPr>
          <w:b/>
          <w:u w:val="single"/>
        </w:rPr>
        <w:t>Discuss public debtors in classical Athens.</w:t>
      </w:r>
    </w:p>
    <w:p w14:paraId="6B0C565E" w14:textId="77777777" w:rsidR="007177DD" w:rsidRDefault="007177DD" w:rsidP="009908A9"/>
    <w:p w14:paraId="7AA385A5" w14:textId="26B205C7" w:rsidR="009908A9" w:rsidRDefault="00F31291" w:rsidP="009908A9">
      <w:r>
        <w:t xml:space="preserve">As an Athenian citizen, </w:t>
      </w:r>
      <w:r w:rsidR="0069741E">
        <w:t>a public debtor was someone who</w:t>
      </w:r>
      <w:r w:rsidR="00862E35">
        <w:t xml:space="preserve"> didn’t meet a payment on such things as a fine or a public bid on a contract</w:t>
      </w:r>
      <w:r w:rsidR="008C05C5">
        <w:t>.</w:t>
      </w:r>
      <w:r w:rsidR="00533BE9">
        <w:t xml:space="preserve"> </w:t>
      </w:r>
      <w:r w:rsidR="00533BE9">
        <w:rPr>
          <w:vertAlign w:val="superscript"/>
        </w:rPr>
        <w:t>[</w:t>
      </w:r>
      <w:r w:rsidR="00862E35">
        <w:rPr>
          <w:rStyle w:val="FootnoteReference"/>
        </w:rPr>
        <w:footnoteReference w:id="1"/>
      </w:r>
      <w:r w:rsidR="00533BE9">
        <w:rPr>
          <w:vertAlign w:val="superscript"/>
        </w:rPr>
        <w:t>]</w:t>
      </w:r>
      <w:r w:rsidR="008C05C5">
        <w:t xml:space="preserve"> </w:t>
      </w:r>
      <w:r w:rsidR="00F62EEC">
        <w:t xml:space="preserve">Due to </w:t>
      </w:r>
      <w:proofErr w:type="spellStart"/>
      <w:r w:rsidR="00F62EEC">
        <w:t>Lysikles</w:t>
      </w:r>
      <w:proofErr w:type="spellEnd"/>
      <w:r w:rsidR="00F62EEC">
        <w:t xml:space="preserve">’ outstanding payment on the mine he had leased with three others, he too has become a public debtor and has lost his </w:t>
      </w:r>
      <w:r w:rsidR="008C05C5">
        <w:t>citizens’</w:t>
      </w:r>
      <w:r w:rsidR="00F62EEC">
        <w:t xml:space="preserve"> rights. </w:t>
      </w:r>
      <w:r w:rsidR="00B27BE7">
        <w:t xml:space="preserve">Once someone becomes a public debtor, they automatically lose their rights as a citizen, but they cannot </w:t>
      </w:r>
      <w:r w:rsidR="0038200F">
        <w:t>lose</w:t>
      </w:r>
      <w:r w:rsidR="00B27BE7">
        <w:t xml:space="preserve"> their citizenship if they </w:t>
      </w:r>
      <w:r w:rsidR="0038200F">
        <w:t>are Athenian born</w:t>
      </w:r>
      <w:r w:rsidR="008C05C5">
        <w:t>.</w:t>
      </w:r>
      <w:r w:rsidR="00533BE9">
        <w:t xml:space="preserve"> </w:t>
      </w:r>
      <w:r w:rsidR="00533BE9">
        <w:rPr>
          <w:vertAlign w:val="superscript"/>
        </w:rPr>
        <w:t>[</w:t>
      </w:r>
      <w:r w:rsidR="0038200F">
        <w:rPr>
          <w:rStyle w:val="FootnoteReference"/>
        </w:rPr>
        <w:footnoteReference w:id="2"/>
      </w:r>
      <w:r w:rsidR="00533BE9">
        <w:rPr>
          <w:vertAlign w:val="superscript"/>
        </w:rPr>
        <w:t>]</w:t>
      </w:r>
      <w:r w:rsidR="0038200F">
        <w:t xml:space="preserve"> A public debtor would lose his rights through </w:t>
      </w:r>
      <w:proofErr w:type="spellStart"/>
      <w:proofErr w:type="gramStart"/>
      <w:r w:rsidR="0038200F">
        <w:t>atimia</w:t>
      </w:r>
      <w:proofErr w:type="spellEnd"/>
      <w:r w:rsidR="00533BE9">
        <w:rPr>
          <w:vertAlign w:val="superscript"/>
        </w:rPr>
        <w:t>[</w:t>
      </w:r>
      <w:proofErr w:type="gramEnd"/>
      <w:r w:rsidR="00EF1E50">
        <w:rPr>
          <w:rStyle w:val="FootnoteReference"/>
        </w:rPr>
        <w:footnoteReference w:id="3"/>
      </w:r>
      <w:r w:rsidR="00533BE9">
        <w:rPr>
          <w:vertAlign w:val="superscript"/>
        </w:rPr>
        <w:t>]</w:t>
      </w:r>
      <w:r w:rsidR="00EF1E50">
        <w:t xml:space="preserve"> and would receive an </w:t>
      </w:r>
      <w:proofErr w:type="spellStart"/>
      <w:r w:rsidR="00EF1E50">
        <w:t>apographe</w:t>
      </w:r>
      <w:proofErr w:type="spellEnd"/>
      <w:r w:rsidR="0038200F">
        <w:t xml:space="preserve"> which was a list of items which would be taken off of said </w:t>
      </w:r>
      <w:r w:rsidR="00EF1E50">
        <w:t>list and sold to meet the debt</w:t>
      </w:r>
      <w:r w:rsidR="008C05C5">
        <w:t>.</w:t>
      </w:r>
      <w:r w:rsidR="00533BE9">
        <w:rPr>
          <w:vertAlign w:val="superscript"/>
        </w:rPr>
        <w:t>[</w:t>
      </w:r>
      <w:r w:rsidR="00EF1E50">
        <w:rPr>
          <w:rStyle w:val="FootnoteReference"/>
        </w:rPr>
        <w:footnoteReference w:id="4"/>
      </w:r>
      <w:r w:rsidR="00533BE9">
        <w:rPr>
          <w:vertAlign w:val="superscript"/>
        </w:rPr>
        <w:t>]</w:t>
      </w:r>
    </w:p>
    <w:p w14:paraId="2EE0A03C" w14:textId="63E54BE7" w:rsidR="001169C4" w:rsidRDefault="003602BF" w:rsidP="009908A9">
      <w:r>
        <w:t xml:space="preserve">In the speech of Demosthenes 37, it details a trail which is taking place around someone who is classed as a public debtor. </w:t>
      </w:r>
      <w:r w:rsidR="00E0714F">
        <w:t xml:space="preserve">The speech states that </w:t>
      </w:r>
      <w:r w:rsidR="002D0689">
        <w:t xml:space="preserve">there was a </w:t>
      </w:r>
      <w:r w:rsidR="00F53CFC">
        <w:t xml:space="preserve">transaction made while one of the partners was away, however, </w:t>
      </w:r>
      <w:r w:rsidR="004A0B4E">
        <w:t xml:space="preserve">he does not know what it was as </w:t>
      </w:r>
      <w:r w:rsidR="005A1DF8">
        <w:t>they “do not tell the same story”</w:t>
      </w:r>
      <w:r w:rsidR="008C05C5">
        <w:t>.</w:t>
      </w:r>
      <w:r w:rsidR="008C05C5">
        <w:rPr>
          <w:vertAlign w:val="superscript"/>
        </w:rPr>
        <w:t>[</w:t>
      </w:r>
      <w:r w:rsidR="005A1DF8">
        <w:rPr>
          <w:rStyle w:val="FootnoteReference"/>
        </w:rPr>
        <w:footnoteReference w:id="5"/>
      </w:r>
      <w:r w:rsidR="008C05C5">
        <w:rPr>
          <w:vertAlign w:val="superscript"/>
        </w:rPr>
        <w:t>]</w:t>
      </w:r>
      <w:r w:rsidR="004A0B4E">
        <w:t xml:space="preserve"> This corelates to </w:t>
      </w:r>
      <w:proofErr w:type="spellStart"/>
      <w:r w:rsidR="004A0B4E">
        <w:t>Lysikles</w:t>
      </w:r>
      <w:proofErr w:type="spellEnd"/>
      <w:r w:rsidR="004A0B4E">
        <w:t xml:space="preserve">’ situation as has told others that he gave the money to one of his </w:t>
      </w:r>
      <w:r w:rsidR="003D476E">
        <w:t xml:space="preserve">partners, who has said that he gave the money to </w:t>
      </w:r>
      <w:proofErr w:type="spellStart"/>
      <w:r w:rsidR="003D476E">
        <w:t>Lycon</w:t>
      </w:r>
      <w:proofErr w:type="spellEnd"/>
      <w:r w:rsidR="003D476E">
        <w:t xml:space="preserve">, </w:t>
      </w:r>
      <w:proofErr w:type="spellStart"/>
      <w:r w:rsidR="003D476E">
        <w:t>Diodoros</w:t>
      </w:r>
      <w:proofErr w:type="spellEnd"/>
      <w:r w:rsidR="003D476E">
        <w:t xml:space="preserve">’ slave. </w:t>
      </w:r>
    </w:p>
    <w:p w14:paraId="3808A3C6" w14:textId="1A9B99F5" w:rsidR="003765E6" w:rsidRDefault="001169C4" w:rsidP="009908A9">
      <w:pPr>
        <w:rPr>
          <w:rFonts w:cstheme="minorHAnsi"/>
          <w:vertAlign w:val="superscript"/>
        </w:rPr>
      </w:pPr>
      <w:r>
        <w:rPr>
          <w:rFonts w:cstheme="minorHAnsi"/>
        </w:rPr>
        <w:t xml:space="preserve">In Athens, those who were “state debtors were subject to </w:t>
      </w:r>
      <w:proofErr w:type="spellStart"/>
      <w:r>
        <w:rPr>
          <w:rFonts w:cstheme="minorHAnsi"/>
        </w:rPr>
        <w:t>ἀτιμἰ</w:t>
      </w:r>
      <w:proofErr w:type="spellEnd"/>
      <w:r>
        <w:rPr>
          <w:rFonts w:cstheme="minorHAnsi"/>
        </w:rPr>
        <w:t xml:space="preserve">α” </w:t>
      </w:r>
      <w:r w:rsidR="008C05C5">
        <w:rPr>
          <w:rFonts w:cstheme="minorHAnsi"/>
        </w:rPr>
        <w:t>until the debt they owed was payed off completely.</w:t>
      </w:r>
      <w:r w:rsidR="00533BE9">
        <w:rPr>
          <w:rFonts w:cstheme="minorHAnsi"/>
        </w:rPr>
        <w:t xml:space="preserve"> </w:t>
      </w:r>
      <w:r w:rsidR="008C05C5">
        <w:rPr>
          <w:rFonts w:cstheme="minorHAnsi"/>
          <w:vertAlign w:val="superscript"/>
        </w:rPr>
        <w:t>[</w:t>
      </w:r>
      <w:r w:rsidR="008C05C5">
        <w:rPr>
          <w:rStyle w:val="FootnoteReference"/>
          <w:rFonts w:cstheme="minorHAnsi"/>
        </w:rPr>
        <w:footnoteReference w:id="6"/>
      </w:r>
      <w:r w:rsidR="008C05C5">
        <w:rPr>
          <w:rFonts w:cstheme="minorHAnsi"/>
          <w:vertAlign w:val="superscript"/>
        </w:rPr>
        <w:t>]</w:t>
      </w:r>
      <w:r w:rsidR="00533BE9">
        <w:rPr>
          <w:rFonts w:cstheme="minorHAnsi"/>
          <w:vertAlign w:val="superscript"/>
        </w:rPr>
        <w:t xml:space="preserve">  </w:t>
      </w:r>
      <w:r w:rsidR="00533BE9">
        <w:rPr>
          <w:rFonts w:cstheme="minorHAnsi"/>
        </w:rPr>
        <w:t xml:space="preserve">Due to this, it also means that the public debtors heirs, in this case if </w:t>
      </w:r>
      <w:proofErr w:type="spellStart"/>
      <w:r w:rsidR="00533BE9">
        <w:rPr>
          <w:rFonts w:cstheme="minorHAnsi"/>
        </w:rPr>
        <w:t>Lysikles</w:t>
      </w:r>
      <w:proofErr w:type="spellEnd"/>
      <w:r w:rsidR="00533BE9">
        <w:rPr>
          <w:rFonts w:cstheme="minorHAnsi"/>
        </w:rPr>
        <w:t xml:space="preserve"> could not pay the debt during his lifetime, it would be passed on to his own heirs. </w:t>
      </w:r>
      <w:r w:rsidR="00533BE9">
        <w:rPr>
          <w:rFonts w:cstheme="minorHAnsi"/>
          <w:vertAlign w:val="superscript"/>
        </w:rPr>
        <w:t>[</w:t>
      </w:r>
      <w:r w:rsidR="00533BE9">
        <w:rPr>
          <w:rStyle w:val="FootnoteReference"/>
          <w:rFonts w:cstheme="minorHAnsi"/>
        </w:rPr>
        <w:footnoteReference w:id="7"/>
      </w:r>
      <w:r w:rsidR="00533BE9">
        <w:rPr>
          <w:rFonts w:cstheme="minorHAnsi"/>
          <w:vertAlign w:val="superscript"/>
        </w:rPr>
        <w:t xml:space="preserve">] </w:t>
      </w:r>
      <w:r w:rsidR="00533BE9">
        <w:rPr>
          <w:rFonts w:cstheme="minorHAnsi"/>
        </w:rPr>
        <w:t xml:space="preserve">This also meant that due to his lack of citizen rights, he could not take someone to trial, and </w:t>
      </w:r>
      <w:r w:rsidR="008C6B1A">
        <w:rPr>
          <w:rFonts w:cstheme="minorHAnsi"/>
        </w:rPr>
        <w:t>even if the public suit was dropped or if the prosecution failed to collect “one fifth of the vote</w:t>
      </w:r>
      <w:r w:rsidR="003765E6">
        <w:rPr>
          <w:rFonts w:cstheme="minorHAnsi"/>
        </w:rPr>
        <w:t xml:space="preserve">s”, it was likely that someone would be ‘fined 1000 </w:t>
      </w:r>
      <w:proofErr w:type="spellStart"/>
      <w:r w:rsidR="003765E6">
        <w:rPr>
          <w:rFonts w:cstheme="minorHAnsi"/>
        </w:rPr>
        <w:t>drachmai</w:t>
      </w:r>
      <w:proofErr w:type="spellEnd"/>
      <w:r w:rsidR="003765E6">
        <w:rPr>
          <w:rFonts w:cstheme="minorHAnsi"/>
        </w:rPr>
        <w:t xml:space="preserve">”. </w:t>
      </w:r>
      <w:r w:rsidR="003765E6">
        <w:rPr>
          <w:rFonts w:cstheme="minorHAnsi"/>
          <w:vertAlign w:val="superscript"/>
        </w:rPr>
        <w:t>[</w:t>
      </w:r>
      <w:r w:rsidR="003765E6">
        <w:rPr>
          <w:rStyle w:val="FootnoteReference"/>
          <w:rFonts w:cstheme="minorHAnsi"/>
        </w:rPr>
        <w:footnoteReference w:id="8"/>
      </w:r>
      <w:r w:rsidR="003765E6">
        <w:rPr>
          <w:rFonts w:cstheme="minorHAnsi"/>
          <w:vertAlign w:val="superscript"/>
        </w:rPr>
        <w:t>]</w:t>
      </w:r>
    </w:p>
    <w:p w14:paraId="7C04D8A0" w14:textId="4BDC4CD9" w:rsidR="003765E6" w:rsidRDefault="003765E6" w:rsidP="009908A9">
      <w:pPr>
        <w:rPr>
          <w:rFonts w:cstheme="minorHAnsi"/>
          <w:vertAlign w:val="superscript"/>
        </w:rPr>
      </w:pPr>
      <w:r>
        <w:rPr>
          <w:rFonts w:cstheme="minorHAnsi"/>
        </w:rPr>
        <w:t xml:space="preserve">In conclusion, according to Athenian laws, “once a citizen”, someone was always a citizen if they were born in Athens, and this goes for public debtors. </w:t>
      </w:r>
      <w:r>
        <w:rPr>
          <w:rFonts w:cstheme="minorHAnsi"/>
          <w:vertAlign w:val="superscript"/>
        </w:rPr>
        <w:t>[</w:t>
      </w:r>
      <w:r>
        <w:rPr>
          <w:rStyle w:val="FootnoteReference"/>
          <w:rFonts w:cstheme="minorHAnsi"/>
        </w:rPr>
        <w:footnoteReference w:id="9"/>
      </w:r>
      <w:r>
        <w:rPr>
          <w:rFonts w:cstheme="minorHAnsi"/>
          <w:vertAlign w:val="superscript"/>
        </w:rPr>
        <w:t xml:space="preserve">] </w:t>
      </w:r>
      <w:r>
        <w:rPr>
          <w:rFonts w:cstheme="minorHAnsi"/>
        </w:rPr>
        <w:t xml:space="preserve">So, in theory, </w:t>
      </w:r>
      <w:proofErr w:type="spellStart"/>
      <w:r>
        <w:rPr>
          <w:rFonts w:cstheme="minorHAnsi"/>
        </w:rPr>
        <w:t>Lysikles</w:t>
      </w:r>
      <w:proofErr w:type="spellEnd"/>
      <w:r>
        <w:rPr>
          <w:rFonts w:cstheme="minorHAnsi"/>
        </w:rPr>
        <w:t xml:space="preserve">, although he has lost his rights, would still be a citizen </w:t>
      </w:r>
      <w:r w:rsidR="007177DD">
        <w:rPr>
          <w:rFonts w:cstheme="minorHAnsi"/>
        </w:rPr>
        <w:t xml:space="preserve">and if he paid doubled amount in dull, he would regain his rights. </w:t>
      </w:r>
      <w:r w:rsidR="007177DD">
        <w:rPr>
          <w:rFonts w:cstheme="minorHAnsi"/>
          <w:vertAlign w:val="superscript"/>
        </w:rPr>
        <w:t>[</w:t>
      </w:r>
      <w:r w:rsidR="007177DD">
        <w:rPr>
          <w:rStyle w:val="FootnoteReference"/>
          <w:rFonts w:cstheme="minorHAnsi"/>
        </w:rPr>
        <w:footnoteReference w:id="10"/>
      </w:r>
      <w:r w:rsidR="007177DD">
        <w:rPr>
          <w:rFonts w:cstheme="minorHAnsi"/>
          <w:vertAlign w:val="superscript"/>
        </w:rPr>
        <w:t>]</w:t>
      </w:r>
    </w:p>
    <w:p w14:paraId="5D7D0922" w14:textId="5440E6FD" w:rsidR="007177DD" w:rsidRDefault="007177DD" w:rsidP="009908A9">
      <w:pPr>
        <w:rPr>
          <w:rFonts w:cstheme="minorHAnsi"/>
          <w:vertAlign w:val="superscript"/>
        </w:rPr>
      </w:pPr>
    </w:p>
    <w:p w14:paraId="58EA630E" w14:textId="32E7068C" w:rsidR="007177DD" w:rsidRDefault="007177DD" w:rsidP="009908A9">
      <w:pPr>
        <w:rPr>
          <w:rFonts w:cstheme="minorHAnsi"/>
          <w:vertAlign w:val="superscript"/>
        </w:rPr>
      </w:pPr>
    </w:p>
    <w:p w14:paraId="63F3095D" w14:textId="7DBB3330" w:rsidR="007177DD" w:rsidRDefault="007177DD" w:rsidP="009908A9">
      <w:pPr>
        <w:rPr>
          <w:rFonts w:cstheme="minorHAnsi"/>
          <w:vertAlign w:val="superscript"/>
        </w:rPr>
      </w:pPr>
    </w:p>
    <w:p w14:paraId="11A7A2B0" w14:textId="6719034A" w:rsidR="007177DD" w:rsidRDefault="007177DD" w:rsidP="009908A9">
      <w:pPr>
        <w:rPr>
          <w:rFonts w:cstheme="minorHAnsi"/>
          <w:vertAlign w:val="superscript"/>
        </w:rPr>
      </w:pPr>
    </w:p>
    <w:p w14:paraId="45A0276B" w14:textId="2C14FF2D" w:rsidR="007177DD" w:rsidRDefault="007177DD" w:rsidP="009908A9">
      <w:pPr>
        <w:rPr>
          <w:rFonts w:cstheme="minorHAnsi"/>
          <w:vertAlign w:val="superscript"/>
        </w:rPr>
      </w:pPr>
    </w:p>
    <w:p w14:paraId="3C8E29E1" w14:textId="34E96FFC" w:rsidR="007177DD" w:rsidRDefault="007177DD" w:rsidP="009908A9">
      <w:pPr>
        <w:rPr>
          <w:rFonts w:cstheme="minorHAnsi"/>
          <w:vertAlign w:val="superscript"/>
        </w:rPr>
      </w:pPr>
    </w:p>
    <w:p w14:paraId="7A79E8D1" w14:textId="77777777" w:rsidR="007177DD" w:rsidRDefault="007177DD" w:rsidP="009908A9">
      <w:pPr>
        <w:rPr>
          <w:rFonts w:cstheme="minorHAnsi"/>
          <w:vertAlign w:val="superscript"/>
        </w:rPr>
      </w:pPr>
    </w:p>
    <w:p w14:paraId="0AE2A71F" w14:textId="679D64DA" w:rsidR="007177DD" w:rsidRDefault="007177DD" w:rsidP="009908A9">
      <w:pPr>
        <w:rPr>
          <w:rFonts w:cstheme="minorHAnsi"/>
        </w:rPr>
      </w:pPr>
      <w:r>
        <w:rPr>
          <w:rFonts w:cstheme="minorHAnsi"/>
        </w:rPr>
        <w:lastRenderedPageBreak/>
        <w:t>Bibliography.</w:t>
      </w:r>
    </w:p>
    <w:p w14:paraId="43E017B4" w14:textId="1FF94E6B" w:rsidR="007177DD" w:rsidRDefault="007177DD" w:rsidP="009908A9">
      <w:pPr>
        <w:rPr>
          <w:rFonts w:cstheme="minorHAnsi"/>
        </w:rPr>
      </w:pPr>
      <w:r>
        <w:rPr>
          <w:rFonts w:cstheme="minorHAnsi"/>
        </w:rPr>
        <w:t>Primary.</w:t>
      </w:r>
    </w:p>
    <w:p w14:paraId="3A422AC6" w14:textId="7CE59460" w:rsidR="007177DD" w:rsidRDefault="007177DD" w:rsidP="009908A9">
      <w:pPr>
        <w:rPr>
          <w:rFonts w:cstheme="minorHAnsi"/>
        </w:rPr>
      </w:pPr>
      <w:r>
        <w:rPr>
          <w:rFonts w:cstheme="minorHAnsi"/>
        </w:rPr>
        <w:t>Demosthenes. Speech 37. Section 6.</w:t>
      </w:r>
    </w:p>
    <w:p w14:paraId="0E7A1120" w14:textId="5F08E0E3" w:rsidR="007177DD" w:rsidRDefault="007177DD" w:rsidP="009908A9">
      <w:pPr>
        <w:rPr>
          <w:rFonts w:cstheme="minorHAnsi"/>
        </w:rPr>
      </w:pPr>
      <w:r>
        <w:rPr>
          <w:rFonts w:cstheme="minorHAnsi"/>
        </w:rPr>
        <w:t>Secondary.</w:t>
      </w:r>
    </w:p>
    <w:p w14:paraId="72A85AB3" w14:textId="19744272" w:rsidR="007177DD" w:rsidRDefault="007177DD" w:rsidP="009908A9">
      <w:pPr>
        <w:rPr>
          <w:rFonts w:cstheme="minorHAnsi"/>
        </w:rPr>
      </w:pPr>
      <w:r>
        <w:rPr>
          <w:rFonts w:cstheme="minorHAnsi"/>
        </w:rPr>
        <w:t xml:space="preserve">Harrison, A. R.W. (1971). </w:t>
      </w:r>
      <w:r w:rsidRPr="007177DD">
        <w:rPr>
          <w:rFonts w:cstheme="minorHAnsi"/>
          <w:i/>
        </w:rPr>
        <w:t>The Law of Athens</w:t>
      </w:r>
      <w:r>
        <w:rPr>
          <w:rFonts w:cstheme="minorHAnsi"/>
        </w:rPr>
        <w:t>.</w:t>
      </w:r>
    </w:p>
    <w:p w14:paraId="1C25DDDE" w14:textId="1C569FFD" w:rsidR="007177DD" w:rsidRDefault="007177DD" w:rsidP="009908A9">
      <w:pPr>
        <w:rPr>
          <w:rFonts w:cstheme="minorHAnsi"/>
        </w:rPr>
      </w:pPr>
      <w:r>
        <w:rPr>
          <w:rFonts w:cstheme="minorHAnsi"/>
        </w:rPr>
        <w:t xml:space="preserve">Todd, S. C. (1995). </w:t>
      </w:r>
      <w:r w:rsidRPr="007177DD">
        <w:rPr>
          <w:rFonts w:cstheme="minorHAnsi"/>
          <w:i/>
        </w:rPr>
        <w:t>The Shape of Athenian Law</w:t>
      </w:r>
      <w:r>
        <w:rPr>
          <w:rFonts w:cstheme="minorHAnsi"/>
        </w:rPr>
        <w:t>.</w:t>
      </w:r>
    </w:p>
    <w:p w14:paraId="424460C3" w14:textId="31E584B3" w:rsidR="007177DD" w:rsidRDefault="007177DD" w:rsidP="009908A9">
      <w:pPr>
        <w:rPr>
          <w:rFonts w:cstheme="minorHAnsi"/>
        </w:rPr>
      </w:pPr>
    </w:p>
    <w:p w14:paraId="75772001" w14:textId="2CE3C238" w:rsidR="007177DD" w:rsidRDefault="007177DD" w:rsidP="009908A9">
      <w:pPr>
        <w:rPr>
          <w:rFonts w:cstheme="minorHAnsi"/>
        </w:rPr>
      </w:pPr>
      <w:r>
        <w:rPr>
          <w:rFonts w:cstheme="minorHAnsi"/>
        </w:rPr>
        <w:t>Wordcount excluding title and bibliography: 518.</w:t>
      </w:r>
    </w:p>
    <w:p w14:paraId="389EB197" w14:textId="2F59A729" w:rsidR="007177DD" w:rsidRPr="007177DD" w:rsidRDefault="007177DD" w:rsidP="009908A9">
      <w:pPr>
        <w:rPr>
          <w:rFonts w:cstheme="minorHAnsi"/>
        </w:rPr>
      </w:pPr>
      <w:r>
        <w:rPr>
          <w:rFonts w:cstheme="minorHAnsi"/>
        </w:rPr>
        <w:t>Wordcount including title and bibliography: 549.</w:t>
      </w:r>
      <w:bookmarkStart w:id="2" w:name="_GoBack"/>
      <w:bookmarkEnd w:id="2"/>
    </w:p>
    <w:sectPr w:rsidR="007177DD" w:rsidRPr="00717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80BD10" w14:textId="77777777" w:rsidR="00491534" w:rsidRDefault="00491534" w:rsidP="00862E35">
      <w:pPr>
        <w:spacing w:after="0" w:line="240" w:lineRule="auto"/>
      </w:pPr>
      <w:r>
        <w:separator/>
      </w:r>
    </w:p>
  </w:endnote>
  <w:endnote w:type="continuationSeparator" w:id="0">
    <w:p w14:paraId="1BEB9AB5" w14:textId="77777777" w:rsidR="00491534" w:rsidRDefault="00491534" w:rsidP="0086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4A249" w14:textId="77777777" w:rsidR="00491534" w:rsidRDefault="00491534" w:rsidP="00862E35">
      <w:pPr>
        <w:spacing w:after="0" w:line="240" w:lineRule="auto"/>
      </w:pPr>
      <w:r>
        <w:separator/>
      </w:r>
    </w:p>
  </w:footnote>
  <w:footnote w:type="continuationSeparator" w:id="0">
    <w:p w14:paraId="6C1F7AAD" w14:textId="77777777" w:rsidR="00491534" w:rsidRDefault="00491534" w:rsidP="00862E35">
      <w:pPr>
        <w:spacing w:after="0" w:line="240" w:lineRule="auto"/>
      </w:pPr>
      <w:r>
        <w:continuationSeparator/>
      </w:r>
    </w:p>
  </w:footnote>
  <w:footnote w:id="1">
    <w:p w14:paraId="0B9FE212" w14:textId="308D816E" w:rsidR="00862E35" w:rsidRPr="00862E35" w:rsidRDefault="00862E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26095403"/>
      <w:bookmarkStart w:id="1" w:name="_Hlk526104565"/>
      <w:r>
        <w:t xml:space="preserve">Todd, S. C. (1995) </w:t>
      </w:r>
      <w:r w:rsidRPr="00862E35">
        <w:rPr>
          <w:i/>
        </w:rPr>
        <w:t>The Shape of Athenian La</w:t>
      </w:r>
      <w:r>
        <w:rPr>
          <w:i/>
        </w:rPr>
        <w:t>w</w:t>
      </w:r>
      <w:r>
        <w:t xml:space="preserve">. United States: Oxford University Press </w:t>
      </w:r>
      <w:proofErr w:type="spellStart"/>
      <w:r>
        <w:t>inc.</w:t>
      </w:r>
      <w:proofErr w:type="spellEnd"/>
      <w:r>
        <w:t xml:space="preserve"> p.143.</w:t>
      </w:r>
      <w:bookmarkEnd w:id="1"/>
    </w:p>
    <w:bookmarkEnd w:id="0"/>
  </w:footnote>
  <w:footnote w:id="2">
    <w:p w14:paraId="7AA1BD06" w14:textId="43F0DE22" w:rsidR="0038200F" w:rsidRDefault="003820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65E6">
        <w:t xml:space="preserve">Harrison, A. R. W. (1971) </w:t>
      </w:r>
      <w:r w:rsidR="003765E6" w:rsidRPr="00533BE9">
        <w:rPr>
          <w:i/>
        </w:rPr>
        <w:t>The Law of Athens: Procedure</w:t>
      </w:r>
      <w:r w:rsidR="003765E6">
        <w:t xml:space="preserve">. London: Oxford University Press </w:t>
      </w:r>
      <w:proofErr w:type="spellStart"/>
      <w:r w:rsidR="003765E6">
        <w:t>inc.</w:t>
      </w:r>
      <w:proofErr w:type="spellEnd"/>
      <w:r w:rsidR="003765E6">
        <w:t xml:space="preserve"> p.83.</w:t>
      </w:r>
    </w:p>
  </w:footnote>
  <w:footnote w:id="3">
    <w:p w14:paraId="558831A6" w14:textId="68A375A3" w:rsidR="00EF1E50" w:rsidRDefault="00EF1E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Todd, S. C. (1995) </w:t>
      </w:r>
      <w:r w:rsidRPr="00862E35">
        <w:rPr>
          <w:i/>
        </w:rPr>
        <w:t>The Shape of Athenian La</w:t>
      </w:r>
      <w:r>
        <w:rPr>
          <w:i/>
        </w:rPr>
        <w:t>w</w:t>
      </w:r>
      <w:r>
        <w:t xml:space="preserve">. United States: Oxford University Press </w:t>
      </w:r>
      <w:proofErr w:type="spellStart"/>
      <w:r>
        <w:t>inc.</w:t>
      </w:r>
      <w:proofErr w:type="spellEnd"/>
      <w:r>
        <w:t xml:space="preserve"> p.18</w:t>
      </w:r>
      <w:r>
        <w:t>2</w:t>
      </w:r>
      <w:r>
        <w:t>.</w:t>
      </w:r>
    </w:p>
  </w:footnote>
  <w:footnote w:id="4">
    <w:p w14:paraId="033392C9" w14:textId="087AB913" w:rsidR="00EF1E50" w:rsidRDefault="00EF1E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Todd, S. C. (1995) </w:t>
      </w:r>
      <w:r w:rsidRPr="00862E35">
        <w:rPr>
          <w:i/>
        </w:rPr>
        <w:t>The Shape of Athenian La</w:t>
      </w:r>
      <w:r>
        <w:rPr>
          <w:i/>
        </w:rPr>
        <w:t>w</w:t>
      </w:r>
      <w:r>
        <w:t xml:space="preserve">. United States: Oxford University Press </w:t>
      </w:r>
      <w:proofErr w:type="spellStart"/>
      <w:r>
        <w:t>inc.</w:t>
      </w:r>
      <w:proofErr w:type="spellEnd"/>
      <w:r>
        <w:t xml:space="preserve"> p.</w:t>
      </w:r>
      <w:r>
        <w:t>118</w:t>
      </w:r>
      <w:r>
        <w:t>.</w:t>
      </w:r>
    </w:p>
  </w:footnote>
  <w:footnote w:id="5">
    <w:p w14:paraId="4105A72C" w14:textId="735F1FC8" w:rsidR="005A1DF8" w:rsidRDefault="005A1D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0B4E">
        <w:t>Dem. 37 6.</w:t>
      </w:r>
    </w:p>
  </w:footnote>
  <w:footnote w:id="6">
    <w:p w14:paraId="1AE35684" w14:textId="6266F8D6" w:rsidR="008C05C5" w:rsidRDefault="008C05C5">
      <w:pPr>
        <w:pStyle w:val="FootnoteText"/>
      </w:pPr>
      <w:r>
        <w:rPr>
          <w:rStyle w:val="FootnoteReference"/>
        </w:rPr>
        <w:footnoteRef/>
      </w:r>
      <w:r>
        <w:t xml:space="preserve"> Harrison, A. R. W. (1971) </w:t>
      </w:r>
      <w:r w:rsidRPr="00533BE9">
        <w:rPr>
          <w:i/>
        </w:rPr>
        <w:t>The Law of Athens: Procedure</w:t>
      </w:r>
      <w:r>
        <w:t>.</w:t>
      </w:r>
      <w:r w:rsidR="00533BE9">
        <w:t xml:space="preserve"> London: Oxford University Press </w:t>
      </w:r>
      <w:proofErr w:type="spellStart"/>
      <w:r w:rsidR="00533BE9">
        <w:t>inc.</w:t>
      </w:r>
      <w:proofErr w:type="spellEnd"/>
      <w:r w:rsidR="00533BE9">
        <w:t xml:space="preserve"> p.83.</w:t>
      </w:r>
    </w:p>
  </w:footnote>
  <w:footnote w:id="7">
    <w:p w14:paraId="5DB7A086" w14:textId="3F8BBDB8" w:rsidR="00533BE9" w:rsidRDefault="00533B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Harrison, A. R. W. (1971) </w:t>
      </w:r>
      <w:r w:rsidRPr="00533BE9">
        <w:rPr>
          <w:i/>
        </w:rPr>
        <w:t>The Law of Athens: Procedure</w:t>
      </w:r>
      <w:r>
        <w:t xml:space="preserve">. London: Oxford University Press </w:t>
      </w:r>
      <w:proofErr w:type="spellStart"/>
      <w:r>
        <w:t>inc.</w:t>
      </w:r>
      <w:proofErr w:type="spellEnd"/>
      <w:r>
        <w:t xml:space="preserve"> p.83.</w:t>
      </w:r>
    </w:p>
  </w:footnote>
  <w:footnote w:id="8">
    <w:p w14:paraId="4C39D62D" w14:textId="7C1445A3" w:rsidR="003765E6" w:rsidRDefault="003765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Harrison, A. R. W. (1971) </w:t>
      </w:r>
      <w:r w:rsidRPr="00533BE9">
        <w:rPr>
          <w:i/>
        </w:rPr>
        <w:t>The Law of Athens: Procedure</w:t>
      </w:r>
      <w:r>
        <w:t xml:space="preserve">. London: Oxford University Press </w:t>
      </w:r>
      <w:proofErr w:type="spellStart"/>
      <w:r>
        <w:t>inc.</w:t>
      </w:r>
      <w:proofErr w:type="spellEnd"/>
      <w:r>
        <w:t xml:space="preserve"> p.83.</w:t>
      </w:r>
    </w:p>
  </w:footnote>
  <w:footnote w:id="9">
    <w:p w14:paraId="7F2FEA60" w14:textId="0A869A71" w:rsidR="003765E6" w:rsidRDefault="003765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Harrison, A. R. W. (1971) </w:t>
      </w:r>
      <w:r w:rsidRPr="00533BE9">
        <w:rPr>
          <w:i/>
        </w:rPr>
        <w:t>The Law of Athens: Procedure</w:t>
      </w:r>
      <w:r>
        <w:t xml:space="preserve">. London: Oxford University Press </w:t>
      </w:r>
      <w:proofErr w:type="spellStart"/>
      <w:r>
        <w:t>inc.</w:t>
      </w:r>
      <w:proofErr w:type="spellEnd"/>
      <w:r>
        <w:t xml:space="preserve"> p.83.</w:t>
      </w:r>
    </w:p>
  </w:footnote>
  <w:footnote w:id="10">
    <w:p w14:paraId="1B35410E" w14:textId="232A3EA5" w:rsidR="007177DD" w:rsidRDefault="007177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Todd, S. C. (1995) </w:t>
      </w:r>
      <w:r w:rsidRPr="00862E35">
        <w:rPr>
          <w:i/>
        </w:rPr>
        <w:t>The Shape of Athenian La</w:t>
      </w:r>
      <w:r>
        <w:rPr>
          <w:i/>
        </w:rPr>
        <w:t>w</w:t>
      </w:r>
      <w:r>
        <w:t xml:space="preserve">. United States: Oxford University Press </w:t>
      </w:r>
      <w:proofErr w:type="spellStart"/>
      <w:r>
        <w:t>inc.</w:t>
      </w:r>
      <w:proofErr w:type="spellEnd"/>
      <w:r>
        <w:t xml:space="preserve"> p.143.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A9"/>
    <w:rsid w:val="001169C4"/>
    <w:rsid w:val="002D0689"/>
    <w:rsid w:val="003602BF"/>
    <w:rsid w:val="003765E6"/>
    <w:rsid w:val="0038200F"/>
    <w:rsid w:val="003D476E"/>
    <w:rsid w:val="00491534"/>
    <w:rsid w:val="004A0B4E"/>
    <w:rsid w:val="00533BE9"/>
    <w:rsid w:val="005A1DF8"/>
    <w:rsid w:val="0069741E"/>
    <w:rsid w:val="007177DD"/>
    <w:rsid w:val="00761EFF"/>
    <w:rsid w:val="00820BB8"/>
    <w:rsid w:val="00862E35"/>
    <w:rsid w:val="008746EF"/>
    <w:rsid w:val="00894185"/>
    <w:rsid w:val="008C05C5"/>
    <w:rsid w:val="008C6B1A"/>
    <w:rsid w:val="009908A9"/>
    <w:rsid w:val="00B27BE7"/>
    <w:rsid w:val="00E0714F"/>
    <w:rsid w:val="00EF1E50"/>
    <w:rsid w:val="00F31291"/>
    <w:rsid w:val="00F53CFC"/>
    <w:rsid w:val="00F6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9f"/>
    </o:shapedefaults>
    <o:shapelayout v:ext="edit">
      <o:idmap v:ext="edit" data="1"/>
    </o:shapelayout>
  </w:shapeDefaults>
  <w:decimalSymbol w:val="."/>
  <w:listSeparator w:val=","/>
  <w14:docId w14:val="6ADAFECD"/>
  <w15:chartTrackingRefBased/>
  <w15:docId w15:val="{20AC9B99-6611-406D-A49B-023DDA1F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62E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2E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62E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77784-DB77-4AC2-A764-53EACC80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Welsenaer</dc:creator>
  <cp:keywords/>
  <dc:description/>
  <cp:lastModifiedBy>Jade Welsenaer (1802270)</cp:lastModifiedBy>
  <cp:revision>6</cp:revision>
  <dcterms:created xsi:type="dcterms:W3CDTF">2018-09-30T16:23:00Z</dcterms:created>
  <dcterms:modified xsi:type="dcterms:W3CDTF">2018-09-30T20:10:00Z</dcterms:modified>
</cp:coreProperties>
</file>