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325B6" w14:textId="117E5970" w:rsidR="00646406" w:rsidRPr="00F4799C" w:rsidRDefault="00C57D61" w:rsidP="00646406">
      <w:pPr>
        <w:jc w:val="center"/>
        <w:rPr>
          <w:rFonts w:asciiTheme="minorBidi" w:hAnsiTheme="minorBidi"/>
        </w:rPr>
      </w:pPr>
      <w:r>
        <w:rPr>
          <w:rFonts w:asciiTheme="minorBidi" w:hAnsiTheme="minorBidi"/>
          <w:noProof/>
          <w:lang w:val="en-IN" w:eastAsia="en-IN"/>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D0C4720" w14:textId="77777777" w:rsidR="00646406" w:rsidRPr="00F4799C" w:rsidRDefault="00646406" w:rsidP="00646406">
      <w:pPr>
        <w:jc w:val="center"/>
        <w:rPr>
          <w:rFonts w:asciiTheme="minorBidi" w:hAnsiTheme="minorBidi"/>
        </w:rPr>
      </w:pPr>
    </w:p>
    <w:p w14:paraId="21811744" w14:textId="77777777" w:rsidR="00646406" w:rsidRPr="00F4799C" w:rsidRDefault="00646406" w:rsidP="00392256">
      <w:pPr>
        <w:rPr>
          <w:rFonts w:asciiTheme="minorBidi" w:hAnsiTheme="minorBidi"/>
        </w:rPr>
      </w:pPr>
    </w:p>
    <w:p w14:paraId="1EC34BAD" w14:textId="77777777" w:rsidR="00646406" w:rsidRPr="00F4799C" w:rsidRDefault="00646406" w:rsidP="00646406">
      <w:pPr>
        <w:jc w:val="center"/>
        <w:rPr>
          <w:rFonts w:asciiTheme="minorBidi" w:hAnsiTheme="minorBidi"/>
        </w:rPr>
      </w:pPr>
    </w:p>
    <w:p w14:paraId="020B9CFF" w14:textId="04C041A4"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Student Name:</w:t>
      </w:r>
      <w:r w:rsidR="00392256">
        <w:rPr>
          <w:rFonts w:asciiTheme="minorBidi" w:hAnsiTheme="minorBidi"/>
          <w:b/>
          <w:bCs/>
          <w:sz w:val="28"/>
          <w:szCs w:val="28"/>
        </w:rPr>
        <w:t>Muhammed Zaid</w:t>
      </w:r>
    </w:p>
    <w:p w14:paraId="2AAC98E7" w14:textId="77777777" w:rsidR="00646406" w:rsidRPr="00F4799C" w:rsidRDefault="00646406" w:rsidP="00646406">
      <w:pPr>
        <w:jc w:val="center"/>
        <w:rPr>
          <w:rFonts w:asciiTheme="minorBidi" w:hAnsiTheme="minorBidi"/>
          <w:b/>
          <w:bCs/>
          <w:sz w:val="28"/>
          <w:szCs w:val="28"/>
        </w:rPr>
      </w:pPr>
    </w:p>
    <w:p w14:paraId="586C6996" w14:textId="13528856"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Student ID:</w:t>
      </w:r>
      <w:r w:rsidR="00392256">
        <w:rPr>
          <w:rFonts w:asciiTheme="minorBidi" w:hAnsiTheme="minorBidi"/>
          <w:b/>
          <w:bCs/>
          <w:sz w:val="28"/>
          <w:szCs w:val="28"/>
        </w:rPr>
        <w:t>2535787</w:t>
      </w:r>
    </w:p>
    <w:p w14:paraId="63080C9E" w14:textId="77777777" w:rsidR="00646406" w:rsidRPr="00F4799C" w:rsidRDefault="00646406" w:rsidP="00646406">
      <w:pPr>
        <w:jc w:val="center"/>
        <w:rPr>
          <w:rFonts w:asciiTheme="minorBidi" w:hAnsiTheme="minorBidi"/>
          <w:sz w:val="28"/>
          <w:szCs w:val="28"/>
        </w:rPr>
      </w:pPr>
    </w:p>
    <w:p w14:paraId="3D7751B6" w14:textId="77777777" w:rsidR="00646406" w:rsidRPr="00F4799C" w:rsidRDefault="00646406" w:rsidP="00646406">
      <w:pPr>
        <w:jc w:val="center"/>
        <w:rPr>
          <w:rFonts w:asciiTheme="minorBidi" w:hAnsiTheme="minorBidi"/>
          <w:sz w:val="28"/>
          <w:szCs w:val="28"/>
        </w:rPr>
      </w:pPr>
    </w:p>
    <w:p w14:paraId="37F10C9F" w14:textId="2FF0D0FD"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Module Name: Marketing Management</w:t>
      </w:r>
    </w:p>
    <w:p w14:paraId="1F614A44" w14:textId="77777777" w:rsidR="00646406" w:rsidRPr="00F4799C" w:rsidRDefault="00646406" w:rsidP="00646406">
      <w:pPr>
        <w:jc w:val="center"/>
        <w:rPr>
          <w:rFonts w:asciiTheme="minorBidi" w:hAnsiTheme="minorBidi"/>
          <w:b/>
          <w:bCs/>
          <w:sz w:val="28"/>
          <w:szCs w:val="28"/>
        </w:rPr>
      </w:pPr>
    </w:p>
    <w:p w14:paraId="0794A99E" w14:textId="33486F0B"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Module Code: LCMB7024</w:t>
      </w:r>
    </w:p>
    <w:p w14:paraId="242318AB" w14:textId="77777777" w:rsidR="00646406" w:rsidRPr="00F4799C" w:rsidRDefault="00646406" w:rsidP="00646406">
      <w:pPr>
        <w:jc w:val="center"/>
        <w:rPr>
          <w:rFonts w:asciiTheme="minorBidi" w:hAnsiTheme="minorBidi"/>
          <w:b/>
          <w:bCs/>
          <w:sz w:val="28"/>
          <w:szCs w:val="28"/>
        </w:rPr>
      </w:pPr>
    </w:p>
    <w:p w14:paraId="7E74A1F6" w14:textId="77777777" w:rsidR="00646406" w:rsidRPr="00F4799C" w:rsidRDefault="00646406" w:rsidP="00392256">
      <w:pPr>
        <w:rPr>
          <w:rFonts w:asciiTheme="minorBidi" w:hAnsiTheme="minorBidi"/>
          <w:b/>
          <w:bCs/>
          <w:sz w:val="28"/>
          <w:szCs w:val="28"/>
        </w:rPr>
      </w:pPr>
    </w:p>
    <w:p w14:paraId="1C05EEAE" w14:textId="4B3C42D6"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Lecturer’s Name:</w:t>
      </w:r>
      <w:r w:rsidR="00392256" w:rsidRPr="00392256">
        <w:t xml:space="preserve"> </w:t>
      </w:r>
      <w:r w:rsidR="00392256" w:rsidRPr="00392256">
        <w:rPr>
          <w:rFonts w:asciiTheme="minorBidi" w:hAnsiTheme="minorBidi"/>
          <w:b/>
          <w:bCs/>
          <w:sz w:val="28"/>
          <w:szCs w:val="28"/>
        </w:rPr>
        <w:t>Laila Maazouz</w:t>
      </w:r>
    </w:p>
    <w:p w14:paraId="2534BC8F" w14:textId="77777777" w:rsidR="00646406" w:rsidRPr="00F4799C" w:rsidRDefault="00646406" w:rsidP="00646406">
      <w:pPr>
        <w:jc w:val="center"/>
        <w:rPr>
          <w:rFonts w:asciiTheme="minorBidi" w:hAnsiTheme="minorBidi"/>
          <w:b/>
          <w:bCs/>
          <w:sz w:val="28"/>
          <w:szCs w:val="28"/>
        </w:rPr>
      </w:pPr>
    </w:p>
    <w:p w14:paraId="55B10977" w14:textId="77777777" w:rsidR="00646406" w:rsidRPr="00F4799C" w:rsidRDefault="00646406" w:rsidP="00646406">
      <w:pPr>
        <w:rPr>
          <w:rFonts w:asciiTheme="minorBidi" w:hAnsiTheme="minorBidi"/>
          <w:b/>
          <w:bCs/>
          <w:sz w:val="28"/>
          <w:szCs w:val="28"/>
        </w:rPr>
      </w:pPr>
    </w:p>
    <w:p w14:paraId="39FE983B" w14:textId="33EF44A4"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Work Count:</w:t>
      </w:r>
      <w:r w:rsidR="00392256">
        <w:rPr>
          <w:rFonts w:asciiTheme="minorBidi" w:hAnsiTheme="minorBidi"/>
          <w:b/>
          <w:bCs/>
          <w:sz w:val="28"/>
          <w:szCs w:val="28"/>
        </w:rPr>
        <w:t>2500</w:t>
      </w:r>
    </w:p>
    <w:p w14:paraId="76B4AC18" w14:textId="77777777" w:rsidR="00646406" w:rsidRPr="00F4799C" w:rsidRDefault="00646406" w:rsidP="00392256">
      <w:pPr>
        <w:rPr>
          <w:rFonts w:asciiTheme="minorBidi" w:hAnsiTheme="minorBidi"/>
          <w:b/>
          <w:bCs/>
          <w:sz w:val="28"/>
          <w:szCs w:val="28"/>
        </w:rPr>
      </w:pPr>
      <w:bookmarkStart w:id="0" w:name="_GoBack"/>
      <w:bookmarkEnd w:id="0"/>
    </w:p>
    <w:p w14:paraId="3D7042D2" w14:textId="7440D83E" w:rsidR="00646406" w:rsidRPr="00F4799C" w:rsidRDefault="00646406" w:rsidP="00646406">
      <w:pPr>
        <w:jc w:val="center"/>
        <w:rPr>
          <w:rFonts w:asciiTheme="minorBidi" w:hAnsiTheme="minorBidi"/>
          <w:b/>
          <w:bCs/>
          <w:sz w:val="28"/>
          <w:szCs w:val="28"/>
        </w:rPr>
      </w:pPr>
      <w:r>
        <w:rPr>
          <w:rFonts w:asciiTheme="minorBidi" w:hAnsiTheme="minorBidi"/>
          <w:b/>
          <w:bCs/>
          <w:sz w:val="28"/>
          <w:szCs w:val="28"/>
        </w:rPr>
        <w:t>Term 1</w:t>
      </w:r>
    </w:p>
    <w:p w14:paraId="795BE6E7" w14:textId="16C05007" w:rsidR="00646406" w:rsidRPr="00F4799C" w:rsidRDefault="00646406">
      <w:pPr>
        <w:rPr>
          <w:rFonts w:asciiTheme="minorBidi" w:hAnsiTheme="minorBidi"/>
          <w:b/>
          <w:bCs/>
        </w:rPr>
      </w:pPr>
      <w:r>
        <w:rPr>
          <w:rFonts w:asciiTheme="minorBidi" w:hAnsiTheme="minorBidi"/>
          <w:b/>
          <w:bCs/>
        </w:rPr>
        <w:br w:type="page"/>
      </w:r>
    </w:p>
    <w:sdt>
      <w:sdtPr>
        <w:rPr>
          <w:rFonts w:ascii="Arial" w:eastAsiaTheme="minorHAnsi" w:hAnsi="Arial" w:cstheme="minorBidi"/>
          <w:bCs w:val="0"/>
          <w:kern w:val="2"/>
          <w:sz w:val="24"/>
          <w:szCs w:val="24"/>
          <w:lang w:val="en-GB"/>
          <w14:ligatures w14:val="standardContextual"/>
        </w:rPr>
        <w:id w:val="1022978025"/>
        <w:docPartObj>
          <w:docPartGallery w:val="Table of Contents"/>
          <w:docPartUnique/>
        </w:docPartObj>
      </w:sdtPr>
      <w:sdtEndPr>
        <w:rPr>
          <w:b/>
          <w:noProof/>
        </w:rPr>
      </w:sdtEndPr>
      <w:sdtContent>
        <w:p w14:paraId="10FEAAA2" w14:textId="17B7004F" w:rsidR="00451E09" w:rsidRDefault="00451E09">
          <w:pPr>
            <w:pStyle w:val="TOCHeading"/>
          </w:pPr>
          <w:r>
            <w:t>Table of Contents</w:t>
          </w:r>
        </w:p>
        <w:p w14:paraId="0C1936F6" w14:textId="1D0CDA26" w:rsidR="00411721" w:rsidRDefault="00451E09">
          <w:pPr>
            <w:pStyle w:val="TOC1"/>
            <w:tabs>
              <w:tab w:val="right" w:leader="dot" w:pos="9016"/>
            </w:tabs>
            <w:rPr>
              <w:rFonts w:asciiTheme="minorHAnsi" w:eastAsiaTheme="minorEastAsia" w:hAnsiTheme="minorHAnsi"/>
              <w:b w:val="0"/>
              <w:bCs w:val="0"/>
              <w:caps w:val="0"/>
              <w:noProof/>
              <w:sz w:val="24"/>
              <w:szCs w:val="24"/>
              <w:lang w:val="en-IN" w:eastAsia="en-IN"/>
            </w:rPr>
          </w:pPr>
          <w:r>
            <w:fldChar w:fldCharType="begin"/>
          </w:r>
          <w:r>
            <w:instrText xml:space="preserve"> TOC \o "1-3" \h \z \u </w:instrText>
          </w:r>
          <w:r>
            <w:fldChar w:fldCharType="separate"/>
          </w:r>
          <w:hyperlink w:anchor="_Toc235619845" w:history="1">
            <w:r w:rsidR="00411721" w:rsidRPr="002A65A2">
              <w:rPr>
                <w:rStyle w:val="Hyperlink"/>
                <w:noProof/>
              </w:rPr>
              <w:t>Introduction</w:t>
            </w:r>
            <w:r w:rsidR="00411721">
              <w:rPr>
                <w:noProof/>
                <w:webHidden/>
              </w:rPr>
              <w:tab/>
            </w:r>
            <w:r w:rsidR="00411721">
              <w:rPr>
                <w:noProof/>
                <w:webHidden/>
              </w:rPr>
              <w:fldChar w:fldCharType="begin"/>
            </w:r>
            <w:r w:rsidR="00411721">
              <w:rPr>
                <w:noProof/>
                <w:webHidden/>
              </w:rPr>
              <w:instrText xml:space="preserve"> PAGEREF _Toc235619845 \h </w:instrText>
            </w:r>
            <w:r w:rsidR="00411721">
              <w:rPr>
                <w:noProof/>
                <w:webHidden/>
              </w:rPr>
            </w:r>
            <w:r w:rsidR="00411721">
              <w:rPr>
                <w:noProof/>
                <w:webHidden/>
              </w:rPr>
              <w:fldChar w:fldCharType="separate"/>
            </w:r>
            <w:r w:rsidR="00411721">
              <w:rPr>
                <w:noProof/>
                <w:webHidden/>
              </w:rPr>
              <w:t>4</w:t>
            </w:r>
            <w:r w:rsidR="00411721">
              <w:rPr>
                <w:noProof/>
                <w:webHidden/>
              </w:rPr>
              <w:fldChar w:fldCharType="end"/>
            </w:r>
          </w:hyperlink>
        </w:p>
        <w:p w14:paraId="3E5E3DAE" w14:textId="212BD008" w:rsidR="00411721" w:rsidRDefault="00162860">
          <w:pPr>
            <w:pStyle w:val="TOC1"/>
            <w:tabs>
              <w:tab w:val="right" w:leader="dot" w:pos="9016"/>
            </w:tabs>
            <w:rPr>
              <w:rFonts w:asciiTheme="minorHAnsi" w:eastAsiaTheme="minorEastAsia" w:hAnsiTheme="minorHAnsi"/>
              <w:b w:val="0"/>
              <w:bCs w:val="0"/>
              <w:caps w:val="0"/>
              <w:noProof/>
              <w:sz w:val="24"/>
              <w:szCs w:val="24"/>
              <w:lang w:val="en-IN" w:eastAsia="en-IN"/>
            </w:rPr>
          </w:pPr>
          <w:hyperlink w:anchor="_Toc235619846" w:history="1">
            <w:r w:rsidR="00411721" w:rsidRPr="002A65A2">
              <w:rPr>
                <w:rStyle w:val="Hyperlink"/>
                <w:noProof/>
              </w:rPr>
              <w:t>1. Task 1: Marketing Environment Analysis</w:t>
            </w:r>
            <w:r w:rsidR="00411721">
              <w:rPr>
                <w:noProof/>
                <w:webHidden/>
              </w:rPr>
              <w:tab/>
            </w:r>
            <w:r w:rsidR="00411721">
              <w:rPr>
                <w:noProof/>
                <w:webHidden/>
              </w:rPr>
              <w:fldChar w:fldCharType="begin"/>
            </w:r>
            <w:r w:rsidR="00411721">
              <w:rPr>
                <w:noProof/>
                <w:webHidden/>
              </w:rPr>
              <w:instrText xml:space="preserve"> PAGEREF _Toc235619846 \h </w:instrText>
            </w:r>
            <w:r w:rsidR="00411721">
              <w:rPr>
                <w:noProof/>
                <w:webHidden/>
              </w:rPr>
            </w:r>
            <w:r w:rsidR="00411721">
              <w:rPr>
                <w:noProof/>
                <w:webHidden/>
              </w:rPr>
              <w:fldChar w:fldCharType="separate"/>
            </w:r>
            <w:r w:rsidR="00411721">
              <w:rPr>
                <w:noProof/>
                <w:webHidden/>
              </w:rPr>
              <w:t>4</w:t>
            </w:r>
            <w:r w:rsidR="00411721">
              <w:rPr>
                <w:noProof/>
                <w:webHidden/>
              </w:rPr>
              <w:fldChar w:fldCharType="end"/>
            </w:r>
          </w:hyperlink>
        </w:p>
        <w:p w14:paraId="40710C89" w14:textId="17A36CD7"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47" w:history="1">
            <w:r w:rsidR="00411721" w:rsidRPr="002A65A2">
              <w:rPr>
                <w:rStyle w:val="Hyperlink"/>
                <w:rFonts w:asciiTheme="minorBidi" w:hAnsiTheme="minorBidi"/>
                <w:b/>
                <w:bCs/>
                <w:noProof/>
              </w:rPr>
              <w:t>1.1 Company Selection and Context</w:t>
            </w:r>
            <w:r w:rsidR="00411721">
              <w:rPr>
                <w:noProof/>
                <w:webHidden/>
              </w:rPr>
              <w:tab/>
            </w:r>
            <w:r w:rsidR="00411721">
              <w:rPr>
                <w:noProof/>
                <w:webHidden/>
              </w:rPr>
              <w:fldChar w:fldCharType="begin"/>
            </w:r>
            <w:r w:rsidR="00411721">
              <w:rPr>
                <w:noProof/>
                <w:webHidden/>
              </w:rPr>
              <w:instrText xml:space="preserve"> PAGEREF _Toc235619847 \h </w:instrText>
            </w:r>
            <w:r w:rsidR="00411721">
              <w:rPr>
                <w:noProof/>
                <w:webHidden/>
              </w:rPr>
            </w:r>
            <w:r w:rsidR="00411721">
              <w:rPr>
                <w:noProof/>
                <w:webHidden/>
              </w:rPr>
              <w:fldChar w:fldCharType="separate"/>
            </w:r>
            <w:r w:rsidR="00411721">
              <w:rPr>
                <w:noProof/>
                <w:webHidden/>
              </w:rPr>
              <w:t>4</w:t>
            </w:r>
            <w:r w:rsidR="00411721">
              <w:rPr>
                <w:noProof/>
                <w:webHidden/>
              </w:rPr>
              <w:fldChar w:fldCharType="end"/>
            </w:r>
          </w:hyperlink>
        </w:p>
        <w:p w14:paraId="4BFAB2D2" w14:textId="6FEC4A97"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48" w:history="1">
            <w:r w:rsidR="00411721" w:rsidRPr="002A65A2">
              <w:rPr>
                <w:rStyle w:val="Hyperlink"/>
                <w:rFonts w:asciiTheme="minorBidi" w:hAnsiTheme="minorBidi"/>
                <w:b/>
                <w:bCs/>
                <w:noProof/>
              </w:rPr>
              <w:t>1.2 External Marketing Environment Actor 1: The Natural Environment</w:t>
            </w:r>
            <w:r w:rsidR="00411721">
              <w:rPr>
                <w:noProof/>
                <w:webHidden/>
              </w:rPr>
              <w:tab/>
            </w:r>
            <w:r w:rsidR="00411721">
              <w:rPr>
                <w:noProof/>
                <w:webHidden/>
              </w:rPr>
              <w:fldChar w:fldCharType="begin"/>
            </w:r>
            <w:r w:rsidR="00411721">
              <w:rPr>
                <w:noProof/>
                <w:webHidden/>
              </w:rPr>
              <w:instrText xml:space="preserve"> PAGEREF _Toc235619848 \h </w:instrText>
            </w:r>
            <w:r w:rsidR="00411721">
              <w:rPr>
                <w:noProof/>
                <w:webHidden/>
              </w:rPr>
            </w:r>
            <w:r w:rsidR="00411721">
              <w:rPr>
                <w:noProof/>
                <w:webHidden/>
              </w:rPr>
              <w:fldChar w:fldCharType="separate"/>
            </w:r>
            <w:r w:rsidR="00411721">
              <w:rPr>
                <w:noProof/>
                <w:webHidden/>
              </w:rPr>
              <w:t>4</w:t>
            </w:r>
            <w:r w:rsidR="00411721">
              <w:rPr>
                <w:noProof/>
                <w:webHidden/>
              </w:rPr>
              <w:fldChar w:fldCharType="end"/>
            </w:r>
          </w:hyperlink>
        </w:p>
        <w:p w14:paraId="6BAAEDF7" w14:textId="491D330F"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49" w:history="1">
            <w:r w:rsidR="00411721" w:rsidRPr="002A65A2">
              <w:rPr>
                <w:rStyle w:val="Hyperlink"/>
                <w:rFonts w:asciiTheme="minorBidi" w:hAnsiTheme="minorBidi"/>
                <w:b/>
                <w:bCs/>
                <w:noProof/>
              </w:rPr>
              <w:t>1.3 External Marketing Environment Actor 2: Political and Regulatory Environment</w:t>
            </w:r>
            <w:r w:rsidR="00411721">
              <w:rPr>
                <w:noProof/>
                <w:webHidden/>
              </w:rPr>
              <w:tab/>
            </w:r>
            <w:r w:rsidR="00411721">
              <w:rPr>
                <w:noProof/>
                <w:webHidden/>
              </w:rPr>
              <w:fldChar w:fldCharType="begin"/>
            </w:r>
            <w:r w:rsidR="00411721">
              <w:rPr>
                <w:noProof/>
                <w:webHidden/>
              </w:rPr>
              <w:instrText xml:space="preserve"> PAGEREF _Toc235619849 \h </w:instrText>
            </w:r>
            <w:r w:rsidR="00411721">
              <w:rPr>
                <w:noProof/>
                <w:webHidden/>
              </w:rPr>
            </w:r>
            <w:r w:rsidR="00411721">
              <w:rPr>
                <w:noProof/>
                <w:webHidden/>
              </w:rPr>
              <w:fldChar w:fldCharType="separate"/>
            </w:r>
            <w:r w:rsidR="00411721">
              <w:rPr>
                <w:noProof/>
                <w:webHidden/>
              </w:rPr>
              <w:t>6</w:t>
            </w:r>
            <w:r w:rsidR="00411721">
              <w:rPr>
                <w:noProof/>
                <w:webHidden/>
              </w:rPr>
              <w:fldChar w:fldCharType="end"/>
            </w:r>
          </w:hyperlink>
        </w:p>
        <w:p w14:paraId="1778081B" w14:textId="31FA9BC1" w:rsidR="00411721" w:rsidRDefault="00162860">
          <w:pPr>
            <w:pStyle w:val="TOC1"/>
            <w:tabs>
              <w:tab w:val="right" w:leader="dot" w:pos="9016"/>
            </w:tabs>
            <w:rPr>
              <w:rFonts w:asciiTheme="minorHAnsi" w:eastAsiaTheme="minorEastAsia" w:hAnsiTheme="minorHAnsi"/>
              <w:b w:val="0"/>
              <w:bCs w:val="0"/>
              <w:caps w:val="0"/>
              <w:noProof/>
              <w:sz w:val="24"/>
              <w:szCs w:val="24"/>
              <w:lang w:val="en-IN" w:eastAsia="en-IN"/>
            </w:rPr>
          </w:pPr>
          <w:hyperlink w:anchor="_Toc235619850" w:history="1">
            <w:r w:rsidR="00411721" w:rsidRPr="002A65A2">
              <w:rPr>
                <w:rStyle w:val="Hyperlink"/>
                <w:rFonts w:asciiTheme="minorBidi" w:hAnsiTheme="minorBidi"/>
                <w:noProof/>
              </w:rPr>
              <w:t>2. Task 2: Strategic Growth and Competitive Positioning</w:t>
            </w:r>
            <w:r w:rsidR="00411721">
              <w:rPr>
                <w:noProof/>
                <w:webHidden/>
              </w:rPr>
              <w:tab/>
            </w:r>
            <w:r w:rsidR="00411721">
              <w:rPr>
                <w:noProof/>
                <w:webHidden/>
              </w:rPr>
              <w:fldChar w:fldCharType="begin"/>
            </w:r>
            <w:r w:rsidR="00411721">
              <w:rPr>
                <w:noProof/>
                <w:webHidden/>
              </w:rPr>
              <w:instrText xml:space="preserve"> PAGEREF _Toc235619850 \h </w:instrText>
            </w:r>
            <w:r w:rsidR="00411721">
              <w:rPr>
                <w:noProof/>
                <w:webHidden/>
              </w:rPr>
            </w:r>
            <w:r w:rsidR="00411721">
              <w:rPr>
                <w:noProof/>
                <w:webHidden/>
              </w:rPr>
              <w:fldChar w:fldCharType="separate"/>
            </w:r>
            <w:r w:rsidR="00411721">
              <w:rPr>
                <w:noProof/>
                <w:webHidden/>
              </w:rPr>
              <w:t>7</w:t>
            </w:r>
            <w:r w:rsidR="00411721">
              <w:rPr>
                <w:noProof/>
                <w:webHidden/>
              </w:rPr>
              <w:fldChar w:fldCharType="end"/>
            </w:r>
          </w:hyperlink>
        </w:p>
        <w:p w14:paraId="72DBB285" w14:textId="10173F82"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1" w:history="1">
            <w:r w:rsidR="00411721" w:rsidRPr="002A65A2">
              <w:rPr>
                <w:rStyle w:val="Hyperlink"/>
                <w:rFonts w:asciiTheme="minorBidi" w:hAnsiTheme="minorBidi"/>
                <w:b/>
                <w:bCs/>
                <w:noProof/>
              </w:rPr>
              <w:t>2.1 Strategic Growth Recommendation Using the Ansoff Matrix</w:t>
            </w:r>
            <w:r w:rsidR="00411721">
              <w:rPr>
                <w:noProof/>
                <w:webHidden/>
              </w:rPr>
              <w:tab/>
            </w:r>
            <w:r w:rsidR="00411721">
              <w:rPr>
                <w:noProof/>
                <w:webHidden/>
              </w:rPr>
              <w:fldChar w:fldCharType="begin"/>
            </w:r>
            <w:r w:rsidR="00411721">
              <w:rPr>
                <w:noProof/>
                <w:webHidden/>
              </w:rPr>
              <w:instrText xml:space="preserve"> PAGEREF _Toc235619851 \h </w:instrText>
            </w:r>
            <w:r w:rsidR="00411721">
              <w:rPr>
                <w:noProof/>
                <w:webHidden/>
              </w:rPr>
            </w:r>
            <w:r w:rsidR="00411721">
              <w:rPr>
                <w:noProof/>
                <w:webHidden/>
              </w:rPr>
              <w:fldChar w:fldCharType="separate"/>
            </w:r>
            <w:r w:rsidR="00411721">
              <w:rPr>
                <w:noProof/>
                <w:webHidden/>
              </w:rPr>
              <w:t>7</w:t>
            </w:r>
            <w:r w:rsidR="00411721">
              <w:rPr>
                <w:noProof/>
                <w:webHidden/>
              </w:rPr>
              <w:fldChar w:fldCharType="end"/>
            </w:r>
          </w:hyperlink>
        </w:p>
        <w:p w14:paraId="715C99CA" w14:textId="0BDCDC22"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2" w:history="1">
            <w:r w:rsidR="00411721" w:rsidRPr="002A65A2">
              <w:rPr>
                <w:rStyle w:val="Hyperlink"/>
                <w:rFonts w:asciiTheme="minorBidi" w:hAnsiTheme="minorBidi"/>
                <w:b/>
                <w:bCs/>
                <w:noProof/>
              </w:rPr>
              <w:t>2.2 Competitive Advantage Through a Lower-Carbon Business Model</w:t>
            </w:r>
            <w:r w:rsidR="00411721">
              <w:rPr>
                <w:noProof/>
                <w:webHidden/>
              </w:rPr>
              <w:tab/>
            </w:r>
            <w:r w:rsidR="00411721">
              <w:rPr>
                <w:noProof/>
                <w:webHidden/>
              </w:rPr>
              <w:fldChar w:fldCharType="begin"/>
            </w:r>
            <w:r w:rsidR="00411721">
              <w:rPr>
                <w:noProof/>
                <w:webHidden/>
              </w:rPr>
              <w:instrText xml:space="preserve"> PAGEREF _Toc235619852 \h </w:instrText>
            </w:r>
            <w:r w:rsidR="00411721">
              <w:rPr>
                <w:noProof/>
                <w:webHidden/>
              </w:rPr>
            </w:r>
            <w:r w:rsidR="00411721">
              <w:rPr>
                <w:noProof/>
                <w:webHidden/>
              </w:rPr>
              <w:fldChar w:fldCharType="separate"/>
            </w:r>
            <w:r w:rsidR="00411721">
              <w:rPr>
                <w:noProof/>
                <w:webHidden/>
              </w:rPr>
              <w:t>9</w:t>
            </w:r>
            <w:r w:rsidR="00411721">
              <w:rPr>
                <w:noProof/>
                <w:webHidden/>
              </w:rPr>
              <w:fldChar w:fldCharType="end"/>
            </w:r>
          </w:hyperlink>
        </w:p>
        <w:p w14:paraId="0884D5CB" w14:textId="165DDFEB" w:rsidR="00411721" w:rsidRDefault="00162860">
          <w:pPr>
            <w:pStyle w:val="TOC1"/>
            <w:tabs>
              <w:tab w:val="right" w:leader="dot" w:pos="9016"/>
            </w:tabs>
            <w:rPr>
              <w:rFonts w:asciiTheme="minorHAnsi" w:eastAsiaTheme="minorEastAsia" w:hAnsiTheme="minorHAnsi"/>
              <w:b w:val="0"/>
              <w:bCs w:val="0"/>
              <w:caps w:val="0"/>
              <w:noProof/>
              <w:sz w:val="24"/>
              <w:szCs w:val="24"/>
              <w:lang w:val="en-IN" w:eastAsia="en-IN"/>
            </w:rPr>
          </w:pPr>
          <w:hyperlink w:anchor="_Toc235619853" w:history="1">
            <w:r w:rsidR="00411721" w:rsidRPr="002A65A2">
              <w:rPr>
                <w:rStyle w:val="Hyperlink"/>
                <w:rFonts w:asciiTheme="minorBidi" w:hAnsiTheme="minorBidi"/>
                <w:noProof/>
              </w:rPr>
              <w:t>3. Task 3: Critical Reflection on AI Usage</w:t>
            </w:r>
            <w:r w:rsidR="00411721">
              <w:rPr>
                <w:noProof/>
                <w:webHidden/>
              </w:rPr>
              <w:tab/>
            </w:r>
            <w:r w:rsidR="00411721">
              <w:rPr>
                <w:noProof/>
                <w:webHidden/>
              </w:rPr>
              <w:fldChar w:fldCharType="begin"/>
            </w:r>
            <w:r w:rsidR="00411721">
              <w:rPr>
                <w:noProof/>
                <w:webHidden/>
              </w:rPr>
              <w:instrText xml:space="preserve"> PAGEREF _Toc235619853 \h </w:instrText>
            </w:r>
            <w:r w:rsidR="00411721">
              <w:rPr>
                <w:noProof/>
                <w:webHidden/>
              </w:rPr>
            </w:r>
            <w:r w:rsidR="00411721">
              <w:rPr>
                <w:noProof/>
                <w:webHidden/>
              </w:rPr>
              <w:fldChar w:fldCharType="separate"/>
            </w:r>
            <w:r w:rsidR="00411721">
              <w:rPr>
                <w:noProof/>
                <w:webHidden/>
              </w:rPr>
              <w:t>11</w:t>
            </w:r>
            <w:r w:rsidR="00411721">
              <w:rPr>
                <w:noProof/>
                <w:webHidden/>
              </w:rPr>
              <w:fldChar w:fldCharType="end"/>
            </w:r>
          </w:hyperlink>
        </w:p>
        <w:p w14:paraId="6B0A8683" w14:textId="5588FC6F"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4" w:history="1">
            <w:r w:rsidR="00411721" w:rsidRPr="002A65A2">
              <w:rPr>
                <w:rStyle w:val="Hyperlink"/>
                <w:rFonts w:asciiTheme="minorBidi" w:hAnsiTheme="minorBidi"/>
                <w:b/>
                <w:bCs/>
                <w:noProof/>
              </w:rPr>
              <w:t>3.1 Tool Disclosure</w:t>
            </w:r>
            <w:r w:rsidR="00411721">
              <w:rPr>
                <w:noProof/>
                <w:webHidden/>
              </w:rPr>
              <w:tab/>
            </w:r>
            <w:r w:rsidR="00411721">
              <w:rPr>
                <w:noProof/>
                <w:webHidden/>
              </w:rPr>
              <w:fldChar w:fldCharType="begin"/>
            </w:r>
            <w:r w:rsidR="00411721">
              <w:rPr>
                <w:noProof/>
                <w:webHidden/>
              </w:rPr>
              <w:instrText xml:space="preserve"> PAGEREF _Toc235619854 \h </w:instrText>
            </w:r>
            <w:r w:rsidR="00411721">
              <w:rPr>
                <w:noProof/>
                <w:webHidden/>
              </w:rPr>
            </w:r>
            <w:r w:rsidR="00411721">
              <w:rPr>
                <w:noProof/>
                <w:webHidden/>
              </w:rPr>
              <w:fldChar w:fldCharType="separate"/>
            </w:r>
            <w:r w:rsidR="00411721">
              <w:rPr>
                <w:noProof/>
                <w:webHidden/>
              </w:rPr>
              <w:t>11</w:t>
            </w:r>
            <w:r w:rsidR="00411721">
              <w:rPr>
                <w:noProof/>
                <w:webHidden/>
              </w:rPr>
              <w:fldChar w:fldCharType="end"/>
            </w:r>
          </w:hyperlink>
        </w:p>
        <w:p w14:paraId="0DD75185" w14:textId="27FE1490"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5" w:history="1">
            <w:r w:rsidR="00411721" w:rsidRPr="002A65A2">
              <w:rPr>
                <w:rStyle w:val="Hyperlink"/>
                <w:rFonts w:asciiTheme="minorBidi" w:hAnsiTheme="minorBidi"/>
                <w:b/>
                <w:bCs/>
                <w:noProof/>
              </w:rPr>
              <w:t>3.2 Critical Evaluation of AI Output</w:t>
            </w:r>
            <w:r w:rsidR="00411721">
              <w:rPr>
                <w:noProof/>
                <w:webHidden/>
              </w:rPr>
              <w:tab/>
            </w:r>
            <w:r w:rsidR="00411721">
              <w:rPr>
                <w:noProof/>
                <w:webHidden/>
              </w:rPr>
              <w:fldChar w:fldCharType="begin"/>
            </w:r>
            <w:r w:rsidR="00411721">
              <w:rPr>
                <w:noProof/>
                <w:webHidden/>
              </w:rPr>
              <w:instrText xml:space="preserve"> PAGEREF _Toc235619855 \h </w:instrText>
            </w:r>
            <w:r w:rsidR="00411721">
              <w:rPr>
                <w:noProof/>
                <w:webHidden/>
              </w:rPr>
            </w:r>
            <w:r w:rsidR="00411721">
              <w:rPr>
                <w:noProof/>
                <w:webHidden/>
              </w:rPr>
              <w:fldChar w:fldCharType="separate"/>
            </w:r>
            <w:r w:rsidR="00411721">
              <w:rPr>
                <w:noProof/>
                <w:webHidden/>
              </w:rPr>
              <w:t>12</w:t>
            </w:r>
            <w:r w:rsidR="00411721">
              <w:rPr>
                <w:noProof/>
                <w:webHidden/>
              </w:rPr>
              <w:fldChar w:fldCharType="end"/>
            </w:r>
          </w:hyperlink>
        </w:p>
        <w:p w14:paraId="185F0D99" w14:textId="79167741"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6" w:history="1">
            <w:r w:rsidR="00411721" w:rsidRPr="002A65A2">
              <w:rPr>
                <w:rStyle w:val="Hyperlink"/>
                <w:rFonts w:asciiTheme="minorBidi" w:hAnsiTheme="minorBidi"/>
                <w:b/>
                <w:bCs/>
                <w:noProof/>
              </w:rPr>
              <w:t>3.3 Contribution Analysis</w:t>
            </w:r>
            <w:r w:rsidR="00411721">
              <w:rPr>
                <w:noProof/>
                <w:webHidden/>
              </w:rPr>
              <w:tab/>
            </w:r>
            <w:r w:rsidR="00411721">
              <w:rPr>
                <w:noProof/>
                <w:webHidden/>
              </w:rPr>
              <w:fldChar w:fldCharType="begin"/>
            </w:r>
            <w:r w:rsidR="00411721">
              <w:rPr>
                <w:noProof/>
                <w:webHidden/>
              </w:rPr>
              <w:instrText xml:space="preserve"> PAGEREF _Toc235619856 \h </w:instrText>
            </w:r>
            <w:r w:rsidR="00411721">
              <w:rPr>
                <w:noProof/>
                <w:webHidden/>
              </w:rPr>
            </w:r>
            <w:r w:rsidR="00411721">
              <w:rPr>
                <w:noProof/>
                <w:webHidden/>
              </w:rPr>
              <w:fldChar w:fldCharType="separate"/>
            </w:r>
            <w:r w:rsidR="00411721">
              <w:rPr>
                <w:noProof/>
                <w:webHidden/>
              </w:rPr>
              <w:t>12</w:t>
            </w:r>
            <w:r w:rsidR="00411721">
              <w:rPr>
                <w:noProof/>
                <w:webHidden/>
              </w:rPr>
              <w:fldChar w:fldCharType="end"/>
            </w:r>
          </w:hyperlink>
        </w:p>
        <w:p w14:paraId="1199557E" w14:textId="445A1754" w:rsidR="00411721" w:rsidRDefault="00162860">
          <w:pPr>
            <w:pStyle w:val="TOC2"/>
            <w:tabs>
              <w:tab w:val="right" w:leader="dot" w:pos="9016"/>
            </w:tabs>
            <w:rPr>
              <w:rFonts w:asciiTheme="minorHAnsi" w:eastAsiaTheme="minorEastAsia" w:hAnsiTheme="minorHAnsi"/>
              <w:smallCaps w:val="0"/>
              <w:noProof/>
              <w:sz w:val="24"/>
              <w:szCs w:val="24"/>
              <w:lang w:val="en-IN" w:eastAsia="en-IN"/>
            </w:rPr>
          </w:pPr>
          <w:hyperlink w:anchor="_Toc235619857" w:history="1">
            <w:r w:rsidR="00411721" w:rsidRPr="002A65A2">
              <w:rPr>
                <w:rStyle w:val="Hyperlink"/>
                <w:rFonts w:asciiTheme="minorBidi" w:hAnsiTheme="minorBidi"/>
                <w:b/>
                <w:bCs/>
                <w:noProof/>
              </w:rPr>
              <w:t>3.4 Ethical and Professional Reflection</w:t>
            </w:r>
            <w:r w:rsidR="00411721">
              <w:rPr>
                <w:noProof/>
                <w:webHidden/>
              </w:rPr>
              <w:tab/>
            </w:r>
            <w:r w:rsidR="00411721">
              <w:rPr>
                <w:noProof/>
                <w:webHidden/>
              </w:rPr>
              <w:fldChar w:fldCharType="begin"/>
            </w:r>
            <w:r w:rsidR="00411721">
              <w:rPr>
                <w:noProof/>
                <w:webHidden/>
              </w:rPr>
              <w:instrText xml:space="preserve"> PAGEREF _Toc235619857 \h </w:instrText>
            </w:r>
            <w:r w:rsidR="00411721">
              <w:rPr>
                <w:noProof/>
                <w:webHidden/>
              </w:rPr>
            </w:r>
            <w:r w:rsidR="00411721">
              <w:rPr>
                <w:noProof/>
                <w:webHidden/>
              </w:rPr>
              <w:fldChar w:fldCharType="separate"/>
            </w:r>
            <w:r w:rsidR="00411721">
              <w:rPr>
                <w:noProof/>
                <w:webHidden/>
              </w:rPr>
              <w:t>12</w:t>
            </w:r>
            <w:r w:rsidR="00411721">
              <w:rPr>
                <w:noProof/>
                <w:webHidden/>
              </w:rPr>
              <w:fldChar w:fldCharType="end"/>
            </w:r>
          </w:hyperlink>
        </w:p>
        <w:p w14:paraId="42716B03" w14:textId="133E963F" w:rsidR="00411721" w:rsidRDefault="00162860">
          <w:pPr>
            <w:pStyle w:val="TOC1"/>
            <w:tabs>
              <w:tab w:val="right" w:leader="dot" w:pos="9016"/>
            </w:tabs>
            <w:rPr>
              <w:rFonts w:asciiTheme="minorHAnsi" w:eastAsiaTheme="minorEastAsia" w:hAnsiTheme="minorHAnsi"/>
              <w:b w:val="0"/>
              <w:bCs w:val="0"/>
              <w:caps w:val="0"/>
              <w:noProof/>
              <w:sz w:val="24"/>
              <w:szCs w:val="24"/>
              <w:lang w:val="en-IN" w:eastAsia="en-IN"/>
            </w:rPr>
          </w:pPr>
          <w:hyperlink w:anchor="_Toc235619858" w:history="1">
            <w:r w:rsidR="00411721" w:rsidRPr="002A65A2">
              <w:rPr>
                <w:rStyle w:val="Hyperlink"/>
                <w:noProof/>
              </w:rPr>
              <w:t>References</w:t>
            </w:r>
            <w:r w:rsidR="00411721">
              <w:rPr>
                <w:noProof/>
                <w:webHidden/>
              </w:rPr>
              <w:tab/>
            </w:r>
            <w:r w:rsidR="00411721">
              <w:rPr>
                <w:noProof/>
                <w:webHidden/>
              </w:rPr>
              <w:fldChar w:fldCharType="begin"/>
            </w:r>
            <w:r w:rsidR="00411721">
              <w:rPr>
                <w:noProof/>
                <w:webHidden/>
              </w:rPr>
              <w:instrText xml:space="preserve"> PAGEREF _Toc235619858 \h </w:instrText>
            </w:r>
            <w:r w:rsidR="00411721">
              <w:rPr>
                <w:noProof/>
                <w:webHidden/>
              </w:rPr>
            </w:r>
            <w:r w:rsidR="00411721">
              <w:rPr>
                <w:noProof/>
                <w:webHidden/>
              </w:rPr>
              <w:fldChar w:fldCharType="separate"/>
            </w:r>
            <w:r w:rsidR="00411721">
              <w:rPr>
                <w:noProof/>
                <w:webHidden/>
              </w:rPr>
              <w:t>13</w:t>
            </w:r>
            <w:r w:rsidR="00411721">
              <w:rPr>
                <w:noProof/>
                <w:webHidden/>
              </w:rPr>
              <w:fldChar w:fldCharType="end"/>
            </w:r>
          </w:hyperlink>
        </w:p>
        <w:p w14:paraId="14E4C852" w14:textId="14231A53" w:rsidR="00451E09" w:rsidRDefault="00451E09">
          <w:r>
            <w:rPr>
              <w:b/>
              <w:bCs/>
              <w:noProof/>
            </w:rPr>
            <w:fldChar w:fldCharType="end"/>
          </w:r>
        </w:p>
      </w:sdtContent>
    </w:sdt>
    <w:p w14:paraId="2DCCDEE9" w14:textId="0AA2534E" w:rsidR="00CB01F0" w:rsidRPr="00F4799C" w:rsidRDefault="00CB01F0" w:rsidP="00DE5D5B">
      <w:pPr>
        <w:pStyle w:val="TOCHeading"/>
        <w:rPr>
          <w:rFonts w:asciiTheme="minorBidi" w:hAnsiTheme="minorBidi" w:cstheme="minorBidi"/>
          <w:sz w:val="24"/>
          <w:szCs w:val="24"/>
        </w:rPr>
      </w:pPr>
    </w:p>
    <w:p w14:paraId="0E20F730" w14:textId="77777777" w:rsidR="0002210A" w:rsidRDefault="00CB01F0" w:rsidP="00451E09">
      <w:pPr>
        <w:pStyle w:val="Heading1"/>
      </w:pPr>
      <w:r>
        <w:br w:type="page"/>
      </w:r>
    </w:p>
    <w:p w14:paraId="23DBC49E" w14:textId="12E769E6" w:rsidR="0002210A" w:rsidRDefault="0002210A" w:rsidP="0002210A">
      <w:pPr>
        <w:pStyle w:val="Heading1"/>
      </w:pPr>
      <w:bookmarkStart w:id="1" w:name="_Toc235619845"/>
      <w:r w:rsidRPr="0002210A">
        <w:lastRenderedPageBreak/>
        <w:t>Introduction</w:t>
      </w:r>
      <w:bookmarkEnd w:id="1"/>
    </w:p>
    <w:p w14:paraId="0BB4987D" w14:textId="77777777" w:rsidR="0002210A" w:rsidRDefault="0002210A" w:rsidP="0002210A">
      <w:pPr>
        <w:rPr>
          <w:b/>
        </w:rPr>
      </w:pPr>
      <w:r w:rsidRPr="0002210A">
        <w:t>This report will be discussing the external marketing environment and growth strategies for BHP Group Ltd, which is one of the major mining firms globally. In particular, this report will discuss the impact of environmental and political aspects, especially climate change, carbon regulation, scarcity of resources, and changing government policies on marketing activities and competitiveness of the firm. This report will provide recommendations on an appropriate growth strategy for BHP Group Ltd based on the Ansoff Matrix. In addition, a low-carbon business model for BHP Group will be analyzed based on the Porter’s Generic Strategies to gain competitive advantages.</w:t>
      </w:r>
    </w:p>
    <w:p w14:paraId="2004AA6C" w14:textId="5402D510" w:rsidR="00F4799C" w:rsidRPr="00F4799C" w:rsidRDefault="00CB01F0" w:rsidP="00451E09">
      <w:pPr>
        <w:pStyle w:val="Heading1"/>
        <w:rPr>
          <w:b w:val="0"/>
        </w:rPr>
      </w:pPr>
      <w:bookmarkStart w:id="2" w:name="_Toc235619846"/>
      <w:r>
        <w:t xml:space="preserve">1. Task 1: </w:t>
      </w:r>
      <w:r w:rsidRPr="003D3596">
        <w:t>Marketing</w:t>
      </w:r>
      <w:r>
        <w:t xml:space="preserve"> Environment Analysis</w:t>
      </w:r>
      <w:bookmarkEnd w:id="2"/>
      <w:r>
        <w:t xml:space="preserve"> </w:t>
      </w:r>
    </w:p>
    <w:p w14:paraId="25B7E044" w14:textId="5A1E5516" w:rsidR="00F4799C" w:rsidRPr="00F4799C" w:rsidRDefault="00F4799C" w:rsidP="00451E09">
      <w:pPr>
        <w:pStyle w:val="Heading2"/>
        <w:rPr>
          <w:rFonts w:asciiTheme="minorBidi" w:hAnsiTheme="minorBidi" w:cstheme="minorBidi"/>
          <w:b/>
          <w:bCs/>
          <w:color w:val="auto"/>
          <w:sz w:val="24"/>
          <w:szCs w:val="24"/>
        </w:rPr>
      </w:pPr>
      <w:bookmarkStart w:id="3" w:name="_Toc235619847"/>
      <w:r>
        <w:rPr>
          <w:rFonts w:asciiTheme="minorBidi" w:hAnsiTheme="minorBidi" w:cstheme="minorBidi"/>
          <w:b/>
          <w:bCs/>
          <w:color w:val="auto"/>
          <w:sz w:val="24"/>
          <w:szCs w:val="24"/>
        </w:rPr>
        <w:t>1.1 Company Selection and Context</w:t>
      </w:r>
      <w:bookmarkEnd w:id="3"/>
      <w:r w:rsidR="00625F4C">
        <w:rPr>
          <w:rFonts w:asciiTheme="minorBidi" w:hAnsiTheme="minorBidi" w:cstheme="minorBidi"/>
          <w:b/>
          <w:bCs/>
          <w:color w:val="auto"/>
          <w:sz w:val="24"/>
          <w:szCs w:val="24"/>
        </w:rPr>
        <w:t xml:space="preserve"> </w:t>
      </w:r>
    </w:p>
    <w:p w14:paraId="0F26F8D6" w14:textId="77777777" w:rsidR="00DB369D" w:rsidRDefault="00DB369D" w:rsidP="00DB369D">
      <w:r w:rsidRPr="00DB369D">
        <w:t>BHP Group Ltd has been chosen as the case study organization owing to the fact that BHP Group Ltd is one of the largest mining companies in the world which also happens to be the largest producer of iron ore, copper, metallurgical coal, and potash, which are vital resources needed for economic growth and development of a low carbon economy. Being functional in Australia, Chile, Peru, Canada and the United States, BHP Group Ltd occupies a very strategic position in terms of production of vital minerals necessary for renewable energy and infrastructure (Amegboleza and Ülkü, 2025; Li et al., 2024).</w:t>
      </w:r>
    </w:p>
    <w:p w14:paraId="66E4C078" w14:textId="6994DE74" w:rsidR="00F4799C" w:rsidRPr="00F4799C" w:rsidRDefault="00F4799C" w:rsidP="00451E09">
      <w:pPr>
        <w:pStyle w:val="Heading2"/>
        <w:rPr>
          <w:rFonts w:asciiTheme="minorBidi" w:hAnsiTheme="minorBidi" w:cstheme="minorBidi"/>
          <w:b/>
          <w:bCs/>
          <w:color w:val="auto"/>
          <w:sz w:val="24"/>
          <w:szCs w:val="24"/>
        </w:rPr>
      </w:pPr>
      <w:bookmarkStart w:id="4" w:name="_Toc235619848"/>
      <w:r>
        <w:rPr>
          <w:rFonts w:asciiTheme="minorBidi" w:hAnsiTheme="minorBidi" w:cstheme="minorBidi"/>
          <w:b/>
          <w:bCs/>
          <w:color w:val="auto"/>
          <w:sz w:val="24"/>
          <w:szCs w:val="24"/>
        </w:rPr>
        <w:t>1.2 External Marketing Environment Actor 1: The Natural Environment</w:t>
      </w:r>
      <w:bookmarkEnd w:id="4"/>
      <w:r w:rsidR="00625F4C">
        <w:rPr>
          <w:rFonts w:asciiTheme="minorBidi" w:hAnsiTheme="minorBidi" w:cstheme="minorBidi"/>
          <w:b/>
          <w:bCs/>
          <w:color w:val="auto"/>
          <w:sz w:val="24"/>
          <w:szCs w:val="24"/>
        </w:rPr>
        <w:t xml:space="preserve"> </w:t>
      </w:r>
    </w:p>
    <w:p w14:paraId="1612E7FC" w14:textId="37CD16BA" w:rsidR="00387BB4" w:rsidRDefault="00387BB4" w:rsidP="00451E09">
      <w:pPr>
        <w:spacing w:after="80"/>
        <w:rPr>
          <w:rStyle w:val="Strong"/>
          <w:bCs w:val="0"/>
          <w:i/>
        </w:rPr>
      </w:pPr>
      <w:r w:rsidRPr="00130466">
        <w:rPr>
          <w:rStyle w:val="Strong"/>
          <w:bCs w:val="0"/>
          <w:i/>
        </w:rPr>
        <w:t>Climate Change and Carbon Regulation</w:t>
      </w:r>
    </w:p>
    <w:p w14:paraId="3A89FB43" w14:textId="2FF6328D" w:rsidR="00DB369D" w:rsidRDefault="00DB369D" w:rsidP="00DB369D">
      <w:pPr>
        <w:rPr>
          <w:lang w:val="en-IN"/>
        </w:rPr>
      </w:pPr>
      <w:r w:rsidRPr="00DB369D">
        <w:rPr>
          <w:lang w:val="en-IN"/>
        </w:rPr>
        <w:t xml:space="preserve">Climate change and carbon regulation form one of the critical environmental factors that impact the marketing strategy of BHP because they shape up the operational and stakeholder expectations. The mining and metals industry produces roughly 4–7% of greenhouse gas emissions globally and, therefore, puts mining firms under pressure to decarbonize their operations and value chains (Sinai, 2026). In the case of BHP, apart from the reduction of Scope 1 and 2 emissions, there is the challenge of dealing with Scope 3 emissions arising from the usage of its goods by clients especially in producing steel. Therefore, the company has incorporated climate targets in its Climate Transition Action Plan where it is focusing on renewable </w:t>
      </w:r>
      <w:r w:rsidRPr="00DB369D">
        <w:rPr>
          <w:lang w:val="en-IN"/>
        </w:rPr>
        <w:lastRenderedPageBreak/>
        <w:t>electricity, fleet electrification, energy efficiency, and future-facing commodities like copper and potash (BHP, 2025; BHP, 2025a; BHP, 2026a).</w:t>
      </w:r>
      <w:r w:rsidR="000E0436">
        <w:rPr>
          <w:lang w:val="en-IN"/>
        </w:rPr>
        <w:t xml:space="preserve"> </w:t>
      </w:r>
      <w:r w:rsidR="000E0436" w:rsidRPr="000E0436">
        <w:rPr>
          <w:lang w:val="en-IN"/>
        </w:rPr>
        <w:t>Similar decarbonisation plans have also been taken up by Rio Tinto and Anglo American, which adds pressure on BHP to distinguish itself via sustainable mining of minerals and better ESG practices (Grigorenko</w:t>
      </w:r>
      <w:r w:rsidR="000E0436">
        <w:rPr>
          <w:lang w:val="en-IN"/>
        </w:rPr>
        <w:t>, 2026</w:t>
      </w:r>
      <w:r w:rsidR="000E0436" w:rsidRPr="000E0436">
        <w:rPr>
          <w:lang w:val="en-IN"/>
        </w:rPr>
        <w:t>).</w:t>
      </w:r>
    </w:p>
    <w:p w14:paraId="46827492" w14:textId="77777777" w:rsidR="00DB369D" w:rsidRDefault="00DB369D" w:rsidP="00DB369D">
      <w:pPr>
        <w:rPr>
          <w:lang w:val="en-IN"/>
        </w:rPr>
      </w:pPr>
      <w:r w:rsidRPr="00DB369D">
        <w:rPr>
          <w:lang w:val="en-IN"/>
        </w:rPr>
        <w:t>From the point of view of marketing, successful environmental sustainability efforts contribute to BHP’s competitive advantage because they improve its reputation in terms of ESG, which builds customers’ trust in minerals that have been extracted sustainably and makes it attractive to environmentally conscious investors. However, all these benefits will be gained at a considerable cost, which means that there will be a trade-off between financial performance and value generation for BHP. Thus, environmental sustainability can impact the company’s competitiveness in the market rather than mere compliance with regulations.</w:t>
      </w:r>
    </w:p>
    <w:p w14:paraId="5FBF3C06" w14:textId="5952548C" w:rsidR="00387BB4" w:rsidRPr="00130466" w:rsidRDefault="00387BB4" w:rsidP="00451E09">
      <w:pPr>
        <w:spacing w:after="80"/>
        <w:rPr>
          <w:i/>
        </w:rPr>
      </w:pPr>
      <w:r w:rsidRPr="00130466">
        <w:rPr>
          <w:rStyle w:val="Strong"/>
          <w:bCs w:val="0"/>
          <w:i/>
        </w:rPr>
        <w:t>Resource Scarcity and the Energy Transition</w:t>
      </w:r>
    </w:p>
    <w:p w14:paraId="717C5F00" w14:textId="77777777" w:rsidR="00DB369D" w:rsidRDefault="00DB369D" w:rsidP="00DB369D">
      <w:r w:rsidRPr="00DB369D">
        <w:t>As per the International Energy Agency (2024), demand for critical minerals needed for clean energy technologies is expected to nearly triple up until 2030. The amount of minerals needed for renewable energy technology, electric vehicles, battery technology and power transmission infrastructure would be much more than the amount needed for fossil fuel technologies. Such transition would pose an immense opportunity to BHP since its growing portfolio of copper would be well matched with the growing demand for minerals for decarbonization. But, lower ore grades, resource shortage and high cost of mining could lead to inefficiency and negatively impact the bottom-line performance. Consequently, BHP needs to meet the demands of the market in conjunction with sustainable resource management and technological innovations (BHP, 2026a; BHP, 2025a).</w:t>
      </w:r>
    </w:p>
    <w:p w14:paraId="1EA184F6" w14:textId="12FC3B51" w:rsidR="00387BB4" w:rsidRPr="00130466" w:rsidRDefault="00387BB4" w:rsidP="00451E09">
      <w:pPr>
        <w:spacing w:after="80"/>
        <w:rPr>
          <w:i/>
        </w:rPr>
      </w:pPr>
      <w:r w:rsidRPr="00130466">
        <w:rPr>
          <w:rStyle w:val="Strong"/>
          <w:bCs w:val="0"/>
          <w:i/>
        </w:rPr>
        <w:t>Biodiversity and Water Stewardship</w:t>
      </w:r>
    </w:p>
    <w:p w14:paraId="4998AEBD" w14:textId="77777777" w:rsidR="00DB369D" w:rsidRPr="00DB369D" w:rsidRDefault="00DB369D" w:rsidP="00DB369D">
      <w:pPr>
        <w:rPr>
          <w:lang w:val="en-IN"/>
        </w:rPr>
      </w:pPr>
      <w:r w:rsidRPr="00DB369D">
        <w:rPr>
          <w:lang w:val="en-IN"/>
        </w:rPr>
        <w:t xml:space="preserve">Environmental degradation and loss of biodiversity have become significant concerns in relation to the international mining industry because mining can have a substantial impact on ecosystems and land and water resources. In turn, this has created increasing pressure on mining organizations to be environmentally responsible during all phases of mining from regulatory agencies, communities, and institutional investors. BHP has adopted a sustainable strategy involving biodiversity and water stewardship as the organization understands the importance of having a </w:t>
      </w:r>
      <w:r w:rsidRPr="00DB369D">
        <w:rPr>
          <w:lang w:val="en-IN"/>
        </w:rPr>
        <w:lastRenderedPageBreak/>
        <w:t>minimal impact on the environment and developing relationships with stakeholders in order to maintain social license to operate (BHP, 2026b; Henry and McEwan, 2025).</w:t>
      </w:r>
    </w:p>
    <w:p w14:paraId="2B92F607" w14:textId="77777777" w:rsidR="00DB369D" w:rsidRDefault="00DB369D" w:rsidP="00DB369D">
      <w:pPr>
        <w:rPr>
          <w:lang w:val="en-IN"/>
        </w:rPr>
      </w:pPr>
      <w:r w:rsidRPr="00DB369D">
        <w:rPr>
          <w:lang w:val="en-IN"/>
        </w:rPr>
        <w:t>With regard to marketing, effective environmental stewardship helps to build corporate reputation, creates stakeholder trust and positions the organization as an environmentally responsible provider of metals and minerals. Poor environmental management results in delays, regulatory pressures, and negative reputation, which decreases stakeholder trust and competitiveness. Thus, environmental stewardship is both a sustainability issue and a capability of the company.</w:t>
      </w:r>
    </w:p>
    <w:p w14:paraId="32ACC921" w14:textId="67726B80" w:rsidR="00387BB4" w:rsidRDefault="00387BB4" w:rsidP="00DB369D">
      <w:pPr>
        <w:spacing w:after="80"/>
        <w:rPr>
          <w:rStyle w:val="Strong"/>
          <w:bCs w:val="0"/>
          <w:i/>
        </w:rPr>
      </w:pPr>
      <w:r w:rsidRPr="00130466">
        <w:rPr>
          <w:rStyle w:val="Strong"/>
          <w:bCs w:val="0"/>
          <w:i/>
        </w:rPr>
        <w:t>Opportunities and Threats for BHP</w:t>
      </w:r>
    </w:p>
    <w:p w14:paraId="4F4B2816" w14:textId="38E75963" w:rsidR="00DB369D" w:rsidRPr="00DB369D" w:rsidRDefault="00DB369D" w:rsidP="00DB369D">
      <w:pPr>
        <w:spacing w:after="80"/>
        <w:rPr>
          <w:iCs/>
        </w:rPr>
      </w:pPr>
      <w:r w:rsidRPr="00DB369D">
        <w:rPr>
          <w:iCs/>
        </w:rPr>
        <w:t>The natural environment offers many opportunities and challenges to BHP. The increased demand across the world for responsibly produced critical minerals allows the company to improve its competitive advantage through low carbon production, superior ESG practices and continuous investments in minerals for the energy transition of the world. The above will create more value for customers and improve stakeholder satisfaction, thus enhancing BHP’s reputation as a responsible provider amidst a sustainability-oriented market.</w:t>
      </w:r>
    </w:p>
    <w:p w14:paraId="654BFAE3" w14:textId="114DA358" w:rsidR="00DB369D" w:rsidRPr="00DB369D" w:rsidRDefault="00DB369D" w:rsidP="00DB369D">
      <w:pPr>
        <w:spacing w:after="80"/>
        <w:rPr>
          <w:iCs/>
        </w:rPr>
      </w:pPr>
      <w:r w:rsidRPr="00DB369D">
        <w:rPr>
          <w:iCs/>
        </w:rPr>
        <w:t>However, issues such as climate change regulation, biodiversity protection, water scarcity and increased operating costs may result in negative impacts on profit margins and operations. Other challenges such as enhanced carbon pricing systems, climate disruption in the supply chain and increased stakeholder expectations for environmental performance add to the competition. Therefore, environmental sustainability must not only be perceived as regulatory compliance but also as a marketing capability.</w:t>
      </w:r>
    </w:p>
    <w:p w14:paraId="314FB6CB" w14:textId="70AF09C5" w:rsidR="00F4799C" w:rsidRDefault="00F4799C" w:rsidP="00451E09">
      <w:pPr>
        <w:pStyle w:val="Heading2"/>
      </w:pPr>
      <w:bookmarkStart w:id="5" w:name="_Toc235619849"/>
      <w:r>
        <w:rPr>
          <w:rFonts w:asciiTheme="minorBidi" w:hAnsiTheme="minorBidi" w:cstheme="minorBidi"/>
          <w:b/>
          <w:bCs/>
          <w:color w:val="auto"/>
          <w:sz w:val="24"/>
          <w:szCs w:val="24"/>
        </w:rPr>
        <w:t xml:space="preserve">1.3 External </w:t>
      </w:r>
      <w:r w:rsidR="00560091">
        <w:rPr>
          <w:rFonts w:asciiTheme="minorBidi" w:hAnsiTheme="minorBidi" w:cstheme="minorBidi"/>
          <w:b/>
          <w:bCs/>
          <w:color w:val="auto"/>
          <w:sz w:val="24"/>
          <w:szCs w:val="24"/>
        </w:rPr>
        <w:t xml:space="preserve">Marketing Environment Actor 2: </w:t>
      </w:r>
      <w:r w:rsidR="00560091" w:rsidRPr="00560091">
        <w:rPr>
          <w:rFonts w:asciiTheme="minorBidi" w:hAnsiTheme="minorBidi" w:cstheme="minorBidi"/>
          <w:b/>
          <w:bCs/>
          <w:color w:val="auto"/>
          <w:sz w:val="24"/>
          <w:szCs w:val="24"/>
        </w:rPr>
        <w:t>Political and Regulatory Environment</w:t>
      </w:r>
      <w:bookmarkEnd w:id="5"/>
    </w:p>
    <w:p w14:paraId="7E89202E" w14:textId="27DF147A" w:rsidR="00DB369D" w:rsidRDefault="00DB369D" w:rsidP="00DB369D">
      <w:r w:rsidRPr="00DB369D">
        <w:t xml:space="preserve">Regulatory and political environments make up one of the most important external factors, since government policies and environmental regulations become more and more important concerning the activities, investments, and competition of mining enterprises. The implementation of stricter environmental regulation, carbon pricing, and ESG disclosures makes sustainability obligatory for businesses and not only voluntary, especially for multinational enterprises like BHP (OECD, 2023; BHP, 2025). Due to that fact, BHP has invested more resources in renewable energy and </w:t>
      </w:r>
      <w:r w:rsidRPr="00DB369D">
        <w:lastRenderedPageBreak/>
        <w:t xml:space="preserve">in critical minerals including copper and potash to comply with regulatory demands. </w:t>
      </w:r>
      <w:r w:rsidR="000E0436" w:rsidRPr="000E0436">
        <w:t>Similar investments made by Rio Tinto and Anglo American show that compliance and sustainability have become competitive necessities within the industry instead of individual corporate goals</w:t>
      </w:r>
      <w:r w:rsidR="000E0436">
        <w:t xml:space="preserve"> (</w:t>
      </w:r>
      <w:r w:rsidR="000E0436" w:rsidRPr="000E0436">
        <w:rPr>
          <w:lang w:val="en-IN"/>
        </w:rPr>
        <w:t>Grigorenko</w:t>
      </w:r>
      <w:r w:rsidR="000E0436">
        <w:t>, 2026)</w:t>
      </w:r>
      <w:r w:rsidR="000E0436" w:rsidRPr="000E0436">
        <w:t>.</w:t>
      </w:r>
      <w:r w:rsidR="000E0436">
        <w:t xml:space="preserve"> </w:t>
      </w:r>
      <w:r w:rsidRPr="00DB369D">
        <w:t>Apart from regulatory requirements, such an investment strategy also provides for improvement of corporate image and competitive position in the market of concerned customers and investors.</w:t>
      </w:r>
    </w:p>
    <w:p w14:paraId="6225101C" w14:textId="437F1D05" w:rsidR="00130466" w:rsidRDefault="00130466" w:rsidP="00451E09">
      <w:pPr>
        <w:spacing w:after="80"/>
        <w:rPr>
          <w:rStyle w:val="Strong"/>
          <w:bCs w:val="0"/>
          <w:i/>
        </w:rPr>
      </w:pPr>
      <w:r w:rsidRPr="00130466">
        <w:rPr>
          <w:rStyle w:val="Strong"/>
          <w:bCs w:val="0"/>
          <w:i/>
        </w:rPr>
        <w:t>Opportunities, Threats and Competitive Positioning</w:t>
      </w:r>
    </w:p>
    <w:p w14:paraId="3835BB7D" w14:textId="2C5ACD74" w:rsidR="00DB369D" w:rsidRPr="00DB369D" w:rsidRDefault="00DB369D" w:rsidP="00DB369D">
      <w:r w:rsidRPr="00DB369D">
        <w:t>The changing regulatory environment presents strategic opportunities as well as challenges for BHP in terms of growth and competitiveness. The government support in favour of the use of clean energy, critical minerals and low carbon technologies creates a conducive environment for the growth in the supply of minerals used in renewable energy and electrification systems. ESG performance also helps BHP have greater access to sustainable financing through its inclusion in decision-making processes by institutions. However, stringent environmental regulations, high carbon prices, increased disclosure obligations and toughened approvals will make operations costly in the short term and hence reduce profitability. Failure to adhere to regulatory requirements may even bring about legal implications and delay projects, and cause market exclusivity and reputational damage. Thus, compliance with regulations should not be regarded merely as an obligation, but as a strategic tool that helps build customer trust and reputation as well as creating sustainable competitive advantage.</w:t>
      </w:r>
    </w:p>
    <w:p w14:paraId="594F9092" w14:textId="7B0846DA" w:rsidR="00F4799C" w:rsidRPr="00F4799C" w:rsidRDefault="00F4799C" w:rsidP="00451E09">
      <w:pPr>
        <w:pStyle w:val="Heading1"/>
        <w:rPr>
          <w:rFonts w:asciiTheme="minorBidi" w:hAnsiTheme="minorBidi" w:cstheme="minorBidi"/>
          <w:b w:val="0"/>
          <w:bCs/>
          <w:szCs w:val="24"/>
        </w:rPr>
      </w:pPr>
      <w:bookmarkStart w:id="6" w:name="_Toc235619850"/>
      <w:r>
        <w:rPr>
          <w:rFonts w:asciiTheme="minorBidi" w:hAnsiTheme="minorBidi" w:cstheme="minorBidi"/>
          <w:bCs/>
          <w:szCs w:val="24"/>
        </w:rPr>
        <w:t>2. Task 2: Strategic Growth and Competitive Positioning</w:t>
      </w:r>
      <w:bookmarkEnd w:id="6"/>
      <w:r>
        <w:rPr>
          <w:rFonts w:asciiTheme="minorBidi" w:hAnsiTheme="minorBidi" w:cstheme="minorBidi"/>
          <w:bCs/>
          <w:szCs w:val="24"/>
        </w:rPr>
        <w:t xml:space="preserve"> </w:t>
      </w:r>
    </w:p>
    <w:p w14:paraId="4FA78DFD" w14:textId="0FA0028D" w:rsidR="00F4799C" w:rsidRPr="00F4799C" w:rsidRDefault="00F4799C" w:rsidP="00451E09">
      <w:pPr>
        <w:pStyle w:val="Heading2"/>
        <w:rPr>
          <w:rFonts w:asciiTheme="minorBidi" w:hAnsiTheme="minorBidi" w:cstheme="minorBidi"/>
          <w:b/>
          <w:bCs/>
          <w:color w:val="auto"/>
          <w:sz w:val="24"/>
          <w:szCs w:val="24"/>
        </w:rPr>
      </w:pPr>
      <w:bookmarkStart w:id="7" w:name="_Toc235619851"/>
      <w:r>
        <w:rPr>
          <w:rFonts w:asciiTheme="minorBidi" w:hAnsiTheme="minorBidi" w:cstheme="minorBidi"/>
          <w:b/>
          <w:bCs/>
          <w:color w:val="auto"/>
          <w:sz w:val="24"/>
          <w:szCs w:val="24"/>
        </w:rPr>
        <w:t>2.1 Strategic Growth Recommendation Using the Ansoff Matrix</w:t>
      </w:r>
      <w:bookmarkEnd w:id="7"/>
      <w:r w:rsidR="00625F4C">
        <w:rPr>
          <w:rFonts w:asciiTheme="minorBidi" w:hAnsiTheme="minorBidi" w:cstheme="minorBidi"/>
          <w:b/>
          <w:bCs/>
          <w:color w:val="auto"/>
          <w:sz w:val="24"/>
          <w:szCs w:val="24"/>
        </w:rPr>
        <w:t xml:space="preserve">  </w:t>
      </w:r>
    </w:p>
    <w:p w14:paraId="720690B3" w14:textId="76B91215" w:rsidR="00560091" w:rsidRPr="00D8643D" w:rsidRDefault="00560091" w:rsidP="00451E09">
      <w:pPr>
        <w:spacing w:after="80"/>
        <w:rPr>
          <w:rStyle w:val="Strong"/>
          <w:bCs w:val="0"/>
          <w:i/>
        </w:rPr>
      </w:pPr>
      <w:r w:rsidRPr="00D8643D">
        <w:rPr>
          <w:rStyle w:val="Strong"/>
          <w:bCs w:val="0"/>
          <w:i/>
        </w:rPr>
        <w:t>Applying the Ansoff Matrix</w:t>
      </w:r>
    </w:p>
    <w:p w14:paraId="24D79800" w14:textId="5342282E" w:rsidR="00AB527F" w:rsidRDefault="00AB527F" w:rsidP="00451E09">
      <w:pPr>
        <w:spacing w:after="80"/>
      </w:pPr>
      <w:r>
        <w:rPr>
          <w:noProof/>
          <w:lang w:val="en-IN" w:eastAsia="en-IN"/>
        </w:rPr>
        <w:lastRenderedPageBreak/>
        <w:drawing>
          <wp:inline distT="0" distB="0" distL="0" distR="0" wp14:anchorId="2C0C4773" wp14:editId="335386DD">
            <wp:extent cx="5731510" cy="31991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emini_Generated_Image_402hn402hn402hn4.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0DE6256" w14:textId="3F2201C3" w:rsidR="00AB527F" w:rsidRDefault="00AB527F" w:rsidP="00451E09">
      <w:pPr>
        <w:spacing w:after="80"/>
        <w:jc w:val="center"/>
      </w:pPr>
      <w:r>
        <w:t>Figure</w:t>
      </w:r>
      <w:r w:rsidR="003D3596">
        <w:t xml:space="preserve"> 1</w:t>
      </w:r>
      <w:r>
        <w:t>: Ansoff Matrix</w:t>
      </w:r>
    </w:p>
    <w:p w14:paraId="56C354C4" w14:textId="3C330614" w:rsidR="00AB527F" w:rsidRPr="00AB527F" w:rsidRDefault="00AB527F" w:rsidP="00451E09">
      <w:pPr>
        <w:spacing w:after="80"/>
        <w:jc w:val="center"/>
      </w:pPr>
      <w:r>
        <w:t>(Source: Self-developed)</w:t>
      </w:r>
    </w:p>
    <w:p w14:paraId="37E3E7DD" w14:textId="77777777" w:rsidR="00DF7760" w:rsidRDefault="00DF7760" w:rsidP="00451E09">
      <w:pPr>
        <w:spacing w:after="80"/>
        <w:rPr>
          <w:lang w:val="en-IN" w:eastAsia="en-IN"/>
        </w:rPr>
      </w:pPr>
      <w:r w:rsidRPr="00DF7760">
        <w:rPr>
          <w:lang w:val="en-IN" w:eastAsia="en-IN"/>
        </w:rPr>
        <w:t>The Ansoff Matrix is a strategic planning framework that helps in identifying organisational growth opportunities through the following four strategies: market penetration, market development, product development, and diversification (Clarissia, 2020). When applied to BHP, each of these strategies can provide growth opportunities; however, the appropriateness of these strategies varies depending on the challenges of the environment outlined in Section 1. Market Penetration strategy entails increasing sales of the current product while Market Development strategy involves entering new geographical markets, which does not solve the challenges associated with increased sustainability expectations and change in customer demands. Diversification strategy provides options for venturing into a different business area and requires high-level investments and strategy. Comparatively, Product Development strategy remains the best choice since it allows BHP to develop its product portfolio with lower carbon products and innovative mining technology.</w:t>
      </w:r>
    </w:p>
    <w:p w14:paraId="4C33307D" w14:textId="116F8B80" w:rsidR="00E50B5F" w:rsidRDefault="00E50B5F" w:rsidP="00451E09">
      <w:pPr>
        <w:spacing w:after="80"/>
        <w:rPr>
          <w:lang w:val="en-IN" w:eastAsia="en-IN"/>
        </w:rPr>
      </w:pPr>
      <w:r w:rsidRPr="00E50B5F">
        <w:rPr>
          <w:lang w:val="en-IN" w:eastAsia="en-IN"/>
        </w:rPr>
        <w:t xml:space="preserve">To ensure that Product Development Strategy achieves maximum efficiency, BHP must focus on investing in lower carbon mining technology and renewable energy infrastructure. Its success will be gauged based on emission levels, renewable energy used, and future revenue from future commodities. The strategy is costly to </w:t>
      </w:r>
      <w:r w:rsidRPr="00E50B5F">
        <w:rPr>
          <w:lang w:val="en-IN" w:eastAsia="en-IN"/>
        </w:rPr>
        <w:lastRenderedPageBreak/>
        <w:t>implement, but it will improve the company's ESG performance and competitive advantage.</w:t>
      </w:r>
    </w:p>
    <w:p w14:paraId="2DC7291A" w14:textId="7C287A2C" w:rsidR="00560091" w:rsidRPr="00D8643D" w:rsidRDefault="00560091" w:rsidP="00451E09">
      <w:pPr>
        <w:spacing w:after="80"/>
        <w:rPr>
          <w:i/>
        </w:rPr>
      </w:pPr>
      <w:r w:rsidRPr="00D8643D">
        <w:rPr>
          <w:rStyle w:val="Strong"/>
          <w:bCs w:val="0"/>
          <w:i/>
        </w:rPr>
        <w:t>Justification for Product Development</w:t>
      </w:r>
    </w:p>
    <w:p w14:paraId="544C705B" w14:textId="77777777" w:rsidR="00DF7760" w:rsidRDefault="00DF7760" w:rsidP="00DF7760">
      <w:r w:rsidRPr="00DF7760">
        <w:t>Product Development is well-suited to the structural changes taking place within the mining industry globally. The International Energy Agency (2024) foresees an increase of about two-thirds in demand for critical minerals through 2030, providing considerable scope for firms developing lower carbon products and innovations. As such, BHP has concentrated on future commodities and low-carbon innovation in the context of its sustainability goals (BHP, 2025). Product Development is best suited among all four of the Ansoff strategies due to the direct relevance to addressing the growing environmental challenges and customer demands faced by BHP. While Market Penetration and Market Development aim at market expansion, and Diversification entails a high level of strategic risk, Product Development provides better competitive advantage to BHP by means of more sustainable products and customer value creation.</w:t>
      </w:r>
    </w:p>
    <w:p w14:paraId="6D165B14" w14:textId="75B5A373" w:rsidR="00560091" w:rsidRDefault="00560091" w:rsidP="00451E09">
      <w:pPr>
        <w:spacing w:after="80"/>
        <w:rPr>
          <w:rStyle w:val="Strong"/>
          <w:bCs w:val="0"/>
          <w:i/>
        </w:rPr>
      </w:pPr>
      <w:r w:rsidRPr="00D8643D">
        <w:rPr>
          <w:rStyle w:val="Strong"/>
          <w:bCs w:val="0"/>
          <w:i/>
        </w:rPr>
        <w:t>Responding to Environmental Pressures</w:t>
      </w:r>
    </w:p>
    <w:p w14:paraId="6054C5E7" w14:textId="2BCF53E4" w:rsidR="00DF7760" w:rsidRPr="00D8643D" w:rsidRDefault="00DF7760" w:rsidP="00DF7760">
      <w:r w:rsidRPr="00DF7760">
        <w:t>The suggested Product Development strategy clearly responds to the environmental issues that have been stated in Task 1. In order to combat climate change and due to the growing restrictions on carbon emissions, mining enterprises are supposed to minimize their emissions and assist the customers in reaching their decarbonisation goals (Delevingne et al., 2020). The company is going to achieve better results from the environmental viewpoint while adhering to the ever-changing legislative norms. Moreover, the development of innovative solutions will allow overcoming the issues of resource scarcity and biodiversity protection. As for marketing, all these activities will be beneficial for the company's competitive positioning and image of a responsible mineral supplier. Therefore, Product Development is useful both in terms of regulations and customer value creation, innovation, and sustainable competitive advantage (Sánchez and Hartlieb, 2020).</w:t>
      </w:r>
    </w:p>
    <w:p w14:paraId="14FA60F3" w14:textId="44DD2463" w:rsidR="00F4799C" w:rsidRPr="00F4799C" w:rsidRDefault="00F4799C" w:rsidP="00451E09">
      <w:pPr>
        <w:pStyle w:val="Heading2"/>
        <w:rPr>
          <w:rFonts w:asciiTheme="minorBidi" w:hAnsiTheme="minorBidi" w:cstheme="minorBidi"/>
          <w:b/>
          <w:bCs/>
          <w:color w:val="auto"/>
          <w:sz w:val="24"/>
          <w:szCs w:val="24"/>
        </w:rPr>
      </w:pPr>
      <w:bookmarkStart w:id="8" w:name="_Toc235619852"/>
      <w:r>
        <w:rPr>
          <w:rFonts w:asciiTheme="minorBidi" w:hAnsiTheme="minorBidi" w:cstheme="minorBidi"/>
          <w:b/>
          <w:bCs/>
          <w:color w:val="auto"/>
          <w:sz w:val="24"/>
          <w:szCs w:val="24"/>
        </w:rPr>
        <w:t>2.2 Competitive Advantage Through a Lower-Carbon Business Model</w:t>
      </w:r>
      <w:bookmarkEnd w:id="8"/>
      <w:r w:rsidR="00625F4C">
        <w:rPr>
          <w:rFonts w:asciiTheme="minorBidi" w:hAnsiTheme="minorBidi" w:cstheme="minorBidi"/>
          <w:b/>
          <w:bCs/>
          <w:color w:val="auto"/>
          <w:sz w:val="24"/>
          <w:szCs w:val="24"/>
        </w:rPr>
        <w:t xml:space="preserve"> </w:t>
      </w:r>
    </w:p>
    <w:p w14:paraId="322FC54D" w14:textId="154B028E" w:rsidR="00936614" w:rsidRPr="003D3596" w:rsidRDefault="00936614" w:rsidP="00451E09">
      <w:pPr>
        <w:spacing w:after="80"/>
        <w:rPr>
          <w:i/>
        </w:rPr>
      </w:pPr>
      <w:r w:rsidRPr="003D3596">
        <w:rPr>
          <w:rStyle w:val="Strong"/>
          <w:bCs w:val="0"/>
          <w:i/>
        </w:rPr>
        <w:t>Achieving Competitive Advantage through a Lower-Carbon Business Model</w:t>
      </w:r>
    </w:p>
    <w:p w14:paraId="2573C3F1" w14:textId="77777777" w:rsidR="00DF7760" w:rsidRDefault="00DF7760" w:rsidP="00451E09">
      <w:pPr>
        <w:spacing w:after="80"/>
      </w:pPr>
      <w:r w:rsidRPr="00DF7760">
        <w:t xml:space="preserve">The shift in BHP’s business model to one that is less carbon-based proves that sustainability has transformed from being a legal obligation to becoming a key </w:t>
      </w:r>
      <w:r w:rsidRPr="00DF7760">
        <w:lastRenderedPageBreak/>
        <w:t>strategy for achieving competitive advantage. The rising risks associated with climate change, coupled with carbon regulations and stakeholder expectations, necessitate that mining firms incorporate environmental sustainability in their overall business strategies in order to be resilient and generate value (Sapsanguanboon et al., 2025). This strategic orientation is in line with the environmental problems pointed out in Task 1, which include climate change, resource shortage and regulatory changes. By investing in renewable energy, cutting down on carbon emissions and diversifying in the critical minerals such as copper and potash, BHP improves its ability to adapt to changing business environment (BHP, 2025).</w:t>
      </w:r>
    </w:p>
    <w:p w14:paraId="3445D3EE" w14:textId="1E9A6DD2" w:rsidR="00936614" w:rsidRPr="003D3596" w:rsidRDefault="00936614" w:rsidP="00451E09">
      <w:pPr>
        <w:spacing w:after="80"/>
        <w:rPr>
          <w:i/>
        </w:rPr>
      </w:pPr>
      <w:r w:rsidRPr="003D3596">
        <w:rPr>
          <w:rStyle w:val="Strong"/>
          <w:bCs w:val="0"/>
          <w:i/>
        </w:rPr>
        <w:t>Porter’s Generic Strategies and BHP’s Competitive Position</w:t>
      </w:r>
    </w:p>
    <w:p w14:paraId="673942D3" w14:textId="3853D219" w:rsidR="00DF7760" w:rsidRDefault="00DF7760" w:rsidP="00DF7760">
      <w:r>
        <w:t xml:space="preserve">According to the Generic Strategies of Porter, companies can gain competitive advantages through cost leadership, differentiation or focus (Ali and Anwar, 2024). Differentiation is among the above strategies that is best suited to BHP since the company competes through offering responsibly sourced and lower carbon footprint minerals without focusing on pricing alone. </w:t>
      </w:r>
      <w:r w:rsidR="000E0436" w:rsidRPr="000E0436">
        <w:t>Whereas the strategy of Rio Tinto and Anglo American involves the production of low-carbon minerals coupled with investments in future-commodities, that of BHP is inclined more toward the production of low-carbon minerals combined with future-commodity investments (Rio Tinto, 2025; Anglo American, 2025).</w:t>
      </w:r>
      <w:r>
        <w:t>Customers and other stakeholders are becoming more interested in ESG considerations and innovation, together with quality, as factors that contribute to competitive differentiation (Acar, 2024). BHP is therefore able to improve their market position through matching their products to new stakeholder expectations and responsible sourcing. Whereas differentiation is BHP's main strategy, the company also adopts some cost leadership aspects such as the use of renewable energy, fleet electrification, energy efficient mining techniques and technology for reducing fuel usage and emissions as well as production costs. It is thus possible for differentiation and operational efficiencies to help BHP build customer value and competitiveness.</w:t>
      </w:r>
    </w:p>
    <w:p w14:paraId="3C0213DD" w14:textId="06578941" w:rsidR="00936614" w:rsidRPr="003D3596" w:rsidRDefault="00936614" w:rsidP="00DF7760">
      <w:pPr>
        <w:spacing w:after="80"/>
        <w:rPr>
          <w:i/>
        </w:rPr>
      </w:pPr>
      <w:r w:rsidRPr="003D3596">
        <w:rPr>
          <w:rStyle w:val="Strong"/>
          <w:bCs w:val="0"/>
          <w:i/>
        </w:rPr>
        <w:t>Industry Evidence and Long-Term Sustainability</w:t>
      </w:r>
    </w:p>
    <w:p w14:paraId="02DE653C" w14:textId="3D9CC857" w:rsidR="00DF7760" w:rsidRPr="00DF7760" w:rsidRDefault="00DF7760" w:rsidP="00DF7760">
      <w:r w:rsidRPr="00DF7760">
        <w:t xml:space="preserve">World Bank Group (2023), </w:t>
      </w:r>
      <w:r w:rsidR="0039621A">
        <w:t>f</w:t>
      </w:r>
      <w:r w:rsidR="0039621A" w:rsidRPr="0039621A">
        <w:t xml:space="preserve">inds that the production of minerals, such as graphite, lithium and cobalt, could increase by nearly 500% by 2050, to meet the growing demand for clean energy technologies. It estimates that over 3 billion tons of minerals and metals will be needed to deploy wind, solar and geothermal power, as </w:t>
      </w:r>
      <w:r w:rsidR="0039621A" w:rsidRPr="0039621A">
        <w:lastRenderedPageBreak/>
        <w:t>well as energy storage, required for achieving a below 2°C future</w:t>
      </w:r>
      <w:r w:rsidRPr="00DF7760">
        <w:t>. Due to the fact that electrification and renewable energy systems need significantly more critical minerals in comparison with conventional energy systems, copper is one of the most strategically valuable raw materials today. Thus, the current shift in the market allows BHP to improve its product portfolio through investment in low-carbon raw materials and developing strong relations with governments, renewable energy companies, and ESG investors (BHP, 2025).</w:t>
      </w:r>
    </w:p>
    <w:p w14:paraId="7980240C" w14:textId="77777777" w:rsidR="00DF7760" w:rsidRDefault="00DF7760" w:rsidP="00DF7760">
      <w:r w:rsidRPr="00DF7760">
        <w:t>Nevertheless, keeping competitive advantage requires continuous investments since the rivals also seek to implement decarbonisation. Technological uncertainty, increasing regulation of carbon emissions, and growing stakeholder expectations may have a negative effect on short-term profitability despite the prospects of future growth. Competitive advantage, therefore, needs to be understood as a dynamic capability based on innovation, transparency of ESG performance, and high operational efficiency.</w:t>
      </w:r>
    </w:p>
    <w:p w14:paraId="7E56A727" w14:textId="3E7F3A71" w:rsidR="007D0F7A" w:rsidRDefault="007D0F7A" w:rsidP="007D0F7A">
      <w:r w:rsidRPr="007D0F7A">
        <w:t>In order to maintain its competitive advantage, BHP needs to increase investments in responsibly sourced copper and potash, as well as enhance the quality of its ESG reporting. Such progress can be tracked via emissions, ESG ratings, and revenues from low-carbon products. These efforts are likely to boost stakeholder confidence and improve sustainable finance opportunities for the company.</w:t>
      </w:r>
    </w:p>
    <w:p w14:paraId="4C9E3D0A" w14:textId="514259E9" w:rsidR="00F4799C" w:rsidRPr="00F4799C" w:rsidRDefault="00F4799C" w:rsidP="00DF7760">
      <w:pPr>
        <w:pStyle w:val="Heading1"/>
        <w:rPr>
          <w:rFonts w:asciiTheme="minorBidi" w:hAnsiTheme="minorBidi" w:cstheme="minorBidi"/>
          <w:b w:val="0"/>
          <w:bCs/>
          <w:szCs w:val="24"/>
        </w:rPr>
      </w:pPr>
      <w:bookmarkStart w:id="9" w:name="_Toc235619853"/>
      <w:r>
        <w:rPr>
          <w:rFonts w:asciiTheme="minorBidi" w:hAnsiTheme="minorBidi" w:cstheme="minorBidi"/>
          <w:bCs/>
          <w:szCs w:val="24"/>
        </w:rPr>
        <w:t>3. Task 3: Critical Reflection on AI Usage</w:t>
      </w:r>
      <w:bookmarkEnd w:id="9"/>
      <w:r>
        <w:rPr>
          <w:rFonts w:asciiTheme="minorBidi" w:hAnsiTheme="minorBidi" w:cstheme="minorBidi"/>
          <w:bCs/>
          <w:szCs w:val="24"/>
        </w:rPr>
        <w:t xml:space="preserve"> </w:t>
      </w:r>
    </w:p>
    <w:p w14:paraId="4AF51E61" w14:textId="2A65B8E5" w:rsidR="00F4799C" w:rsidRPr="00F4799C" w:rsidRDefault="00F4799C" w:rsidP="00451E09">
      <w:pPr>
        <w:pStyle w:val="Heading2"/>
        <w:rPr>
          <w:rFonts w:asciiTheme="minorBidi" w:hAnsiTheme="minorBidi" w:cstheme="minorBidi"/>
          <w:b/>
          <w:bCs/>
          <w:color w:val="auto"/>
          <w:sz w:val="24"/>
          <w:szCs w:val="24"/>
        </w:rPr>
      </w:pPr>
      <w:bookmarkStart w:id="10" w:name="_Toc235619854"/>
      <w:r>
        <w:rPr>
          <w:rFonts w:asciiTheme="minorBidi" w:hAnsiTheme="minorBidi" w:cstheme="minorBidi"/>
          <w:b/>
          <w:bCs/>
          <w:color w:val="auto"/>
          <w:sz w:val="24"/>
          <w:szCs w:val="24"/>
        </w:rPr>
        <w:t>3.1 Tool Disclosure</w:t>
      </w:r>
      <w:bookmarkEnd w:id="10"/>
      <w:r w:rsidR="00625F4C">
        <w:rPr>
          <w:rFonts w:asciiTheme="minorBidi" w:hAnsiTheme="minorBidi" w:cstheme="minorBidi"/>
          <w:b/>
          <w:bCs/>
          <w:color w:val="auto"/>
          <w:sz w:val="24"/>
          <w:szCs w:val="24"/>
        </w:rPr>
        <w:t xml:space="preserve"> </w:t>
      </w:r>
    </w:p>
    <w:p w14:paraId="0911EE3A" w14:textId="77777777" w:rsidR="003D3596" w:rsidRDefault="003D3596" w:rsidP="00451E09">
      <w:pPr>
        <w:spacing w:after="80"/>
      </w:pPr>
      <w:r w:rsidRPr="003D3596">
        <w:t>The use of Google Gemini was employed to facilitate the research aspect of this report where it assisted in identifying academic literature, providing summaries of peer-reviewed articles, understanding concepts related to marketing and sustainability, and providing keywords for additional database searches using Google Scholar. Google Gemini was also employed during the proofreading aspect to aid in the improvement of grammar and readability. Nonetheless, Google Gemini was not employed to write the final report or structure it since the guidelines provided for the use of generative AI require the final content and organization of arguments to be independently done by the author.</w:t>
      </w:r>
    </w:p>
    <w:p w14:paraId="1AAA7FE8" w14:textId="1B72EBA8" w:rsidR="00F4799C" w:rsidRDefault="00F4799C" w:rsidP="00451E09">
      <w:pPr>
        <w:pStyle w:val="Heading2"/>
      </w:pPr>
      <w:bookmarkStart w:id="11" w:name="_Toc235619855"/>
      <w:r>
        <w:rPr>
          <w:rFonts w:asciiTheme="minorBidi" w:hAnsiTheme="minorBidi" w:cstheme="minorBidi"/>
          <w:b/>
          <w:bCs/>
          <w:color w:val="auto"/>
          <w:sz w:val="24"/>
          <w:szCs w:val="24"/>
        </w:rPr>
        <w:lastRenderedPageBreak/>
        <w:t>3.2 Critical Evaluation of AI Output</w:t>
      </w:r>
      <w:bookmarkEnd w:id="11"/>
      <w:r w:rsidR="00625F4C">
        <w:rPr>
          <w:rFonts w:asciiTheme="minorBidi" w:hAnsiTheme="minorBidi" w:cstheme="minorBidi"/>
          <w:b/>
          <w:bCs/>
          <w:color w:val="auto"/>
          <w:sz w:val="24"/>
          <w:szCs w:val="24"/>
        </w:rPr>
        <w:t xml:space="preserve"> </w:t>
      </w:r>
    </w:p>
    <w:p w14:paraId="1D7080A0" w14:textId="77777777" w:rsidR="00DF7760" w:rsidRDefault="00DF7760" w:rsidP="00DF7760">
      <w:pPr>
        <w:rPr>
          <w:lang w:val="en-IN" w:eastAsia="en-IN"/>
        </w:rPr>
      </w:pPr>
      <w:r w:rsidRPr="00DF7760">
        <w:rPr>
          <w:lang w:val="en-IN" w:eastAsia="en-IN"/>
        </w:rPr>
        <w:t>Despite the usefulness of Google Gemini during the research process by helping to find relevant literature and provide important concepts, the output needed to be critically evaluated before being used in this report. At times, some of the summaries produced using AI were lacking adequate context about the sustainability activities and regulatory requirements of BHP. Moreover, some references recommended by the system had to be verified in order to confirm their accuracy and relevance. All this information was verified from the official reports of BHP, OECD and the original journal articles. The statistics, authorship and citations were also verified in order to meet the UWTSD Harvard (Cite them right) referencing criteria.</w:t>
      </w:r>
    </w:p>
    <w:p w14:paraId="1D82727E" w14:textId="28CB61B7" w:rsidR="00F4799C" w:rsidRPr="00F4799C" w:rsidRDefault="00F4799C" w:rsidP="00451E09">
      <w:pPr>
        <w:pStyle w:val="Heading2"/>
        <w:rPr>
          <w:rFonts w:asciiTheme="minorBidi" w:hAnsiTheme="minorBidi" w:cstheme="minorBidi"/>
          <w:b/>
          <w:bCs/>
          <w:color w:val="auto"/>
          <w:sz w:val="24"/>
          <w:szCs w:val="24"/>
        </w:rPr>
      </w:pPr>
      <w:bookmarkStart w:id="12" w:name="_Toc235619856"/>
      <w:r>
        <w:rPr>
          <w:rFonts w:asciiTheme="minorBidi" w:hAnsiTheme="minorBidi" w:cstheme="minorBidi"/>
          <w:b/>
          <w:bCs/>
          <w:color w:val="auto"/>
          <w:sz w:val="24"/>
          <w:szCs w:val="24"/>
        </w:rPr>
        <w:t>3.3 Contribution Analysis</w:t>
      </w:r>
      <w:bookmarkEnd w:id="12"/>
      <w:r w:rsidR="00625F4C">
        <w:rPr>
          <w:rFonts w:asciiTheme="minorBidi" w:hAnsiTheme="minorBidi" w:cstheme="minorBidi"/>
          <w:b/>
          <w:bCs/>
          <w:color w:val="auto"/>
          <w:sz w:val="24"/>
          <w:szCs w:val="24"/>
        </w:rPr>
        <w:t xml:space="preserve"> </w:t>
      </w:r>
    </w:p>
    <w:p w14:paraId="206B1051" w14:textId="77777777" w:rsidR="00DF7760" w:rsidRDefault="00DF7760" w:rsidP="00DF7760">
      <w:r w:rsidRPr="00DF7760">
        <w:t>Google Gemini was used to support the research process at the very early stage of developing the report through its help in identifying literature and refining concepts and language. It identified literature on such topics as sustainability, low-carbon business model, generic strategies of Michael Porter, Ansoff matrix and industry reports which were then assessed in terms of their relevance and reliability. However, the content of analysis of this report is an original work of the author himself. The selection of the case company (BHP), the assessment of the natural and political/regulatory environments, the choice of product development as a strategic recommendation and the differentiation as a preferable competitive strategy were done due to critical assessment of the data presented in the literature.</w:t>
      </w:r>
    </w:p>
    <w:p w14:paraId="2408CDF2" w14:textId="0D917611" w:rsidR="00F4799C" w:rsidRPr="00F4799C" w:rsidRDefault="00F4799C" w:rsidP="00451E09">
      <w:pPr>
        <w:pStyle w:val="Heading2"/>
        <w:rPr>
          <w:rFonts w:asciiTheme="minorBidi" w:hAnsiTheme="minorBidi" w:cstheme="minorBidi"/>
          <w:b/>
          <w:bCs/>
          <w:color w:val="auto"/>
          <w:sz w:val="24"/>
          <w:szCs w:val="24"/>
        </w:rPr>
      </w:pPr>
      <w:bookmarkStart w:id="13" w:name="_Toc235619857"/>
      <w:r>
        <w:rPr>
          <w:rFonts w:asciiTheme="minorBidi" w:hAnsiTheme="minorBidi" w:cstheme="minorBidi"/>
          <w:b/>
          <w:bCs/>
          <w:color w:val="auto"/>
          <w:sz w:val="24"/>
          <w:szCs w:val="24"/>
        </w:rPr>
        <w:t>3.4 Ethical and Professional Reflection</w:t>
      </w:r>
      <w:bookmarkEnd w:id="13"/>
      <w:r w:rsidR="00625F4C">
        <w:rPr>
          <w:rFonts w:asciiTheme="minorBidi" w:hAnsiTheme="minorBidi" w:cstheme="minorBidi"/>
          <w:b/>
          <w:bCs/>
          <w:color w:val="auto"/>
          <w:sz w:val="24"/>
          <w:szCs w:val="24"/>
        </w:rPr>
        <w:t xml:space="preserve"> </w:t>
      </w:r>
    </w:p>
    <w:p w14:paraId="111DF691" w14:textId="77777777" w:rsidR="007722DC" w:rsidRDefault="007722DC" w:rsidP="007722DC">
      <w:pPr>
        <w:rPr>
          <w:b/>
          <w:lang w:val="en-IN" w:eastAsia="en-IN"/>
        </w:rPr>
      </w:pPr>
      <w:r w:rsidRPr="007722DC">
        <w:rPr>
          <w:lang w:val="en-IN" w:eastAsia="en-IN"/>
        </w:rPr>
        <w:t>The issue of academic integrity should be addressed while using the generative AI responsibly. Although the usage of AI tools can help researchers to work more efficiently and discover new data, the excessive usage of these AI products may result in reduced possibilities to conduct research and think critically, as well as reproduce false information. This means that marketers and businesspeople should critically evaluate AI products and verify the information by credible sources, as well as identify responsible use of AI in their professional practice. The transparency of AI usage is also crucial for both academic integrity and professional integrity. In this report, the AI was used as an auxiliary tool for research and proofreading.</w:t>
      </w:r>
    </w:p>
    <w:p w14:paraId="7932DB8B" w14:textId="77777777" w:rsidR="007722DC" w:rsidRDefault="007722DC">
      <w:pPr>
        <w:spacing w:line="240" w:lineRule="auto"/>
        <w:jc w:val="left"/>
        <w:rPr>
          <w:rFonts w:asciiTheme="majorHAnsi" w:eastAsiaTheme="majorEastAsia" w:hAnsiTheme="majorHAnsi" w:cstheme="majorBidi"/>
          <w:b/>
          <w:szCs w:val="40"/>
        </w:rPr>
      </w:pPr>
      <w:r>
        <w:br w:type="page"/>
      </w:r>
    </w:p>
    <w:p w14:paraId="6B179A8C" w14:textId="6D8A9995" w:rsidR="00F4799C" w:rsidRPr="00451E09" w:rsidRDefault="00F4799C" w:rsidP="00451E09">
      <w:pPr>
        <w:pStyle w:val="Heading1"/>
      </w:pPr>
      <w:bookmarkStart w:id="14" w:name="_Toc235619858"/>
      <w:r>
        <w:lastRenderedPageBreak/>
        <w:t>References</w:t>
      </w:r>
      <w:bookmarkEnd w:id="14"/>
    </w:p>
    <w:p w14:paraId="1F9D5A94" w14:textId="77777777" w:rsidR="00F44161" w:rsidRDefault="00F44161" w:rsidP="000960A9">
      <w:pPr>
        <w:spacing w:after="240"/>
      </w:pPr>
      <w:r w:rsidRPr="00936614">
        <w:t xml:space="preserve">Acar, S., 2024. A review of Porter’s generic strategies: Strategy examples in international firms. International Social Sciences Studies Journal, 10(11), pp.1902-1918. </w:t>
      </w:r>
      <w:hyperlink r:id="rId11" w:history="1">
        <w:r w:rsidRPr="009330AF">
          <w:rPr>
            <w:rStyle w:val="Hyperlink"/>
          </w:rPr>
          <w:t>https://sssjournal.com/files/sssjournal/e5935340-8b65-4cf6-a1c1-cf266026257d.pdf</w:t>
        </w:r>
      </w:hyperlink>
      <w:r>
        <w:t xml:space="preserve">  </w:t>
      </w:r>
    </w:p>
    <w:p w14:paraId="72A89FD4" w14:textId="77777777" w:rsidR="00F44161" w:rsidRPr="000960A9" w:rsidRDefault="00F44161" w:rsidP="000960A9">
      <w:pPr>
        <w:spacing w:after="240"/>
        <w:rPr>
          <w:rStyle w:val="Strong"/>
          <w:b w:val="0"/>
          <w:bCs w:val="0"/>
        </w:rPr>
      </w:pPr>
      <w:r w:rsidRPr="000960A9">
        <w:rPr>
          <w:shd w:val="clear" w:color="auto" w:fill="FFFFFF"/>
        </w:rPr>
        <w:t>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w:t>
      </w:r>
      <w:r w:rsidRPr="000960A9">
        <w:rPr>
          <w:rStyle w:val="Strong"/>
          <w:b w:val="0"/>
          <w:bCs w:val="0"/>
        </w:rPr>
        <w:t xml:space="preserve"> </w:t>
      </w:r>
      <w:hyperlink r:id="rId12" w:history="1">
        <w:r w:rsidRPr="009330AF">
          <w:rPr>
            <w:rStyle w:val="Hyperlink"/>
          </w:rPr>
          <w:t>https://papers.ssrn.com/sol3/Delivery.cfm?abstractid=3863595</w:t>
        </w:r>
      </w:hyperlink>
      <w:r w:rsidRPr="000960A9">
        <w:rPr>
          <w:rStyle w:val="Strong"/>
          <w:b w:val="0"/>
          <w:bCs w:val="0"/>
        </w:rPr>
        <w:t xml:space="preserve"> </w:t>
      </w:r>
    </w:p>
    <w:p w14:paraId="4A086D78" w14:textId="77777777" w:rsidR="00F44161" w:rsidRDefault="00F44161" w:rsidP="000960A9">
      <w:pPr>
        <w:spacing w:after="240"/>
      </w:pPr>
      <w:r w:rsidRPr="00FB0CA6">
        <w:t xml:space="preserve">Amegboleza, A.A. and Ülkü, M.A., 2025. Sustainable energy transition for the mining industry: a bibliometric analysis of trends and emerging research pathways. Sustainability, 17(5), p.2292. </w:t>
      </w:r>
      <w:hyperlink r:id="rId13" w:history="1">
        <w:r w:rsidRPr="009330AF">
          <w:rPr>
            <w:rStyle w:val="Hyperlink"/>
          </w:rPr>
          <w:t>https://www.mdpi.com/2071-1050/17/5/2292</w:t>
        </w:r>
      </w:hyperlink>
      <w:r>
        <w:t xml:space="preserve"> </w:t>
      </w:r>
    </w:p>
    <w:p w14:paraId="405C6C56" w14:textId="77777777" w:rsidR="00F44161" w:rsidRPr="000960A9" w:rsidRDefault="00F44161" w:rsidP="000960A9">
      <w:pPr>
        <w:spacing w:after="80"/>
        <w:rPr>
          <w:lang w:val="en-IN"/>
        </w:rPr>
      </w:pPr>
      <w:r w:rsidRPr="000960A9">
        <w:rPr>
          <w:lang w:val="en-IN"/>
        </w:rPr>
        <w:t xml:space="preserve">Anglo American (2025) Integrated Report 2024. Available at: </w:t>
      </w:r>
      <w:hyperlink r:id="rId14" w:history="1">
        <w:r w:rsidRPr="000960A9">
          <w:rPr>
            <w:rStyle w:val="Hyperlink"/>
            <w:lang w:val="en-IN"/>
          </w:rPr>
          <w:t>https://www.angloamerican.com/investors/annual-reporting</w:t>
        </w:r>
      </w:hyperlink>
      <w:r w:rsidRPr="000960A9">
        <w:rPr>
          <w:lang w:val="en-IN"/>
        </w:rPr>
        <w:t xml:space="preserve"> (Accessed: 8 July 2026).</w:t>
      </w:r>
    </w:p>
    <w:p w14:paraId="34B4ED9E" w14:textId="77777777" w:rsidR="00F44161" w:rsidRDefault="00F44161" w:rsidP="000960A9">
      <w:pPr>
        <w:spacing w:after="240"/>
      </w:pPr>
      <w:r w:rsidRPr="00387BB4">
        <w:t>BHP (</w:t>
      </w:r>
      <w:r>
        <w:t>2025</w:t>
      </w:r>
      <w:r w:rsidRPr="00387BB4">
        <w:t xml:space="preserve">) Climate Transition Action Plan. Available at: </w:t>
      </w:r>
      <w:hyperlink r:id="rId15" w:history="1">
        <w:r w:rsidRPr="009330AF">
          <w:rPr>
            <w:rStyle w:val="Hyperlink"/>
          </w:rPr>
          <w:t>https://www.bhp.com/sustainability/climate-change/climate-transition-action-plan</w:t>
        </w:r>
      </w:hyperlink>
      <w:r>
        <w:t xml:space="preserve"> </w:t>
      </w:r>
      <w:r w:rsidRPr="00387BB4">
        <w:t xml:space="preserve"> (Accessed: 7 July 2026).</w:t>
      </w:r>
    </w:p>
    <w:p w14:paraId="1C0CA017" w14:textId="77777777" w:rsidR="00F44161" w:rsidRDefault="00F44161" w:rsidP="000960A9">
      <w:pPr>
        <w:spacing w:after="240"/>
      </w:pPr>
      <w:r>
        <w:t>BHP</w:t>
      </w:r>
      <w:r w:rsidRPr="00387BB4">
        <w:t xml:space="preserve"> (</w:t>
      </w:r>
      <w:r>
        <w:t>2025a</w:t>
      </w:r>
      <w:r w:rsidRPr="00387BB4">
        <w:t>) Our products help build a better, clearer future.</w:t>
      </w:r>
      <w:r>
        <w:t xml:space="preserve"> </w:t>
      </w:r>
      <w:r w:rsidRPr="00387BB4">
        <w:t>Annual Report 2025</w:t>
      </w:r>
      <w:r>
        <w:t>.</w:t>
      </w:r>
      <w:r w:rsidRPr="00387BB4">
        <w:t xml:space="preserve"> Available at: </w:t>
      </w:r>
      <w:hyperlink r:id="rId16" w:history="1">
        <w:r w:rsidRPr="009330AF">
          <w:rPr>
            <w:rStyle w:val="Hyperlink"/>
          </w:rPr>
          <w:t>https://www.bhp.com/investor-hub/reports-and-presentations/annual-report</w:t>
        </w:r>
      </w:hyperlink>
      <w:r>
        <w:t xml:space="preserve"> </w:t>
      </w:r>
      <w:r w:rsidRPr="00387BB4">
        <w:t xml:space="preserve"> (Accessed: 7 July 2026).</w:t>
      </w:r>
    </w:p>
    <w:p w14:paraId="2B665618" w14:textId="77777777" w:rsidR="00F44161" w:rsidRDefault="00F44161" w:rsidP="000960A9">
      <w:pPr>
        <w:spacing w:after="240"/>
      </w:pPr>
      <w:r>
        <w:t xml:space="preserve">BHP (2026) </w:t>
      </w:r>
      <w:r w:rsidRPr="00FB0CA6">
        <w:t xml:space="preserve">Nature and environmental performance. Available at: </w:t>
      </w:r>
      <w:hyperlink r:id="rId17" w:history="1">
        <w:r w:rsidRPr="009330AF">
          <w:rPr>
            <w:rStyle w:val="Hyperlink"/>
          </w:rPr>
          <w:t>https://www.bhp.com/sustainability/environment</w:t>
        </w:r>
      </w:hyperlink>
      <w:r>
        <w:t xml:space="preserve"> </w:t>
      </w:r>
      <w:r w:rsidRPr="00FB0CA6">
        <w:t xml:space="preserve"> (Accessed: 7 July 2026).</w:t>
      </w:r>
    </w:p>
    <w:p w14:paraId="100191FE" w14:textId="77777777" w:rsidR="00F44161" w:rsidRDefault="00F44161" w:rsidP="000960A9">
      <w:pPr>
        <w:spacing w:after="240"/>
      </w:pPr>
      <w:r w:rsidRPr="000960A9">
        <w:rPr>
          <w:i/>
          <w:iCs/>
        </w:rPr>
        <w:t>BHP (2026a) The need for responsibly produced resources is clear</w:t>
      </w:r>
      <w:r>
        <w:t xml:space="preserve">. Available at: </w:t>
      </w:r>
      <w:hyperlink r:id="rId18" w:history="1">
        <w:r w:rsidRPr="000960A9">
          <w:rPr>
            <w:rStyle w:val="Hyperlink"/>
            <w:rFonts w:ascii="Segoe UI" w:hAnsi="Segoe UI" w:cs="Segoe UI"/>
            <w:b/>
            <w:bCs/>
            <w:sz w:val="21"/>
            <w:szCs w:val="21"/>
          </w:rPr>
          <w:t>https://www.bhp.com/</w:t>
        </w:r>
      </w:hyperlink>
      <w:r>
        <w:t xml:space="preserve"> (Accessed: 7 July 2026).</w:t>
      </w:r>
    </w:p>
    <w:p w14:paraId="274A6463" w14:textId="77777777" w:rsidR="00F44161" w:rsidRPr="000960A9" w:rsidRDefault="00F44161" w:rsidP="000960A9">
      <w:pPr>
        <w:spacing w:after="240"/>
        <w:rPr>
          <w:lang w:val="en-IN" w:eastAsia="en-IN"/>
        </w:rPr>
      </w:pPr>
      <w:r w:rsidRPr="000960A9">
        <w:rPr>
          <w:i/>
          <w:iCs/>
          <w:lang w:val="en-IN" w:eastAsia="en-IN"/>
        </w:rPr>
        <w:t>BHP (2026b) Community and sustainability reports</w:t>
      </w:r>
      <w:r w:rsidRPr="000960A9">
        <w:rPr>
          <w:lang w:val="en-IN" w:eastAsia="en-IN"/>
        </w:rPr>
        <w:t> </w:t>
      </w:r>
      <w:r w:rsidRPr="000960A9">
        <w:rPr>
          <w:i/>
          <w:iCs/>
          <w:lang w:val="en-IN" w:eastAsia="en-IN"/>
        </w:rPr>
        <w:t>BHP</w:t>
      </w:r>
      <w:r w:rsidRPr="000960A9">
        <w:rPr>
          <w:lang w:val="en-IN" w:eastAsia="en-IN"/>
        </w:rPr>
        <w:t xml:space="preserve">. Available at: </w:t>
      </w:r>
      <w:hyperlink r:id="rId19" w:history="1">
        <w:r w:rsidRPr="000960A9">
          <w:rPr>
            <w:rStyle w:val="Hyperlink"/>
            <w:lang w:val="en-IN" w:eastAsia="en-IN"/>
          </w:rPr>
          <w:t>https://www.bhp.com/sustainability/community-sustainability-reports</w:t>
        </w:r>
      </w:hyperlink>
      <w:r w:rsidRPr="000960A9">
        <w:rPr>
          <w:lang w:val="en-IN" w:eastAsia="en-IN"/>
        </w:rPr>
        <w:t xml:space="preserve">  (Accessed: 7 July 2026).</w:t>
      </w:r>
    </w:p>
    <w:p w14:paraId="6BF9FCC2" w14:textId="77777777" w:rsidR="00F44161" w:rsidRDefault="00F44161" w:rsidP="000960A9">
      <w:pPr>
        <w:spacing w:after="240"/>
      </w:pPr>
      <w:r w:rsidRPr="00AB527F">
        <w:lastRenderedPageBreak/>
        <w:t xml:space="preserve">Clarissia, S.M.S., 2020. A study on Ansoff Matrix Technique: As a growth strategy and an adaptive learning technique adopted in the leading brand of products. BIMS Journal of Management, 18. </w:t>
      </w:r>
      <w:hyperlink r:id="rId20" w:anchor="page=26" w:history="1">
        <w:r w:rsidRPr="009330AF">
          <w:rPr>
            <w:rStyle w:val="Hyperlink"/>
          </w:rPr>
          <w:t>https://bimskol.org/pdf/E-copy-BIMS-Journal-Management-Kolkata-Vol5-Issue-1-July-2020.pdf#page=26</w:t>
        </w:r>
      </w:hyperlink>
      <w:r>
        <w:t xml:space="preserve"> </w:t>
      </w:r>
    </w:p>
    <w:p w14:paraId="706293A9" w14:textId="77777777" w:rsidR="00F44161" w:rsidRDefault="00F44161" w:rsidP="000960A9">
      <w:pPr>
        <w:spacing w:after="240"/>
      </w:pPr>
      <w:r w:rsidRPr="00AB527F">
        <w:t xml:space="preserve">Delevingne, L., Glazener, W., Grégoir, L. and Henderson, K., 2020. Climate risk and decarbonization: What every mining CEO needs to know. McKinsey Insights. </w:t>
      </w:r>
      <w:hyperlink r:id="rId21" w:history="1">
        <w:r w:rsidRPr="009330AF">
          <w:rPr>
            <w:rStyle w:val="Hyperlink"/>
          </w:rPr>
          <w:t>https://www.mckinsey.com/~/media/McKinsey/Business%20Functions/Sustainability/Our%20Insights/Climate%20risk%20and%20decarbonization%20What%20every%20mining%20CEO%20needs%20to%20know/Climate-risk-and-decarbonization-What-every-mining-CEO-needs-to-know.pdf</w:t>
        </w:r>
      </w:hyperlink>
      <w:r>
        <w:t xml:space="preserve"> </w:t>
      </w:r>
    </w:p>
    <w:p w14:paraId="10C7BDE6" w14:textId="77777777" w:rsidR="00F44161" w:rsidRPr="000960A9" w:rsidRDefault="00F44161" w:rsidP="000960A9">
      <w:pPr>
        <w:rPr>
          <w:lang w:val="en-IN"/>
        </w:rPr>
      </w:pPr>
      <w:r w:rsidRPr="000960A9">
        <w:rPr>
          <w:lang w:val="en-IN"/>
        </w:rPr>
        <w:t>Grigorenko, Y. (2026) </w:t>
      </w:r>
      <w:r w:rsidRPr="000960A9">
        <w:rPr>
          <w:i/>
          <w:iCs/>
          <w:lang w:val="en-IN"/>
        </w:rPr>
        <w:t>BHP needs to review its ineffective decarbonisation strategy – IEEFA</w:t>
      </w:r>
      <w:r w:rsidRPr="000960A9">
        <w:rPr>
          <w:lang w:val="en-IN"/>
        </w:rPr>
        <w:t>, </w:t>
      </w:r>
      <w:r w:rsidRPr="000960A9">
        <w:rPr>
          <w:i/>
          <w:iCs/>
          <w:lang w:val="en-IN"/>
        </w:rPr>
        <w:t>GMK</w:t>
      </w:r>
      <w:r w:rsidRPr="000960A9">
        <w:rPr>
          <w:lang w:val="en-IN"/>
        </w:rPr>
        <w:t xml:space="preserve">. GMK.CENTER. Available at: </w:t>
      </w:r>
      <w:hyperlink r:id="rId22" w:history="1">
        <w:r w:rsidRPr="000960A9">
          <w:rPr>
            <w:rStyle w:val="Hyperlink"/>
            <w:lang w:val="en-IN"/>
          </w:rPr>
          <w:t>https://gmk.center/en/news/bhp-needs-to-review-its-ineffective-decarbonisation-strategy-ieefa/</w:t>
        </w:r>
      </w:hyperlink>
      <w:r w:rsidRPr="000960A9">
        <w:rPr>
          <w:lang w:val="en-IN"/>
        </w:rPr>
        <w:t xml:space="preserve">  (Accessed: 8 July 2026).</w:t>
      </w:r>
    </w:p>
    <w:p w14:paraId="59CCCBA3" w14:textId="77777777" w:rsidR="00F44161" w:rsidRPr="000960A9" w:rsidRDefault="00F44161" w:rsidP="000960A9">
      <w:pPr>
        <w:spacing w:after="240"/>
        <w:rPr>
          <w:lang w:val="en-IN" w:eastAsia="en-IN"/>
        </w:rPr>
      </w:pPr>
      <w:r w:rsidRPr="000960A9">
        <w:rPr>
          <w:lang w:val="en-IN" w:eastAsia="en-IN"/>
        </w:rPr>
        <w:t>Henry, M., and McEwan, R., (2025) UNITED STATES SECURITIES AND EXCHANGE COMMISSION WASHINGTON, D.C. 20549.</w:t>
      </w:r>
      <w:hyperlink r:id="rId23" w:history="1">
        <w:r w:rsidRPr="000960A9">
          <w:rPr>
            <w:rStyle w:val="Hyperlink"/>
            <w:lang w:val="en-IN" w:eastAsia="en-IN"/>
          </w:rPr>
          <w:t>https://www.sec.gov/Archives/edgar/data/811809/000119312525185641/d941636d20f.htm</w:t>
        </w:r>
      </w:hyperlink>
      <w:r w:rsidRPr="000960A9">
        <w:rPr>
          <w:lang w:val="en-IN" w:eastAsia="en-IN"/>
        </w:rPr>
        <w:t xml:space="preserve"> </w:t>
      </w:r>
    </w:p>
    <w:p w14:paraId="20AD1711" w14:textId="77777777" w:rsidR="00F44161" w:rsidRDefault="00F44161" w:rsidP="000960A9">
      <w:pPr>
        <w:spacing w:after="240"/>
      </w:pPr>
      <w:r w:rsidRPr="00130466">
        <w:t xml:space="preserve">Hund, K., La Porta, D., Fabregas, T., Laing, T. and Drexhage, J. (2023) Minerals for Climate Action: The Mineral Intensity of the Clean Energy Transition. Washington, DC: World Bank. Available at: </w:t>
      </w:r>
      <w:hyperlink r:id="rId24" w:history="1">
        <w:r w:rsidRPr="009330AF">
          <w:rPr>
            <w:rStyle w:val="Hyperlink"/>
          </w:rPr>
          <w:t>https://documents.worldbank.org/en/publication/documents-reports/documentdetail/989531544481004643</w:t>
        </w:r>
      </w:hyperlink>
      <w:r>
        <w:t xml:space="preserve"> </w:t>
      </w:r>
    </w:p>
    <w:p w14:paraId="2B5A9B67" w14:textId="77777777" w:rsidR="00F44161" w:rsidRDefault="00F44161" w:rsidP="000960A9">
      <w:pPr>
        <w:spacing w:after="80"/>
      </w:pPr>
      <w:r>
        <w:t>International Energy Agency</w:t>
      </w:r>
      <w:r w:rsidRPr="00B9229E">
        <w:t xml:space="preserve"> (</w:t>
      </w:r>
      <w:r>
        <w:t>2024</w:t>
      </w:r>
      <w:r w:rsidRPr="00B9229E">
        <w:t>).</w:t>
      </w:r>
      <w:r>
        <w:t xml:space="preserve"> </w:t>
      </w:r>
      <w:r w:rsidRPr="00B9229E">
        <w:t>Global Critical Minerals Outlook 2024</w:t>
      </w:r>
      <w:r>
        <w:t>.</w:t>
      </w:r>
      <w:r w:rsidRPr="00B9229E">
        <w:t xml:space="preserve"> Available at: </w:t>
      </w:r>
      <w:hyperlink r:id="rId25" w:history="1">
        <w:r w:rsidRPr="009330AF">
          <w:rPr>
            <w:rStyle w:val="Hyperlink"/>
          </w:rPr>
          <w:t>https://www.iea.org/reports/global-critical-minerals-outlook-2024?__cf_chl_f_tk=KwJ0dzkc5ubrHgJYSSnnC9fIMiXm.VXfMSr4s6gaVmo-1783426554-1.0.1.1-0I9PxutyKoAw2cM9879GjNhEGLyM4leTOZyy8IW.ZYk</w:t>
        </w:r>
      </w:hyperlink>
      <w:r>
        <w:t xml:space="preserve"> </w:t>
      </w:r>
      <w:r w:rsidRPr="00B9229E">
        <w:t xml:space="preserve"> (Accessed: 7 July 2026).</w:t>
      </w:r>
    </w:p>
    <w:p w14:paraId="4E08890C" w14:textId="77777777" w:rsidR="00F44161" w:rsidRDefault="00F44161" w:rsidP="000960A9">
      <w:pPr>
        <w:spacing w:after="240"/>
      </w:pPr>
      <w:r w:rsidRPr="00FB0CA6">
        <w:t xml:space="preserve">Li, X., Gu, Q., Wang, Q., Luo, J., Liu, D. and Chang, Y., 2024. Renewable energy in the mining industry: Status, opportunities and challenges. Energy Strategy Reviews, 56, p.101597. </w:t>
      </w:r>
      <w:hyperlink r:id="rId26" w:history="1">
        <w:r w:rsidRPr="009330AF">
          <w:rPr>
            <w:rStyle w:val="Hyperlink"/>
          </w:rPr>
          <w:t>https://www.sciencedirect.com/science/article/pii/S2211467X24003067/pdfft?md5=39c2ca03df935d078e8de39dd50c29b3&amp;pid=1-s2.0-S2211467X24003067-main.pdf</w:t>
        </w:r>
      </w:hyperlink>
      <w:r>
        <w:t xml:space="preserve"> </w:t>
      </w:r>
    </w:p>
    <w:p w14:paraId="387E67E7" w14:textId="77777777" w:rsidR="00F44161" w:rsidRDefault="00F44161" w:rsidP="000960A9">
      <w:pPr>
        <w:spacing w:after="240"/>
      </w:pPr>
      <w:r>
        <w:t xml:space="preserve">OECD (2023) </w:t>
      </w:r>
      <w:r>
        <w:rPr>
          <w:rStyle w:val="Emphasis"/>
        </w:rPr>
        <w:t>OECD Guidelines for Multinational Enterprises on Responsible Business Conduct</w:t>
      </w:r>
      <w:r>
        <w:t xml:space="preserve">. Paris: OECD Publishing. Available at: </w:t>
      </w:r>
      <w:hyperlink r:id="rId27" w:tgtFrame="_new" w:history="1">
        <w:r>
          <w:rPr>
            <w:rStyle w:val="Hyperlink"/>
          </w:rPr>
          <w:t>https://doi.org/10.1787/81f92357-en</w:t>
        </w:r>
      </w:hyperlink>
      <w:r>
        <w:t xml:space="preserve"> (Accessed: 7 July 2026).</w:t>
      </w:r>
    </w:p>
    <w:p w14:paraId="6464DAE3" w14:textId="77777777" w:rsidR="00F44161" w:rsidRPr="000960A9" w:rsidRDefault="00F44161" w:rsidP="000960A9">
      <w:pPr>
        <w:spacing w:after="80"/>
        <w:rPr>
          <w:lang w:val="en-IN"/>
        </w:rPr>
      </w:pPr>
      <w:r w:rsidRPr="000960A9">
        <w:rPr>
          <w:lang w:val="en-IN"/>
        </w:rPr>
        <w:t xml:space="preserve">Rio Tinto (2025) Annual Report 2024. Available at: </w:t>
      </w:r>
      <w:hyperlink r:id="rId28" w:history="1">
        <w:r w:rsidRPr="000960A9">
          <w:rPr>
            <w:rStyle w:val="Hyperlink"/>
            <w:lang w:val="en-IN"/>
          </w:rPr>
          <w:t>https://www.riotinto.com/en/invest/reports</w:t>
        </w:r>
      </w:hyperlink>
      <w:r w:rsidRPr="000960A9">
        <w:rPr>
          <w:lang w:val="en-IN"/>
        </w:rPr>
        <w:t xml:space="preserve"> (Accessed: 8 July 2026).</w:t>
      </w:r>
    </w:p>
    <w:p w14:paraId="0C2E2BBB" w14:textId="77777777" w:rsidR="00F44161" w:rsidRDefault="00F44161" w:rsidP="000960A9">
      <w:pPr>
        <w:spacing w:after="240"/>
      </w:pPr>
      <w:r w:rsidRPr="00AB527F">
        <w:t xml:space="preserve">Sánchez, F. and Hartlieb, P., 2020. Innovation in the mining industry: Technological trends and a case study of the challenges of disruptive innovation. Mining, Metallurgy &amp; Exploration, 37(5), pp.1385-1399. </w:t>
      </w:r>
      <w:hyperlink r:id="rId29" w:history="1">
        <w:r w:rsidRPr="009330AF">
          <w:rPr>
            <w:rStyle w:val="Hyperlink"/>
          </w:rPr>
          <w:t>https://link.springer.com/content/pdf/10.1007/s42461-020-00262-1.pdf</w:t>
        </w:r>
      </w:hyperlink>
      <w:r>
        <w:t xml:space="preserve"> </w:t>
      </w:r>
    </w:p>
    <w:p w14:paraId="625062AC" w14:textId="77777777" w:rsidR="00F44161" w:rsidRDefault="00F44161" w:rsidP="000960A9">
      <w:pPr>
        <w:spacing w:after="240"/>
      </w:pPr>
      <w:r w:rsidRPr="00936614">
        <w:t xml:space="preserve">Sapsanguanboon, W., Faijaidee, W. and Potasin, L., 2025. Strategic integration of sustainability for competitive advantage: A framework for balancing the triple bottom line. Corp. Gov. Sustain. Rev, 9, pp.110-119. </w:t>
      </w:r>
      <w:hyperlink r:id="rId30" w:history="1">
        <w:r w:rsidRPr="009330AF">
          <w:rPr>
            <w:rStyle w:val="Hyperlink"/>
          </w:rPr>
          <w:t>https://www.researchgate.net/profile/Watcharapoj-Sapsanguanboon/publication/392195750_STRATEGIC_INTEGRATION_OF_SUSTAINABILITY_FOR_COMPETITIVE_ADVANTAGE_A_FRAMEWORK_FOR_BALANCING_THE_TRIPLE_BOTTOM_LINE/links/683882c2c33afe388ac7c02e/Strategic-integration-of-sustainability-for-competitive-advantage-A-framework-for-balancing-the-triple-bottom-line.pdf?_tp=eyJjb250ZXh0Ijp7ImZpcnN0UGFnZSI6InB1YmxpY2F0aW9uIiwicGFnZSI6InB1YmxpY2F0aW9uIn19</w:t>
        </w:r>
      </w:hyperlink>
      <w:r>
        <w:t xml:space="preserve"> </w:t>
      </w:r>
    </w:p>
    <w:p w14:paraId="40E65419" w14:textId="77777777" w:rsidR="00F44161" w:rsidRDefault="00F44161" w:rsidP="000960A9">
      <w:pPr>
        <w:spacing w:after="80"/>
      </w:pPr>
      <w:r w:rsidRPr="00B9229E">
        <w:t xml:space="preserve">Sinai (2026) How to Address Scope 3 Emissions in the Mining Value Chain, SINAI. SINAI Technologies. Available at: </w:t>
      </w:r>
      <w:hyperlink r:id="rId31" w:history="1">
        <w:r w:rsidRPr="009330AF">
          <w:rPr>
            <w:rStyle w:val="Hyperlink"/>
          </w:rPr>
          <w:t>https://www.sinai.com/post/how-to-address-scope-3-emissions-in-the-mining-value-chain</w:t>
        </w:r>
      </w:hyperlink>
      <w:r>
        <w:t xml:space="preserve"> </w:t>
      </w:r>
      <w:r w:rsidRPr="00B9229E">
        <w:t xml:space="preserve"> (Accessed: 7 July 2026).</w:t>
      </w:r>
    </w:p>
    <w:p w14:paraId="5F352756" w14:textId="77777777" w:rsidR="00F44161" w:rsidRDefault="00F44161" w:rsidP="000960A9">
      <w:pPr>
        <w:spacing w:after="80"/>
      </w:pPr>
      <w:r w:rsidRPr="008A1831">
        <w:t xml:space="preserve">World Bank Group (2023) Climate-Smart Mining: Minerals for Climate Action, World Bank. World Bank Group. Available at: </w:t>
      </w:r>
      <w:hyperlink r:id="rId32" w:history="1">
        <w:r w:rsidRPr="009330AF">
          <w:rPr>
            <w:rStyle w:val="Hyperlink"/>
          </w:rPr>
          <w:t>https://www.worldbank.org/en/topic/extractiveindustries/brief/climate-smart-mining-minerals-for-climate-action</w:t>
        </w:r>
      </w:hyperlink>
      <w:r>
        <w:t xml:space="preserve"> </w:t>
      </w:r>
      <w:r w:rsidRPr="008A1831">
        <w:t>(Accessed: 7 July 2026).</w:t>
      </w:r>
    </w:p>
    <w:p w14:paraId="52BBF597" w14:textId="77777777" w:rsidR="00387BB4" w:rsidRPr="00387BB4" w:rsidRDefault="00387BB4" w:rsidP="00387BB4"/>
    <w:sectPr w:rsidR="00387BB4" w:rsidRPr="00387BB4" w:rsidSect="00392256">
      <w:footerReference w:type="default" r:id="rId3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680E41" w14:textId="77777777" w:rsidR="00162860" w:rsidRDefault="00162860" w:rsidP="00F4799C">
      <w:r>
        <w:separator/>
      </w:r>
    </w:p>
  </w:endnote>
  <w:endnote w:type="continuationSeparator" w:id="0">
    <w:p w14:paraId="12935434" w14:textId="77777777" w:rsidR="00162860" w:rsidRDefault="00162860"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72589973"/>
      <w:docPartObj>
        <w:docPartGallery w:val="Page Numbers (Bottom of Page)"/>
        <w:docPartUnique/>
      </w:docPartObj>
    </w:sdtPr>
    <w:sdtEndPr>
      <w:rPr>
        <w:noProof/>
      </w:rPr>
    </w:sdtEndPr>
    <w:sdtContent>
      <w:p w14:paraId="0FA995CB" w14:textId="0CBC74A9" w:rsidR="00451E09" w:rsidRDefault="00451E09">
        <w:pPr>
          <w:pStyle w:val="Footer"/>
        </w:pPr>
        <w:r>
          <w:fldChar w:fldCharType="begin"/>
        </w:r>
        <w:r>
          <w:instrText xml:space="preserve"> PAGE   \* MERGEFORMAT </w:instrText>
        </w:r>
        <w:r>
          <w:fldChar w:fldCharType="separate"/>
        </w:r>
        <w:r w:rsidR="00392256">
          <w:rPr>
            <w:noProof/>
          </w:rPr>
          <w:t>2</w:t>
        </w:r>
        <w:r>
          <w:rPr>
            <w:noProof/>
          </w:rP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6514F1" w14:textId="77777777" w:rsidR="00162860" w:rsidRDefault="00162860" w:rsidP="00F4799C">
      <w:r>
        <w:separator/>
      </w:r>
    </w:p>
  </w:footnote>
  <w:footnote w:type="continuationSeparator" w:id="0">
    <w:p w14:paraId="6DE7B417" w14:textId="77777777" w:rsidR="00162860" w:rsidRDefault="00162860" w:rsidP="00F4799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1BD2EA8"/>
    <w:multiLevelType w:val="multilevel"/>
    <w:tmpl w:val="42ECECA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3B82FD6"/>
    <w:multiLevelType w:val="hybridMultilevel"/>
    <w:tmpl w:val="CC7E910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5"/>
  </w:num>
  <w:num w:numId="3">
    <w:abstractNumId w:val="32"/>
  </w:num>
  <w:num w:numId="4">
    <w:abstractNumId w:val="33"/>
  </w:num>
  <w:num w:numId="5">
    <w:abstractNumId w:val="39"/>
  </w:num>
  <w:num w:numId="6">
    <w:abstractNumId w:val="17"/>
  </w:num>
  <w:num w:numId="7">
    <w:abstractNumId w:val="1"/>
  </w:num>
  <w:num w:numId="8">
    <w:abstractNumId w:val="22"/>
  </w:num>
  <w:num w:numId="9">
    <w:abstractNumId w:val="43"/>
  </w:num>
  <w:num w:numId="10">
    <w:abstractNumId w:val="40"/>
  </w:num>
  <w:num w:numId="11">
    <w:abstractNumId w:val="5"/>
  </w:num>
  <w:num w:numId="12">
    <w:abstractNumId w:val="28"/>
  </w:num>
  <w:num w:numId="13">
    <w:abstractNumId w:val="26"/>
  </w:num>
  <w:num w:numId="14">
    <w:abstractNumId w:val="2"/>
  </w:num>
  <w:num w:numId="15">
    <w:abstractNumId w:val="44"/>
  </w:num>
  <w:num w:numId="16">
    <w:abstractNumId w:val="19"/>
  </w:num>
  <w:num w:numId="17">
    <w:abstractNumId w:val="16"/>
  </w:num>
  <w:num w:numId="18">
    <w:abstractNumId w:val="30"/>
  </w:num>
  <w:num w:numId="19">
    <w:abstractNumId w:val="8"/>
  </w:num>
  <w:num w:numId="20">
    <w:abstractNumId w:val="31"/>
  </w:num>
  <w:num w:numId="21">
    <w:abstractNumId w:val="14"/>
  </w:num>
  <w:num w:numId="22">
    <w:abstractNumId w:val="13"/>
  </w:num>
  <w:num w:numId="23">
    <w:abstractNumId w:val="9"/>
  </w:num>
  <w:num w:numId="24">
    <w:abstractNumId w:val="12"/>
  </w:num>
  <w:num w:numId="25">
    <w:abstractNumId w:val="3"/>
  </w:num>
  <w:num w:numId="26">
    <w:abstractNumId w:val="20"/>
  </w:num>
  <w:num w:numId="27">
    <w:abstractNumId w:val="6"/>
  </w:num>
  <w:num w:numId="28">
    <w:abstractNumId w:val="21"/>
  </w:num>
  <w:num w:numId="29">
    <w:abstractNumId w:val="34"/>
  </w:num>
  <w:num w:numId="30">
    <w:abstractNumId w:val="18"/>
  </w:num>
  <w:num w:numId="31">
    <w:abstractNumId w:val="29"/>
  </w:num>
  <w:num w:numId="32">
    <w:abstractNumId w:val="37"/>
  </w:num>
  <w:num w:numId="33">
    <w:abstractNumId w:val="23"/>
  </w:num>
  <w:num w:numId="34">
    <w:abstractNumId w:val="27"/>
  </w:num>
  <w:num w:numId="35">
    <w:abstractNumId w:val="25"/>
  </w:num>
  <w:num w:numId="36">
    <w:abstractNumId w:val="10"/>
  </w:num>
  <w:num w:numId="37">
    <w:abstractNumId w:val="38"/>
  </w:num>
  <w:num w:numId="38">
    <w:abstractNumId w:val="24"/>
  </w:num>
  <w:num w:numId="39">
    <w:abstractNumId w:val="0"/>
  </w:num>
  <w:num w:numId="40">
    <w:abstractNumId w:val="7"/>
  </w:num>
  <w:num w:numId="41">
    <w:abstractNumId w:val="35"/>
  </w:num>
  <w:num w:numId="42">
    <w:abstractNumId w:val="36"/>
  </w:num>
  <w:num w:numId="43">
    <w:abstractNumId w:val="4"/>
  </w:num>
  <w:num w:numId="44">
    <w:abstractNumId w:val="41"/>
  </w:num>
  <w:num w:numId="45">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406"/>
    <w:rsid w:val="0002210A"/>
    <w:rsid w:val="000960A9"/>
    <w:rsid w:val="000E0436"/>
    <w:rsid w:val="000E65E3"/>
    <w:rsid w:val="001003E8"/>
    <w:rsid w:val="00130466"/>
    <w:rsid w:val="00136289"/>
    <w:rsid w:val="00162860"/>
    <w:rsid w:val="00175A47"/>
    <w:rsid w:val="001C3B8F"/>
    <w:rsid w:val="001D7B9A"/>
    <w:rsid w:val="00293C30"/>
    <w:rsid w:val="002B3053"/>
    <w:rsid w:val="002D68FB"/>
    <w:rsid w:val="002F046B"/>
    <w:rsid w:val="00306569"/>
    <w:rsid w:val="00311883"/>
    <w:rsid w:val="00325A3E"/>
    <w:rsid w:val="0034419C"/>
    <w:rsid w:val="00376A46"/>
    <w:rsid w:val="00387BB4"/>
    <w:rsid w:val="00392256"/>
    <w:rsid w:val="0039621A"/>
    <w:rsid w:val="003B6125"/>
    <w:rsid w:val="003D3596"/>
    <w:rsid w:val="003E1AE6"/>
    <w:rsid w:val="003E589B"/>
    <w:rsid w:val="00411721"/>
    <w:rsid w:val="00451E09"/>
    <w:rsid w:val="004F2663"/>
    <w:rsid w:val="00560091"/>
    <w:rsid w:val="005A570C"/>
    <w:rsid w:val="005C5C40"/>
    <w:rsid w:val="00617CF1"/>
    <w:rsid w:val="00623675"/>
    <w:rsid w:val="00625F4C"/>
    <w:rsid w:val="00646406"/>
    <w:rsid w:val="00655938"/>
    <w:rsid w:val="00675F02"/>
    <w:rsid w:val="0073681E"/>
    <w:rsid w:val="007722DC"/>
    <w:rsid w:val="0078259E"/>
    <w:rsid w:val="007D0F7A"/>
    <w:rsid w:val="007E50EF"/>
    <w:rsid w:val="008007E1"/>
    <w:rsid w:val="00805F91"/>
    <w:rsid w:val="008A1831"/>
    <w:rsid w:val="00936614"/>
    <w:rsid w:val="00991D8A"/>
    <w:rsid w:val="0099645F"/>
    <w:rsid w:val="009E58AF"/>
    <w:rsid w:val="00A140CF"/>
    <w:rsid w:val="00A8367A"/>
    <w:rsid w:val="00AB527F"/>
    <w:rsid w:val="00B9229E"/>
    <w:rsid w:val="00C57D61"/>
    <w:rsid w:val="00CB01F0"/>
    <w:rsid w:val="00CC3C53"/>
    <w:rsid w:val="00D8643D"/>
    <w:rsid w:val="00DB1C66"/>
    <w:rsid w:val="00DB369D"/>
    <w:rsid w:val="00DE5D5B"/>
    <w:rsid w:val="00DF46C0"/>
    <w:rsid w:val="00DF7760"/>
    <w:rsid w:val="00E21E02"/>
    <w:rsid w:val="00E50B5F"/>
    <w:rsid w:val="00EC6978"/>
    <w:rsid w:val="00F44161"/>
    <w:rsid w:val="00F4799C"/>
    <w:rsid w:val="00FB0CA6"/>
    <w:rsid w:val="00FF65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1E09"/>
    <w:pPr>
      <w:spacing w:line="360" w:lineRule="auto"/>
      <w:jc w:val="both"/>
    </w:pPr>
    <w:rPr>
      <w:rFonts w:ascii="Arial" w:hAnsi="Arial"/>
    </w:rPr>
  </w:style>
  <w:style w:type="paragraph" w:styleId="Heading1">
    <w:name w:val="heading 1"/>
    <w:basedOn w:val="Normal"/>
    <w:next w:val="Normal"/>
    <w:link w:val="Heading1Char"/>
    <w:uiPriority w:val="9"/>
    <w:qFormat/>
    <w:rsid w:val="003D3596"/>
    <w:pPr>
      <w:keepNext/>
      <w:keepLines/>
      <w:spacing w:before="360" w:after="80"/>
      <w:outlineLvl w:val="0"/>
    </w:pPr>
    <w:rPr>
      <w:rFonts w:asciiTheme="majorHAnsi" w:eastAsiaTheme="majorEastAsia" w:hAnsiTheme="majorHAnsi" w:cstheme="majorBidi"/>
      <w:b/>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596"/>
    <w:rPr>
      <w:rFonts w:asciiTheme="majorHAnsi" w:eastAsiaTheme="majorEastAsia" w:hAnsiTheme="majorHAnsi" w:cstheme="majorBidi"/>
      <w:b/>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paragraph" w:styleId="BalloonText">
    <w:name w:val="Balloon Text"/>
    <w:basedOn w:val="Normal"/>
    <w:link w:val="BalloonTextChar"/>
    <w:uiPriority w:val="99"/>
    <w:semiHidden/>
    <w:unhideWhenUsed/>
    <w:rsid w:val="00625F4C"/>
    <w:rPr>
      <w:rFonts w:ascii="Tahoma" w:hAnsi="Tahoma" w:cs="Tahoma"/>
      <w:sz w:val="16"/>
      <w:szCs w:val="16"/>
    </w:rPr>
  </w:style>
  <w:style w:type="character" w:customStyle="1" w:styleId="BalloonTextChar">
    <w:name w:val="Balloon Text Char"/>
    <w:basedOn w:val="DefaultParagraphFont"/>
    <w:link w:val="BalloonText"/>
    <w:uiPriority w:val="99"/>
    <w:semiHidden/>
    <w:rsid w:val="00625F4C"/>
    <w:rPr>
      <w:rFonts w:ascii="Tahoma" w:hAnsi="Tahoma" w:cs="Tahoma"/>
      <w:sz w:val="16"/>
      <w:szCs w:val="16"/>
    </w:rPr>
  </w:style>
  <w:style w:type="paragraph" w:customStyle="1" w:styleId="pdq2pgselectionanchorcontainer">
    <w:name w:val="pdq2pg_selectionanchorcontainer"/>
    <w:basedOn w:val="Normal"/>
    <w:rsid w:val="00FB0CA6"/>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FB0CA6"/>
    <w:rPr>
      <w:i/>
      <w:iCs/>
    </w:rPr>
  </w:style>
  <w:style w:type="paragraph" w:styleId="NormalWeb">
    <w:name w:val="Normal (Web)"/>
    <w:basedOn w:val="Normal"/>
    <w:uiPriority w:val="99"/>
    <w:semiHidden/>
    <w:unhideWhenUsed/>
    <w:rsid w:val="00FB0CA6"/>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387BB4"/>
    <w:rPr>
      <w:b/>
      <w:bCs/>
    </w:rPr>
  </w:style>
  <w:style w:type="character" w:customStyle="1" w:styleId="UnresolvedMention">
    <w:name w:val="Unresolved Mention"/>
    <w:basedOn w:val="DefaultParagraphFont"/>
    <w:uiPriority w:val="99"/>
    <w:semiHidden/>
    <w:unhideWhenUsed/>
    <w:rsid w:val="000E0436"/>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1E09"/>
    <w:pPr>
      <w:spacing w:line="360" w:lineRule="auto"/>
      <w:jc w:val="both"/>
    </w:pPr>
    <w:rPr>
      <w:rFonts w:ascii="Arial" w:hAnsi="Arial"/>
    </w:rPr>
  </w:style>
  <w:style w:type="paragraph" w:styleId="Heading1">
    <w:name w:val="heading 1"/>
    <w:basedOn w:val="Normal"/>
    <w:next w:val="Normal"/>
    <w:link w:val="Heading1Char"/>
    <w:uiPriority w:val="9"/>
    <w:qFormat/>
    <w:rsid w:val="003D3596"/>
    <w:pPr>
      <w:keepNext/>
      <w:keepLines/>
      <w:spacing w:before="360" w:after="80"/>
      <w:outlineLvl w:val="0"/>
    </w:pPr>
    <w:rPr>
      <w:rFonts w:asciiTheme="majorHAnsi" w:eastAsiaTheme="majorEastAsia" w:hAnsiTheme="majorHAnsi" w:cstheme="majorBidi"/>
      <w:b/>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596"/>
    <w:rPr>
      <w:rFonts w:asciiTheme="majorHAnsi" w:eastAsiaTheme="majorEastAsia" w:hAnsiTheme="majorHAnsi" w:cstheme="majorBidi"/>
      <w:b/>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paragraph" w:styleId="BalloonText">
    <w:name w:val="Balloon Text"/>
    <w:basedOn w:val="Normal"/>
    <w:link w:val="BalloonTextChar"/>
    <w:uiPriority w:val="99"/>
    <w:semiHidden/>
    <w:unhideWhenUsed/>
    <w:rsid w:val="00625F4C"/>
    <w:rPr>
      <w:rFonts w:ascii="Tahoma" w:hAnsi="Tahoma" w:cs="Tahoma"/>
      <w:sz w:val="16"/>
      <w:szCs w:val="16"/>
    </w:rPr>
  </w:style>
  <w:style w:type="character" w:customStyle="1" w:styleId="BalloonTextChar">
    <w:name w:val="Balloon Text Char"/>
    <w:basedOn w:val="DefaultParagraphFont"/>
    <w:link w:val="BalloonText"/>
    <w:uiPriority w:val="99"/>
    <w:semiHidden/>
    <w:rsid w:val="00625F4C"/>
    <w:rPr>
      <w:rFonts w:ascii="Tahoma" w:hAnsi="Tahoma" w:cs="Tahoma"/>
      <w:sz w:val="16"/>
      <w:szCs w:val="16"/>
    </w:rPr>
  </w:style>
  <w:style w:type="paragraph" w:customStyle="1" w:styleId="pdq2pgselectionanchorcontainer">
    <w:name w:val="pdq2pg_selectionanchorcontainer"/>
    <w:basedOn w:val="Normal"/>
    <w:rsid w:val="00FB0CA6"/>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FB0CA6"/>
    <w:rPr>
      <w:i/>
      <w:iCs/>
    </w:rPr>
  </w:style>
  <w:style w:type="paragraph" w:styleId="NormalWeb">
    <w:name w:val="Normal (Web)"/>
    <w:basedOn w:val="Normal"/>
    <w:uiPriority w:val="99"/>
    <w:semiHidden/>
    <w:unhideWhenUsed/>
    <w:rsid w:val="00FB0CA6"/>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Strong">
    <w:name w:val="Strong"/>
    <w:basedOn w:val="DefaultParagraphFont"/>
    <w:uiPriority w:val="22"/>
    <w:qFormat/>
    <w:rsid w:val="00387BB4"/>
    <w:rPr>
      <w:b/>
      <w:bCs/>
    </w:rPr>
  </w:style>
  <w:style w:type="character" w:customStyle="1" w:styleId="UnresolvedMention">
    <w:name w:val="Unresolved Mention"/>
    <w:basedOn w:val="DefaultParagraphFont"/>
    <w:uiPriority w:val="99"/>
    <w:semiHidden/>
    <w:unhideWhenUsed/>
    <w:rsid w:val="000E04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689634">
      <w:bodyDiv w:val="1"/>
      <w:marLeft w:val="0"/>
      <w:marRight w:val="0"/>
      <w:marTop w:val="0"/>
      <w:marBottom w:val="0"/>
      <w:divBdr>
        <w:top w:val="none" w:sz="0" w:space="0" w:color="auto"/>
        <w:left w:val="none" w:sz="0" w:space="0" w:color="auto"/>
        <w:bottom w:val="none" w:sz="0" w:space="0" w:color="auto"/>
        <w:right w:val="none" w:sz="0" w:space="0" w:color="auto"/>
      </w:divBdr>
    </w:div>
    <w:div w:id="66418580">
      <w:bodyDiv w:val="1"/>
      <w:marLeft w:val="0"/>
      <w:marRight w:val="0"/>
      <w:marTop w:val="0"/>
      <w:marBottom w:val="0"/>
      <w:divBdr>
        <w:top w:val="none" w:sz="0" w:space="0" w:color="auto"/>
        <w:left w:val="none" w:sz="0" w:space="0" w:color="auto"/>
        <w:bottom w:val="none" w:sz="0" w:space="0" w:color="auto"/>
        <w:right w:val="none" w:sz="0" w:space="0" w:color="auto"/>
      </w:divBdr>
    </w:div>
    <w:div w:id="145754984">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49071235">
      <w:bodyDiv w:val="1"/>
      <w:marLeft w:val="0"/>
      <w:marRight w:val="0"/>
      <w:marTop w:val="0"/>
      <w:marBottom w:val="0"/>
      <w:divBdr>
        <w:top w:val="none" w:sz="0" w:space="0" w:color="auto"/>
        <w:left w:val="none" w:sz="0" w:space="0" w:color="auto"/>
        <w:bottom w:val="none" w:sz="0" w:space="0" w:color="auto"/>
        <w:right w:val="none" w:sz="0" w:space="0" w:color="auto"/>
      </w:divBdr>
      <w:divsChild>
        <w:div w:id="1749763174">
          <w:marLeft w:val="0"/>
          <w:marRight w:val="0"/>
          <w:marTop w:val="40"/>
          <w:marBottom w:val="0"/>
          <w:divBdr>
            <w:top w:val="none" w:sz="0" w:space="0" w:color="auto"/>
            <w:left w:val="none" w:sz="0" w:space="0" w:color="auto"/>
            <w:bottom w:val="none" w:sz="0" w:space="0" w:color="auto"/>
            <w:right w:val="none" w:sz="0" w:space="0" w:color="auto"/>
          </w:divBdr>
          <w:divsChild>
            <w:div w:id="1855026434">
              <w:marLeft w:val="0"/>
              <w:marRight w:val="0"/>
              <w:marTop w:val="0"/>
              <w:marBottom w:val="0"/>
              <w:divBdr>
                <w:top w:val="none" w:sz="0" w:space="0" w:color="auto"/>
                <w:left w:val="none" w:sz="0" w:space="0" w:color="auto"/>
                <w:bottom w:val="none" w:sz="0" w:space="0" w:color="auto"/>
                <w:right w:val="none" w:sz="0" w:space="0" w:color="auto"/>
              </w:divBdr>
            </w:div>
          </w:divsChild>
        </w:div>
        <w:div w:id="251474665">
          <w:marLeft w:val="0"/>
          <w:marRight w:val="0"/>
          <w:marTop w:val="0"/>
          <w:marBottom w:val="0"/>
          <w:divBdr>
            <w:top w:val="none" w:sz="0" w:space="0" w:color="auto"/>
            <w:left w:val="none" w:sz="0" w:space="0" w:color="auto"/>
            <w:bottom w:val="none" w:sz="0" w:space="0" w:color="auto"/>
            <w:right w:val="none" w:sz="0" w:space="0" w:color="auto"/>
          </w:divBdr>
        </w:div>
        <w:div w:id="725180677">
          <w:marLeft w:val="0"/>
          <w:marRight w:val="0"/>
          <w:marTop w:val="0"/>
          <w:marBottom w:val="0"/>
          <w:divBdr>
            <w:top w:val="none" w:sz="0" w:space="0" w:color="auto"/>
            <w:left w:val="none" w:sz="0" w:space="0" w:color="auto"/>
            <w:bottom w:val="none" w:sz="0" w:space="0" w:color="auto"/>
            <w:right w:val="none" w:sz="0" w:space="0" w:color="auto"/>
          </w:divBdr>
        </w:div>
      </w:divsChild>
    </w:div>
    <w:div w:id="642003973">
      <w:bodyDiv w:val="1"/>
      <w:marLeft w:val="0"/>
      <w:marRight w:val="0"/>
      <w:marTop w:val="0"/>
      <w:marBottom w:val="0"/>
      <w:divBdr>
        <w:top w:val="none" w:sz="0" w:space="0" w:color="auto"/>
        <w:left w:val="none" w:sz="0" w:space="0" w:color="auto"/>
        <w:bottom w:val="none" w:sz="0" w:space="0" w:color="auto"/>
        <w:right w:val="none" w:sz="0" w:space="0" w:color="auto"/>
      </w:divBdr>
    </w:div>
    <w:div w:id="694843692">
      <w:bodyDiv w:val="1"/>
      <w:marLeft w:val="0"/>
      <w:marRight w:val="0"/>
      <w:marTop w:val="0"/>
      <w:marBottom w:val="0"/>
      <w:divBdr>
        <w:top w:val="none" w:sz="0" w:space="0" w:color="auto"/>
        <w:left w:val="none" w:sz="0" w:space="0" w:color="auto"/>
        <w:bottom w:val="none" w:sz="0" w:space="0" w:color="auto"/>
        <w:right w:val="none" w:sz="0" w:space="0" w:color="auto"/>
      </w:divBdr>
    </w:div>
    <w:div w:id="707728244">
      <w:bodyDiv w:val="1"/>
      <w:marLeft w:val="0"/>
      <w:marRight w:val="0"/>
      <w:marTop w:val="0"/>
      <w:marBottom w:val="0"/>
      <w:divBdr>
        <w:top w:val="none" w:sz="0" w:space="0" w:color="auto"/>
        <w:left w:val="none" w:sz="0" w:space="0" w:color="auto"/>
        <w:bottom w:val="none" w:sz="0" w:space="0" w:color="auto"/>
        <w:right w:val="none" w:sz="0" w:space="0" w:color="auto"/>
      </w:divBdr>
    </w:div>
    <w:div w:id="768811482">
      <w:bodyDiv w:val="1"/>
      <w:marLeft w:val="0"/>
      <w:marRight w:val="0"/>
      <w:marTop w:val="0"/>
      <w:marBottom w:val="0"/>
      <w:divBdr>
        <w:top w:val="none" w:sz="0" w:space="0" w:color="auto"/>
        <w:left w:val="none" w:sz="0" w:space="0" w:color="auto"/>
        <w:bottom w:val="none" w:sz="0" w:space="0" w:color="auto"/>
        <w:right w:val="none" w:sz="0" w:space="0" w:color="auto"/>
      </w:divBdr>
    </w:div>
    <w:div w:id="801270524">
      <w:bodyDiv w:val="1"/>
      <w:marLeft w:val="0"/>
      <w:marRight w:val="0"/>
      <w:marTop w:val="0"/>
      <w:marBottom w:val="0"/>
      <w:divBdr>
        <w:top w:val="none" w:sz="0" w:space="0" w:color="auto"/>
        <w:left w:val="none" w:sz="0" w:space="0" w:color="auto"/>
        <w:bottom w:val="none" w:sz="0" w:space="0" w:color="auto"/>
        <w:right w:val="none" w:sz="0" w:space="0" w:color="auto"/>
      </w:divBdr>
    </w:div>
    <w:div w:id="881598074">
      <w:bodyDiv w:val="1"/>
      <w:marLeft w:val="0"/>
      <w:marRight w:val="0"/>
      <w:marTop w:val="0"/>
      <w:marBottom w:val="0"/>
      <w:divBdr>
        <w:top w:val="none" w:sz="0" w:space="0" w:color="auto"/>
        <w:left w:val="none" w:sz="0" w:space="0" w:color="auto"/>
        <w:bottom w:val="none" w:sz="0" w:space="0" w:color="auto"/>
        <w:right w:val="none" w:sz="0" w:space="0" w:color="auto"/>
      </w:divBdr>
    </w:div>
    <w:div w:id="96469605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101536999">
      <w:bodyDiv w:val="1"/>
      <w:marLeft w:val="0"/>
      <w:marRight w:val="0"/>
      <w:marTop w:val="0"/>
      <w:marBottom w:val="0"/>
      <w:divBdr>
        <w:top w:val="none" w:sz="0" w:space="0" w:color="auto"/>
        <w:left w:val="none" w:sz="0" w:space="0" w:color="auto"/>
        <w:bottom w:val="none" w:sz="0" w:space="0" w:color="auto"/>
        <w:right w:val="none" w:sz="0" w:space="0" w:color="auto"/>
      </w:divBdr>
    </w:div>
    <w:div w:id="1109744197">
      <w:bodyDiv w:val="1"/>
      <w:marLeft w:val="0"/>
      <w:marRight w:val="0"/>
      <w:marTop w:val="0"/>
      <w:marBottom w:val="0"/>
      <w:divBdr>
        <w:top w:val="none" w:sz="0" w:space="0" w:color="auto"/>
        <w:left w:val="none" w:sz="0" w:space="0" w:color="auto"/>
        <w:bottom w:val="none" w:sz="0" w:space="0" w:color="auto"/>
        <w:right w:val="none" w:sz="0" w:space="0" w:color="auto"/>
      </w:divBdr>
    </w:div>
    <w:div w:id="1289897543">
      <w:bodyDiv w:val="1"/>
      <w:marLeft w:val="0"/>
      <w:marRight w:val="0"/>
      <w:marTop w:val="0"/>
      <w:marBottom w:val="0"/>
      <w:divBdr>
        <w:top w:val="none" w:sz="0" w:space="0" w:color="auto"/>
        <w:left w:val="none" w:sz="0" w:space="0" w:color="auto"/>
        <w:bottom w:val="none" w:sz="0" w:space="0" w:color="auto"/>
        <w:right w:val="none" w:sz="0" w:space="0" w:color="auto"/>
      </w:divBdr>
    </w:div>
    <w:div w:id="131788284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588541850">
      <w:bodyDiv w:val="1"/>
      <w:marLeft w:val="0"/>
      <w:marRight w:val="0"/>
      <w:marTop w:val="0"/>
      <w:marBottom w:val="0"/>
      <w:divBdr>
        <w:top w:val="none" w:sz="0" w:space="0" w:color="auto"/>
        <w:left w:val="none" w:sz="0" w:space="0" w:color="auto"/>
        <w:bottom w:val="none" w:sz="0" w:space="0" w:color="auto"/>
        <w:right w:val="none" w:sz="0" w:space="0" w:color="auto"/>
      </w:divBdr>
    </w:div>
    <w:div w:id="1632900059">
      <w:bodyDiv w:val="1"/>
      <w:marLeft w:val="0"/>
      <w:marRight w:val="0"/>
      <w:marTop w:val="0"/>
      <w:marBottom w:val="0"/>
      <w:divBdr>
        <w:top w:val="none" w:sz="0" w:space="0" w:color="auto"/>
        <w:left w:val="none" w:sz="0" w:space="0" w:color="auto"/>
        <w:bottom w:val="none" w:sz="0" w:space="0" w:color="auto"/>
        <w:right w:val="none" w:sz="0" w:space="0" w:color="auto"/>
      </w:divBdr>
    </w:div>
    <w:div w:id="1661499811">
      <w:bodyDiv w:val="1"/>
      <w:marLeft w:val="0"/>
      <w:marRight w:val="0"/>
      <w:marTop w:val="0"/>
      <w:marBottom w:val="0"/>
      <w:divBdr>
        <w:top w:val="none" w:sz="0" w:space="0" w:color="auto"/>
        <w:left w:val="none" w:sz="0" w:space="0" w:color="auto"/>
        <w:bottom w:val="none" w:sz="0" w:space="0" w:color="auto"/>
        <w:right w:val="none" w:sz="0" w:space="0" w:color="auto"/>
      </w:divBdr>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53816641">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 w:id="1825971627">
      <w:bodyDiv w:val="1"/>
      <w:marLeft w:val="0"/>
      <w:marRight w:val="0"/>
      <w:marTop w:val="0"/>
      <w:marBottom w:val="0"/>
      <w:divBdr>
        <w:top w:val="none" w:sz="0" w:space="0" w:color="auto"/>
        <w:left w:val="none" w:sz="0" w:space="0" w:color="auto"/>
        <w:bottom w:val="none" w:sz="0" w:space="0" w:color="auto"/>
        <w:right w:val="none" w:sz="0" w:space="0" w:color="auto"/>
      </w:divBdr>
    </w:div>
    <w:div w:id="1863979454">
      <w:bodyDiv w:val="1"/>
      <w:marLeft w:val="0"/>
      <w:marRight w:val="0"/>
      <w:marTop w:val="0"/>
      <w:marBottom w:val="0"/>
      <w:divBdr>
        <w:top w:val="none" w:sz="0" w:space="0" w:color="auto"/>
        <w:left w:val="none" w:sz="0" w:space="0" w:color="auto"/>
        <w:bottom w:val="none" w:sz="0" w:space="0" w:color="auto"/>
        <w:right w:val="none" w:sz="0" w:space="0" w:color="auto"/>
      </w:divBdr>
    </w:div>
    <w:div w:id="1882665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dpi.com/2071-1050/17/5/2292" TargetMode="External"/><Relationship Id="rId18" Type="http://schemas.openxmlformats.org/officeDocument/2006/relationships/hyperlink" Target="https://www.bhp.com/" TargetMode="External"/><Relationship Id="rId26" Type="http://schemas.openxmlformats.org/officeDocument/2006/relationships/hyperlink" Target="https://www.sciencedirect.com/science/article/pii/S2211467X24003067/pdfft?md5=39c2ca03df935d078e8de39dd50c29b3&amp;pid=1-s2.0-S2211467X24003067-main.pdf" TargetMode="External"/><Relationship Id="rId3" Type="http://schemas.openxmlformats.org/officeDocument/2006/relationships/styles" Target="styles.xml"/><Relationship Id="rId21" Type="http://schemas.openxmlformats.org/officeDocument/2006/relationships/hyperlink" Target="https://www.mckinsey.com/~/media/McKinsey/Business%20Functions/Sustainability/Our%20Insights/Climate%20risk%20and%20decarbonization%20What%20every%20mining%20CEO%20needs%20to%20know/Climate-risk-and-decarbonization-What-every-mining-CEO-needs-to-know.pdf"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papers.ssrn.com/sol3/Delivery.cfm?abstractid=3863595" TargetMode="External"/><Relationship Id="rId17" Type="http://schemas.openxmlformats.org/officeDocument/2006/relationships/hyperlink" Target="https://www.bhp.com/sustainability/environment" TargetMode="External"/><Relationship Id="rId25" Type="http://schemas.openxmlformats.org/officeDocument/2006/relationships/hyperlink" Target="https://www.iea.org/reports/global-critical-minerals-outlook-2024?__cf_chl_f_tk=KwJ0dzkc5ubrHgJYSSnnC9fIMiXm.VXfMSr4s6gaVmo-1783426554-1.0.1.1-0I9PxutyKoAw2cM9879GjNhEGLyM4leTOZyy8IW.ZY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hp.com/investor-hub/reports-and-presentations/annual-report" TargetMode="External"/><Relationship Id="rId20" Type="http://schemas.openxmlformats.org/officeDocument/2006/relationships/hyperlink" Target="https://bimskol.org/pdf/E-copy-BIMS-Journal-Management-Kolkata-Vol5-Issue-1-July-2020.pdf" TargetMode="External"/><Relationship Id="rId29" Type="http://schemas.openxmlformats.org/officeDocument/2006/relationships/hyperlink" Target="https://link.springer.com/content/pdf/10.1007/s42461-020-00262-1.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ssjournal.com/files/sssjournal/e5935340-8b65-4cf6-a1c1-cf266026257d.pdf?utm_source=chatgpt.com" TargetMode="External"/><Relationship Id="rId24" Type="http://schemas.openxmlformats.org/officeDocument/2006/relationships/hyperlink" Target="https://documents.worldbank.org/en/publication/documents-reports/documentdetail/989531544481004643" TargetMode="External"/><Relationship Id="rId32" Type="http://schemas.openxmlformats.org/officeDocument/2006/relationships/hyperlink" Target="https://www.worldbank.org/en/topic/extractiveindustries/brief/climate-smart-mining-minerals-for-climate-action" TargetMode="External"/><Relationship Id="rId5" Type="http://schemas.openxmlformats.org/officeDocument/2006/relationships/settings" Target="settings.xml"/><Relationship Id="rId15" Type="http://schemas.openxmlformats.org/officeDocument/2006/relationships/hyperlink" Target="https://www.bhp.com/sustainability/climate-change/climate-transition-action-plan" TargetMode="External"/><Relationship Id="rId23" Type="http://schemas.openxmlformats.org/officeDocument/2006/relationships/hyperlink" Target="https://www.sec.gov/Archives/edgar/data/811809/000119312525185641/d941636d20f.htm" TargetMode="External"/><Relationship Id="rId28" Type="http://schemas.openxmlformats.org/officeDocument/2006/relationships/hyperlink" Target="https://www.riotinto.com/en/invest/reports" TargetMode="External"/><Relationship Id="rId10" Type="http://schemas.openxmlformats.org/officeDocument/2006/relationships/image" Target="media/image2.png"/><Relationship Id="rId19" Type="http://schemas.openxmlformats.org/officeDocument/2006/relationships/hyperlink" Target="https://www.bhp.com/sustainability/community-sustainability-reports" TargetMode="External"/><Relationship Id="rId31" Type="http://schemas.openxmlformats.org/officeDocument/2006/relationships/hyperlink" Target="https://www.sinai.com/post/how-to-address-scope-3-emissions-in-the-mining-value-chain"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ngloamerican.com/investors/annual-reporting" TargetMode="External"/><Relationship Id="rId22" Type="http://schemas.openxmlformats.org/officeDocument/2006/relationships/hyperlink" Target="https://gmk.center/en/news/bhp-needs-to-review-its-ineffective-decarbonisation-strategy-ieefa/" TargetMode="External"/><Relationship Id="rId27" Type="http://schemas.openxmlformats.org/officeDocument/2006/relationships/hyperlink" Target="https://doi.org/10.1787/81f92357-en" TargetMode="External"/><Relationship Id="rId30" Type="http://schemas.openxmlformats.org/officeDocument/2006/relationships/hyperlink" Target="https://www.researchgate.net/profile/Watcharapoj-Sapsanguanboon/publication/392195750_STRATEGIC_INTEGRATION_OF_SUSTAINABILITY_FOR_COMPETITIVE_ADVANTAGE_A_FRAMEWORK_FOR_BALANCING_THE_TRIPLE_BOTTOM_LINE/links/683882c2c33afe388ac7c02e/Strategic-integration-of-sustainability-for-competitive-advantage-A-framework-for-balancing-the-triple-bottom-line.pdf?_tp=eyJjb250ZXh0Ijp7ImZpcnN0UGFnZSI6InB1YmxpY2F0aW9uIiwicGFnZSI6InB1YmxpY2F0aW9uIn19"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25615-A47C-4DDA-90F6-D62981579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4432</Words>
  <Characters>25265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Aaryan Sharma</cp:lastModifiedBy>
  <cp:revision>2</cp:revision>
  <dcterms:created xsi:type="dcterms:W3CDTF">2026-07-22T10:52:00Z</dcterms:created>
  <dcterms:modified xsi:type="dcterms:W3CDTF">2026-07-22T10:52:00Z</dcterms:modified>
</cp:coreProperties>
</file>