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F21F1F" w14:textId="77777777" w:rsidR="00F61D3A" w:rsidRDefault="00F61D3A">
      <w:pPr>
        <w:rPr>
          <w:sz w:val="24"/>
          <w:szCs w:val="24"/>
          <w:u w:val="single"/>
        </w:rPr>
      </w:pPr>
      <w:r>
        <w:rPr>
          <w:sz w:val="24"/>
          <w:szCs w:val="24"/>
          <w:u w:val="single"/>
        </w:rPr>
        <w:t>Review of the journal article ‘</w:t>
      </w:r>
      <w:r w:rsidRPr="00F61D3A">
        <w:rPr>
          <w:sz w:val="24"/>
          <w:szCs w:val="24"/>
          <w:u w:val="single"/>
        </w:rPr>
        <w:t>Kemp, Barry. 1989. Egypt in microcosm: the city of El-Amarna</w:t>
      </w:r>
      <w:r>
        <w:rPr>
          <w:sz w:val="24"/>
          <w:szCs w:val="24"/>
          <w:u w:val="single"/>
        </w:rPr>
        <w:t>’</w:t>
      </w:r>
      <w:r w:rsidRPr="00F61D3A">
        <w:rPr>
          <w:sz w:val="24"/>
          <w:szCs w:val="24"/>
          <w:u w:val="single"/>
        </w:rPr>
        <w:t xml:space="preserve">. </w:t>
      </w:r>
    </w:p>
    <w:p w14:paraId="441B7575" w14:textId="3B0E8996" w:rsidR="00F61D3A" w:rsidRDefault="00F61D3A">
      <w:pPr>
        <w:rPr>
          <w:sz w:val="24"/>
          <w:szCs w:val="24"/>
        </w:rPr>
      </w:pPr>
    </w:p>
    <w:p w14:paraId="37C11942" w14:textId="3A582300" w:rsidR="00F61D3A" w:rsidRDefault="00F61D3A">
      <w:pPr>
        <w:rPr>
          <w:sz w:val="24"/>
          <w:szCs w:val="24"/>
        </w:rPr>
      </w:pPr>
      <w:r>
        <w:rPr>
          <w:sz w:val="24"/>
          <w:szCs w:val="24"/>
        </w:rPr>
        <w:t xml:space="preserve">       For this review of a journal article, I will be focusing on a chapter from Kemps’ book ‘Egypt in microcosm : the city of El-Amarna’, pages 261-317.</w:t>
      </w:r>
      <w:r w:rsidR="00D827D4">
        <w:rPr>
          <w:sz w:val="24"/>
          <w:szCs w:val="24"/>
        </w:rPr>
        <w:t xml:space="preserve"> As an article review is something that I have not written before, </w:t>
      </w:r>
      <w:r w:rsidR="00E77365">
        <w:rPr>
          <w:sz w:val="24"/>
          <w:szCs w:val="24"/>
        </w:rPr>
        <w:t>I hope the overview and analysis I give will highlight some of the key aspects that Kemp brings forth and suggests in regard to Amarna.</w:t>
      </w:r>
    </w:p>
    <w:p w14:paraId="7038FBCB" w14:textId="77777777" w:rsidR="00790BC4" w:rsidRDefault="00E77365">
      <w:pPr>
        <w:rPr>
          <w:sz w:val="24"/>
          <w:szCs w:val="24"/>
        </w:rPr>
      </w:pPr>
      <w:r>
        <w:rPr>
          <w:sz w:val="24"/>
          <w:szCs w:val="24"/>
        </w:rPr>
        <w:t xml:space="preserve">       For the first 5 pages of this chapter, Kemp focuses on highlighting some of the theological aspects that surround the Egyptian religion. Kemp</w:t>
      </w:r>
      <w:r w:rsidR="00790BC4">
        <w:rPr>
          <w:sz w:val="24"/>
          <w:szCs w:val="24"/>
        </w:rPr>
        <w:t xml:space="preserve"> (1989, p261)</w:t>
      </w:r>
      <w:r>
        <w:rPr>
          <w:sz w:val="24"/>
          <w:szCs w:val="24"/>
        </w:rPr>
        <w:t xml:space="preserve"> notes that </w:t>
      </w:r>
      <w:r w:rsidR="00790BC4">
        <w:rPr>
          <w:sz w:val="24"/>
          <w:szCs w:val="24"/>
        </w:rPr>
        <w:t>the ‘instrument of change lay in scholarly work of priests who read and copied old texts’, showing that for the Egyptians, the mysticism around their religion and gods was something that was of an intellectual base, founded on myths that would explain how things came into being in their world. But it is also important to note that if the texts were written by the priests, there is the possibility that they would add their own ideas as a sort of glossary, in order to explain older texts that they would rewrite out, adding their own ideas to the myths surrounding the gods and the creation of the Egyptian world.</w:t>
      </w:r>
    </w:p>
    <w:p w14:paraId="26736A40" w14:textId="054572D0" w:rsidR="00790BC4" w:rsidRDefault="00790BC4">
      <w:pPr>
        <w:rPr>
          <w:sz w:val="24"/>
          <w:szCs w:val="24"/>
        </w:rPr>
      </w:pPr>
      <w:r>
        <w:rPr>
          <w:sz w:val="24"/>
          <w:szCs w:val="24"/>
        </w:rPr>
        <w:t xml:space="preserve">       In regard to this, the Egyptians expressed a clear idea of non-violation of the texts, in order for the myths to remain to justify things that they themselves could not. Kemp notes in page 262</w:t>
      </w:r>
      <w:r w:rsidR="00E77365">
        <w:rPr>
          <w:sz w:val="24"/>
          <w:szCs w:val="24"/>
        </w:rPr>
        <w:t xml:space="preserve"> </w:t>
      </w:r>
      <w:r>
        <w:rPr>
          <w:sz w:val="24"/>
          <w:szCs w:val="24"/>
        </w:rPr>
        <w:t>, that Akhenaten saw that the only way for him to create a ‘new and simple cult’ (Kemp, 1989, p262) was to violate the old texts and change them entirely in order to change worship from multiple gods, to the single solar deity, the Aten. Despite this idea sounding like the appearance of a monotheistic religion, Kemp (1989, p266) notes that Akhenaten still used a</w:t>
      </w:r>
      <w:r w:rsidR="004802A0">
        <w:rPr>
          <w:sz w:val="24"/>
          <w:szCs w:val="24"/>
        </w:rPr>
        <w:t>n epithet</w:t>
      </w:r>
      <w:r>
        <w:rPr>
          <w:sz w:val="24"/>
          <w:szCs w:val="24"/>
        </w:rPr>
        <w:t xml:space="preserve"> such as ‘</w:t>
      </w:r>
      <w:r w:rsidR="004802A0">
        <w:rPr>
          <w:sz w:val="24"/>
          <w:szCs w:val="24"/>
        </w:rPr>
        <w:t>who lives on Maat’, to describe himself. This inclusion of other gods, despite his insistence on worshiping only the Aten, would allude to the notion that Atenism is not wholly a monotheistic religion, like modern Christianity or Judaism.</w:t>
      </w:r>
      <w:r>
        <w:rPr>
          <w:sz w:val="24"/>
          <w:szCs w:val="24"/>
        </w:rPr>
        <w:t xml:space="preserve"> </w:t>
      </w:r>
    </w:p>
    <w:p w14:paraId="3C1A86D9" w14:textId="77777777" w:rsidR="004802A0" w:rsidRDefault="004802A0">
      <w:pPr>
        <w:rPr>
          <w:sz w:val="24"/>
          <w:szCs w:val="24"/>
        </w:rPr>
      </w:pPr>
      <w:r>
        <w:rPr>
          <w:sz w:val="24"/>
          <w:szCs w:val="24"/>
        </w:rPr>
        <w:t xml:space="preserve">       Despite this, Kemp still notes in page 263, that there are still similarities between Atenism and old testament Judaism, as the Hymn of Aten is noted by Kemp to be similar to biblical psalms found in the old testament. Despite this, Kemp notes that Akhenaten wanted to make a break with the past, by founding a new city, Akhetaten, and by also having a new valley of the kings, based in the Eastern hills around Amarna, for himself and his family, with his courtiers being expected to do the same, and construct for themselves tombs in this new location.</w:t>
      </w:r>
    </w:p>
    <w:p w14:paraId="54523C99" w14:textId="06EB5C77" w:rsidR="004802A0" w:rsidRDefault="004802A0">
      <w:pPr>
        <w:rPr>
          <w:sz w:val="24"/>
          <w:szCs w:val="24"/>
        </w:rPr>
      </w:pPr>
      <w:r>
        <w:rPr>
          <w:sz w:val="24"/>
          <w:szCs w:val="24"/>
        </w:rPr>
        <w:t xml:space="preserve">      </w:t>
      </w:r>
      <w:r w:rsidR="005E1F8D">
        <w:rPr>
          <w:sz w:val="24"/>
          <w:szCs w:val="24"/>
        </w:rPr>
        <w:t>Kemp then moves on to note the different aspects of Akhenaten’s</w:t>
      </w:r>
      <w:r w:rsidR="009908DD">
        <w:rPr>
          <w:sz w:val="24"/>
          <w:szCs w:val="24"/>
        </w:rPr>
        <w:t xml:space="preserve"> political ideas, and notes on page 276, that he seemed to have 7 main aspects – 1.) a state procession, 2.) armed escorts, 3.) postures of special deference for those allowed to approach, 4.) appearances of himself at a balcony (either alone or with his family), 5.) open air reviews of troops and for receiving representatives of empires, 6.) semi or public acts of worship, 7.) pictures of the leader (and his family) in peoples homes.</w:t>
      </w:r>
      <w:r>
        <w:rPr>
          <w:sz w:val="24"/>
          <w:szCs w:val="24"/>
        </w:rPr>
        <w:t xml:space="preserve"> </w:t>
      </w:r>
      <w:r w:rsidR="00E21AA6">
        <w:rPr>
          <w:sz w:val="24"/>
          <w:szCs w:val="24"/>
        </w:rPr>
        <w:t xml:space="preserve">These aspects, Kemp notes, is the </w:t>
      </w:r>
      <w:r w:rsidR="00E21AA6">
        <w:rPr>
          <w:sz w:val="24"/>
          <w:szCs w:val="24"/>
        </w:rPr>
        <w:lastRenderedPageBreak/>
        <w:t xml:space="preserve">defining aspects that make up the idea of kingship, since the Bronze Age. Kemp notes that when the pharaoh did processions, they passed by the Northern Palace that was constructed in Akhetaten, suggested by Kemp, to be a way of showing the innovation of the new ruler, as the people gazed at the extravagance that was the palace, and how it was constructed so quickly using </w:t>
      </w:r>
      <w:proofErr w:type="spellStart"/>
      <w:r w:rsidR="00E21AA6">
        <w:rPr>
          <w:sz w:val="24"/>
          <w:szCs w:val="24"/>
        </w:rPr>
        <w:t>talatats</w:t>
      </w:r>
      <w:proofErr w:type="spellEnd"/>
      <w:r w:rsidR="00E21AA6">
        <w:rPr>
          <w:sz w:val="24"/>
          <w:szCs w:val="24"/>
        </w:rPr>
        <w:t xml:space="preserve">. </w:t>
      </w:r>
    </w:p>
    <w:p w14:paraId="1C2162CE" w14:textId="77777777" w:rsidR="002676B3" w:rsidRDefault="00E21AA6">
      <w:pPr>
        <w:rPr>
          <w:sz w:val="24"/>
          <w:szCs w:val="24"/>
        </w:rPr>
      </w:pPr>
      <w:r>
        <w:rPr>
          <w:sz w:val="24"/>
          <w:szCs w:val="24"/>
        </w:rPr>
        <w:t xml:space="preserve">       Akhenaten’s prolific building projects mean that there was still pieces around after the defacing of anything</w:t>
      </w:r>
      <w:r w:rsidR="002676B3">
        <w:rPr>
          <w:sz w:val="24"/>
          <w:szCs w:val="24"/>
        </w:rPr>
        <w:t xml:space="preserve"> </w:t>
      </w:r>
      <w:r>
        <w:rPr>
          <w:sz w:val="24"/>
          <w:szCs w:val="24"/>
        </w:rPr>
        <w:t>attributed to him</w:t>
      </w:r>
      <w:r w:rsidR="002676B3">
        <w:rPr>
          <w:sz w:val="24"/>
          <w:szCs w:val="24"/>
        </w:rPr>
        <w:t xml:space="preserve"> was carried out by future pharaohs. Kemp notes, that it is thanks to this that there are scenes that survive on walls, showing what Benben stones looked like, a feature that was used in earlier solar cults in Heliopolis, but with none surviving to the modern day. Kemp notes that despite Akhenaten’s desire for a single solar deity, he still kept, to an extent, some traditional ideas as he still needed something in order to solidify his new religion.</w:t>
      </w:r>
    </w:p>
    <w:p w14:paraId="0E46EAF8" w14:textId="355CF982" w:rsidR="00E21AA6" w:rsidRDefault="002676B3">
      <w:pPr>
        <w:rPr>
          <w:sz w:val="24"/>
          <w:szCs w:val="24"/>
        </w:rPr>
      </w:pPr>
      <w:r>
        <w:rPr>
          <w:sz w:val="24"/>
          <w:szCs w:val="24"/>
        </w:rPr>
        <w:t xml:space="preserve">        </w:t>
      </w:r>
      <w:r w:rsidR="005C2E6A">
        <w:rPr>
          <w:sz w:val="24"/>
          <w:szCs w:val="24"/>
        </w:rPr>
        <w:t xml:space="preserve">As there is still a lot of the chapter that can be discussed, but with a constraint on the word count that I have, I want to make a note of a section that Kemp mentions, in page 286 of this article, and it involves the ideas of Egyptian festivals, and what happened to them under Akhenaten. Kemp notes that the traditional Egyptian festivals that would have happened were replaced by well provisioned daily offerings to the new Aten deity, but Kemp notes, sadly, that there is currently no evidence, either written or pictorial, from Amarna that can tell us about any festivals that could have replaced the old religion ones. Kemp does suggest that perhaps festivals could have followed the phases of the sun, such as equinoxes, but from what Kemp </w:t>
      </w:r>
      <w:r w:rsidR="00910241">
        <w:rPr>
          <w:sz w:val="24"/>
          <w:szCs w:val="24"/>
        </w:rPr>
        <w:t>can infer from what Akhenaten thought about the Aten, Kemp seems to think that Akhenaten thought of the Aten as something pure and simple, not as a complex thing with equinoxes.</w:t>
      </w:r>
      <w:r>
        <w:rPr>
          <w:sz w:val="24"/>
          <w:szCs w:val="24"/>
        </w:rPr>
        <w:t xml:space="preserve"> </w:t>
      </w:r>
    </w:p>
    <w:p w14:paraId="72589A8C" w14:textId="73014794" w:rsidR="00910241" w:rsidRPr="00F61D3A" w:rsidRDefault="00910241">
      <w:pPr>
        <w:rPr>
          <w:sz w:val="24"/>
          <w:szCs w:val="24"/>
        </w:rPr>
      </w:pPr>
      <w:r>
        <w:rPr>
          <w:sz w:val="24"/>
          <w:szCs w:val="24"/>
        </w:rPr>
        <w:t xml:space="preserve">        To conclude my summary of this chapter, I think that the first section on Egyptian theology, and how it can be linked and compared with old testament Judaism, is something that definitely is an engaging and exciting idea that the author proposed. However, one of the draw backs of this is that the reader would probably need some context behind the old testament Judaism, in order to understand fully the links that the two religions could have. </w:t>
      </w:r>
    </w:p>
    <w:p w14:paraId="029F4D22" w14:textId="77777777" w:rsidR="00F61D3A" w:rsidRDefault="00F61D3A">
      <w:pPr>
        <w:rPr>
          <w:sz w:val="24"/>
          <w:szCs w:val="24"/>
          <w:u w:val="single"/>
        </w:rPr>
      </w:pPr>
    </w:p>
    <w:p w14:paraId="352A2E3D" w14:textId="77777777" w:rsidR="00F61D3A" w:rsidRDefault="00F61D3A">
      <w:pPr>
        <w:rPr>
          <w:sz w:val="24"/>
          <w:szCs w:val="24"/>
          <w:u w:val="single"/>
        </w:rPr>
      </w:pPr>
    </w:p>
    <w:p w14:paraId="699018A5" w14:textId="77777777" w:rsidR="00F61D3A" w:rsidRDefault="00F61D3A">
      <w:pPr>
        <w:rPr>
          <w:sz w:val="24"/>
          <w:szCs w:val="24"/>
          <w:u w:val="single"/>
        </w:rPr>
      </w:pPr>
    </w:p>
    <w:p w14:paraId="3A218AF0" w14:textId="77777777" w:rsidR="00F61D3A" w:rsidRDefault="00F61D3A">
      <w:pPr>
        <w:rPr>
          <w:sz w:val="24"/>
          <w:szCs w:val="24"/>
          <w:u w:val="single"/>
        </w:rPr>
      </w:pPr>
    </w:p>
    <w:p w14:paraId="168E9629" w14:textId="77777777" w:rsidR="00F61D3A" w:rsidRDefault="00F61D3A">
      <w:pPr>
        <w:rPr>
          <w:sz w:val="24"/>
          <w:szCs w:val="24"/>
          <w:u w:val="single"/>
        </w:rPr>
      </w:pPr>
    </w:p>
    <w:p w14:paraId="642A69D3" w14:textId="77777777" w:rsidR="00910241" w:rsidRDefault="00910241">
      <w:pPr>
        <w:rPr>
          <w:sz w:val="24"/>
          <w:szCs w:val="24"/>
        </w:rPr>
      </w:pPr>
    </w:p>
    <w:p w14:paraId="6263FFDD" w14:textId="77777777" w:rsidR="00910241" w:rsidRDefault="00910241">
      <w:pPr>
        <w:rPr>
          <w:sz w:val="24"/>
          <w:szCs w:val="24"/>
        </w:rPr>
      </w:pPr>
    </w:p>
    <w:p w14:paraId="23C7FBE0" w14:textId="6C01B1DA" w:rsidR="00910241" w:rsidRDefault="00910241">
      <w:pPr>
        <w:rPr>
          <w:b/>
          <w:bCs/>
          <w:sz w:val="24"/>
          <w:szCs w:val="24"/>
          <w:u w:val="single"/>
        </w:rPr>
      </w:pPr>
      <w:r>
        <w:rPr>
          <w:b/>
          <w:bCs/>
          <w:sz w:val="24"/>
          <w:szCs w:val="24"/>
          <w:u w:val="single"/>
        </w:rPr>
        <w:lastRenderedPageBreak/>
        <w:t>Bibliography.</w:t>
      </w:r>
    </w:p>
    <w:p w14:paraId="1810F135" w14:textId="77777777" w:rsidR="00910241" w:rsidRPr="00910241" w:rsidRDefault="00910241">
      <w:pPr>
        <w:rPr>
          <w:sz w:val="24"/>
          <w:szCs w:val="24"/>
        </w:rPr>
      </w:pPr>
      <w:bookmarkStart w:id="0" w:name="_GoBack"/>
      <w:bookmarkEnd w:id="0"/>
    </w:p>
    <w:p w14:paraId="625C7F90" w14:textId="315BA4A4" w:rsidR="00073D67" w:rsidRPr="00910241" w:rsidRDefault="00F61D3A">
      <w:pPr>
        <w:rPr>
          <w:sz w:val="24"/>
          <w:szCs w:val="24"/>
        </w:rPr>
      </w:pPr>
      <w:r w:rsidRPr="00910241">
        <w:rPr>
          <w:sz w:val="24"/>
          <w:szCs w:val="24"/>
        </w:rPr>
        <w:t xml:space="preserve">Kemp, B. </w:t>
      </w:r>
      <w:r w:rsidR="00910241">
        <w:rPr>
          <w:sz w:val="24"/>
          <w:szCs w:val="24"/>
        </w:rPr>
        <w:t xml:space="preserve">(1989). </w:t>
      </w:r>
      <w:r w:rsidRPr="00910241">
        <w:rPr>
          <w:i/>
          <w:iCs/>
          <w:sz w:val="24"/>
          <w:szCs w:val="24"/>
        </w:rPr>
        <w:t>Ancient Egypt: Anatomy of a Civilisation</w:t>
      </w:r>
      <w:r w:rsidRPr="00910241">
        <w:rPr>
          <w:sz w:val="24"/>
          <w:szCs w:val="24"/>
        </w:rPr>
        <w:t>. 261-317. London: Routledge.</w:t>
      </w:r>
    </w:p>
    <w:sectPr w:rsidR="00073D67" w:rsidRPr="009102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D3A"/>
    <w:rsid w:val="00073D67"/>
    <w:rsid w:val="002028FF"/>
    <w:rsid w:val="002676B3"/>
    <w:rsid w:val="004802A0"/>
    <w:rsid w:val="005C2E6A"/>
    <w:rsid w:val="005E1F8D"/>
    <w:rsid w:val="00790BC4"/>
    <w:rsid w:val="00910241"/>
    <w:rsid w:val="009908DD"/>
    <w:rsid w:val="00D827D4"/>
    <w:rsid w:val="00E21AA6"/>
    <w:rsid w:val="00E77365"/>
    <w:rsid w:val="00F61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FB640"/>
  <w15:chartTrackingRefBased/>
  <w15:docId w15:val="{5796C0AC-9651-462A-B3C9-91598FEF8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842</Words>
  <Characters>4800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Seale</dc:creator>
  <cp:keywords/>
  <dc:description/>
  <cp:lastModifiedBy>Nadia Seale</cp:lastModifiedBy>
  <cp:revision>2</cp:revision>
  <dcterms:created xsi:type="dcterms:W3CDTF">2019-05-19T21:59:00Z</dcterms:created>
  <dcterms:modified xsi:type="dcterms:W3CDTF">2019-05-19T21:59:00Z</dcterms:modified>
</cp:coreProperties>
</file>