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AFFA9" w14:textId="52E8F7E3" w:rsidR="00375B73" w:rsidRPr="005B4AF0" w:rsidRDefault="005B4AF0" w:rsidP="005B4AF0">
      <w:pPr>
        <w:spacing w:line="240" w:lineRule="auto"/>
        <w:rPr>
          <w:u w:val="single"/>
        </w:rPr>
      </w:pPr>
      <w:r w:rsidRPr="005B4AF0">
        <w:rPr>
          <w:u w:val="single"/>
        </w:rPr>
        <w:t>Commentary on the Rule of Saint Benedict</w:t>
      </w:r>
    </w:p>
    <w:p w14:paraId="40A99040" w14:textId="613F3C12" w:rsidR="00375B73" w:rsidRDefault="005B4AF0" w:rsidP="005B4AF0">
      <w:pPr>
        <w:spacing w:line="240" w:lineRule="auto"/>
      </w:pPr>
      <w:r w:rsidRPr="005B4AF0">
        <w:rPr>
          <w:i/>
          <w:iCs/>
        </w:rPr>
        <w:t>The Rule of Saint Benedict</w:t>
      </w:r>
      <w:r>
        <w:t xml:space="preserve"> was written by Saint Benedict of Nursia, who lived in the fifth century into the sixth century, and most of our knowledge surrounding him comes from the </w:t>
      </w:r>
      <w:r w:rsidRPr="005B4AF0">
        <w:rPr>
          <w:i/>
          <w:iCs/>
        </w:rPr>
        <w:t>Life of Saint Benedict</w:t>
      </w:r>
      <w:r>
        <w:t xml:space="preserve">, written by Pope Gregory the Great around forty-five years after Benedict’s death. </w:t>
      </w:r>
      <w:r>
        <w:rPr>
          <w:rStyle w:val="FootnoteReference"/>
        </w:rPr>
        <w:footnoteReference w:id="1"/>
      </w:r>
      <w:r>
        <w:t xml:space="preserve"> There are many manuscripts of the Rule, the earliest extant copy was likely copied in 750 in Anglo-Saxon England,</w:t>
      </w:r>
      <w:r>
        <w:rPr>
          <w:rStyle w:val="FootnoteReference"/>
        </w:rPr>
        <w:footnoteReference w:id="2"/>
      </w:r>
      <w:r>
        <w:t xml:space="preserve"> it lays out a detailed overview on how a </w:t>
      </w:r>
      <w:proofErr w:type="spellStart"/>
      <w:r>
        <w:t>cenobitic</w:t>
      </w:r>
      <w:proofErr w:type="spellEnd"/>
      <w:r>
        <w:t xml:space="preserve"> monastic life should be led, and his </w:t>
      </w:r>
      <w:r w:rsidRPr="005B4AF0">
        <w:rPr>
          <w:i/>
          <w:iCs/>
        </w:rPr>
        <w:t>Rule</w:t>
      </w:r>
      <w:r>
        <w:t xml:space="preserve"> became a crucial foundation for the way of life for the Cistercians after their founding in 1098.</w:t>
      </w:r>
    </w:p>
    <w:p w14:paraId="32CD6E05" w14:textId="723BE04B" w:rsidR="00AF7CAB" w:rsidRDefault="005B4AF0" w:rsidP="005B4AF0">
      <w:pPr>
        <w:spacing w:line="240" w:lineRule="auto"/>
      </w:pPr>
      <w:r>
        <w:t xml:space="preserve">After the prologue, the first section covers the different kinds of monks and their different lifestyles. The first he mentions are the </w:t>
      </w:r>
      <w:proofErr w:type="spellStart"/>
      <w:r w:rsidR="008903ED">
        <w:t>C</w:t>
      </w:r>
      <w:r>
        <w:t>enobites</w:t>
      </w:r>
      <w:proofErr w:type="spellEnd"/>
      <w:r>
        <w:t>, which there is the least information commented on within the text, only that they are a communal type of monk who live together in a monastery and serve under an Abbot.</w:t>
      </w:r>
      <w:r w:rsidR="006F718B">
        <w:t xml:space="preserve"> </w:t>
      </w:r>
      <w:r w:rsidR="006F718B">
        <w:rPr>
          <w:rStyle w:val="FootnoteReference"/>
        </w:rPr>
        <w:footnoteReference w:id="3"/>
      </w:r>
      <w:r w:rsidR="006F718B">
        <w:t xml:space="preserve"> </w:t>
      </w:r>
      <w:proofErr w:type="spellStart"/>
      <w:r w:rsidR="005763E8">
        <w:t>Cenobites</w:t>
      </w:r>
      <w:proofErr w:type="spellEnd"/>
      <w:r w:rsidR="005763E8">
        <w:t xml:space="preserve"> must pass a year in the </w:t>
      </w:r>
      <w:proofErr w:type="spellStart"/>
      <w:r w:rsidR="005763E8">
        <w:t>novicate</w:t>
      </w:r>
      <w:proofErr w:type="spellEnd"/>
      <w:r w:rsidR="005763E8">
        <w:t xml:space="preserve">, then renounce all personal property and take vows to follow the monastic ways of life including poverty, chastity, and stability. Benedict holds </w:t>
      </w:r>
      <w:r w:rsidR="00955F9A">
        <w:t xml:space="preserve">the concept of communal living in high importance in the Rule </w:t>
      </w:r>
      <w:proofErr w:type="gramStart"/>
      <w:r w:rsidR="00955F9A">
        <w:t>as a way to</w:t>
      </w:r>
      <w:proofErr w:type="gramEnd"/>
      <w:r w:rsidR="00955F9A">
        <w:t xml:space="preserve"> prepare for their higher calling in the dessert. </w:t>
      </w:r>
      <w:r w:rsidR="00955F9A">
        <w:rPr>
          <w:rStyle w:val="FootnoteReference"/>
        </w:rPr>
        <w:footnoteReference w:id="4"/>
      </w:r>
      <w:r w:rsidR="00536B40">
        <w:t xml:space="preserve"> The fact that Benedict did not go into much detail on the </w:t>
      </w:r>
      <w:proofErr w:type="spellStart"/>
      <w:r w:rsidR="00536B40">
        <w:t>Cenobites</w:t>
      </w:r>
      <w:proofErr w:type="spellEnd"/>
      <w:r w:rsidR="00536B40">
        <w:t xml:space="preserve"> implies that their lifestyle was the most common of the monks, and well known enough that beyond the absolute basics, did not require much of an explanation.</w:t>
      </w:r>
    </w:p>
    <w:p w14:paraId="10276894" w14:textId="48C1D97A" w:rsidR="005B4AF0" w:rsidRDefault="005763E8" w:rsidP="005B4AF0">
      <w:pPr>
        <w:spacing w:line="240" w:lineRule="auto"/>
      </w:pPr>
      <w:r>
        <w:t>The second kind of monk is the anchorites</w:t>
      </w:r>
      <w:r w:rsidR="00955F9A">
        <w:t>, who are hermits that have, after many years living in a monastery</w:t>
      </w:r>
      <w:r w:rsidR="005847AD">
        <w:t xml:space="preserve">, </w:t>
      </w:r>
      <w:r w:rsidR="00E37760">
        <w:t>gained the strength to fight the devil by themselves after training to fight as a community</w:t>
      </w:r>
      <w:r w:rsidR="005847AD">
        <w:t xml:space="preserve">, so </w:t>
      </w:r>
      <w:proofErr w:type="gramStart"/>
      <w:r w:rsidR="005847AD">
        <w:t>are able to</w:t>
      </w:r>
      <w:proofErr w:type="gramEnd"/>
      <w:r w:rsidR="005847AD">
        <w:t xml:space="preserve"> live in solace.</w:t>
      </w:r>
      <w:r w:rsidR="00536B40">
        <w:t xml:space="preserve"> </w:t>
      </w:r>
      <w:r w:rsidR="00536B40">
        <w:rPr>
          <w:rStyle w:val="FootnoteReference"/>
        </w:rPr>
        <w:footnoteReference w:id="5"/>
      </w:r>
      <w:r w:rsidR="008200E2">
        <w:t xml:space="preserve"> </w:t>
      </w:r>
      <w:r w:rsidR="007A52D3">
        <w:t xml:space="preserve">Anchorites are the foundation on what the earliest forms of monasticism base themselves </w:t>
      </w:r>
      <w:proofErr w:type="gramStart"/>
      <w:r w:rsidR="007A52D3">
        <w:t>off of</w:t>
      </w:r>
      <w:proofErr w:type="gramEnd"/>
      <w:r w:rsidR="007A52D3">
        <w:t>, with monks being those who had withdrawn from society to live in solitude in the dessert and dedicate themselves to their spirituality. Even the word ‘monastic’ is a derivative of the Greek word ‘</w:t>
      </w:r>
      <w:proofErr w:type="spellStart"/>
      <w:r w:rsidR="007A52D3">
        <w:t>monos</w:t>
      </w:r>
      <w:proofErr w:type="spellEnd"/>
      <w:r w:rsidR="007A52D3">
        <w:t>’, which means alone.</w:t>
      </w:r>
      <w:r w:rsidR="00822BFD">
        <w:t xml:space="preserve"> </w:t>
      </w:r>
      <w:r w:rsidR="00822BFD">
        <w:rPr>
          <w:rStyle w:val="FootnoteReference"/>
        </w:rPr>
        <w:footnoteReference w:id="6"/>
      </w:r>
      <w:r w:rsidR="008903ED">
        <w:t xml:space="preserve"> The language Benedict uses to describe the Anchorites is deeply respectful and almost revenant, repeatedly referring to their ability to ‘fight’ the devil, likening them to knights in battle, and </w:t>
      </w:r>
      <w:r w:rsidR="00E06268">
        <w:t>praising the strength that they have gained in their monastery to be able to go out alone.</w:t>
      </w:r>
    </w:p>
    <w:p w14:paraId="024B07ED" w14:textId="450CBC72" w:rsidR="00822BFD" w:rsidRDefault="00E06268" w:rsidP="005B4AF0">
      <w:pPr>
        <w:spacing w:line="240" w:lineRule="auto"/>
      </w:pPr>
      <w:r>
        <w:t xml:space="preserve">The third kind of monk that Benedict describes are the </w:t>
      </w:r>
      <w:proofErr w:type="spellStart"/>
      <w:r>
        <w:t>S</w:t>
      </w:r>
      <w:r w:rsidRPr="00E06268">
        <w:t>arabaites</w:t>
      </w:r>
      <w:proofErr w:type="spellEnd"/>
      <w:r>
        <w:t xml:space="preserve">, </w:t>
      </w:r>
      <w:r w:rsidR="00C31053">
        <w:t xml:space="preserve">whom he describes as a ‘very bad’ kind of monk. The </w:t>
      </w:r>
      <w:proofErr w:type="spellStart"/>
      <w:r w:rsidR="00C31053">
        <w:t>S</w:t>
      </w:r>
      <w:r w:rsidR="00C31053" w:rsidRPr="00C31053">
        <w:t>arabaites</w:t>
      </w:r>
      <w:proofErr w:type="spellEnd"/>
      <w:r w:rsidR="00C31053">
        <w:t xml:space="preserve"> can exist alone or in small groups of twos or threes, they have no Abbot to shepherd them, and according to Benedict, they do not abide by the laws of God but only listen to their own desires</w:t>
      </w:r>
      <w:r w:rsidR="001F42E2">
        <w:t>, making the things they enjoy out to be lawful in the eyes of God and the things they dislike out to be unlawful, regardless of what God’s law truly is</w:t>
      </w:r>
      <w:r w:rsidR="00C31053">
        <w:t xml:space="preserve">. The only way the </w:t>
      </w:r>
      <w:proofErr w:type="spellStart"/>
      <w:r w:rsidR="00C31053">
        <w:t>Sarabaites</w:t>
      </w:r>
      <w:proofErr w:type="spellEnd"/>
      <w:r w:rsidR="00C31053">
        <w:t xml:space="preserve"> keep faith, he claims, is by doing their works, going out into the world to do an active practice of faith as opposed to staying in a monastery to learn and be shepherded.</w:t>
      </w:r>
      <w:r w:rsidR="001F42E2">
        <w:t xml:space="preserve"> </w:t>
      </w:r>
      <w:r w:rsidR="00E902FB">
        <w:rPr>
          <w:rStyle w:val="FootnoteReference"/>
        </w:rPr>
        <w:footnoteReference w:id="7"/>
      </w:r>
    </w:p>
    <w:p w14:paraId="5CC9D275" w14:textId="79B393BF" w:rsidR="005B4AF0" w:rsidRDefault="00E902FB" w:rsidP="00A2040A">
      <w:pPr>
        <w:spacing w:line="240" w:lineRule="auto"/>
      </w:pPr>
      <w:r>
        <w:t xml:space="preserve">The fourth kind </w:t>
      </w:r>
      <w:r w:rsidR="00DC06AE">
        <w:t xml:space="preserve">of monk is a school of monks called </w:t>
      </w:r>
      <w:r w:rsidR="008228A7">
        <w:t>Gyratory, who are never stationary and move from monastery to monastery as guests</w:t>
      </w:r>
      <w:r w:rsidR="00A2040A">
        <w:t xml:space="preserve">. </w:t>
      </w:r>
      <w:r w:rsidR="00CF1902">
        <w:t xml:space="preserve">Saint Benedict claims that the Gyratory monks are worse than the </w:t>
      </w:r>
      <w:proofErr w:type="spellStart"/>
      <w:r w:rsidR="00CF1902">
        <w:t>Sarabaite</w:t>
      </w:r>
      <w:proofErr w:type="spellEnd"/>
      <w:r w:rsidR="00CF1902">
        <w:t xml:space="preserve"> monks due to their constant movement, which violates their vows of stability, and </w:t>
      </w:r>
      <w:r w:rsidR="003110DF">
        <w:t>their pursuit of ‘</w:t>
      </w:r>
      <w:r w:rsidR="003110DF" w:rsidRPr="003110DF">
        <w:t>their own pleasures and the joys of the palate</w:t>
      </w:r>
      <w:r w:rsidR="003110DF">
        <w:t xml:space="preserve">’ which violates their vows of poverty. </w:t>
      </w:r>
      <w:r w:rsidR="00C12F95">
        <w:t xml:space="preserve">Benedict has clear derision for the Gyratory monks and </w:t>
      </w:r>
      <w:proofErr w:type="spellStart"/>
      <w:r w:rsidR="00C12F95">
        <w:t>their</w:t>
      </w:r>
      <w:proofErr w:type="spellEnd"/>
      <w:r w:rsidR="00C12F95">
        <w:t xml:space="preserve">, in his view, clear disregard for the true way of monastic life. </w:t>
      </w:r>
      <w:r w:rsidR="00C12F95">
        <w:rPr>
          <w:rStyle w:val="FootnoteReference"/>
        </w:rPr>
        <w:footnoteReference w:id="8"/>
      </w:r>
      <w:r w:rsidR="00C12F95">
        <w:t xml:space="preserve"> Saint Benedict surmises that the </w:t>
      </w:r>
      <w:proofErr w:type="spellStart"/>
      <w:r w:rsidR="00C12F95">
        <w:t>Cenobites</w:t>
      </w:r>
      <w:proofErr w:type="spellEnd"/>
      <w:r w:rsidR="00C12F95">
        <w:t xml:space="preserve"> are the best of all kinds of monks.</w:t>
      </w:r>
      <w:r w:rsidR="00822BFD">
        <w:br w:type="page"/>
      </w:r>
    </w:p>
    <w:p w14:paraId="0B71AF46" w14:textId="5A9DFE20" w:rsidR="005B4AF0" w:rsidRPr="005B4AF0" w:rsidRDefault="005B4AF0" w:rsidP="005B4AF0">
      <w:pPr>
        <w:spacing w:line="240" w:lineRule="auto"/>
        <w:rPr>
          <w:b/>
          <w:bCs/>
          <w:u w:val="single"/>
        </w:rPr>
      </w:pPr>
      <w:r w:rsidRPr="005B4AF0">
        <w:rPr>
          <w:b/>
          <w:bCs/>
          <w:u w:val="single"/>
        </w:rPr>
        <w:lastRenderedPageBreak/>
        <w:t>Bibliography</w:t>
      </w:r>
    </w:p>
    <w:p w14:paraId="4E46BE19" w14:textId="60734FFF" w:rsidR="005B4AF0" w:rsidRPr="005B4AF0" w:rsidRDefault="008200E2" w:rsidP="005B4AF0">
      <w:pPr>
        <w:spacing w:line="240" w:lineRule="auto"/>
        <w:rPr>
          <w:u w:val="single"/>
        </w:rPr>
      </w:pPr>
      <w:r>
        <w:rPr>
          <w:u w:val="single"/>
        </w:rPr>
        <w:t>Modern Scholarship</w:t>
      </w:r>
    </w:p>
    <w:p w14:paraId="1B965154" w14:textId="77777777" w:rsidR="005B4AF0" w:rsidRDefault="005B4AF0" w:rsidP="005B4AF0">
      <w:pPr>
        <w:spacing w:after="0" w:line="240" w:lineRule="auto"/>
        <w:rPr>
          <w:i/>
        </w:rPr>
      </w:pPr>
      <w:r w:rsidRPr="005B4AF0">
        <w:t xml:space="preserve">Lawrence, </w:t>
      </w:r>
      <w:r>
        <w:t xml:space="preserve">C. H., </w:t>
      </w:r>
      <w:r w:rsidRPr="005B4AF0">
        <w:rPr>
          <w:i/>
        </w:rPr>
        <w:t xml:space="preserve">Medieval Monasticism: Forms of Religious Life in Western Europe in the Middle </w:t>
      </w:r>
    </w:p>
    <w:p w14:paraId="298A9E5F" w14:textId="6BD9BF8C" w:rsidR="005B4AF0" w:rsidRPr="005B4AF0" w:rsidRDefault="005B4AF0" w:rsidP="005B4AF0">
      <w:pPr>
        <w:spacing w:line="240" w:lineRule="auto"/>
        <w:ind w:firstLine="720"/>
      </w:pPr>
      <w:r w:rsidRPr="005B4AF0">
        <w:rPr>
          <w:i/>
        </w:rPr>
        <w:t>Ages</w:t>
      </w:r>
      <w:r w:rsidRPr="005B4AF0">
        <w:t xml:space="preserve"> (Harlow: Pearson Education Limited, 2001)</w:t>
      </w:r>
    </w:p>
    <w:p w14:paraId="4CBC6697" w14:textId="24C478CD" w:rsidR="005B4AF0" w:rsidRDefault="00955F9A" w:rsidP="005B4AF0">
      <w:pPr>
        <w:spacing w:line="240" w:lineRule="auto"/>
      </w:pPr>
      <w:r w:rsidRPr="00955F9A">
        <w:t xml:space="preserve">Burton, J. and Kerr. J., </w:t>
      </w:r>
      <w:r w:rsidRPr="00955F9A">
        <w:rPr>
          <w:i/>
        </w:rPr>
        <w:t>The Cistercians in the Middle Ages</w:t>
      </w:r>
      <w:r w:rsidRPr="00955F9A">
        <w:t xml:space="preserve"> (Woodbridge: The Boydell Press, 2011)</w:t>
      </w:r>
    </w:p>
    <w:p w14:paraId="2A5E3AE0" w14:textId="58AEA0CD" w:rsidR="005B4AF0" w:rsidRDefault="008200E2" w:rsidP="005B4AF0">
      <w:pPr>
        <w:spacing w:line="240" w:lineRule="auto"/>
        <w:rPr>
          <w:u w:val="single"/>
        </w:rPr>
      </w:pPr>
      <w:r>
        <w:rPr>
          <w:u w:val="single"/>
        </w:rPr>
        <w:t>Primary Sources</w:t>
      </w:r>
    </w:p>
    <w:p w14:paraId="1E12B7BB" w14:textId="0E3BC296" w:rsidR="006F718B" w:rsidRPr="006F718B" w:rsidRDefault="006F718B" w:rsidP="005B4AF0">
      <w:pPr>
        <w:spacing w:line="240" w:lineRule="auto"/>
      </w:pPr>
      <w:r w:rsidRPr="006F718B">
        <w:rPr>
          <w:i/>
        </w:rPr>
        <w:t>The Rule of St Benedict</w:t>
      </w:r>
      <w:r w:rsidRPr="006F718B">
        <w:t>, translated by J. McCann, (London: Sheed and Ward, 1970)</w:t>
      </w:r>
    </w:p>
    <w:sectPr w:rsidR="006F718B" w:rsidRPr="006F718B" w:rsidSect="00C12F95">
      <w:pgSz w:w="11906" w:h="16838"/>
      <w:pgMar w:top="1134"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31856" w14:textId="77777777" w:rsidR="009E2B97" w:rsidRDefault="009E2B97" w:rsidP="005B4AF0">
      <w:pPr>
        <w:spacing w:after="0" w:line="240" w:lineRule="auto"/>
      </w:pPr>
      <w:r>
        <w:separator/>
      </w:r>
    </w:p>
  </w:endnote>
  <w:endnote w:type="continuationSeparator" w:id="0">
    <w:p w14:paraId="0256436D" w14:textId="77777777" w:rsidR="009E2B97" w:rsidRDefault="009E2B97" w:rsidP="005B4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8C1EF" w14:textId="77777777" w:rsidR="009E2B97" w:rsidRDefault="009E2B97" w:rsidP="005B4AF0">
      <w:pPr>
        <w:spacing w:after="0" w:line="240" w:lineRule="auto"/>
      </w:pPr>
      <w:r>
        <w:separator/>
      </w:r>
    </w:p>
  </w:footnote>
  <w:footnote w:type="continuationSeparator" w:id="0">
    <w:p w14:paraId="0B11D3A5" w14:textId="77777777" w:rsidR="009E2B97" w:rsidRDefault="009E2B97" w:rsidP="005B4AF0">
      <w:pPr>
        <w:spacing w:after="0" w:line="240" w:lineRule="auto"/>
      </w:pPr>
      <w:r>
        <w:continuationSeparator/>
      </w:r>
    </w:p>
  </w:footnote>
  <w:footnote w:id="1">
    <w:p w14:paraId="22AA5380" w14:textId="1FC8C029" w:rsidR="005B4AF0" w:rsidRDefault="005B4AF0">
      <w:pPr>
        <w:pStyle w:val="FootnoteText"/>
      </w:pPr>
      <w:r>
        <w:rPr>
          <w:rStyle w:val="FootnoteReference"/>
        </w:rPr>
        <w:footnoteRef/>
      </w:r>
      <w:r>
        <w:t xml:space="preserve"> </w:t>
      </w:r>
      <w:r w:rsidRPr="005B4AF0">
        <w:t xml:space="preserve">C. H. Lawrence, </w:t>
      </w:r>
      <w:r w:rsidRPr="005B4AF0">
        <w:rPr>
          <w:i/>
        </w:rPr>
        <w:t>Medieval Monasticism: Forms of Religious Life in Western Europe in the Middle Ages</w:t>
      </w:r>
      <w:r w:rsidRPr="005B4AF0">
        <w:t xml:space="preserve"> (Harlow: Pearson Education Limited, 2001), p</w:t>
      </w:r>
      <w:r>
        <w:t>p</w:t>
      </w:r>
      <w:r w:rsidRPr="005B4AF0">
        <w:t xml:space="preserve">. </w:t>
      </w:r>
      <w:r>
        <w:t>18-19</w:t>
      </w:r>
    </w:p>
  </w:footnote>
  <w:footnote w:id="2">
    <w:p w14:paraId="51F05B73" w14:textId="3B22B98A" w:rsidR="005B4AF0" w:rsidRDefault="005B4AF0">
      <w:pPr>
        <w:pStyle w:val="FootnoteText"/>
      </w:pPr>
      <w:r>
        <w:rPr>
          <w:rStyle w:val="FootnoteReference"/>
        </w:rPr>
        <w:footnoteRef/>
      </w:r>
      <w:r>
        <w:t xml:space="preserve"> </w:t>
      </w:r>
      <w:r w:rsidRPr="005B4AF0">
        <w:t xml:space="preserve">Lawrence, </w:t>
      </w:r>
      <w:r w:rsidRPr="005B4AF0">
        <w:rPr>
          <w:i/>
        </w:rPr>
        <w:t>Medieval Monasticism</w:t>
      </w:r>
      <w:r w:rsidRPr="005B4AF0">
        <w:t xml:space="preserve">, p. </w:t>
      </w:r>
      <w:r>
        <w:t>21</w:t>
      </w:r>
    </w:p>
  </w:footnote>
  <w:footnote w:id="3">
    <w:p w14:paraId="2BDB5F70" w14:textId="3BBF058B" w:rsidR="006F718B" w:rsidRDefault="006F718B">
      <w:pPr>
        <w:pStyle w:val="FootnoteText"/>
      </w:pPr>
      <w:r>
        <w:rPr>
          <w:rStyle w:val="FootnoteReference"/>
        </w:rPr>
        <w:footnoteRef/>
      </w:r>
      <w:r>
        <w:t xml:space="preserve"> </w:t>
      </w:r>
      <w:r w:rsidRPr="006F718B">
        <w:rPr>
          <w:i/>
        </w:rPr>
        <w:t>The Rule of St Benedict</w:t>
      </w:r>
      <w:r w:rsidRPr="006F718B">
        <w:t>, translated by J. McCann, (London: Sheed and Ward, 1970)</w:t>
      </w:r>
      <w:r>
        <w:t>, Chapter 1</w:t>
      </w:r>
    </w:p>
  </w:footnote>
  <w:footnote w:id="4">
    <w:p w14:paraId="76046FC3" w14:textId="6C299F35" w:rsidR="00955F9A" w:rsidRDefault="00955F9A">
      <w:pPr>
        <w:pStyle w:val="FootnoteText"/>
      </w:pPr>
      <w:r>
        <w:rPr>
          <w:rStyle w:val="FootnoteReference"/>
        </w:rPr>
        <w:footnoteRef/>
      </w:r>
      <w:r>
        <w:t xml:space="preserve"> J. </w:t>
      </w:r>
      <w:r w:rsidRPr="00955F9A">
        <w:t xml:space="preserve">Burton, and </w:t>
      </w:r>
      <w:r>
        <w:t xml:space="preserve">J. </w:t>
      </w:r>
      <w:r w:rsidRPr="00955F9A">
        <w:t xml:space="preserve">Kerr, </w:t>
      </w:r>
      <w:r w:rsidRPr="00955F9A">
        <w:rPr>
          <w:i/>
        </w:rPr>
        <w:t>The Cistercians in the Middle Ages</w:t>
      </w:r>
      <w:r w:rsidRPr="00955F9A">
        <w:t xml:space="preserve"> (Woodbridge: The Boydell Press, 2011)</w:t>
      </w:r>
      <w:r>
        <w:t>, p. 4</w:t>
      </w:r>
    </w:p>
  </w:footnote>
  <w:footnote w:id="5">
    <w:p w14:paraId="1E545956" w14:textId="5A0CFE0F" w:rsidR="00536B40" w:rsidRDefault="00536B40">
      <w:pPr>
        <w:pStyle w:val="FootnoteText"/>
      </w:pPr>
      <w:r>
        <w:rPr>
          <w:rStyle w:val="FootnoteReference"/>
        </w:rPr>
        <w:footnoteRef/>
      </w:r>
      <w:r>
        <w:t xml:space="preserve"> </w:t>
      </w:r>
      <w:r w:rsidRPr="006F718B">
        <w:rPr>
          <w:i/>
        </w:rPr>
        <w:t>The Rule of St Benedict</w:t>
      </w:r>
      <w:r w:rsidRPr="006F718B">
        <w:t>, translated by J. McCann, (London: Sheed and Ward, 1970)</w:t>
      </w:r>
      <w:r>
        <w:t>, Chapter 1</w:t>
      </w:r>
    </w:p>
  </w:footnote>
  <w:footnote w:id="6">
    <w:p w14:paraId="75F49009" w14:textId="76534B79" w:rsidR="00822BFD" w:rsidRDefault="00822BFD">
      <w:pPr>
        <w:pStyle w:val="FootnoteText"/>
      </w:pPr>
      <w:r>
        <w:rPr>
          <w:rStyle w:val="FootnoteReference"/>
        </w:rPr>
        <w:footnoteRef/>
      </w:r>
      <w:r>
        <w:t xml:space="preserve"> J. </w:t>
      </w:r>
      <w:r w:rsidRPr="00955F9A">
        <w:t xml:space="preserve">Burton, and </w:t>
      </w:r>
      <w:r>
        <w:t xml:space="preserve">J. </w:t>
      </w:r>
      <w:r w:rsidRPr="00955F9A">
        <w:t xml:space="preserve">Kerr, </w:t>
      </w:r>
      <w:r w:rsidRPr="00955F9A">
        <w:rPr>
          <w:i/>
        </w:rPr>
        <w:t>The Cistercians in the Middle Ages</w:t>
      </w:r>
      <w:r w:rsidRPr="00955F9A">
        <w:t xml:space="preserve"> (Woodbridge: The Boydell Press, 2011)</w:t>
      </w:r>
      <w:r>
        <w:t>, p. 1</w:t>
      </w:r>
    </w:p>
  </w:footnote>
  <w:footnote w:id="7">
    <w:p w14:paraId="14A63077" w14:textId="70EC9D6A" w:rsidR="00E902FB" w:rsidRDefault="00E902FB">
      <w:pPr>
        <w:pStyle w:val="FootnoteText"/>
      </w:pPr>
      <w:r>
        <w:rPr>
          <w:rStyle w:val="FootnoteReference"/>
        </w:rPr>
        <w:footnoteRef/>
      </w:r>
      <w:r>
        <w:t xml:space="preserve"> </w:t>
      </w:r>
      <w:r w:rsidRPr="006F718B">
        <w:rPr>
          <w:i/>
        </w:rPr>
        <w:t>The Rule of St Benedict</w:t>
      </w:r>
      <w:r w:rsidRPr="006F718B">
        <w:t>, translated by J. McCann, (London: Sheed and Ward, 1970)</w:t>
      </w:r>
      <w:r>
        <w:t>, Chapter 1</w:t>
      </w:r>
    </w:p>
  </w:footnote>
  <w:footnote w:id="8">
    <w:p w14:paraId="4AC21BBD" w14:textId="345606D8" w:rsidR="00C12F95" w:rsidRDefault="00C12F95">
      <w:pPr>
        <w:pStyle w:val="FootnoteText"/>
      </w:pPr>
      <w:r>
        <w:rPr>
          <w:rStyle w:val="FootnoteReference"/>
        </w:rPr>
        <w:footnoteRef/>
      </w:r>
      <w:r>
        <w:t xml:space="preserve"> </w:t>
      </w:r>
      <w:r w:rsidRPr="006F718B">
        <w:rPr>
          <w:i/>
        </w:rPr>
        <w:t>The Rule of St Benedict</w:t>
      </w:r>
      <w:r w:rsidRPr="006F718B">
        <w:t>, translated by J. McCann, (London: Sheed and Ward, 1970)</w:t>
      </w:r>
      <w:r>
        <w:t>, Chapter 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B73"/>
    <w:rsid w:val="000B3B32"/>
    <w:rsid w:val="001C2950"/>
    <w:rsid w:val="001F42E2"/>
    <w:rsid w:val="002B25FE"/>
    <w:rsid w:val="002C447E"/>
    <w:rsid w:val="003110DF"/>
    <w:rsid w:val="00375B73"/>
    <w:rsid w:val="00536B40"/>
    <w:rsid w:val="005763E8"/>
    <w:rsid w:val="005847AD"/>
    <w:rsid w:val="005B4AF0"/>
    <w:rsid w:val="00636015"/>
    <w:rsid w:val="0068322A"/>
    <w:rsid w:val="006F718B"/>
    <w:rsid w:val="007A52D3"/>
    <w:rsid w:val="008200E2"/>
    <w:rsid w:val="008228A7"/>
    <w:rsid w:val="00822BFD"/>
    <w:rsid w:val="008903ED"/>
    <w:rsid w:val="00955F9A"/>
    <w:rsid w:val="009A2E41"/>
    <w:rsid w:val="009E2B97"/>
    <w:rsid w:val="00A2040A"/>
    <w:rsid w:val="00AF7CAB"/>
    <w:rsid w:val="00B71152"/>
    <w:rsid w:val="00BA32CC"/>
    <w:rsid w:val="00C12F95"/>
    <w:rsid w:val="00C31053"/>
    <w:rsid w:val="00C563F7"/>
    <w:rsid w:val="00CF1902"/>
    <w:rsid w:val="00DC06AE"/>
    <w:rsid w:val="00E06268"/>
    <w:rsid w:val="00E37760"/>
    <w:rsid w:val="00E902FB"/>
    <w:rsid w:val="00FA3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828FF"/>
  <w15:chartTrackingRefBased/>
  <w15:docId w15:val="{A328980A-F9AD-4085-8DA0-2BA6A4895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B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B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B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B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B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B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B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B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B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B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B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B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B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B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B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B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B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B73"/>
    <w:rPr>
      <w:rFonts w:eastAsiaTheme="majorEastAsia" w:cstheme="majorBidi"/>
      <w:color w:val="272727" w:themeColor="text1" w:themeTint="D8"/>
    </w:rPr>
  </w:style>
  <w:style w:type="paragraph" w:styleId="Title">
    <w:name w:val="Title"/>
    <w:basedOn w:val="Normal"/>
    <w:next w:val="Normal"/>
    <w:link w:val="TitleChar"/>
    <w:uiPriority w:val="10"/>
    <w:qFormat/>
    <w:rsid w:val="00375B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B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B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B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B73"/>
    <w:pPr>
      <w:spacing w:before="160"/>
      <w:jc w:val="center"/>
    </w:pPr>
    <w:rPr>
      <w:i/>
      <w:iCs/>
      <w:color w:val="404040" w:themeColor="text1" w:themeTint="BF"/>
    </w:rPr>
  </w:style>
  <w:style w:type="character" w:customStyle="1" w:styleId="QuoteChar">
    <w:name w:val="Quote Char"/>
    <w:basedOn w:val="DefaultParagraphFont"/>
    <w:link w:val="Quote"/>
    <w:uiPriority w:val="29"/>
    <w:rsid w:val="00375B73"/>
    <w:rPr>
      <w:i/>
      <w:iCs/>
      <w:color w:val="404040" w:themeColor="text1" w:themeTint="BF"/>
    </w:rPr>
  </w:style>
  <w:style w:type="paragraph" w:styleId="ListParagraph">
    <w:name w:val="List Paragraph"/>
    <w:basedOn w:val="Normal"/>
    <w:uiPriority w:val="34"/>
    <w:qFormat/>
    <w:rsid w:val="00375B73"/>
    <w:pPr>
      <w:ind w:left="720"/>
      <w:contextualSpacing/>
    </w:pPr>
  </w:style>
  <w:style w:type="character" w:styleId="IntenseEmphasis">
    <w:name w:val="Intense Emphasis"/>
    <w:basedOn w:val="DefaultParagraphFont"/>
    <w:uiPriority w:val="21"/>
    <w:qFormat/>
    <w:rsid w:val="00375B73"/>
    <w:rPr>
      <w:i/>
      <w:iCs/>
      <w:color w:val="0F4761" w:themeColor="accent1" w:themeShade="BF"/>
    </w:rPr>
  </w:style>
  <w:style w:type="paragraph" w:styleId="IntenseQuote">
    <w:name w:val="Intense Quote"/>
    <w:basedOn w:val="Normal"/>
    <w:next w:val="Normal"/>
    <w:link w:val="IntenseQuoteChar"/>
    <w:uiPriority w:val="30"/>
    <w:qFormat/>
    <w:rsid w:val="00375B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B73"/>
    <w:rPr>
      <w:i/>
      <w:iCs/>
      <w:color w:val="0F4761" w:themeColor="accent1" w:themeShade="BF"/>
    </w:rPr>
  </w:style>
  <w:style w:type="character" w:styleId="IntenseReference">
    <w:name w:val="Intense Reference"/>
    <w:basedOn w:val="DefaultParagraphFont"/>
    <w:uiPriority w:val="32"/>
    <w:qFormat/>
    <w:rsid w:val="00375B73"/>
    <w:rPr>
      <w:b/>
      <w:bCs/>
      <w:smallCaps/>
      <w:color w:val="0F4761" w:themeColor="accent1" w:themeShade="BF"/>
      <w:spacing w:val="5"/>
    </w:rPr>
  </w:style>
  <w:style w:type="paragraph" w:styleId="FootnoteText">
    <w:name w:val="footnote text"/>
    <w:basedOn w:val="Normal"/>
    <w:link w:val="FootnoteTextChar"/>
    <w:uiPriority w:val="99"/>
    <w:semiHidden/>
    <w:unhideWhenUsed/>
    <w:rsid w:val="005B4A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4AF0"/>
    <w:rPr>
      <w:sz w:val="20"/>
      <w:szCs w:val="20"/>
    </w:rPr>
  </w:style>
  <w:style w:type="character" w:styleId="FootnoteReference">
    <w:name w:val="footnote reference"/>
    <w:basedOn w:val="DefaultParagraphFont"/>
    <w:uiPriority w:val="99"/>
    <w:semiHidden/>
    <w:unhideWhenUsed/>
    <w:rsid w:val="005B4A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812E2-5C75-40C0-90CF-3C1E1AD57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2</Pages>
  <Words>595</Words>
  <Characters>3393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8</cp:revision>
  <dcterms:created xsi:type="dcterms:W3CDTF">2025-10-06T13:01:00Z</dcterms:created>
  <dcterms:modified xsi:type="dcterms:W3CDTF">2025-10-10T21:20:00Z</dcterms:modified>
</cp:coreProperties>
</file>