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BA66B" w14:textId="77777777" w:rsidR="0042136B" w:rsidRDefault="0042136B" w:rsidP="0042136B">
      <w:pPr>
        <w:spacing w:line="360" w:lineRule="auto"/>
        <w:rPr>
          <w:b/>
          <w:bCs/>
          <w:i/>
          <w:iCs/>
          <w:sz w:val="28"/>
          <w:szCs w:val="28"/>
        </w:rPr>
      </w:pPr>
    </w:p>
    <w:p w14:paraId="64E6677D" w14:textId="77777777" w:rsidR="0042136B" w:rsidRDefault="0042136B" w:rsidP="0042136B">
      <w:pPr>
        <w:spacing w:line="360" w:lineRule="auto"/>
        <w:rPr>
          <w:b/>
          <w:bCs/>
          <w:i/>
          <w:iCs/>
          <w:sz w:val="28"/>
          <w:szCs w:val="28"/>
        </w:rPr>
      </w:pPr>
    </w:p>
    <w:p w14:paraId="5462891B" w14:textId="77777777" w:rsidR="0042136B" w:rsidRDefault="0042136B" w:rsidP="0042136B">
      <w:pPr>
        <w:spacing w:line="360" w:lineRule="auto"/>
        <w:rPr>
          <w:b/>
          <w:bCs/>
          <w:i/>
          <w:iCs/>
          <w:sz w:val="28"/>
          <w:szCs w:val="28"/>
        </w:rPr>
      </w:pPr>
    </w:p>
    <w:p w14:paraId="2D054EBB" w14:textId="77777777" w:rsidR="0042136B" w:rsidRDefault="0042136B" w:rsidP="0042136B">
      <w:pPr>
        <w:spacing w:line="360" w:lineRule="auto"/>
        <w:rPr>
          <w:b/>
          <w:bCs/>
          <w:i/>
          <w:iCs/>
          <w:sz w:val="28"/>
          <w:szCs w:val="28"/>
        </w:rPr>
      </w:pPr>
    </w:p>
    <w:p w14:paraId="00287B3E" w14:textId="77777777" w:rsidR="0042136B" w:rsidRDefault="0042136B" w:rsidP="0042136B">
      <w:pPr>
        <w:spacing w:line="360" w:lineRule="auto"/>
        <w:rPr>
          <w:b/>
          <w:bCs/>
          <w:i/>
          <w:iCs/>
          <w:sz w:val="28"/>
          <w:szCs w:val="28"/>
        </w:rPr>
      </w:pPr>
    </w:p>
    <w:p w14:paraId="7E751DBD" w14:textId="77777777" w:rsidR="0042136B" w:rsidRDefault="0042136B" w:rsidP="0042136B">
      <w:pPr>
        <w:spacing w:line="360" w:lineRule="auto"/>
        <w:rPr>
          <w:b/>
          <w:bCs/>
          <w:i/>
          <w:iCs/>
          <w:sz w:val="28"/>
          <w:szCs w:val="28"/>
        </w:rPr>
      </w:pPr>
    </w:p>
    <w:p w14:paraId="1554A9C5" w14:textId="2C0CB47E" w:rsidR="0042136B" w:rsidRPr="00612092" w:rsidRDefault="0042136B" w:rsidP="0042136B">
      <w:pPr>
        <w:spacing w:line="360" w:lineRule="auto"/>
        <w:rPr>
          <w:b/>
          <w:bCs/>
          <w:sz w:val="28"/>
          <w:szCs w:val="28"/>
        </w:rPr>
      </w:pPr>
      <w:r>
        <w:rPr>
          <w:b/>
          <w:bCs/>
          <w:i/>
          <w:iCs/>
          <w:sz w:val="28"/>
          <w:szCs w:val="28"/>
        </w:rPr>
        <w:t>Reshaping the strategic direction by focusing on customer care.</w:t>
      </w:r>
    </w:p>
    <w:p w14:paraId="6C019E0A" w14:textId="77777777" w:rsidR="0042136B" w:rsidRPr="005336DC" w:rsidRDefault="0042136B" w:rsidP="0042136B">
      <w:pPr>
        <w:spacing w:line="360" w:lineRule="auto"/>
        <w:rPr>
          <w:b/>
          <w:bCs/>
          <w:szCs w:val="22"/>
        </w:rPr>
      </w:pPr>
      <w:r w:rsidRPr="005336DC">
        <w:rPr>
          <w:b/>
          <w:bCs/>
          <w:szCs w:val="22"/>
        </w:rPr>
        <w:t> </w:t>
      </w:r>
    </w:p>
    <w:p w14:paraId="1518DDAC" w14:textId="77777777" w:rsidR="0042136B" w:rsidRPr="005336DC" w:rsidRDefault="0042136B" w:rsidP="0042136B">
      <w:pPr>
        <w:spacing w:line="360" w:lineRule="auto"/>
        <w:rPr>
          <w:b/>
          <w:bCs/>
          <w:szCs w:val="22"/>
        </w:rPr>
      </w:pPr>
      <w:r w:rsidRPr="005336DC">
        <w:rPr>
          <w:b/>
          <w:bCs/>
          <w:szCs w:val="22"/>
        </w:rPr>
        <w:t> </w:t>
      </w:r>
    </w:p>
    <w:p w14:paraId="75FCC2A8" w14:textId="77777777" w:rsidR="0042136B" w:rsidRPr="005336DC" w:rsidRDefault="0042136B" w:rsidP="0042136B">
      <w:pPr>
        <w:spacing w:line="360" w:lineRule="auto"/>
        <w:rPr>
          <w:b/>
          <w:bCs/>
          <w:szCs w:val="22"/>
        </w:rPr>
      </w:pPr>
      <w:r w:rsidRPr="005336DC">
        <w:rPr>
          <w:b/>
          <w:bCs/>
          <w:szCs w:val="22"/>
        </w:rPr>
        <w:t> </w:t>
      </w:r>
    </w:p>
    <w:p w14:paraId="7CC4A98E" w14:textId="77777777" w:rsidR="0042136B" w:rsidRPr="005336DC" w:rsidRDefault="0042136B" w:rsidP="0042136B">
      <w:pPr>
        <w:spacing w:line="360" w:lineRule="auto"/>
        <w:rPr>
          <w:b/>
          <w:bCs/>
          <w:szCs w:val="22"/>
        </w:rPr>
      </w:pPr>
      <w:r w:rsidRPr="005336DC">
        <w:rPr>
          <w:b/>
          <w:bCs/>
          <w:szCs w:val="22"/>
        </w:rPr>
        <w:t> </w:t>
      </w:r>
    </w:p>
    <w:p w14:paraId="1FA9969D" w14:textId="77777777" w:rsidR="0042136B" w:rsidRPr="005336DC" w:rsidRDefault="0042136B" w:rsidP="0042136B">
      <w:pPr>
        <w:spacing w:line="360" w:lineRule="auto"/>
        <w:rPr>
          <w:b/>
          <w:bCs/>
          <w:szCs w:val="22"/>
        </w:rPr>
      </w:pPr>
      <w:r w:rsidRPr="005336DC">
        <w:rPr>
          <w:b/>
          <w:bCs/>
          <w:szCs w:val="22"/>
        </w:rPr>
        <w:t> </w:t>
      </w:r>
    </w:p>
    <w:p w14:paraId="4803B969" w14:textId="77777777" w:rsidR="0042136B" w:rsidRPr="005336DC" w:rsidRDefault="0042136B" w:rsidP="0042136B">
      <w:pPr>
        <w:spacing w:line="360" w:lineRule="auto"/>
        <w:rPr>
          <w:b/>
          <w:bCs/>
          <w:szCs w:val="22"/>
        </w:rPr>
      </w:pPr>
      <w:r w:rsidRPr="005336DC">
        <w:rPr>
          <w:b/>
          <w:bCs/>
          <w:szCs w:val="22"/>
        </w:rPr>
        <w:t> </w:t>
      </w:r>
    </w:p>
    <w:p w14:paraId="51ECC9B6" w14:textId="77777777" w:rsidR="0042136B" w:rsidRPr="005336DC" w:rsidRDefault="0042136B" w:rsidP="0042136B">
      <w:pPr>
        <w:spacing w:line="360" w:lineRule="auto"/>
        <w:rPr>
          <w:b/>
          <w:bCs/>
          <w:szCs w:val="22"/>
        </w:rPr>
      </w:pPr>
      <w:r w:rsidRPr="005336DC">
        <w:rPr>
          <w:b/>
          <w:bCs/>
          <w:szCs w:val="22"/>
        </w:rPr>
        <w:t> </w:t>
      </w:r>
    </w:p>
    <w:p w14:paraId="0403196C" w14:textId="77777777" w:rsidR="0042136B" w:rsidRPr="005336DC" w:rsidRDefault="0042136B" w:rsidP="0042136B">
      <w:pPr>
        <w:spacing w:line="360" w:lineRule="auto"/>
        <w:rPr>
          <w:b/>
          <w:bCs/>
          <w:szCs w:val="22"/>
        </w:rPr>
      </w:pPr>
      <w:r w:rsidRPr="005336DC">
        <w:rPr>
          <w:b/>
          <w:bCs/>
          <w:szCs w:val="22"/>
        </w:rPr>
        <w:t> </w:t>
      </w:r>
    </w:p>
    <w:p w14:paraId="05F2F099" w14:textId="77777777" w:rsidR="0042136B" w:rsidRPr="005336DC" w:rsidRDefault="0042136B" w:rsidP="0042136B">
      <w:pPr>
        <w:spacing w:line="360" w:lineRule="auto"/>
        <w:rPr>
          <w:b/>
          <w:bCs/>
          <w:szCs w:val="22"/>
        </w:rPr>
      </w:pPr>
      <w:r w:rsidRPr="005336DC">
        <w:rPr>
          <w:b/>
          <w:bCs/>
          <w:szCs w:val="22"/>
        </w:rPr>
        <w:t> </w:t>
      </w:r>
    </w:p>
    <w:p w14:paraId="5404BF13" w14:textId="77777777" w:rsidR="0042136B" w:rsidRPr="005336DC" w:rsidRDefault="0042136B" w:rsidP="0042136B">
      <w:pPr>
        <w:spacing w:line="360" w:lineRule="auto"/>
        <w:rPr>
          <w:b/>
          <w:bCs/>
          <w:szCs w:val="22"/>
        </w:rPr>
      </w:pPr>
      <w:r w:rsidRPr="005336DC">
        <w:rPr>
          <w:b/>
          <w:bCs/>
          <w:szCs w:val="22"/>
        </w:rPr>
        <w:t> </w:t>
      </w:r>
    </w:p>
    <w:p w14:paraId="296AD83B" w14:textId="1BEEF78E" w:rsidR="0042136B" w:rsidRPr="005336DC" w:rsidRDefault="0042136B" w:rsidP="0042136B">
      <w:pPr>
        <w:spacing w:line="360" w:lineRule="auto"/>
        <w:rPr>
          <w:b/>
          <w:bCs/>
          <w:szCs w:val="22"/>
        </w:rPr>
      </w:pPr>
      <w:r w:rsidRPr="005336DC">
        <w:rPr>
          <w:b/>
          <w:bCs/>
          <w:szCs w:val="22"/>
        </w:rPr>
        <w:t>  </w:t>
      </w:r>
    </w:p>
    <w:p w14:paraId="02F61C64" w14:textId="60A562F8" w:rsidR="0042136B" w:rsidRPr="005336DC" w:rsidRDefault="0042136B" w:rsidP="0042136B">
      <w:pPr>
        <w:spacing w:line="360" w:lineRule="auto"/>
        <w:rPr>
          <w:szCs w:val="22"/>
        </w:rPr>
      </w:pPr>
      <w:r>
        <w:rPr>
          <w:szCs w:val="22"/>
        </w:rPr>
        <w:t>Strategic and Agile Business Management</w:t>
      </w:r>
      <w:r w:rsidR="007A2E6E" w:rsidRPr="007A2E6E">
        <w:rPr>
          <w:szCs w:val="22"/>
        </w:rPr>
        <w:t xml:space="preserve"> </w:t>
      </w:r>
      <w:r w:rsidR="007A2E6E">
        <w:rPr>
          <w:szCs w:val="22"/>
        </w:rPr>
        <w:tab/>
      </w:r>
      <w:r w:rsidR="007A2E6E">
        <w:rPr>
          <w:szCs w:val="22"/>
        </w:rPr>
        <w:tab/>
      </w:r>
      <w:r w:rsidR="007A2E6E">
        <w:rPr>
          <w:szCs w:val="22"/>
        </w:rPr>
        <w:tab/>
      </w:r>
      <w:r w:rsidR="007A2E6E" w:rsidRPr="005336DC">
        <w:rPr>
          <w:szCs w:val="22"/>
        </w:rPr>
        <w:t>Tutor: </w:t>
      </w:r>
    </w:p>
    <w:p w14:paraId="36ABCA59" w14:textId="153E9BFF" w:rsidR="0042136B" w:rsidRPr="005336DC" w:rsidRDefault="0042136B" w:rsidP="0042136B">
      <w:pPr>
        <w:spacing w:line="360" w:lineRule="auto"/>
        <w:rPr>
          <w:b/>
          <w:bCs/>
          <w:szCs w:val="22"/>
        </w:rPr>
      </w:pPr>
      <w:r w:rsidRPr="005336DC">
        <w:rPr>
          <w:b/>
          <w:bCs/>
          <w:szCs w:val="22"/>
        </w:rPr>
        <w:t>BMMB702</w:t>
      </w:r>
      <w:r>
        <w:rPr>
          <w:b/>
          <w:bCs/>
          <w:szCs w:val="22"/>
        </w:rPr>
        <w:t>7</w:t>
      </w:r>
      <w:r w:rsidRPr="005336DC">
        <w:rPr>
          <w:b/>
          <w:bCs/>
          <w:szCs w:val="22"/>
        </w:rPr>
        <w:t>D </w:t>
      </w:r>
      <w:r w:rsidR="007A2E6E">
        <w:rPr>
          <w:b/>
          <w:bCs/>
          <w:szCs w:val="22"/>
        </w:rPr>
        <w:tab/>
      </w:r>
      <w:r w:rsidR="007A2E6E">
        <w:rPr>
          <w:b/>
          <w:bCs/>
          <w:szCs w:val="22"/>
        </w:rPr>
        <w:tab/>
      </w:r>
      <w:r w:rsidR="007A2E6E">
        <w:rPr>
          <w:b/>
          <w:bCs/>
          <w:szCs w:val="22"/>
        </w:rPr>
        <w:tab/>
      </w:r>
      <w:r w:rsidR="007A2E6E">
        <w:rPr>
          <w:b/>
          <w:bCs/>
          <w:szCs w:val="22"/>
        </w:rPr>
        <w:tab/>
      </w:r>
      <w:r w:rsidR="007A2E6E">
        <w:rPr>
          <w:b/>
          <w:bCs/>
          <w:szCs w:val="22"/>
        </w:rPr>
        <w:tab/>
      </w:r>
      <w:r w:rsidR="007A2E6E">
        <w:rPr>
          <w:b/>
          <w:bCs/>
          <w:szCs w:val="22"/>
        </w:rPr>
        <w:tab/>
      </w:r>
      <w:r w:rsidR="007A2E6E">
        <w:rPr>
          <w:b/>
          <w:bCs/>
          <w:szCs w:val="22"/>
        </w:rPr>
        <w:tab/>
        <w:t>Christian Felices</w:t>
      </w:r>
    </w:p>
    <w:p w14:paraId="777E7DA4" w14:textId="77777777" w:rsidR="0042136B" w:rsidRPr="005336DC" w:rsidRDefault="0042136B" w:rsidP="0042136B">
      <w:pPr>
        <w:spacing w:line="360" w:lineRule="auto"/>
        <w:rPr>
          <w:b/>
          <w:bCs/>
          <w:szCs w:val="22"/>
        </w:rPr>
      </w:pPr>
      <w:r w:rsidRPr="005336DC">
        <w:rPr>
          <w:b/>
          <w:bCs/>
          <w:szCs w:val="22"/>
        </w:rPr>
        <w:t> </w:t>
      </w:r>
    </w:p>
    <w:p w14:paraId="4AA6EE18" w14:textId="3D45DBAA" w:rsidR="0042136B" w:rsidRPr="005336DC" w:rsidRDefault="0042136B" w:rsidP="0042136B">
      <w:pPr>
        <w:spacing w:line="360" w:lineRule="auto"/>
        <w:rPr>
          <w:szCs w:val="22"/>
        </w:rPr>
      </w:pPr>
      <w:r w:rsidRPr="005336DC">
        <w:rPr>
          <w:szCs w:val="22"/>
        </w:rPr>
        <w:t>Amy Thomas</w:t>
      </w:r>
      <w:r w:rsidRPr="005336DC">
        <w:rPr>
          <w:szCs w:val="22"/>
        </w:rPr>
        <w:tab/>
      </w:r>
      <w:r w:rsidRPr="005336DC">
        <w:rPr>
          <w:szCs w:val="22"/>
        </w:rPr>
        <w:tab/>
      </w:r>
      <w:r w:rsidRPr="005336DC">
        <w:rPr>
          <w:szCs w:val="22"/>
        </w:rPr>
        <w:tab/>
      </w:r>
      <w:r w:rsidRPr="005336DC">
        <w:rPr>
          <w:szCs w:val="22"/>
        </w:rPr>
        <w:tab/>
      </w:r>
      <w:r w:rsidRPr="005336DC">
        <w:rPr>
          <w:szCs w:val="22"/>
        </w:rPr>
        <w:tab/>
      </w:r>
      <w:r w:rsidRPr="005336DC">
        <w:rPr>
          <w:szCs w:val="22"/>
        </w:rPr>
        <w:tab/>
      </w:r>
      <w:r w:rsidR="007A2E6E">
        <w:rPr>
          <w:szCs w:val="22"/>
        </w:rPr>
        <w:tab/>
      </w:r>
      <w:r w:rsidR="007A2E6E">
        <w:rPr>
          <w:szCs w:val="22"/>
        </w:rPr>
        <w:tab/>
      </w:r>
    </w:p>
    <w:p w14:paraId="7762AA36" w14:textId="64FBCA55" w:rsidR="0042136B" w:rsidRPr="0042136B" w:rsidRDefault="0042136B" w:rsidP="0042136B">
      <w:pPr>
        <w:spacing w:line="360" w:lineRule="auto"/>
        <w:rPr>
          <w:b/>
          <w:bCs/>
          <w:szCs w:val="22"/>
        </w:rPr>
      </w:pPr>
      <w:r w:rsidRPr="005336DC">
        <w:rPr>
          <w:b/>
          <w:bCs/>
          <w:szCs w:val="22"/>
        </w:rPr>
        <w:t>2419388</w:t>
      </w:r>
      <w:r w:rsidRPr="005336DC">
        <w:rPr>
          <w:b/>
          <w:bCs/>
          <w:szCs w:val="22"/>
        </w:rPr>
        <w:tab/>
      </w:r>
      <w:r w:rsidR="007A2E6E">
        <w:rPr>
          <w:b/>
          <w:bCs/>
          <w:szCs w:val="22"/>
        </w:rPr>
        <w:tab/>
      </w:r>
      <w:r w:rsidR="007A2E6E">
        <w:rPr>
          <w:b/>
          <w:bCs/>
          <w:szCs w:val="22"/>
        </w:rPr>
        <w:tab/>
      </w:r>
      <w:r w:rsidR="007A2E6E">
        <w:rPr>
          <w:b/>
          <w:bCs/>
          <w:szCs w:val="22"/>
        </w:rPr>
        <w:tab/>
      </w:r>
      <w:r w:rsidR="007A2E6E">
        <w:rPr>
          <w:b/>
          <w:bCs/>
          <w:szCs w:val="22"/>
        </w:rPr>
        <w:tab/>
      </w:r>
      <w:r w:rsidR="007A2E6E">
        <w:rPr>
          <w:b/>
          <w:bCs/>
          <w:szCs w:val="22"/>
        </w:rPr>
        <w:tab/>
      </w:r>
      <w:r w:rsidR="007A2E6E">
        <w:rPr>
          <w:b/>
          <w:bCs/>
          <w:szCs w:val="22"/>
        </w:rPr>
        <w:tab/>
      </w:r>
      <w:r w:rsidR="007A2E6E">
        <w:rPr>
          <w:b/>
          <w:bCs/>
          <w:szCs w:val="22"/>
        </w:rPr>
        <w:tab/>
      </w:r>
      <w:r w:rsidR="007A2E6E" w:rsidRPr="007A2E6E">
        <w:rPr>
          <w:i/>
          <w:iCs/>
          <w:szCs w:val="22"/>
        </w:rPr>
        <w:t xml:space="preserve">Word count: </w:t>
      </w:r>
      <w:r w:rsidR="00D04CEB">
        <w:rPr>
          <w:i/>
          <w:iCs/>
          <w:szCs w:val="22"/>
        </w:rPr>
        <w:t>4,996</w:t>
      </w:r>
      <w:r w:rsidRPr="005336DC">
        <w:rPr>
          <w:b/>
          <w:bCs/>
          <w:szCs w:val="22"/>
        </w:rPr>
        <w:tab/>
      </w:r>
      <w:r w:rsidRPr="005336DC">
        <w:rPr>
          <w:b/>
          <w:bCs/>
          <w:szCs w:val="22"/>
        </w:rPr>
        <w:tab/>
      </w:r>
      <w:r w:rsidRPr="005336DC">
        <w:rPr>
          <w:b/>
          <w:bCs/>
          <w:szCs w:val="22"/>
        </w:rPr>
        <w:tab/>
      </w:r>
      <w:r w:rsidRPr="005336DC">
        <w:rPr>
          <w:b/>
          <w:bCs/>
          <w:szCs w:val="22"/>
        </w:rPr>
        <w:tab/>
      </w:r>
      <w:r w:rsidRPr="005336DC">
        <w:rPr>
          <w:b/>
          <w:bCs/>
          <w:szCs w:val="22"/>
        </w:rPr>
        <w:tab/>
      </w:r>
      <w:r w:rsidRPr="005336DC">
        <w:rPr>
          <w:b/>
          <w:bCs/>
          <w:szCs w:val="22"/>
        </w:rPr>
        <w:tab/>
      </w:r>
      <w:r w:rsidRPr="005336DC">
        <w:rPr>
          <w:b/>
          <w:bCs/>
          <w:szCs w:val="22"/>
        </w:rPr>
        <w:tab/>
      </w:r>
    </w:p>
    <w:p w14:paraId="4D28876C" w14:textId="77777777" w:rsidR="005C7C16" w:rsidRPr="00E0457B" w:rsidRDefault="005C7C16" w:rsidP="005C7C16">
      <w:pPr>
        <w:spacing w:after="0"/>
        <w:jc w:val="both"/>
        <w:rPr>
          <w:rFonts w:cs="Arial"/>
          <w:b/>
          <w:bCs/>
        </w:rPr>
      </w:pPr>
      <w:r w:rsidRPr="00E0457B">
        <w:rPr>
          <w:rFonts w:cs="Arial"/>
          <w:b/>
          <w:bCs/>
        </w:rPr>
        <w:lastRenderedPageBreak/>
        <w:t>Executive Summary</w:t>
      </w:r>
    </w:p>
    <w:p w14:paraId="26E00CF5" w14:textId="77777777" w:rsidR="005C7C16" w:rsidRPr="00E0457B" w:rsidRDefault="005C7C16" w:rsidP="005C7C16">
      <w:pPr>
        <w:spacing w:after="0"/>
        <w:jc w:val="both"/>
        <w:rPr>
          <w:rFonts w:cs="Arial"/>
          <w:b/>
          <w:bCs/>
        </w:rPr>
      </w:pPr>
    </w:p>
    <w:p w14:paraId="7C5DDADB" w14:textId="77777777" w:rsidR="005C7C16" w:rsidRPr="00E0457B" w:rsidRDefault="005C7C16" w:rsidP="005C7C16">
      <w:pPr>
        <w:spacing w:after="0"/>
        <w:jc w:val="both"/>
        <w:rPr>
          <w:rFonts w:cs="Arial"/>
        </w:rPr>
      </w:pPr>
      <w:r w:rsidRPr="00E0457B">
        <w:rPr>
          <w:rFonts w:cs="Arial"/>
        </w:rPr>
        <w:t xml:space="preserve">This report evaluates Tesco’s strategic position in an increasingly volatile UK grocery market, </w:t>
      </w:r>
      <w:r w:rsidRPr="001F4CE3">
        <w:rPr>
          <w:rFonts w:cs="Arial"/>
        </w:rPr>
        <w:t>defined by geopolitical instability, supply chain fragility</w:t>
      </w:r>
      <w:r w:rsidRPr="00E0457B">
        <w:rPr>
          <w:rFonts w:cs="Arial"/>
        </w:rPr>
        <w:t xml:space="preserve"> </w:t>
      </w:r>
      <w:r w:rsidRPr="001F4CE3">
        <w:rPr>
          <w:rFonts w:cs="Arial"/>
        </w:rPr>
        <w:t>and lingering pandemic effects</w:t>
      </w:r>
      <w:r w:rsidRPr="00E0457B">
        <w:rPr>
          <w:rFonts w:cs="Arial"/>
        </w:rPr>
        <w:t xml:space="preserve">, and recommends a focused, innovative and viable response to sustain competitive advantage. </w:t>
      </w:r>
      <w:r w:rsidRPr="001F4CE3">
        <w:rPr>
          <w:rFonts w:cs="Arial"/>
        </w:rPr>
        <w:t xml:space="preserve">While Tesco retains UK market leadership, it faces profound pressure from prolonged inflation which has fundamentally altered consumer behaviour towards value-seeking and channel-switching. The competitive landscape is </w:t>
      </w:r>
      <w:r w:rsidRPr="00E0457B">
        <w:rPr>
          <w:rFonts w:cs="Arial"/>
        </w:rPr>
        <w:t>characterised</w:t>
      </w:r>
      <w:r w:rsidRPr="001F4CE3">
        <w:rPr>
          <w:rFonts w:cs="Arial"/>
        </w:rPr>
        <w:t xml:space="preserve"> by intense rivalr</w:t>
      </w:r>
      <w:r w:rsidRPr="00E0457B">
        <w:rPr>
          <w:rFonts w:cs="Arial"/>
        </w:rPr>
        <w:t>y with d</w:t>
      </w:r>
      <w:r w:rsidRPr="001F4CE3">
        <w:rPr>
          <w:rFonts w:cs="Arial"/>
        </w:rPr>
        <w:t>iscounters like Aldi and Lidl hav</w:t>
      </w:r>
      <w:r w:rsidRPr="00E0457B">
        <w:rPr>
          <w:rFonts w:cs="Arial"/>
        </w:rPr>
        <w:t>ing</w:t>
      </w:r>
      <w:r w:rsidRPr="001F4CE3">
        <w:rPr>
          <w:rFonts w:cs="Arial"/>
        </w:rPr>
        <w:t xml:space="preserve"> eroded traditional loyalty through aggressive price leadership and lean business models. Consequently, Tesco faces the critical problem of how to defend </w:t>
      </w:r>
      <w:r w:rsidRPr="00E0457B">
        <w:rPr>
          <w:rFonts w:cs="Arial"/>
        </w:rPr>
        <w:t>price competitiveness while becoming more digitally innovative and customer-obsessed, amid margin pressure, supply-chain fragility and intensified discounter competition.</w:t>
      </w:r>
    </w:p>
    <w:p w14:paraId="37A20B2E" w14:textId="77777777" w:rsidR="005C7C16" w:rsidRPr="00E0457B" w:rsidRDefault="005C7C16" w:rsidP="005C7C16">
      <w:pPr>
        <w:spacing w:after="0"/>
        <w:jc w:val="both"/>
        <w:rPr>
          <w:rFonts w:cs="Arial"/>
        </w:rPr>
      </w:pPr>
    </w:p>
    <w:p w14:paraId="5E93B4DB" w14:textId="77777777" w:rsidR="005C7C16" w:rsidRPr="00E0457B" w:rsidRDefault="005C7C16" w:rsidP="005C7C16">
      <w:pPr>
        <w:spacing w:after="0"/>
        <w:jc w:val="both"/>
        <w:rPr>
          <w:rFonts w:cs="Arial"/>
        </w:rPr>
      </w:pPr>
      <w:r w:rsidRPr="00E0457B">
        <w:rPr>
          <w:rFonts w:cs="Arial"/>
        </w:rPr>
        <w:t xml:space="preserve">A Valuable Rare Imitable and Organised (VRIO) and Value Chain analysis </w:t>
      </w:r>
      <w:r w:rsidRPr="001F4CE3">
        <w:rPr>
          <w:rFonts w:cs="Arial"/>
        </w:rPr>
        <w:t xml:space="preserve">highlights that while digital capabilities are vulnerable to replication, Tesco’s Clubcard data ecosystem and integrated store network represent rare and valuable resources. The Clubcard system, underpinned by decades of </w:t>
      </w:r>
      <w:r w:rsidRPr="00E0457B">
        <w:rPr>
          <w:rFonts w:cs="Arial"/>
        </w:rPr>
        <w:t>behavioural</w:t>
      </w:r>
      <w:r w:rsidRPr="001F4CE3">
        <w:rPr>
          <w:rFonts w:cs="Arial"/>
        </w:rPr>
        <w:t xml:space="preserve"> data, creates a defensible competitive advantage that rivals cannot easily imitate without significant developmental lead times. </w:t>
      </w:r>
      <w:r w:rsidRPr="00E0457B">
        <w:rPr>
          <w:rFonts w:cs="Arial"/>
        </w:rPr>
        <w:t xml:space="preserve">Additionally, Tesco also holds sustainable competitive advantage in its brand equity and physical scale. </w:t>
      </w:r>
      <w:r w:rsidRPr="001F4CE3">
        <w:rPr>
          <w:rFonts w:cs="Arial"/>
        </w:rPr>
        <w:t>However, these assets must be reorgani</w:t>
      </w:r>
      <w:r w:rsidRPr="00E0457B">
        <w:rPr>
          <w:rFonts w:cs="Arial"/>
        </w:rPr>
        <w:t>s</w:t>
      </w:r>
      <w:r w:rsidRPr="001F4CE3">
        <w:rPr>
          <w:rFonts w:cs="Arial"/>
        </w:rPr>
        <w:t>ed to address current threats.</w:t>
      </w:r>
    </w:p>
    <w:p w14:paraId="638E2AE5" w14:textId="77777777" w:rsidR="005C7C16" w:rsidRPr="00E0457B" w:rsidRDefault="005C7C16" w:rsidP="005C7C16">
      <w:pPr>
        <w:spacing w:after="0"/>
        <w:jc w:val="both"/>
        <w:rPr>
          <w:rFonts w:cs="Arial"/>
        </w:rPr>
      </w:pPr>
    </w:p>
    <w:p w14:paraId="60107E43" w14:textId="77777777" w:rsidR="005C7C16" w:rsidRPr="00E0457B" w:rsidRDefault="005C7C16" w:rsidP="005C7C16">
      <w:pPr>
        <w:spacing w:after="0"/>
        <w:jc w:val="both"/>
        <w:rPr>
          <w:rFonts w:cs="Arial"/>
        </w:rPr>
      </w:pPr>
      <w:r w:rsidRPr="001F4CE3">
        <w:rPr>
          <w:rFonts w:cs="Arial"/>
        </w:rPr>
        <w:t>Following an evaluation of strategic options</w:t>
      </w:r>
      <w:r w:rsidRPr="00E0457B">
        <w:rPr>
          <w:rFonts w:cs="Arial"/>
        </w:rPr>
        <w:t xml:space="preserve"> </w:t>
      </w:r>
      <w:r w:rsidRPr="001F4CE3">
        <w:rPr>
          <w:rFonts w:cs="Arial"/>
        </w:rPr>
        <w:t>ranging from purely digital automation to high</w:t>
      </w:r>
      <w:r w:rsidRPr="00E0457B">
        <w:rPr>
          <w:rFonts w:cs="Arial"/>
        </w:rPr>
        <w:t xml:space="preserve"> </w:t>
      </w:r>
      <w:r w:rsidRPr="001F4CE3">
        <w:rPr>
          <w:rFonts w:cs="Arial"/>
        </w:rPr>
        <w:t>touch human service</w:t>
      </w:r>
      <w:r w:rsidRPr="00E0457B">
        <w:rPr>
          <w:rFonts w:cs="Arial"/>
        </w:rPr>
        <w:t xml:space="preserve">, </w:t>
      </w:r>
      <w:r w:rsidRPr="001F4CE3">
        <w:rPr>
          <w:rFonts w:cs="Arial"/>
        </w:rPr>
        <w:t xml:space="preserve">this report recommends a </w:t>
      </w:r>
      <w:r w:rsidRPr="00E0457B">
        <w:rPr>
          <w:rFonts w:cs="Arial"/>
        </w:rPr>
        <w:t>h</w:t>
      </w:r>
      <w:r w:rsidRPr="001F4CE3">
        <w:rPr>
          <w:rFonts w:cs="Arial"/>
        </w:rPr>
        <w:t xml:space="preserve">ybrid </w:t>
      </w:r>
      <w:r w:rsidRPr="00E0457B">
        <w:rPr>
          <w:rFonts w:cs="Arial"/>
        </w:rPr>
        <w:t>o</w:t>
      </w:r>
      <w:r w:rsidRPr="001F4CE3">
        <w:rPr>
          <w:rFonts w:cs="Arial"/>
        </w:rPr>
        <w:t xml:space="preserve">mnichannel </w:t>
      </w:r>
      <w:r w:rsidRPr="00E0457B">
        <w:rPr>
          <w:rFonts w:cs="Arial"/>
        </w:rPr>
        <w:lastRenderedPageBreak/>
        <w:t>p</w:t>
      </w:r>
      <w:r w:rsidRPr="001F4CE3">
        <w:rPr>
          <w:rFonts w:cs="Arial"/>
        </w:rPr>
        <w:t xml:space="preserve">ersonalisation </w:t>
      </w:r>
      <w:r w:rsidRPr="00E0457B">
        <w:rPr>
          <w:rFonts w:cs="Arial"/>
        </w:rPr>
        <w:t>s</w:t>
      </w:r>
      <w:r w:rsidRPr="001F4CE3">
        <w:rPr>
          <w:rFonts w:cs="Arial"/>
        </w:rPr>
        <w:t>trategy</w:t>
      </w:r>
      <w:r w:rsidRPr="00E0457B">
        <w:rPr>
          <w:rFonts w:cs="Arial"/>
        </w:rPr>
        <w:t xml:space="preserve">. </w:t>
      </w:r>
      <w:r w:rsidRPr="001F4CE3">
        <w:rPr>
          <w:rFonts w:cs="Arial"/>
        </w:rPr>
        <w:t>This approach integrates AI</w:t>
      </w:r>
      <w:r w:rsidRPr="00E0457B">
        <w:rPr>
          <w:rFonts w:cs="Arial"/>
        </w:rPr>
        <w:t xml:space="preserve"> </w:t>
      </w:r>
      <w:r w:rsidRPr="001F4CE3">
        <w:rPr>
          <w:rFonts w:cs="Arial"/>
        </w:rPr>
        <w:t>driven digital personali</w:t>
      </w:r>
      <w:r w:rsidRPr="00E0457B">
        <w:rPr>
          <w:rFonts w:cs="Arial"/>
        </w:rPr>
        <w:t>s</w:t>
      </w:r>
      <w:r w:rsidRPr="001F4CE3">
        <w:rPr>
          <w:rFonts w:cs="Arial"/>
        </w:rPr>
        <w:t>ation with enhanced human service across the physical store network</w:t>
      </w:r>
      <w:r w:rsidRPr="00E0457B">
        <w:rPr>
          <w:rFonts w:cs="Arial"/>
        </w:rPr>
        <w:t xml:space="preserve"> and </w:t>
      </w:r>
      <w:r w:rsidRPr="001F4CE3">
        <w:rPr>
          <w:rFonts w:cs="Arial"/>
        </w:rPr>
        <w:t xml:space="preserve">is </w:t>
      </w:r>
      <w:r w:rsidRPr="00E0457B">
        <w:rPr>
          <w:rFonts w:cs="Arial"/>
        </w:rPr>
        <w:t>suitable</w:t>
      </w:r>
      <w:r w:rsidRPr="001F4CE3">
        <w:rPr>
          <w:rFonts w:cs="Arial"/>
        </w:rPr>
        <w:t xml:space="preserve"> because</w:t>
      </w:r>
      <w:r w:rsidRPr="00E0457B">
        <w:rPr>
          <w:rFonts w:cs="Arial"/>
        </w:rPr>
        <w:t xml:space="preserve"> it </w:t>
      </w:r>
      <w:r w:rsidRPr="001F4CE3">
        <w:rPr>
          <w:rFonts w:cs="Arial"/>
        </w:rPr>
        <w:t xml:space="preserve">creates a </w:t>
      </w:r>
      <w:r w:rsidRPr="00E0457B">
        <w:rPr>
          <w:rFonts w:cs="Arial"/>
        </w:rPr>
        <w:t>‘</w:t>
      </w:r>
      <w:r w:rsidRPr="001F4CE3">
        <w:rPr>
          <w:rFonts w:cs="Arial"/>
        </w:rPr>
        <w:t>Blue Ocean</w:t>
      </w:r>
      <w:r w:rsidRPr="00E0457B">
        <w:rPr>
          <w:rFonts w:cs="Arial"/>
        </w:rPr>
        <w:t>’</w:t>
      </w:r>
      <w:r w:rsidRPr="001F4CE3">
        <w:rPr>
          <w:rFonts w:cs="Arial"/>
        </w:rPr>
        <w:t xml:space="preserve"> value proposition</w:t>
      </w:r>
      <w:r w:rsidRPr="00E0457B">
        <w:rPr>
          <w:rFonts w:cs="Arial"/>
        </w:rPr>
        <w:t xml:space="preserve">, </w:t>
      </w:r>
      <w:r w:rsidRPr="001F4CE3">
        <w:rPr>
          <w:rFonts w:cs="Arial"/>
        </w:rPr>
        <w:t>combining digital convenience with emotional connection, which low-service discounters cannot match</w:t>
      </w:r>
      <w:r w:rsidRPr="00E0457B">
        <w:rPr>
          <w:rFonts w:cs="Arial"/>
        </w:rPr>
        <w:t xml:space="preserve"> alongside mitigating </w:t>
      </w:r>
      <w:r w:rsidRPr="001F4CE3">
        <w:rPr>
          <w:rFonts w:cs="Arial"/>
        </w:rPr>
        <w:t xml:space="preserve">regulatory risks of purely algorithmic pricing and the </w:t>
      </w:r>
      <w:r w:rsidRPr="00E0457B">
        <w:rPr>
          <w:rFonts w:cs="Arial"/>
        </w:rPr>
        <w:t>high expense</w:t>
      </w:r>
      <w:r w:rsidRPr="001F4CE3">
        <w:rPr>
          <w:rFonts w:cs="Arial"/>
        </w:rPr>
        <w:t xml:space="preserve"> of a human-only service model.</w:t>
      </w:r>
      <w:r w:rsidRPr="00E0457B">
        <w:rPr>
          <w:rFonts w:cs="Arial"/>
        </w:rPr>
        <w:t xml:space="preserve"> It can also leverage existing structural strengths (its scale and Clubcard data), rather than requiring new assets.</w:t>
      </w:r>
    </w:p>
    <w:p w14:paraId="73C8BFD5" w14:textId="77777777" w:rsidR="005C7C16" w:rsidRPr="001F4CE3" w:rsidRDefault="005C7C16" w:rsidP="005C7C16">
      <w:pPr>
        <w:spacing w:after="0"/>
        <w:jc w:val="both"/>
        <w:rPr>
          <w:rFonts w:cs="Arial"/>
        </w:rPr>
      </w:pPr>
    </w:p>
    <w:p w14:paraId="77743301" w14:textId="77777777" w:rsidR="005C7C16" w:rsidRPr="001F4CE3" w:rsidRDefault="005C7C16" w:rsidP="005C7C16">
      <w:pPr>
        <w:spacing w:after="0"/>
        <w:jc w:val="both"/>
        <w:rPr>
          <w:rFonts w:cs="Arial"/>
        </w:rPr>
      </w:pPr>
      <w:r w:rsidRPr="00E0457B">
        <w:rPr>
          <w:rFonts w:cs="Arial"/>
        </w:rPr>
        <w:t>Implementation of the strategy is projected over a 36-month period, focused on three distinct phases:</w:t>
      </w:r>
    </w:p>
    <w:p w14:paraId="3FD5AB78" w14:textId="77777777" w:rsidR="005C7C16" w:rsidRPr="00E0457B" w:rsidRDefault="005C7C16" w:rsidP="005C7C16">
      <w:pPr>
        <w:pStyle w:val="ListParagraph"/>
        <w:numPr>
          <w:ilvl w:val="0"/>
          <w:numId w:val="1"/>
        </w:numPr>
        <w:spacing w:after="0"/>
        <w:jc w:val="both"/>
        <w:rPr>
          <w:rFonts w:cs="Arial"/>
        </w:rPr>
      </w:pPr>
      <w:r w:rsidRPr="00E0457B">
        <w:rPr>
          <w:rFonts w:cs="Arial"/>
        </w:rPr>
        <w:t>Phase 1 (Foundations): Modernising the customer data platform and establishing algorithmic governance.</w:t>
      </w:r>
    </w:p>
    <w:p w14:paraId="031FE90C" w14:textId="612AB4B6" w:rsidR="005C7C16" w:rsidRPr="00E0457B" w:rsidRDefault="005C7C16" w:rsidP="005C7C16">
      <w:pPr>
        <w:pStyle w:val="ListParagraph"/>
        <w:numPr>
          <w:ilvl w:val="0"/>
          <w:numId w:val="1"/>
        </w:numPr>
        <w:spacing w:after="0"/>
        <w:jc w:val="both"/>
        <w:rPr>
          <w:rFonts w:cs="Arial"/>
        </w:rPr>
      </w:pPr>
      <w:r w:rsidRPr="00E0457B">
        <w:rPr>
          <w:rFonts w:cs="Arial"/>
        </w:rPr>
        <w:t xml:space="preserve">Phase 2 (Integration): Deploying real-time personalisation at self-checkouts and equipping staff with handheld insight </w:t>
      </w:r>
      <w:r w:rsidR="00315A21" w:rsidRPr="00E0457B">
        <w:rPr>
          <w:rFonts w:cs="Arial"/>
        </w:rPr>
        <w:t>devices.</w:t>
      </w:r>
    </w:p>
    <w:p w14:paraId="7A3C2BA6" w14:textId="77777777" w:rsidR="005C7C16" w:rsidRPr="00E0457B" w:rsidRDefault="005C7C16" w:rsidP="005C7C16">
      <w:pPr>
        <w:pStyle w:val="ListParagraph"/>
        <w:numPr>
          <w:ilvl w:val="0"/>
          <w:numId w:val="1"/>
        </w:numPr>
        <w:spacing w:after="0"/>
        <w:jc w:val="both"/>
        <w:rPr>
          <w:rFonts w:cs="Arial"/>
        </w:rPr>
      </w:pPr>
      <w:r w:rsidRPr="00E0457B">
        <w:rPr>
          <w:rFonts w:cs="Arial"/>
        </w:rPr>
        <w:t>Phase 3 (Scaling): Implementing hyperlocal pricing and continuous innovation through an ‘Agile Retail Lab’.</w:t>
      </w:r>
    </w:p>
    <w:p w14:paraId="71638BA5" w14:textId="77777777" w:rsidR="005C7C16" w:rsidRPr="00E0457B" w:rsidRDefault="005C7C16" w:rsidP="005C7C16">
      <w:pPr>
        <w:spacing w:after="0"/>
        <w:jc w:val="both"/>
        <w:rPr>
          <w:rFonts w:cs="Arial"/>
        </w:rPr>
      </w:pPr>
    </w:p>
    <w:p w14:paraId="12F131F4" w14:textId="77777777" w:rsidR="005C7C16" w:rsidRPr="00E0457B" w:rsidRDefault="005C7C16" w:rsidP="005C7C16">
      <w:pPr>
        <w:spacing w:after="0"/>
        <w:jc w:val="both"/>
        <w:rPr>
          <w:rFonts w:cs="Arial"/>
        </w:rPr>
      </w:pPr>
      <w:r w:rsidRPr="00E0457B">
        <w:rPr>
          <w:rFonts w:cs="Arial"/>
        </w:rPr>
        <w:t xml:space="preserve">Success requires significant investment in cloud modernisation and a cultural shift in human resources towards digital literacy and customer-outcome key performance indicators (KPIs), rather than transactional measurement units. By adopting this hybrid model, Tesco can </w:t>
      </w:r>
      <w:r w:rsidRPr="001F4CE3">
        <w:rPr>
          <w:rFonts w:cs="Arial"/>
        </w:rPr>
        <w:t>transform</w:t>
      </w:r>
      <w:r w:rsidRPr="00E0457B">
        <w:rPr>
          <w:rFonts w:cs="Arial"/>
        </w:rPr>
        <w:t xml:space="preserve"> its</w:t>
      </w:r>
      <w:r w:rsidRPr="001F4CE3">
        <w:rPr>
          <w:rFonts w:cs="Arial"/>
        </w:rPr>
        <w:t xml:space="preserve"> internal resources into dynamic capabilities</w:t>
      </w:r>
      <w:r w:rsidRPr="00E0457B">
        <w:rPr>
          <w:rFonts w:cs="Arial"/>
        </w:rPr>
        <w:t xml:space="preserve"> to defend its market share against discounters, whilst building long-term resilience and loyalty securing a sustainable advantage in a turbulent economic landscape.</w:t>
      </w:r>
    </w:p>
    <w:p w14:paraId="2C678981" w14:textId="77777777" w:rsidR="005C7C16" w:rsidRDefault="005C7C16"/>
    <w:p w14:paraId="3EAF2DFF" w14:textId="77777777" w:rsidR="005C7C16" w:rsidRDefault="005C7C16"/>
    <w:p w14:paraId="2B43F4F7" w14:textId="77777777" w:rsidR="005C7C16" w:rsidRPr="00E0457B" w:rsidRDefault="005C7C16" w:rsidP="005C7C16">
      <w:pPr>
        <w:spacing w:after="0"/>
        <w:jc w:val="both"/>
        <w:rPr>
          <w:rFonts w:cs="Arial"/>
          <w:b/>
          <w:bCs/>
        </w:rPr>
      </w:pPr>
      <w:r w:rsidRPr="00E0457B">
        <w:rPr>
          <w:rFonts w:cs="Arial"/>
          <w:b/>
          <w:bCs/>
        </w:rPr>
        <w:lastRenderedPageBreak/>
        <w:t>Introduction</w:t>
      </w:r>
    </w:p>
    <w:p w14:paraId="691980E5" w14:textId="77777777" w:rsidR="005C7C16" w:rsidRPr="00E0457B" w:rsidRDefault="005C7C16" w:rsidP="005C7C16">
      <w:pPr>
        <w:spacing w:after="0"/>
        <w:jc w:val="both"/>
        <w:rPr>
          <w:rFonts w:cs="Arial"/>
          <w:b/>
          <w:bCs/>
        </w:rPr>
      </w:pPr>
    </w:p>
    <w:p w14:paraId="1272B0E1" w14:textId="0178AEEC" w:rsidR="005C7C16" w:rsidRPr="00E0457B" w:rsidRDefault="005C7C16" w:rsidP="005C7C16">
      <w:pPr>
        <w:spacing w:after="0"/>
        <w:jc w:val="both"/>
        <w:rPr>
          <w:rFonts w:cs="Arial"/>
        </w:rPr>
      </w:pPr>
      <w:r w:rsidRPr="00E0457B">
        <w:rPr>
          <w:rFonts w:cs="Arial"/>
        </w:rPr>
        <w:t xml:space="preserve">Tesco </w:t>
      </w:r>
      <w:r w:rsidR="0030078C">
        <w:rPr>
          <w:rFonts w:cs="Arial"/>
        </w:rPr>
        <w:t xml:space="preserve">PLC (hereafter referred to as Tesco) </w:t>
      </w:r>
      <w:r w:rsidRPr="00E0457B">
        <w:rPr>
          <w:rFonts w:cs="Arial"/>
        </w:rPr>
        <w:t xml:space="preserve">is operating in a markedly more volatile and complex environment than five years ago (Competitions and Market Authority, 2023). While Tesco retains market leadership in the UK having emerged from the COVID-19 pandemic with a strengthened market share (Tesco PLC, 2025),  the pandemic exposed supply-chain and inventory vulnerabilities for supermarkets with these weaknesses later compounded by global supply chain fragility driven by pandemic aftershocks and geopolitical instability (e.g. Russia-Ukraine conflict)  (Alicke et.al., 2022). Tesco’s operating context continues to be defined by the lingering effects of the pandemic, supply-chain challenges and geopolitical volatility. Additionally, inflation and cost-of-living pressures have led consumer shopping behaviours to materially alter. The UK economy has faced prolonged inflationary instability and cost-of-living pressures that have fundamentally changed household spending patterns and ‘consumers changing their behaviour in relation to their expenditure on discretionary items’ (ONS, 2023). Consumers are now prioritising value and are willing to switch providers more readily (EY, 2025). </w:t>
      </w:r>
    </w:p>
    <w:p w14:paraId="54F8597D" w14:textId="77777777" w:rsidR="005C7C16" w:rsidRPr="00E0457B" w:rsidRDefault="005C7C16" w:rsidP="005C7C16">
      <w:pPr>
        <w:spacing w:after="0"/>
        <w:jc w:val="both"/>
        <w:rPr>
          <w:rFonts w:cs="Arial"/>
        </w:rPr>
      </w:pPr>
    </w:p>
    <w:p w14:paraId="568E01A0" w14:textId="77777777" w:rsidR="005C7C16" w:rsidRPr="00E0457B" w:rsidRDefault="005C7C16" w:rsidP="005C7C16">
      <w:pPr>
        <w:spacing w:after="0"/>
        <w:jc w:val="both"/>
        <w:rPr>
          <w:rFonts w:cs="Arial"/>
        </w:rPr>
      </w:pPr>
      <w:r w:rsidRPr="00E0457B">
        <w:rPr>
          <w:rFonts w:cs="Arial"/>
        </w:rPr>
        <w:t xml:space="preserve">The competitive dynamics of supermarkets have also shifted. Cheaper supermarkets such as Aldi and Lidl have expanded aggressively by leveraging price leadership strategies that appeal to economically constrained consumers and ‘lean business models that prioritise efficiency and value’ (Arrowsmith et. al., 2025). At the same time, rapid e-commerce growth and the acceleration of omnichannel retail has transformed customer expectations. Online grocery and omni-channel shopping are becoming the norm and customers now ‘expect seamlessly integrated experiences across multiple </w:t>
      </w:r>
      <w:r w:rsidRPr="00E0457B">
        <w:rPr>
          <w:rFonts w:cs="Arial"/>
        </w:rPr>
        <w:lastRenderedPageBreak/>
        <w:t xml:space="preserve">touchpoints (online and offline) including web, mobile, social media, in-store…’. (Lim and Holmes, 2024). These developments have elevated the strategic importance of data-driven personalisation and advanced customer insight. Boston Consulting Group (BCG) in their 2024 global survey of 23,000 consumers, found that about 80% say they are comfortable with personalised experiences and a large majority now expect companies to offer them (Abraham et, al., 2024). Tesco’s Clubcard system offers a strong foundation for this personalised experience, yet heightened competition and evolving customer expectations require deeper innovation in personalised care and differentiation. </w:t>
      </w:r>
    </w:p>
    <w:p w14:paraId="20E14293" w14:textId="77777777" w:rsidR="005C7C16" w:rsidRPr="00E0457B" w:rsidRDefault="005C7C16" w:rsidP="005C7C16">
      <w:pPr>
        <w:spacing w:after="0"/>
        <w:jc w:val="both"/>
        <w:rPr>
          <w:rFonts w:cs="Arial"/>
        </w:rPr>
      </w:pPr>
    </w:p>
    <w:p w14:paraId="1D2A73B0" w14:textId="77777777" w:rsidR="00FA1A6B" w:rsidRDefault="005C7C16" w:rsidP="00FA1A6B">
      <w:pPr>
        <w:spacing w:after="0"/>
        <w:jc w:val="both"/>
        <w:rPr>
          <w:rFonts w:cs="Arial"/>
        </w:rPr>
      </w:pPr>
      <w:r w:rsidRPr="00E0457B">
        <w:rPr>
          <w:rFonts w:cs="Arial"/>
        </w:rPr>
        <w:t>Against this backdrop, Tesco must pursue a strategy that enhances agility, operational readiness and customer centredness while navigating continued external uncertainties, to hold their share of the market. Johnson, Scholes and Whittington (2002) defined strategy as ‘the direction and scope of an organisation over the long term, which achieves advantage in a changing environment through its configuration of resources and competences with the aim of fulfilling stakeholder expectations’. Strategic agility</w:t>
      </w:r>
      <w:r w:rsidR="00724006">
        <w:rPr>
          <w:rFonts w:cs="Arial"/>
        </w:rPr>
        <w:t xml:space="preserve"> -</w:t>
      </w:r>
      <w:r w:rsidRPr="00E0457B">
        <w:rPr>
          <w:rFonts w:cs="Arial"/>
        </w:rPr>
        <w:t xml:space="preserve"> covering the three dimensions of strategic sensitivity, leadership unity and resource fluidity (Doz and Kosonen, 2010) - is increasingly a requirement for survival for supermarkets confronted with evolving technology, operational challenges and changing customer expectations. For Tesco, this means reshaping strategic direction through innovation in digital capability, operational agility and customer care to achieve sustainable competitive advantage.</w:t>
      </w:r>
    </w:p>
    <w:p w14:paraId="7F748FDE" w14:textId="77777777" w:rsidR="00FA1A6B" w:rsidRDefault="00FA1A6B" w:rsidP="00FA1A6B">
      <w:pPr>
        <w:spacing w:after="0"/>
        <w:jc w:val="both"/>
        <w:rPr>
          <w:rFonts w:cs="Arial"/>
        </w:rPr>
      </w:pPr>
    </w:p>
    <w:p w14:paraId="04F12FC8" w14:textId="77777777" w:rsidR="00FA1A6B" w:rsidRPr="00E0457B" w:rsidRDefault="00FA1A6B" w:rsidP="005C7C16">
      <w:pPr>
        <w:spacing w:after="0"/>
        <w:jc w:val="both"/>
        <w:rPr>
          <w:rFonts w:cs="Arial"/>
        </w:rPr>
      </w:pPr>
    </w:p>
    <w:p w14:paraId="716D391D" w14:textId="77777777" w:rsidR="00D04CEB" w:rsidRDefault="00D04CEB" w:rsidP="005C7C16">
      <w:pPr>
        <w:jc w:val="both"/>
      </w:pPr>
    </w:p>
    <w:p w14:paraId="015D33E2" w14:textId="3CE67D99" w:rsidR="005C7C16" w:rsidRDefault="005C7C16" w:rsidP="005C7C16">
      <w:pPr>
        <w:jc w:val="both"/>
        <w:rPr>
          <w:b/>
          <w:bCs/>
        </w:rPr>
      </w:pPr>
      <w:r w:rsidRPr="005C7C16">
        <w:rPr>
          <w:b/>
          <w:bCs/>
        </w:rPr>
        <w:lastRenderedPageBreak/>
        <w:t>Main Findings</w:t>
      </w:r>
    </w:p>
    <w:p w14:paraId="1BEF950C" w14:textId="77777777" w:rsidR="00F675B7" w:rsidRPr="005C7C16" w:rsidRDefault="00F675B7" w:rsidP="005C7C16">
      <w:pPr>
        <w:jc w:val="both"/>
        <w:rPr>
          <w:b/>
          <w:bCs/>
        </w:rPr>
      </w:pPr>
    </w:p>
    <w:p w14:paraId="0F2AA7E6" w14:textId="77777777" w:rsidR="005C7C16" w:rsidRPr="00E0457B" w:rsidRDefault="005C7C16" w:rsidP="005C7C16">
      <w:pPr>
        <w:spacing w:after="0"/>
        <w:jc w:val="both"/>
        <w:rPr>
          <w:rFonts w:cs="Arial"/>
        </w:rPr>
      </w:pPr>
      <w:r w:rsidRPr="00E0457B">
        <w:rPr>
          <w:rFonts w:cs="Arial"/>
        </w:rPr>
        <w:t>PESTLE (Aguilar, 1967) and Porter’s Five Forces (Porter, 1980) offer complementary lenses for understanding the external macro-environment and competitive industry dynamics that could shape Tesco’s strategic opportunities and risks.</w:t>
      </w:r>
    </w:p>
    <w:p w14:paraId="7277CCBD" w14:textId="77777777" w:rsidR="005C7C16" w:rsidRPr="00E0457B" w:rsidRDefault="005C7C16" w:rsidP="005C7C16">
      <w:pPr>
        <w:spacing w:after="0"/>
        <w:jc w:val="both"/>
        <w:rPr>
          <w:rFonts w:cs="Arial"/>
        </w:rPr>
      </w:pPr>
    </w:p>
    <w:p w14:paraId="1CCC36DD" w14:textId="5406ADF5" w:rsidR="005C7C16" w:rsidRPr="005C7C16" w:rsidRDefault="005C7C16" w:rsidP="005C7C16">
      <w:pPr>
        <w:spacing w:after="0"/>
        <w:jc w:val="both"/>
        <w:rPr>
          <w:rFonts w:cs="Arial"/>
          <w:u w:val="single"/>
        </w:rPr>
      </w:pPr>
      <w:r w:rsidRPr="00E0457B">
        <w:rPr>
          <w:rFonts w:cs="Arial"/>
          <w:u w:val="single"/>
        </w:rPr>
        <w:t>PESTLE Analysis</w:t>
      </w:r>
    </w:p>
    <w:p w14:paraId="6161906E" w14:textId="77777777" w:rsidR="005C7C16" w:rsidRPr="00E0457B" w:rsidRDefault="005C7C16" w:rsidP="005C7C16">
      <w:pPr>
        <w:spacing w:after="0"/>
        <w:jc w:val="both"/>
        <w:rPr>
          <w:rFonts w:cs="Arial"/>
          <w:i/>
          <w:iCs/>
        </w:rPr>
      </w:pPr>
      <w:r w:rsidRPr="00E0457B">
        <w:rPr>
          <w:rFonts w:cs="Arial"/>
          <w:i/>
          <w:iCs/>
        </w:rPr>
        <w:t>Political</w:t>
      </w:r>
    </w:p>
    <w:p w14:paraId="76EEA51F" w14:textId="77777777" w:rsidR="005C7C16" w:rsidRPr="00E0457B" w:rsidRDefault="005C7C16" w:rsidP="005C7C16">
      <w:pPr>
        <w:spacing w:after="0"/>
        <w:jc w:val="both"/>
        <w:rPr>
          <w:rFonts w:cs="Arial"/>
        </w:rPr>
      </w:pPr>
      <w:r w:rsidRPr="00E0457B">
        <w:rPr>
          <w:rFonts w:cs="Arial"/>
        </w:rPr>
        <w:t>Tesco operates in an environment characterised by continued geopolitical instability. Post-Brexit trade friction and geopolitical tensions affecting goods availability (e.g., Russia-Ukraine conflict) contribute to persistent cost pressures (Alicke et al., 2022). UK government policies around competition, such as Competition and Markets Authority (CMA) investigations into supermarket pricing (Competitions and Market Authority, 2023) also shape Tesco’s pricing flexibility. Sustainability related regulations such as the UK Plastics Packaging Tax and mandatory emissions reporting also require ongoing operational adaptation.</w:t>
      </w:r>
    </w:p>
    <w:p w14:paraId="3C419C4F" w14:textId="77777777" w:rsidR="005C7C16" w:rsidRPr="00E0457B" w:rsidRDefault="005C7C16" w:rsidP="005C7C16">
      <w:pPr>
        <w:spacing w:after="0"/>
        <w:jc w:val="both"/>
        <w:rPr>
          <w:rFonts w:cs="Arial"/>
        </w:rPr>
      </w:pPr>
    </w:p>
    <w:p w14:paraId="3C165AE4" w14:textId="77777777" w:rsidR="005C7C16" w:rsidRPr="00E0457B" w:rsidRDefault="005C7C16" w:rsidP="005C7C16">
      <w:pPr>
        <w:spacing w:after="0"/>
        <w:jc w:val="both"/>
        <w:rPr>
          <w:rFonts w:cs="Arial"/>
          <w:i/>
          <w:iCs/>
        </w:rPr>
      </w:pPr>
      <w:r w:rsidRPr="00E0457B">
        <w:rPr>
          <w:rFonts w:cs="Arial"/>
          <w:i/>
          <w:iCs/>
        </w:rPr>
        <w:t>Economic</w:t>
      </w:r>
    </w:p>
    <w:p w14:paraId="40A9AEA6" w14:textId="77777777" w:rsidR="005C7C16" w:rsidRPr="00E0457B" w:rsidRDefault="005C7C16" w:rsidP="005C7C16">
      <w:pPr>
        <w:spacing w:after="0"/>
        <w:jc w:val="both"/>
        <w:rPr>
          <w:rFonts w:cs="Arial"/>
        </w:rPr>
      </w:pPr>
      <w:r w:rsidRPr="00E0457B">
        <w:rPr>
          <w:rFonts w:cs="Arial"/>
        </w:rPr>
        <w:t xml:space="preserve">Macro-economic conditions remain a primary driver of consumer behaviour. UK households continue to face cost of living pressures with prolonged inflation particularly acute in food categories (ONS, 2023). These conditions have amplified the ‘value seeking’ mindset - trading down to supermarket own value for money brands, reducing basket sizes and channel switching (EY Future Consumer Index, 2025). For Tesco, this necessitates competitive price positioning and loyalty enhancing strategies. At the same time, high interest rates and rising prices of products and </w:t>
      </w:r>
      <w:r w:rsidRPr="00E0457B">
        <w:rPr>
          <w:rFonts w:cs="Arial"/>
        </w:rPr>
        <w:lastRenderedPageBreak/>
        <w:t>energy challenge margins, requiring productivity improvements and operational efficiency.</w:t>
      </w:r>
    </w:p>
    <w:p w14:paraId="489DFDA1" w14:textId="77777777" w:rsidR="005C7C16" w:rsidRPr="00E0457B" w:rsidRDefault="005C7C16" w:rsidP="005C7C16">
      <w:pPr>
        <w:spacing w:after="0"/>
        <w:jc w:val="both"/>
        <w:rPr>
          <w:rFonts w:cs="Arial"/>
          <w:i/>
          <w:iCs/>
        </w:rPr>
      </w:pPr>
    </w:p>
    <w:p w14:paraId="7017F5D5" w14:textId="77777777" w:rsidR="005C7C16" w:rsidRPr="00E0457B" w:rsidRDefault="005C7C16" w:rsidP="005C7C16">
      <w:pPr>
        <w:spacing w:after="0"/>
        <w:jc w:val="both"/>
        <w:rPr>
          <w:rFonts w:cs="Arial"/>
          <w:i/>
          <w:iCs/>
        </w:rPr>
      </w:pPr>
      <w:r w:rsidRPr="00E0457B">
        <w:rPr>
          <w:rFonts w:cs="Arial"/>
          <w:i/>
          <w:iCs/>
        </w:rPr>
        <w:t>Social</w:t>
      </w:r>
    </w:p>
    <w:p w14:paraId="623EDF3E" w14:textId="77777777" w:rsidR="005C7C16" w:rsidRPr="00E0457B" w:rsidRDefault="005C7C16" w:rsidP="005C7C16">
      <w:pPr>
        <w:spacing w:after="0"/>
        <w:jc w:val="both"/>
        <w:rPr>
          <w:rFonts w:cs="Arial"/>
        </w:rPr>
      </w:pPr>
      <w:r w:rsidRPr="00E0457B">
        <w:rPr>
          <w:rFonts w:cs="Arial"/>
        </w:rPr>
        <w:t>Post pandemic behavioural shifts have normalised digital first shopping preferences, increased expectations for convenience and elevated consumer demand for personalised experiences. Research by Grewal et al. (2021) demonstrates that omni-channel convenience significantly influences customer satisfaction and loyalty. The demographic diversity of Tesco’s customer base (from value-oriented shoppers to premium ‘Finest’ segment consumers) requires nuanced segmentation and personalised experience design.</w:t>
      </w:r>
    </w:p>
    <w:p w14:paraId="210738E6" w14:textId="77777777" w:rsidR="005C7C16" w:rsidRPr="00E0457B" w:rsidRDefault="005C7C16" w:rsidP="005C7C16">
      <w:pPr>
        <w:spacing w:after="0"/>
        <w:jc w:val="both"/>
        <w:rPr>
          <w:rFonts w:cs="Arial"/>
        </w:rPr>
      </w:pPr>
    </w:p>
    <w:p w14:paraId="2D1E8E32" w14:textId="77777777" w:rsidR="005C7C16" w:rsidRPr="00E0457B" w:rsidRDefault="005C7C16" w:rsidP="005C7C16">
      <w:pPr>
        <w:spacing w:after="0"/>
        <w:jc w:val="both"/>
        <w:rPr>
          <w:rFonts w:cs="Arial"/>
          <w:i/>
          <w:iCs/>
        </w:rPr>
      </w:pPr>
      <w:r w:rsidRPr="00E0457B">
        <w:rPr>
          <w:rFonts w:cs="Arial"/>
          <w:i/>
          <w:iCs/>
        </w:rPr>
        <w:t>Technological</w:t>
      </w:r>
    </w:p>
    <w:p w14:paraId="0841E850" w14:textId="77777777" w:rsidR="005C7C16" w:rsidRPr="00E0457B" w:rsidRDefault="005C7C16" w:rsidP="005C7C16">
      <w:pPr>
        <w:spacing w:after="0"/>
        <w:jc w:val="both"/>
        <w:rPr>
          <w:rFonts w:cs="Arial"/>
        </w:rPr>
      </w:pPr>
      <w:r w:rsidRPr="00E0457B">
        <w:rPr>
          <w:rFonts w:cs="Arial"/>
        </w:rPr>
        <w:t>E-commerce, automation, data analytics and AI are fundamentally changing grocery retail. Tesco’s technology investments (e.g., automated fulfilment, predictive analytics, ‘GetGo’ stores (Butler, 2021)) reflect industry wide digital transformation. Personalisation capabilities, underpinned by Tesco Clubcard data, are increasingly a source of competitive advantage. Boston Consulting Group (BCG, 2024) reports that successful personalisation can achieve revenue lifts of 6–10%. However, technology acceleration also raises risks around cybersecurity, data privacy and digital inequality among customer segments.</w:t>
      </w:r>
    </w:p>
    <w:p w14:paraId="6379F7DD" w14:textId="77777777" w:rsidR="005C7C16" w:rsidRPr="00E0457B" w:rsidRDefault="005C7C16" w:rsidP="005C7C16">
      <w:pPr>
        <w:spacing w:after="0"/>
        <w:jc w:val="both"/>
        <w:rPr>
          <w:rFonts w:cs="Arial"/>
        </w:rPr>
      </w:pPr>
    </w:p>
    <w:p w14:paraId="5926B8F8" w14:textId="77777777" w:rsidR="005C7C16" w:rsidRPr="00E0457B" w:rsidRDefault="005C7C16" w:rsidP="005C7C16">
      <w:pPr>
        <w:spacing w:after="0"/>
        <w:jc w:val="both"/>
        <w:rPr>
          <w:rFonts w:cs="Arial"/>
          <w:i/>
          <w:iCs/>
        </w:rPr>
      </w:pPr>
      <w:r w:rsidRPr="00E0457B">
        <w:rPr>
          <w:rFonts w:cs="Arial"/>
          <w:i/>
          <w:iCs/>
        </w:rPr>
        <w:t>Legal</w:t>
      </w:r>
    </w:p>
    <w:p w14:paraId="3D92DA36" w14:textId="77777777" w:rsidR="005C7C16" w:rsidRPr="00E0457B" w:rsidRDefault="005C7C16" w:rsidP="005C7C16">
      <w:pPr>
        <w:spacing w:after="0"/>
        <w:jc w:val="both"/>
        <w:rPr>
          <w:rFonts w:cs="Arial"/>
        </w:rPr>
      </w:pPr>
      <w:r w:rsidRPr="00E0457B">
        <w:rPr>
          <w:rFonts w:cs="Arial"/>
        </w:rPr>
        <w:t xml:space="preserve">Tesco operates within strict regulatory frameworks - data protection (GDPR), food safety, consumer protection, employment legislation and competition law. Failure to </w:t>
      </w:r>
      <w:r w:rsidRPr="00E0457B">
        <w:rPr>
          <w:rFonts w:cs="Arial"/>
        </w:rPr>
        <w:lastRenderedPageBreak/>
        <w:t>comply risks financial penalties and reputational harm. Additional regulation pressures are also emerging (e.g., UK Sustainability Reporting Standards (Department for Business and Trade, 2024)), requiring proactive governance capabilities.</w:t>
      </w:r>
    </w:p>
    <w:p w14:paraId="45CA1478" w14:textId="77777777" w:rsidR="005C7C16" w:rsidRPr="00E0457B" w:rsidRDefault="005C7C16" w:rsidP="005C7C16">
      <w:pPr>
        <w:spacing w:after="0"/>
        <w:jc w:val="both"/>
        <w:rPr>
          <w:rFonts w:cs="Arial"/>
        </w:rPr>
      </w:pPr>
    </w:p>
    <w:p w14:paraId="74802B0A" w14:textId="77777777" w:rsidR="005C7C16" w:rsidRPr="00E0457B" w:rsidRDefault="005C7C16" w:rsidP="005C7C16">
      <w:pPr>
        <w:spacing w:after="0"/>
        <w:jc w:val="both"/>
        <w:rPr>
          <w:rFonts w:cs="Arial"/>
          <w:i/>
          <w:iCs/>
        </w:rPr>
      </w:pPr>
      <w:r w:rsidRPr="00E0457B">
        <w:rPr>
          <w:rFonts w:cs="Arial"/>
          <w:i/>
          <w:iCs/>
        </w:rPr>
        <w:t>Environmental</w:t>
      </w:r>
    </w:p>
    <w:p w14:paraId="74000A9A" w14:textId="77777777" w:rsidR="005C7C16" w:rsidRPr="00E0457B" w:rsidRDefault="005C7C16" w:rsidP="005C7C16">
      <w:pPr>
        <w:spacing w:after="0"/>
        <w:jc w:val="both"/>
        <w:rPr>
          <w:rFonts w:cs="Arial"/>
        </w:rPr>
      </w:pPr>
      <w:r w:rsidRPr="00E0457B">
        <w:rPr>
          <w:rFonts w:cs="Arial"/>
        </w:rPr>
        <w:t>Climate volatility, energy price fluctuations and sustainability concerns directly impact sourcing, logistics and store operations. Supermarkets face growing expectations to decarbonise supply chains and reduce waste with consumers increasingly demanding ethical sourcing and transparent environmental practices (Andrews, 2023). For Tesco, environmental pressures create a dual strategic necessity - reducing operational emissions while responding to consumer values around sustainability.</w:t>
      </w:r>
    </w:p>
    <w:p w14:paraId="293C3D63" w14:textId="77777777" w:rsidR="00724006" w:rsidRPr="00E0457B" w:rsidRDefault="00724006" w:rsidP="005C7C16">
      <w:pPr>
        <w:spacing w:after="0"/>
        <w:jc w:val="both"/>
        <w:rPr>
          <w:rFonts w:cs="Arial"/>
        </w:rPr>
      </w:pPr>
    </w:p>
    <w:p w14:paraId="1873B8CC" w14:textId="1F4C814C" w:rsidR="005C7C16" w:rsidRPr="005C7C16" w:rsidRDefault="005C7C16" w:rsidP="005C7C16">
      <w:pPr>
        <w:spacing w:after="0"/>
        <w:jc w:val="both"/>
        <w:rPr>
          <w:rFonts w:cs="Arial"/>
          <w:u w:val="single"/>
        </w:rPr>
      </w:pPr>
      <w:r w:rsidRPr="00E0457B">
        <w:rPr>
          <w:rFonts w:cs="Arial"/>
          <w:u w:val="single"/>
        </w:rPr>
        <w:t>Porter’s Five Forces Analysis</w:t>
      </w:r>
    </w:p>
    <w:p w14:paraId="2A8529E0" w14:textId="77777777" w:rsidR="005C7C16" w:rsidRPr="00E0457B" w:rsidRDefault="005C7C16" w:rsidP="005C7C16">
      <w:pPr>
        <w:spacing w:after="0"/>
        <w:jc w:val="both"/>
        <w:rPr>
          <w:rFonts w:cs="Arial"/>
        </w:rPr>
      </w:pPr>
      <w:r w:rsidRPr="00E0457B">
        <w:rPr>
          <w:rFonts w:cs="Arial"/>
        </w:rPr>
        <w:t xml:space="preserve">1. Competitive Rivalry – </w:t>
      </w:r>
      <w:r w:rsidRPr="00E0457B">
        <w:rPr>
          <w:rFonts w:cs="Arial"/>
          <w:b/>
          <w:bCs/>
          <w:color w:val="EE0000"/>
        </w:rPr>
        <w:t>Very High</w:t>
      </w:r>
    </w:p>
    <w:p w14:paraId="51A43FF4" w14:textId="77777777" w:rsidR="005C7C16" w:rsidRPr="00E0457B" w:rsidRDefault="005C7C16" w:rsidP="005C7C16">
      <w:pPr>
        <w:spacing w:after="0"/>
        <w:jc w:val="both"/>
        <w:rPr>
          <w:rFonts w:cs="Arial"/>
        </w:rPr>
      </w:pPr>
      <w:r w:rsidRPr="00E0457B">
        <w:rPr>
          <w:rFonts w:cs="Arial"/>
        </w:rPr>
        <w:t>The UK grocery sector is characterised by intense rivalry among the ‘Big Four’ (Tesco, Sainsbury’s, Asda, Morrison’s) and aggressive discounters (Aldi, Lidl). Discounters have eroded traditional loyalty by offering strong price leadership with low-cost models (Arrowsmith et al., 2025). Competition is intensified by price matching strategies and the increasing importance of loyalty schemes such as Tesco Clubcard prices. Given low product differentiation in core grocery categories, non-price competitive dimensions - personalisation, speed, convenience, and digital experience - are increasingly decisive.</w:t>
      </w:r>
    </w:p>
    <w:p w14:paraId="25365BB8" w14:textId="77777777" w:rsidR="005C7C16" w:rsidRPr="00E0457B" w:rsidRDefault="005C7C16" w:rsidP="005C7C16">
      <w:pPr>
        <w:spacing w:after="0"/>
        <w:jc w:val="both"/>
        <w:rPr>
          <w:rFonts w:cs="Arial"/>
        </w:rPr>
      </w:pPr>
    </w:p>
    <w:p w14:paraId="316960C9" w14:textId="77777777" w:rsidR="005C7C16" w:rsidRPr="00E0457B" w:rsidRDefault="005C7C16" w:rsidP="005C7C16">
      <w:pPr>
        <w:spacing w:after="0"/>
        <w:jc w:val="both"/>
        <w:rPr>
          <w:rFonts w:cs="Arial"/>
        </w:rPr>
      </w:pPr>
      <w:r w:rsidRPr="00E0457B">
        <w:rPr>
          <w:rFonts w:cs="Arial"/>
        </w:rPr>
        <w:t xml:space="preserve">2. Threat of New Entrants – </w:t>
      </w:r>
      <w:r w:rsidRPr="00E0457B">
        <w:rPr>
          <w:rFonts w:cs="Arial"/>
          <w:b/>
          <w:bCs/>
          <w:color w:val="EA8516"/>
        </w:rPr>
        <w:t>Moderate</w:t>
      </w:r>
      <w:r w:rsidRPr="00E0457B">
        <w:rPr>
          <w:rFonts w:cs="Arial"/>
          <w:color w:val="FACA00"/>
        </w:rPr>
        <w:t xml:space="preserve"> </w:t>
      </w:r>
      <w:r w:rsidRPr="00E0457B">
        <w:rPr>
          <w:rFonts w:cs="Arial"/>
        </w:rPr>
        <w:t>to</w:t>
      </w:r>
      <w:r w:rsidRPr="00E0457B">
        <w:rPr>
          <w:rFonts w:cs="Arial"/>
          <w:color w:val="FACA00"/>
        </w:rPr>
        <w:t xml:space="preserve"> </w:t>
      </w:r>
      <w:r w:rsidRPr="00E0457B">
        <w:rPr>
          <w:rFonts w:cs="Arial"/>
          <w:b/>
          <w:bCs/>
          <w:color w:val="388600"/>
        </w:rPr>
        <w:t>Low</w:t>
      </w:r>
    </w:p>
    <w:p w14:paraId="32B2C8AD" w14:textId="77777777" w:rsidR="005C7C16" w:rsidRPr="00E0457B" w:rsidRDefault="005C7C16" w:rsidP="005C7C16">
      <w:pPr>
        <w:spacing w:after="0"/>
        <w:jc w:val="both"/>
        <w:rPr>
          <w:rFonts w:cs="Arial"/>
        </w:rPr>
      </w:pPr>
      <w:r w:rsidRPr="00E0457B">
        <w:rPr>
          <w:rFonts w:cs="Arial"/>
        </w:rPr>
        <w:lastRenderedPageBreak/>
        <w:t>Barriers to entry include scale economies, capital investment requirements and supply chain complexities. However, digital-first models (e.g., Ocado, Hello Fresh) signal potential disruption, particularly in rapid delivery and AI-enabled retailing. Tesco’s scale mitigates risks, but technological entrants remain a strategic threat.</w:t>
      </w:r>
    </w:p>
    <w:p w14:paraId="0FC95D88" w14:textId="77777777" w:rsidR="005C7C16" w:rsidRPr="00E0457B" w:rsidRDefault="005C7C16" w:rsidP="005C7C16">
      <w:pPr>
        <w:spacing w:after="0"/>
        <w:jc w:val="both"/>
        <w:rPr>
          <w:rFonts w:cs="Arial"/>
        </w:rPr>
      </w:pPr>
    </w:p>
    <w:p w14:paraId="3B15E53A" w14:textId="77777777" w:rsidR="005C7C16" w:rsidRPr="00E0457B" w:rsidRDefault="005C7C16" w:rsidP="005C7C16">
      <w:pPr>
        <w:spacing w:after="0"/>
        <w:jc w:val="both"/>
        <w:rPr>
          <w:rFonts w:cs="Arial"/>
        </w:rPr>
      </w:pPr>
      <w:r w:rsidRPr="00E0457B">
        <w:rPr>
          <w:rFonts w:cs="Arial"/>
        </w:rPr>
        <w:t xml:space="preserve">3. Bargaining Power of Suppliers – </w:t>
      </w:r>
      <w:r w:rsidRPr="00E0457B">
        <w:rPr>
          <w:rFonts w:cs="Arial"/>
          <w:b/>
          <w:bCs/>
          <w:color w:val="EA8516"/>
        </w:rPr>
        <w:t>Moderate</w:t>
      </w:r>
    </w:p>
    <w:p w14:paraId="5207AC19" w14:textId="77777777" w:rsidR="005C7C16" w:rsidRPr="00E0457B" w:rsidRDefault="005C7C16" w:rsidP="005C7C16">
      <w:pPr>
        <w:spacing w:after="0"/>
        <w:jc w:val="both"/>
        <w:rPr>
          <w:rFonts w:cs="Arial"/>
        </w:rPr>
      </w:pPr>
      <w:r w:rsidRPr="00E0457B">
        <w:rPr>
          <w:rFonts w:cs="Arial"/>
        </w:rPr>
        <w:t>Tesco’s scale provides significant leverage. However, supply chain fragility and agricultural cost volatility increase supplier bargaining power during shortages (Department for Environment, Food and Rural Affairs, 2024). Compliance with sustainability and ethical sourcing standards also limits rapid supplier switching.</w:t>
      </w:r>
    </w:p>
    <w:p w14:paraId="0B62269C" w14:textId="77777777" w:rsidR="005C7C16" w:rsidRPr="00E0457B" w:rsidRDefault="005C7C16" w:rsidP="005C7C16">
      <w:pPr>
        <w:spacing w:after="0"/>
        <w:jc w:val="both"/>
        <w:rPr>
          <w:rFonts w:cs="Arial"/>
        </w:rPr>
      </w:pPr>
    </w:p>
    <w:p w14:paraId="4F6FD4E2" w14:textId="77777777" w:rsidR="005C7C16" w:rsidRPr="00E0457B" w:rsidRDefault="005C7C16" w:rsidP="005C7C16">
      <w:pPr>
        <w:spacing w:after="0"/>
        <w:jc w:val="both"/>
        <w:rPr>
          <w:rFonts w:cs="Arial"/>
        </w:rPr>
      </w:pPr>
      <w:r w:rsidRPr="00E0457B">
        <w:rPr>
          <w:rFonts w:cs="Arial"/>
        </w:rPr>
        <w:t xml:space="preserve">4. Bargaining Power of Customers – </w:t>
      </w:r>
      <w:r w:rsidRPr="00E0457B">
        <w:rPr>
          <w:rFonts w:cs="Arial"/>
          <w:b/>
          <w:bCs/>
          <w:color w:val="EE0000"/>
        </w:rPr>
        <w:t>High</w:t>
      </w:r>
    </w:p>
    <w:p w14:paraId="1046D45F" w14:textId="77777777" w:rsidR="005C7C16" w:rsidRPr="00E0457B" w:rsidRDefault="005C7C16" w:rsidP="005C7C16">
      <w:pPr>
        <w:spacing w:after="0"/>
        <w:jc w:val="both"/>
        <w:rPr>
          <w:rFonts w:cs="Arial"/>
        </w:rPr>
      </w:pPr>
      <w:r w:rsidRPr="00E0457B">
        <w:rPr>
          <w:rFonts w:cs="Arial"/>
        </w:rPr>
        <w:t>Consumer power has risen due to greater price transparency, digital comparison tools, low switching costs and the proliferation of value competitors. Customer expectations for personalised offers heighten this pressure. Failure to deliver tailored value can quickly erode loyalty. Personalisation therefore becomes integral to competitive strategy.</w:t>
      </w:r>
    </w:p>
    <w:p w14:paraId="084DF411" w14:textId="77777777" w:rsidR="005C7C16" w:rsidRPr="00E0457B" w:rsidRDefault="005C7C16" w:rsidP="005C7C16">
      <w:pPr>
        <w:spacing w:after="0"/>
        <w:jc w:val="both"/>
        <w:rPr>
          <w:rFonts w:cs="Arial"/>
        </w:rPr>
      </w:pPr>
    </w:p>
    <w:p w14:paraId="3198E274" w14:textId="77777777" w:rsidR="005C7C16" w:rsidRPr="00E0457B" w:rsidRDefault="005C7C16" w:rsidP="005C7C16">
      <w:pPr>
        <w:spacing w:after="0"/>
        <w:jc w:val="both"/>
        <w:rPr>
          <w:rFonts w:cs="Arial"/>
        </w:rPr>
      </w:pPr>
      <w:r w:rsidRPr="00E0457B">
        <w:rPr>
          <w:rFonts w:cs="Arial"/>
        </w:rPr>
        <w:t xml:space="preserve">5. Threat of Substitutes – </w:t>
      </w:r>
      <w:r w:rsidRPr="00E0457B">
        <w:rPr>
          <w:rFonts w:cs="Arial"/>
          <w:b/>
          <w:bCs/>
          <w:color w:val="EA8516"/>
        </w:rPr>
        <w:t>Moderate</w:t>
      </w:r>
    </w:p>
    <w:p w14:paraId="51345169" w14:textId="77777777" w:rsidR="005C7C16" w:rsidRPr="00E0457B" w:rsidRDefault="005C7C16" w:rsidP="005C7C16">
      <w:pPr>
        <w:spacing w:after="0"/>
        <w:jc w:val="both"/>
        <w:rPr>
          <w:rFonts w:cs="Arial"/>
        </w:rPr>
      </w:pPr>
      <w:r w:rsidRPr="00E0457B">
        <w:rPr>
          <w:rFonts w:cs="Arial"/>
        </w:rPr>
        <w:t>The substitution threat includes eating out alternatives, meal kits (e.g., Hello Fresh) and rapid delivery services. However, food store sales volumes are rising even during good weather, (ONS, 2025) suggesting continued demand for home</w:t>
      </w:r>
      <w:r w:rsidRPr="00E0457B">
        <w:rPr>
          <w:rFonts w:cs="Arial"/>
        </w:rPr>
        <w:noBreakHyphen/>
        <w:t xml:space="preserve">food consumption rather than eating out. </w:t>
      </w:r>
    </w:p>
    <w:p w14:paraId="5F23F7BE" w14:textId="77777777" w:rsidR="005C7C16" w:rsidRPr="00E0457B" w:rsidRDefault="005C7C16" w:rsidP="005C7C16">
      <w:pPr>
        <w:spacing w:after="0"/>
        <w:jc w:val="both"/>
        <w:rPr>
          <w:rFonts w:cs="Arial"/>
        </w:rPr>
      </w:pPr>
    </w:p>
    <w:p w14:paraId="01E4229F" w14:textId="77777777" w:rsidR="005C7C16" w:rsidRPr="00E0457B" w:rsidRDefault="005C7C16" w:rsidP="005C7C16">
      <w:pPr>
        <w:spacing w:after="0"/>
        <w:jc w:val="both"/>
        <w:rPr>
          <w:rFonts w:cs="Arial"/>
        </w:rPr>
      </w:pPr>
      <w:r w:rsidRPr="00E0457B">
        <w:rPr>
          <w:rFonts w:cs="Arial"/>
        </w:rPr>
        <w:lastRenderedPageBreak/>
        <w:t>In undertaking the analysis, it can be seen there are a wide range of macro-environmental forces, competitive dynamics and shifting expectations that could enable or constrain Tesco’s formulation of an agile, resilient and customer centric strategy. Whilst PESTLE is widely praised as a tool for enabling organisations to systematically scan external macro-environmental factors, providing ‘a general idea about the macro environmental conditions and situation of a company’ (Yuksel, 2012), critics note its limitations in terms of measurement and evaluation, how it demands considerable time and resources to undertake thoroughly (Rastogi, 2002, quoted in Belsare, 2025) and can become quickly outdated without frequent review (Grant, 2016, quoted in Belsare, 2025). Porter’s Five Forces also remains influential for analysing industry competitiveness and guiding strategic positioning within a sector, (Kaul, 2024) but recent scholars have warned that the static structure underestimates dynamics of globalisation, technological disruption and collaborative networks, recommending its use alongside internal capability frameworks (e.g. the resource-based view [RBV]) (Goyal, 2020).</w:t>
      </w:r>
    </w:p>
    <w:p w14:paraId="2810E523" w14:textId="77777777" w:rsidR="005C7C16" w:rsidRPr="00E0457B" w:rsidRDefault="005C7C16" w:rsidP="005C7C16">
      <w:pPr>
        <w:spacing w:after="0"/>
        <w:jc w:val="both"/>
        <w:rPr>
          <w:rFonts w:cs="Arial"/>
        </w:rPr>
      </w:pPr>
    </w:p>
    <w:p w14:paraId="0AB21C4A" w14:textId="5135B8A9" w:rsidR="005C7C16" w:rsidRDefault="005C7C16" w:rsidP="005C7C16">
      <w:pPr>
        <w:spacing w:after="0"/>
        <w:jc w:val="both"/>
        <w:rPr>
          <w:rFonts w:cs="Arial"/>
        </w:rPr>
      </w:pPr>
      <w:r w:rsidRPr="00E0457B">
        <w:rPr>
          <w:rFonts w:cs="Arial"/>
        </w:rPr>
        <w:t xml:space="preserve">Tesco’s external environment is distinguished by complex macro-economic pressures, heightened competitive intensity and rapidly evolving customer expectations. These forces necessitate a strategic stance that embraces agility, operational breadth and customer-centric innovation. The PESTLE and Porter’s Five Forces analysis reinforce that Tesco’s future competitive advantage will depend on its ability to leverage digital capability and strategic agility to respond dynamically to external uncertainty while building deeper, more personalised customer relationships. </w:t>
      </w:r>
    </w:p>
    <w:p w14:paraId="59CF5C20" w14:textId="77777777" w:rsidR="00F675B7" w:rsidRPr="00E0457B" w:rsidRDefault="00F675B7" w:rsidP="005C7C16">
      <w:pPr>
        <w:spacing w:after="0"/>
        <w:jc w:val="both"/>
        <w:rPr>
          <w:rFonts w:cs="Arial"/>
        </w:rPr>
      </w:pPr>
    </w:p>
    <w:p w14:paraId="18250C04" w14:textId="77777777" w:rsidR="005C7C16" w:rsidRPr="00E0457B" w:rsidRDefault="005C7C16" w:rsidP="005C7C16">
      <w:pPr>
        <w:spacing w:after="0"/>
        <w:jc w:val="both"/>
        <w:rPr>
          <w:rFonts w:cs="Arial"/>
        </w:rPr>
      </w:pPr>
      <w:r w:rsidRPr="00E0457B">
        <w:rPr>
          <w:rFonts w:cs="Arial"/>
        </w:rPr>
        <w:lastRenderedPageBreak/>
        <w:t xml:space="preserve">Strategic management theory emphasises that sustainable competitive advantage derives not only from outside opportunity but from unique internal resources and capabilities. Barney (1991) argued that a firm’s resources - assets, capabilities, organisational processes, knowledge, etc. - can be the source of sustained competitive advantage if they meet certain criteria. That is valuable, rare, hard to imitate and organised (VRIO). </w:t>
      </w:r>
    </w:p>
    <w:p w14:paraId="604AA541" w14:textId="77777777" w:rsidR="005C7C16" w:rsidRPr="00E0457B" w:rsidRDefault="005C7C16" w:rsidP="005C7C16">
      <w:pPr>
        <w:spacing w:after="0"/>
        <w:jc w:val="both"/>
        <w:rPr>
          <w:rFonts w:cs="Arial"/>
        </w:rPr>
      </w:pPr>
    </w:p>
    <w:p w14:paraId="2AB2AA79" w14:textId="77777777" w:rsidR="005C7C16" w:rsidRPr="00E0457B" w:rsidRDefault="005C7C16" w:rsidP="005C7C16">
      <w:pPr>
        <w:spacing w:after="0"/>
        <w:jc w:val="both"/>
        <w:rPr>
          <w:rFonts w:cs="Arial"/>
          <w:u w:val="single"/>
        </w:rPr>
      </w:pPr>
      <w:r w:rsidRPr="00E0457B">
        <w:rPr>
          <w:rFonts w:cs="Arial"/>
          <w:u w:val="single"/>
        </w:rPr>
        <w:t>Resource Based View (RBV)</w:t>
      </w:r>
    </w:p>
    <w:p w14:paraId="2342A11A" w14:textId="77777777" w:rsidR="005C7C16" w:rsidRPr="00E0457B" w:rsidRDefault="005C7C16" w:rsidP="005C7C16">
      <w:pPr>
        <w:spacing w:after="0"/>
        <w:jc w:val="both"/>
        <w:rPr>
          <w:rFonts w:cs="Arial"/>
        </w:rPr>
      </w:pPr>
      <w:r w:rsidRPr="00E0457B">
        <w:rPr>
          <w:rFonts w:cs="Arial"/>
        </w:rPr>
        <w:t xml:space="preserve">Tesco’s resource base when examined through a VRIO lens, reveals a combination of physical scale and brand equity (Tesco, 2024; Tesco, 2025; Butler, 2025), providing its most defensible strategic foundations, while digital capabilities (including continued investments in app and AI-powered Clubcard) and organisational agility remain more fluid sources of advantage (Herbert, 2024). </w:t>
      </w:r>
    </w:p>
    <w:p w14:paraId="4E2B1E50" w14:textId="77777777" w:rsidR="005C7C16" w:rsidRPr="00E0457B" w:rsidRDefault="005C7C16" w:rsidP="005C7C16">
      <w:pPr>
        <w:spacing w:after="0"/>
        <w:jc w:val="both"/>
        <w:rPr>
          <w:rFonts w:cs="Arial"/>
        </w:rPr>
      </w:pPr>
    </w:p>
    <w:p w14:paraId="6736C1EB" w14:textId="77777777" w:rsidR="005C7C16" w:rsidRPr="00E0457B" w:rsidRDefault="005C7C16" w:rsidP="005C7C16">
      <w:pPr>
        <w:spacing w:after="0"/>
        <w:jc w:val="both"/>
        <w:rPr>
          <w:rFonts w:cs="Arial"/>
        </w:rPr>
      </w:pPr>
      <w:r w:rsidRPr="00E0457B">
        <w:rPr>
          <w:rFonts w:cs="Arial"/>
        </w:rPr>
        <w:t>The Clubcard and first-party data platform stands out as Tesco’s closest approximation to a sustained VRIO asset. Its value stems from its ability to reshape consumer behaviour, while rarity and inimitability arise because Tesco’s competitors cannot replicate the unique sequence of actions they have taken since Clubcard was introduced in the mid-nineties without requiring a long developmental path (Paavlova and Cuthbertson, 2021). With rivals not easily able to recreate decades of behavioural data, and without Tesco’s supplier-integrated ecosystem, their strong organisational alignment around data activation further strengthens this asset and advantage.</w:t>
      </w:r>
    </w:p>
    <w:p w14:paraId="3ABA52ED" w14:textId="77777777" w:rsidR="005C7C16" w:rsidRPr="00E0457B" w:rsidRDefault="005C7C16" w:rsidP="005C7C16">
      <w:pPr>
        <w:spacing w:after="0"/>
        <w:jc w:val="both"/>
        <w:rPr>
          <w:rFonts w:cs="Arial"/>
        </w:rPr>
      </w:pPr>
    </w:p>
    <w:p w14:paraId="190C1FEC" w14:textId="77777777" w:rsidR="005C7C16" w:rsidRPr="00E0457B" w:rsidRDefault="005C7C16" w:rsidP="005C7C16">
      <w:pPr>
        <w:spacing w:after="0"/>
        <w:jc w:val="both"/>
        <w:rPr>
          <w:rFonts w:cs="Arial"/>
        </w:rPr>
      </w:pPr>
      <w:r w:rsidRPr="00E0457B">
        <w:rPr>
          <w:rFonts w:cs="Arial"/>
        </w:rPr>
        <w:t xml:space="preserve">Tesco’s store estate and distribution network also exhibits features of sustained advantage but for different reasons. While individually they are not rare or inimitable, </w:t>
      </w:r>
      <w:r w:rsidRPr="00E0457B">
        <w:rPr>
          <w:rFonts w:cs="Arial"/>
        </w:rPr>
        <w:lastRenderedPageBreak/>
        <w:t>a case study comparing Ocado and Tesco highlights that Tesco uses its existing store network to pick and ship online orders, whereas Ocado uses new, automated distribution centres and because of this, using stores for fulfilment gives Tesco a scalable, lower-capital-intensity advantage (Seifert and Markhoff, 2024). This reflects Peteraf’s (1993) emphasis on imperfect mobility and resource interconnectedness.</w:t>
      </w:r>
    </w:p>
    <w:p w14:paraId="013161B4" w14:textId="77777777" w:rsidR="005C7C16" w:rsidRPr="00E0457B" w:rsidRDefault="005C7C16" w:rsidP="005C7C16">
      <w:pPr>
        <w:spacing w:after="0"/>
        <w:jc w:val="both"/>
        <w:rPr>
          <w:rFonts w:cs="Arial"/>
        </w:rPr>
      </w:pPr>
    </w:p>
    <w:p w14:paraId="5E7DD602" w14:textId="77777777" w:rsidR="005C7C16" w:rsidRPr="00E0457B" w:rsidRDefault="005C7C16" w:rsidP="005C7C16">
      <w:pPr>
        <w:spacing w:after="0"/>
        <w:jc w:val="both"/>
        <w:rPr>
          <w:rFonts w:cs="Arial"/>
        </w:rPr>
      </w:pPr>
      <w:r w:rsidRPr="00E0457B">
        <w:rPr>
          <w:rFonts w:cs="Arial"/>
        </w:rPr>
        <w:t>In contrast, digital and analytics capabilities are valuable but vulnerable to competitive erosion. Their rarity and inimitability depend less on the technologies themselves and more on Tesco’s ability to embed them into processes faster than their rivals (Xie and Allen, 2013). This places them in the category of temporary advantages as they are governed by dynamic capabilities and ongoing investment.</w:t>
      </w:r>
    </w:p>
    <w:p w14:paraId="1C87FD98" w14:textId="77777777" w:rsidR="005C7C16" w:rsidRPr="00E0457B" w:rsidRDefault="005C7C16" w:rsidP="005C7C16">
      <w:pPr>
        <w:spacing w:after="0"/>
        <w:jc w:val="both"/>
        <w:rPr>
          <w:rFonts w:cs="Arial"/>
          <w:color w:val="EE0000"/>
        </w:rPr>
      </w:pPr>
    </w:p>
    <w:p w14:paraId="2818809E" w14:textId="77777777" w:rsidR="005C7C16" w:rsidRPr="00E0457B" w:rsidRDefault="005C7C16" w:rsidP="005C7C16">
      <w:pPr>
        <w:spacing w:after="0"/>
        <w:jc w:val="both"/>
        <w:rPr>
          <w:rFonts w:cs="Arial"/>
        </w:rPr>
      </w:pPr>
      <w:r w:rsidRPr="00E0457B">
        <w:rPr>
          <w:rFonts w:cs="Arial"/>
        </w:rPr>
        <w:t>A key insight emerging from the analysis is the interdependence between resources - the value of Clubcard for example, is amplified only because Tesco possesses the operational scale and organisational structures to exploit it across pricing, promotions and retail media. This reflects Barney’s (1991) notion that advantage arises not just from resource attributes but from their complementarity within firm-specific routines.</w:t>
      </w:r>
    </w:p>
    <w:p w14:paraId="4F0B036A" w14:textId="77777777" w:rsidR="005C7C16" w:rsidRPr="00E0457B" w:rsidRDefault="005C7C16" w:rsidP="005C7C16">
      <w:pPr>
        <w:spacing w:after="0"/>
        <w:jc w:val="both"/>
        <w:rPr>
          <w:rFonts w:cs="Arial"/>
        </w:rPr>
      </w:pPr>
    </w:p>
    <w:p w14:paraId="748EE76D" w14:textId="77777777" w:rsidR="005C7C16" w:rsidRPr="00E0457B" w:rsidRDefault="005C7C16" w:rsidP="005C7C16">
      <w:pPr>
        <w:spacing w:after="0"/>
        <w:jc w:val="both"/>
        <w:rPr>
          <w:rFonts w:cs="Arial"/>
        </w:rPr>
      </w:pPr>
      <w:r w:rsidRPr="00E0457B">
        <w:rPr>
          <w:rFonts w:cs="Arial"/>
        </w:rPr>
        <w:t>Porter’s value-chain framework can also help translate these resources into distinct activities that create customer value (Porter, 1985, p. unknown). Applying Porter’s (1985) value chain to Tesco highlights where value is created and where vulnerabilities lie.</w:t>
      </w:r>
    </w:p>
    <w:p w14:paraId="29512C59" w14:textId="77777777" w:rsidR="005C7C16" w:rsidRDefault="005C7C16" w:rsidP="005C7C16">
      <w:pPr>
        <w:spacing w:after="0"/>
        <w:jc w:val="both"/>
        <w:rPr>
          <w:rFonts w:cs="Arial"/>
        </w:rPr>
      </w:pPr>
    </w:p>
    <w:p w14:paraId="7E9498C4" w14:textId="77777777" w:rsidR="005C7C16" w:rsidRDefault="005C7C16" w:rsidP="005C7C16">
      <w:pPr>
        <w:spacing w:after="0"/>
        <w:jc w:val="both"/>
        <w:rPr>
          <w:rFonts w:cs="Arial"/>
        </w:rPr>
      </w:pPr>
    </w:p>
    <w:p w14:paraId="69557191" w14:textId="77777777" w:rsidR="005C7C16" w:rsidRPr="00E0457B" w:rsidRDefault="005C7C16" w:rsidP="005C7C16">
      <w:pPr>
        <w:spacing w:after="0"/>
        <w:jc w:val="both"/>
        <w:rPr>
          <w:rFonts w:cs="Arial"/>
        </w:rPr>
      </w:pPr>
    </w:p>
    <w:tbl>
      <w:tblPr>
        <w:tblStyle w:val="TableGrid"/>
        <w:tblW w:w="0" w:type="auto"/>
        <w:tblLook w:val="04A0" w:firstRow="1" w:lastRow="0" w:firstColumn="1" w:lastColumn="0" w:noHBand="0" w:noVBand="1"/>
      </w:tblPr>
      <w:tblGrid>
        <w:gridCol w:w="2263"/>
        <w:gridCol w:w="6753"/>
      </w:tblGrid>
      <w:tr w:rsidR="005C7C16" w:rsidRPr="00E0457B" w14:paraId="7C85F407" w14:textId="77777777" w:rsidTr="005C7C16">
        <w:tc>
          <w:tcPr>
            <w:tcW w:w="2263" w:type="dxa"/>
            <w:vAlign w:val="center"/>
          </w:tcPr>
          <w:p w14:paraId="2A1F0D9A" w14:textId="77777777" w:rsidR="005C7C16" w:rsidRPr="00E0457B" w:rsidRDefault="005C7C16" w:rsidP="00F675B7">
            <w:pPr>
              <w:jc w:val="center"/>
              <w:rPr>
                <w:rFonts w:ascii="Arial" w:hAnsi="Arial" w:cs="Arial"/>
                <w:b/>
                <w:bCs/>
              </w:rPr>
            </w:pPr>
            <w:r w:rsidRPr="00E0457B">
              <w:rPr>
                <w:rFonts w:ascii="Arial" w:hAnsi="Arial" w:cs="Arial"/>
                <w:b/>
                <w:bCs/>
              </w:rPr>
              <w:lastRenderedPageBreak/>
              <w:t>Value Chain Activity</w:t>
            </w:r>
          </w:p>
        </w:tc>
        <w:tc>
          <w:tcPr>
            <w:tcW w:w="6753" w:type="dxa"/>
            <w:vAlign w:val="center"/>
          </w:tcPr>
          <w:p w14:paraId="04599A6D" w14:textId="77777777" w:rsidR="005C7C16" w:rsidRPr="00E0457B" w:rsidRDefault="005C7C16" w:rsidP="00F675B7">
            <w:pPr>
              <w:jc w:val="center"/>
              <w:rPr>
                <w:rFonts w:ascii="Arial" w:hAnsi="Arial" w:cs="Arial"/>
                <w:b/>
                <w:bCs/>
              </w:rPr>
            </w:pPr>
            <w:r w:rsidRPr="00E0457B">
              <w:rPr>
                <w:rFonts w:ascii="Arial" w:hAnsi="Arial" w:cs="Arial"/>
                <w:b/>
                <w:bCs/>
              </w:rPr>
              <w:t>Tesco’s Strength</w:t>
            </w:r>
          </w:p>
        </w:tc>
      </w:tr>
      <w:tr w:rsidR="005C7C16" w:rsidRPr="00E0457B" w14:paraId="0F9587EA" w14:textId="77777777" w:rsidTr="00F72A63">
        <w:tc>
          <w:tcPr>
            <w:tcW w:w="2263" w:type="dxa"/>
            <w:vAlign w:val="center"/>
          </w:tcPr>
          <w:p w14:paraId="39EFA5BB" w14:textId="77777777" w:rsidR="005C7C16" w:rsidRPr="00E0457B" w:rsidRDefault="005C7C16" w:rsidP="00F675B7">
            <w:pPr>
              <w:jc w:val="center"/>
              <w:rPr>
                <w:rFonts w:ascii="Arial" w:hAnsi="Arial" w:cs="Arial"/>
              </w:rPr>
            </w:pPr>
            <w:r w:rsidRPr="00E0457B">
              <w:rPr>
                <w:rFonts w:ascii="Arial" w:hAnsi="Arial" w:cs="Arial"/>
              </w:rPr>
              <w:t>Inbound Logistics</w:t>
            </w:r>
          </w:p>
        </w:tc>
        <w:tc>
          <w:tcPr>
            <w:tcW w:w="6753" w:type="dxa"/>
          </w:tcPr>
          <w:p w14:paraId="39B5D412" w14:textId="77777777" w:rsidR="005C7C16" w:rsidRPr="00E0457B" w:rsidRDefault="005C7C16" w:rsidP="00F675B7">
            <w:pPr>
              <w:rPr>
                <w:rFonts w:ascii="Arial" w:hAnsi="Arial" w:cs="Arial"/>
              </w:rPr>
            </w:pPr>
            <w:r w:rsidRPr="00E0457B">
              <w:rPr>
                <w:rFonts w:ascii="Arial" w:hAnsi="Arial" w:cs="Arial"/>
              </w:rPr>
              <w:t>Tesco leverages its scale and global supplier network to secure favourable purchase terms, low-cost sourcing and broad product variety. Its procurement spend underpins over 4,000 supplier relationships with about 80% of spend with UK based suppliers (Tesco, 2021).</w:t>
            </w:r>
          </w:p>
        </w:tc>
      </w:tr>
      <w:tr w:rsidR="005C7C16" w:rsidRPr="00E0457B" w14:paraId="14286E96" w14:textId="77777777" w:rsidTr="00F72A63">
        <w:tc>
          <w:tcPr>
            <w:tcW w:w="2263" w:type="dxa"/>
            <w:vAlign w:val="center"/>
          </w:tcPr>
          <w:p w14:paraId="768BD985" w14:textId="77777777" w:rsidR="005C7C16" w:rsidRPr="00E0457B" w:rsidRDefault="005C7C16" w:rsidP="00F675B7">
            <w:pPr>
              <w:jc w:val="center"/>
              <w:rPr>
                <w:rFonts w:ascii="Arial" w:hAnsi="Arial" w:cs="Arial"/>
              </w:rPr>
            </w:pPr>
            <w:r w:rsidRPr="00E0457B">
              <w:rPr>
                <w:rFonts w:ascii="Arial" w:hAnsi="Arial" w:cs="Arial"/>
              </w:rPr>
              <w:t>Operations</w:t>
            </w:r>
          </w:p>
        </w:tc>
        <w:tc>
          <w:tcPr>
            <w:tcW w:w="6753" w:type="dxa"/>
            <w:vAlign w:val="center"/>
          </w:tcPr>
          <w:p w14:paraId="6E24C863" w14:textId="6DF3F289" w:rsidR="005C7C16" w:rsidRPr="00E0457B" w:rsidRDefault="005C7C16" w:rsidP="00F675B7">
            <w:pPr>
              <w:rPr>
                <w:rFonts w:ascii="Arial" w:hAnsi="Arial" w:cs="Arial"/>
              </w:rPr>
            </w:pPr>
            <w:r w:rsidRPr="00E0457B">
              <w:rPr>
                <w:rFonts w:ascii="Arial" w:hAnsi="Arial" w:cs="Arial"/>
              </w:rPr>
              <w:t>Through substantial investment in digital infrastructure (e.g. robotic automation at Peterborough distribution centre and seamless shopping experiences), Tesco has streamlined stock control, inventory turnover, shelf replenishment and store processes (Tesco, 2025).</w:t>
            </w:r>
          </w:p>
        </w:tc>
      </w:tr>
      <w:tr w:rsidR="005C7C16" w:rsidRPr="00E0457B" w14:paraId="1F3F8A4F" w14:textId="77777777" w:rsidTr="00F72A63">
        <w:tc>
          <w:tcPr>
            <w:tcW w:w="2263" w:type="dxa"/>
            <w:vAlign w:val="center"/>
          </w:tcPr>
          <w:p w14:paraId="6E272444" w14:textId="77777777" w:rsidR="005C7C16" w:rsidRPr="00E0457B" w:rsidRDefault="005C7C16" w:rsidP="00F675B7">
            <w:pPr>
              <w:jc w:val="center"/>
              <w:rPr>
                <w:rFonts w:ascii="Arial" w:hAnsi="Arial" w:cs="Arial"/>
              </w:rPr>
            </w:pPr>
            <w:r w:rsidRPr="00E0457B">
              <w:rPr>
                <w:rFonts w:ascii="Arial" w:hAnsi="Arial" w:cs="Arial"/>
              </w:rPr>
              <w:t>Outbound Logistics and Distribution</w:t>
            </w:r>
          </w:p>
        </w:tc>
        <w:tc>
          <w:tcPr>
            <w:tcW w:w="6753" w:type="dxa"/>
            <w:vAlign w:val="center"/>
          </w:tcPr>
          <w:p w14:paraId="6EA7323F" w14:textId="42AC5FB1" w:rsidR="005C7C16" w:rsidRPr="00E0457B" w:rsidRDefault="005C7C16" w:rsidP="00F675B7">
            <w:pPr>
              <w:rPr>
                <w:rFonts w:ascii="Arial" w:hAnsi="Arial" w:cs="Arial"/>
              </w:rPr>
            </w:pPr>
            <w:r w:rsidRPr="00E0457B">
              <w:rPr>
                <w:rFonts w:ascii="Arial" w:hAnsi="Arial" w:cs="Arial"/>
              </w:rPr>
              <w:t>Its dense network of stores (Express, Superstores, Extra, etc.) plus efficient distribution centres enables rapid replenishment and wide coverage. This ensures customers find what they need with minimal delay (Tesco PLC, 2025).</w:t>
            </w:r>
          </w:p>
        </w:tc>
      </w:tr>
      <w:tr w:rsidR="005C7C16" w:rsidRPr="00E0457B" w14:paraId="170A7786" w14:textId="77777777" w:rsidTr="00F72A63">
        <w:tc>
          <w:tcPr>
            <w:tcW w:w="2263" w:type="dxa"/>
            <w:vAlign w:val="center"/>
          </w:tcPr>
          <w:p w14:paraId="63A9B012" w14:textId="77777777" w:rsidR="005C7C16" w:rsidRPr="00E0457B" w:rsidRDefault="005C7C16" w:rsidP="00F675B7">
            <w:pPr>
              <w:jc w:val="center"/>
              <w:rPr>
                <w:rFonts w:ascii="Arial" w:hAnsi="Arial" w:cs="Arial"/>
              </w:rPr>
            </w:pPr>
            <w:r w:rsidRPr="00E0457B">
              <w:rPr>
                <w:rFonts w:ascii="Arial" w:hAnsi="Arial" w:cs="Arial"/>
              </w:rPr>
              <w:t>Marketing and Sales</w:t>
            </w:r>
          </w:p>
        </w:tc>
        <w:tc>
          <w:tcPr>
            <w:tcW w:w="6753" w:type="dxa"/>
          </w:tcPr>
          <w:p w14:paraId="7FD4854A" w14:textId="77777777" w:rsidR="005C7C16" w:rsidRPr="00E0457B" w:rsidRDefault="005C7C16" w:rsidP="00F675B7">
            <w:pPr>
              <w:rPr>
                <w:rFonts w:ascii="Arial" w:hAnsi="Arial" w:cs="Arial"/>
              </w:rPr>
            </w:pPr>
            <w:r w:rsidRPr="00E0457B">
              <w:rPr>
                <w:rFonts w:ascii="Arial" w:hAnsi="Arial" w:cs="Arial"/>
              </w:rPr>
              <w:t>Loyalty programmes (such as the Clubcard), consistent branding and in-store formats help lock in customers and drive repeat business. Meyer-Waarden &amp; Benavent (2006) show that loyalty programmes in retail increase repeat purchasing behaviour, indicating they can change shopping habits beyond price alone.</w:t>
            </w:r>
          </w:p>
        </w:tc>
      </w:tr>
      <w:tr w:rsidR="005C7C16" w:rsidRPr="00E0457B" w14:paraId="528367B1" w14:textId="77777777" w:rsidTr="00F72A63">
        <w:tc>
          <w:tcPr>
            <w:tcW w:w="2263" w:type="dxa"/>
            <w:vAlign w:val="center"/>
          </w:tcPr>
          <w:p w14:paraId="07980B1A" w14:textId="77777777" w:rsidR="005C7C16" w:rsidRPr="00E0457B" w:rsidRDefault="005C7C16" w:rsidP="00F675B7">
            <w:pPr>
              <w:jc w:val="center"/>
              <w:rPr>
                <w:rFonts w:ascii="Arial" w:hAnsi="Arial" w:cs="Arial"/>
              </w:rPr>
            </w:pPr>
            <w:r w:rsidRPr="00E0457B">
              <w:rPr>
                <w:rFonts w:ascii="Arial" w:hAnsi="Arial" w:cs="Arial"/>
              </w:rPr>
              <w:t>After Sales Service (Customer Experience)</w:t>
            </w:r>
          </w:p>
        </w:tc>
        <w:tc>
          <w:tcPr>
            <w:tcW w:w="6753" w:type="dxa"/>
            <w:vAlign w:val="center"/>
          </w:tcPr>
          <w:p w14:paraId="6EEE997E" w14:textId="69DFCEC2" w:rsidR="005C7C16" w:rsidRPr="00E0457B" w:rsidRDefault="005C7C16" w:rsidP="00F675B7">
            <w:pPr>
              <w:rPr>
                <w:rFonts w:ascii="Arial" w:hAnsi="Arial" w:cs="Arial"/>
              </w:rPr>
            </w:pPr>
            <w:r w:rsidRPr="00E0457B">
              <w:rPr>
                <w:rFonts w:ascii="Arial" w:hAnsi="Arial" w:cs="Arial"/>
              </w:rPr>
              <w:t>Tesco’s variety of store formats, convenience logistics (online ordering, home-delivery) and efficient shelf replenishment all contribute to a reliable, convenient shopping experience. This strengthens customer loyalty and perceived value (Manikowski, 2016).</w:t>
            </w:r>
          </w:p>
        </w:tc>
      </w:tr>
    </w:tbl>
    <w:p w14:paraId="162DC0F4" w14:textId="77777777" w:rsidR="005C7C16" w:rsidRPr="00E0457B" w:rsidRDefault="005C7C16" w:rsidP="005C7C16">
      <w:pPr>
        <w:spacing w:after="0"/>
        <w:jc w:val="both"/>
        <w:rPr>
          <w:rFonts w:cs="Arial"/>
        </w:rPr>
      </w:pPr>
    </w:p>
    <w:p w14:paraId="74500756" w14:textId="77777777" w:rsidR="005C7C16" w:rsidRPr="00E0457B" w:rsidRDefault="005C7C16" w:rsidP="005C7C16">
      <w:pPr>
        <w:spacing w:after="0"/>
        <w:jc w:val="both"/>
        <w:rPr>
          <w:rFonts w:cs="Arial"/>
        </w:rPr>
      </w:pPr>
      <w:r w:rsidRPr="00E0457B">
        <w:rPr>
          <w:rFonts w:cs="Arial"/>
        </w:rPr>
        <w:t xml:space="preserve">The above demonstrates how Tesco creates a sustainable advantage. They do not just own the technologies and assets, they have integrated them into their supply chain, IT and operations in a coordinated, system wide manner. Tesco’s competitors could, or may, attempt to copy elements (e.g., digital systems, store formats) but replicating the entire integrated system would be immensely difficult. This makes it challenging for their rivals to duplicate, aligning with Porter’s notion of value chain driven competitive advantage. </w:t>
      </w:r>
    </w:p>
    <w:p w14:paraId="3D365F03" w14:textId="77777777" w:rsidR="005C7C16" w:rsidRPr="00E0457B" w:rsidRDefault="005C7C16" w:rsidP="005C7C16">
      <w:pPr>
        <w:spacing w:after="0"/>
        <w:jc w:val="both"/>
        <w:rPr>
          <w:rFonts w:cs="Arial"/>
        </w:rPr>
      </w:pPr>
    </w:p>
    <w:p w14:paraId="69E7B7CD" w14:textId="312BB5FC" w:rsidR="005C7C16" w:rsidRPr="00E0457B" w:rsidRDefault="005C7C16" w:rsidP="005C7C16">
      <w:pPr>
        <w:spacing w:after="0"/>
        <w:jc w:val="both"/>
        <w:rPr>
          <w:rFonts w:cs="Arial"/>
        </w:rPr>
      </w:pPr>
      <w:r w:rsidRPr="00E0457B">
        <w:rPr>
          <w:rFonts w:cs="Arial"/>
        </w:rPr>
        <w:t xml:space="preserve">Strategic management theorists generally view the Resource-Based View (RBV) and VRIO as essential frameworks but generally incomplete for understanding competitive advantage. Barney (1991) argued that VRIO resources provide the foundation for </w:t>
      </w:r>
      <w:r w:rsidRPr="00E0457B">
        <w:rPr>
          <w:rFonts w:cs="Arial"/>
        </w:rPr>
        <w:lastRenderedPageBreak/>
        <w:t xml:space="preserve">sustained advantage, positioning VRIO as a diagnostic tool for assessing internal strengths but Kraaijenbrink et. al. (2010) identified conceptual problems with RBV/VRIO, including ambiguity in defining what counts as a resource or value. Wernerfelt (1984) and Peteraf (1993) also demonstrated that firms will differ in their resource abilities with critics such as Priem and Butler (2001) argued that resources are often labelled valuable only after performance is observed. Porter (1985) added that industry structure, not only resources, shapes </w:t>
      </w:r>
      <w:r w:rsidR="003049C0">
        <w:rPr>
          <w:rFonts w:cs="Arial"/>
        </w:rPr>
        <w:t>organisation</w:t>
      </w:r>
      <w:r w:rsidRPr="00E0457B">
        <w:rPr>
          <w:rFonts w:cs="Arial"/>
        </w:rPr>
        <w:t xml:space="preserve"> performance and these limitations prompted the emergence of the dynamic capabilities perspective (Teece, Pisano &amp; Shuen, 1997), which emphasised an organisation’s ability to renew and reconfigure resources in turbulent environments.</w:t>
      </w:r>
    </w:p>
    <w:p w14:paraId="798318C6" w14:textId="77777777" w:rsidR="005C7C16" w:rsidRPr="00E0457B" w:rsidRDefault="005C7C16" w:rsidP="005C7C16">
      <w:pPr>
        <w:spacing w:after="0"/>
        <w:jc w:val="both"/>
        <w:rPr>
          <w:rFonts w:cs="Arial"/>
        </w:rPr>
      </w:pPr>
    </w:p>
    <w:p w14:paraId="355A53F3" w14:textId="77777777" w:rsidR="005C7C16" w:rsidRPr="00E0457B" w:rsidRDefault="005C7C16" w:rsidP="005C7C16">
      <w:pPr>
        <w:spacing w:after="0"/>
        <w:jc w:val="both"/>
        <w:rPr>
          <w:rFonts w:cs="Arial"/>
        </w:rPr>
      </w:pPr>
      <w:r w:rsidRPr="00E0457B">
        <w:rPr>
          <w:rFonts w:cs="Arial"/>
        </w:rPr>
        <w:t>Applying RBV/VRIO and Porter’s value-chain reveals that Tesco’s sustained advantages derive from its scale (stores, procurement), brand and Clubcard data assets, which, when organised effectively, generate sustained advantage. This reflects a strategic opportunity to convert these assets into continuous, fast-moving capabilities through investment in data governance and AI, optimising fulfilment economics and institutionalising dynamic capabilities to respond to margin pressure and fast-moving competitors. Doing so could transform Tesco’s internal resources into resilient, long-term strategic advantage.</w:t>
      </w:r>
    </w:p>
    <w:p w14:paraId="45147E5B" w14:textId="77777777" w:rsidR="005C7C16" w:rsidRDefault="005C7C16" w:rsidP="005C7C16">
      <w:pPr>
        <w:spacing w:after="0"/>
        <w:jc w:val="both"/>
        <w:rPr>
          <w:rFonts w:cs="Arial"/>
          <w:b/>
          <w:bCs/>
        </w:rPr>
      </w:pPr>
    </w:p>
    <w:p w14:paraId="411412D3" w14:textId="4180BD32" w:rsidR="005C7C16" w:rsidRPr="005C7C16" w:rsidRDefault="005C7C16" w:rsidP="005C7C16">
      <w:pPr>
        <w:spacing w:after="0"/>
        <w:jc w:val="both"/>
        <w:rPr>
          <w:rFonts w:cs="Arial"/>
          <w:u w:val="single"/>
        </w:rPr>
      </w:pPr>
      <w:r w:rsidRPr="005C7C16">
        <w:rPr>
          <w:rFonts w:cs="Arial"/>
          <w:u w:val="single"/>
        </w:rPr>
        <w:t>Defining the Problem</w:t>
      </w:r>
    </w:p>
    <w:p w14:paraId="3E4054F5" w14:textId="77777777" w:rsidR="005C7C16" w:rsidRPr="00E0457B" w:rsidRDefault="005C7C16" w:rsidP="005C7C16">
      <w:pPr>
        <w:spacing w:after="0"/>
        <w:jc w:val="both"/>
        <w:rPr>
          <w:rFonts w:cs="Arial"/>
        </w:rPr>
      </w:pPr>
      <w:r w:rsidRPr="00E0457B">
        <w:rPr>
          <w:rFonts w:cs="Arial"/>
        </w:rPr>
        <w:t xml:space="preserve">Tesco retains scale, brand and a powerful first-party data asset (Clubcard) that support price, fulfilment and retail operations. These are organised into consistent value chain routines that are hard to fully replicate. However, margins are under pressure from discounters, inflationary costs and rising labour/operational expenses, with digital </w:t>
      </w:r>
      <w:r w:rsidRPr="00E0457B">
        <w:rPr>
          <w:rFonts w:cs="Arial"/>
        </w:rPr>
        <w:lastRenderedPageBreak/>
        <w:t xml:space="preserve">capabilities requiring continual evolution to remain distinctive. External opportunity exists in personalisation and retail media monetisation and in leveraging store led fulfilment efficiencies, but the threat of aggressive discounters, regulatory scrutiny (CMA loyalty pricing) and geopolitical/supply-chain volatility remain. So, how can Tesco creatively re-shape its strategy to become more digitally innovative and customer obsessed, while defending price competitiveness and building long-term resilience, in the midst of a volatile, fast moving and margin constrained environment to ensure sustainable competitive advantage? </w:t>
      </w:r>
    </w:p>
    <w:p w14:paraId="4508040F" w14:textId="77777777" w:rsidR="005C7C16" w:rsidRPr="00E0457B" w:rsidRDefault="005C7C16" w:rsidP="005C7C16">
      <w:pPr>
        <w:spacing w:after="0"/>
        <w:jc w:val="both"/>
        <w:rPr>
          <w:rFonts w:cs="Arial"/>
        </w:rPr>
      </w:pPr>
    </w:p>
    <w:p w14:paraId="481BBAF5" w14:textId="5EF0F78C" w:rsidR="005C7C16" w:rsidRPr="00F675B7" w:rsidRDefault="005C7C16" w:rsidP="005C7C16">
      <w:pPr>
        <w:spacing w:after="0"/>
        <w:jc w:val="both"/>
        <w:rPr>
          <w:rFonts w:cs="Arial"/>
          <w:u w:val="single"/>
        </w:rPr>
      </w:pPr>
      <w:r w:rsidRPr="005C7C16">
        <w:rPr>
          <w:rFonts w:cs="Arial"/>
          <w:u w:val="single"/>
        </w:rPr>
        <w:t>Strategic Options for Personalised Customer Care</w:t>
      </w:r>
    </w:p>
    <w:p w14:paraId="6AE03666" w14:textId="77777777" w:rsidR="005C7C16" w:rsidRPr="00E0457B" w:rsidRDefault="005C7C16" w:rsidP="005C7C16">
      <w:pPr>
        <w:pStyle w:val="ListParagraph"/>
        <w:numPr>
          <w:ilvl w:val="0"/>
          <w:numId w:val="2"/>
        </w:numPr>
        <w:spacing w:after="0"/>
        <w:jc w:val="both"/>
        <w:rPr>
          <w:rFonts w:cs="Arial"/>
          <w:i/>
          <w:iCs/>
        </w:rPr>
      </w:pPr>
      <w:r w:rsidRPr="00E0457B">
        <w:rPr>
          <w:rFonts w:cs="Arial"/>
          <w:i/>
          <w:iCs/>
        </w:rPr>
        <w:t xml:space="preserve">Digital transformation and AI-driven personalisation </w:t>
      </w:r>
    </w:p>
    <w:p w14:paraId="3693C863" w14:textId="77777777" w:rsidR="005C7C16" w:rsidRPr="00E0457B" w:rsidRDefault="005C7C16" w:rsidP="005C7C16">
      <w:pPr>
        <w:spacing w:after="0"/>
        <w:jc w:val="both"/>
        <w:rPr>
          <w:rFonts w:cs="Arial"/>
        </w:rPr>
      </w:pPr>
      <w:r w:rsidRPr="00E0457B">
        <w:rPr>
          <w:rFonts w:cs="Arial"/>
        </w:rPr>
        <w:t xml:space="preserve">This option deploys Tesco’s extensive data (Clubcard) to deliver personalised promotions, predictive recommendations and automated customer engagement across app, web and email. It would rely on algorithmic models to anticipate customer preferences and optimise pricing. </w:t>
      </w:r>
    </w:p>
    <w:p w14:paraId="5E7B5601" w14:textId="77777777" w:rsidR="005C7C16" w:rsidRPr="00E0457B" w:rsidRDefault="005C7C16" w:rsidP="005C7C16">
      <w:pPr>
        <w:spacing w:after="0"/>
        <w:jc w:val="both"/>
        <w:rPr>
          <w:rFonts w:cs="Arial"/>
        </w:rPr>
      </w:pPr>
    </w:p>
    <w:p w14:paraId="3C9F4E9D" w14:textId="77777777" w:rsidR="005C7C16" w:rsidRPr="005C7C16" w:rsidRDefault="005C7C16" w:rsidP="005C7C16">
      <w:pPr>
        <w:pStyle w:val="ListParagraph"/>
        <w:numPr>
          <w:ilvl w:val="0"/>
          <w:numId w:val="10"/>
        </w:numPr>
        <w:spacing w:after="0"/>
        <w:jc w:val="both"/>
        <w:rPr>
          <w:rFonts w:cs="Arial"/>
        </w:rPr>
      </w:pPr>
      <w:r w:rsidRPr="005C7C16">
        <w:rPr>
          <w:rFonts w:cs="Arial"/>
        </w:rPr>
        <w:t xml:space="preserve">SWOT/TOWS analysis </w:t>
      </w:r>
    </w:p>
    <w:p w14:paraId="4697A63D" w14:textId="77777777" w:rsidR="005C7C16" w:rsidRPr="00E0457B" w:rsidRDefault="005C7C16" w:rsidP="005C7C16">
      <w:pPr>
        <w:spacing w:after="0"/>
        <w:jc w:val="both"/>
        <w:rPr>
          <w:rFonts w:cs="Arial"/>
        </w:rPr>
      </w:pPr>
      <w:r w:rsidRPr="00E0457B">
        <w:rPr>
          <w:rFonts w:cs="Arial"/>
        </w:rPr>
        <w:t xml:space="preserve">Strength-Opportunity fit: Tesco’s data scale, machine learning infrastructure and established loyalty ecosystem create strong foundations for AI personalisation. Industry evidence shows personalisation can increase revenue by up to 15% and deepen customer engagement (Boudet, et. al, 2019). </w:t>
      </w:r>
    </w:p>
    <w:p w14:paraId="42D15DC2" w14:textId="77777777" w:rsidR="005C7C16" w:rsidRPr="00E0457B" w:rsidRDefault="005C7C16" w:rsidP="005C7C16">
      <w:pPr>
        <w:spacing w:after="0"/>
        <w:jc w:val="both"/>
        <w:rPr>
          <w:rFonts w:cs="Arial"/>
        </w:rPr>
      </w:pPr>
    </w:p>
    <w:p w14:paraId="7506AF05" w14:textId="77777777" w:rsidR="005C7C16" w:rsidRPr="00E0457B" w:rsidRDefault="005C7C16" w:rsidP="005C7C16">
      <w:pPr>
        <w:spacing w:after="0"/>
        <w:jc w:val="both"/>
        <w:rPr>
          <w:rFonts w:cs="Arial"/>
        </w:rPr>
      </w:pPr>
      <w:r w:rsidRPr="00E0457B">
        <w:rPr>
          <w:rFonts w:cs="Arial"/>
        </w:rPr>
        <w:t xml:space="preserve">Weakness-Threat exposure: Increased dependence on algorithmic pricing and targeting exposes Tesco to scrutiny under CMA’s loyalty pricing investigation (Competition and Markets Authority, 2024). Mis-targeting or perceived discrimination </w:t>
      </w:r>
      <w:r w:rsidRPr="00E0457B">
        <w:rPr>
          <w:rFonts w:cs="Arial"/>
        </w:rPr>
        <w:lastRenderedPageBreak/>
        <w:t>risks reputational damage. Academic literature also highlights systemic vulnerabilities, advising that without strong organisational learning and governance, AI systems can introduce bias, drift and poor customer experiences (Teece, 2007).</w:t>
      </w:r>
    </w:p>
    <w:p w14:paraId="1C7540F7" w14:textId="77777777" w:rsidR="005C7C16" w:rsidRPr="00E0457B" w:rsidRDefault="005C7C16" w:rsidP="005C7C16">
      <w:pPr>
        <w:spacing w:after="0"/>
        <w:jc w:val="both"/>
        <w:rPr>
          <w:rFonts w:cs="Arial"/>
        </w:rPr>
      </w:pPr>
    </w:p>
    <w:p w14:paraId="5949F7CE" w14:textId="77777777" w:rsidR="005C7C16" w:rsidRPr="005C7C16" w:rsidRDefault="005C7C16" w:rsidP="005C7C16">
      <w:pPr>
        <w:pStyle w:val="ListParagraph"/>
        <w:numPr>
          <w:ilvl w:val="0"/>
          <w:numId w:val="11"/>
        </w:numPr>
        <w:spacing w:after="0"/>
        <w:jc w:val="both"/>
        <w:rPr>
          <w:rFonts w:cs="Arial"/>
        </w:rPr>
      </w:pPr>
      <w:r w:rsidRPr="005C7C16">
        <w:rPr>
          <w:rFonts w:cs="Arial"/>
        </w:rPr>
        <w:t>Feasibility and Cost</w:t>
      </w:r>
    </w:p>
    <w:p w14:paraId="05B47CE5" w14:textId="77777777" w:rsidR="005C7C16" w:rsidRPr="00E0457B" w:rsidRDefault="005C7C16" w:rsidP="005C7C16">
      <w:pPr>
        <w:spacing w:after="0"/>
        <w:jc w:val="both"/>
        <w:rPr>
          <w:rFonts w:cs="Arial"/>
          <w:u w:val="single"/>
        </w:rPr>
      </w:pPr>
      <w:r w:rsidRPr="00E0457B">
        <w:rPr>
          <w:rFonts w:cs="Arial"/>
        </w:rPr>
        <w:t>Feasibility is high given Tesco’s existing data infrastructure, but this option will require continuous investment in data engineering, privacy compliance and cyber-resilience. Upfront costs will likely be significant but potentially scalable, making this attractive for long-term efficiency.</w:t>
      </w:r>
    </w:p>
    <w:p w14:paraId="7828159C" w14:textId="77777777" w:rsidR="005C7C16" w:rsidRPr="00E0457B" w:rsidRDefault="005C7C16" w:rsidP="005C7C16">
      <w:pPr>
        <w:spacing w:after="0"/>
        <w:jc w:val="both"/>
        <w:rPr>
          <w:rFonts w:cs="Arial"/>
          <w:u w:val="single"/>
        </w:rPr>
      </w:pPr>
    </w:p>
    <w:p w14:paraId="34D1F942" w14:textId="77777777" w:rsidR="005C7C16" w:rsidRPr="005C7C16" w:rsidRDefault="005C7C16" w:rsidP="005C7C16">
      <w:pPr>
        <w:pStyle w:val="ListParagraph"/>
        <w:numPr>
          <w:ilvl w:val="0"/>
          <w:numId w:val="12"/>
        </w:numPr>
        <w:spacing w:after="0"/>
        <w:jc w:val="both"/>
        <w:rPr>
          <w:rFonts w:cs="Arial"/>
        </w:rPr>
      </w:pPr>
      <w:r w:rsidRPr="005C7C16">
        <w:rPr>
          <w:rFonts w:cs="Arial"/>
        </w:rPr>
        <w:t>Overall Assessment</w:t>
      </w:r>
    </w:p>
    <w:p w14:paraId="76542EEB" w14:textId="77777777" w:rsidR="005C7C16" w:rsidRPr="00E0457B" w:rsidRDefault="005C7C16" w:rsidP="005C7C16">
      <w:pPr>
        <w:spacing w:after="0"/>
        <w:jc w:val="both"/>
        <w:rPr>
          <w:rFonts w:cs="Arial"/>
          <w:u w:val="single"/>
        </w:rPr>
      </w:pPr>
      <w:r w:rsidRPr="00E0457B">
        <w:rPr>
          <w:rFonts w:cs="Arial"/>
        </w:rPr>
        <w:t>This has a good strategic fit with Tesco’s capabilities and a strong financial upside but would be constrained by regulatory risks. However, it could work when combined with robust governance and transparent communication around value.</w:t>
      </w:r>
    </w:p>
    <w:p w14:paraId="1698D453" w14:textId="77777777" w:rsidR="005C7C16" w:rsidRPr="00E0457B" w:rsidRDefault="005C7C16" w:rsidP="005C7C16">
      <w:pPr>
        <w:spacing w:after="0"/>
        <w:jc w:val="both"/>
        <w:rPr>
          <w:rFonts w:cs="Arial"/>
        </w:rPr>
      </w:pPr>
    </w:p>
    <w:p w14:paraId="00163DD0" w14:textId="77777777" w:rsidR="005C7C16" w:rsidRPr="00E0457B" w:rsidRDefault="005C7C16" w:rsidP="005C7C16">
      <w:pPr>
        <w:pStyle w:val="ListParagraph"/>
        <w:numPr>
          <w:ilvl w:val="0"/>
          <w:numId w:val="2"/>
        </w:numPr>
        <w:spacing w:after="0"/>
        <w:jc w:val="both"/>
        <w:rPr>
          <w:rFonts w:cs="Arial"/>
          <w:i/>
          <w:iCs/>
        </w:rPr>
      </w:pPr>
      <w:r w:rsidRPr="00E0457B">
        <w:rPr>
          <w:rFonts w:cs="Arial"/>
          <w:i/>
          <w:iCs/>
        </w:rPr>
        <w:t xml:space="preserve">Enhanced human-centric service experience </w:t>
      </w:r>
    </w:p>
    <w:p w14:paraId="704DF6E1" w14:textId="77777777" w:rsidR="005C7C16" w:rsidRPr="00E0457B" w:rsidRDefault="005C7C16" w:rsidP="005C7C16">
      <w:pPr>
        <w:spacing w:after="0"/>
        <w:jc w:val="both"/>
        <w:rPr>
          <w:rFonts w:cs="Arial"/>
        </w:rPr>
      </w:pPr>
      <w:r w:rsidRPr="00E0457B">
        <w:rPr>
          <w:rFonts w:cs="Arial"/>
        </w:rPr>
        <w:t>This option focuses on in-store personalisation through trained staff, service ambassadors, and differentiated experiences for premium or loyal customers, enhancing emotional engagement and brand trust.</w:t>
      </w:r>
    </w:p>
    <w:p w14:paraId="7A04F6EB" w14:textId="77777777" w:rsidR="005C7C16" w:rsidRPr="00E0457B" w:rsidRDefault="005C7C16" w:rsidP="005C7C16">
      <w:pPr>
        <w:spacing w:after="0"/>
        <w:jc w:val="both"/>
        <w:rPr>
          <w:rFonts w:cs="Arial"/>
        </w:rPr>
      </w:pPr>
    </w:p>
    <w:p w14:paraId="2B81937A" w14:textId="77777777" w:rsidR="005C7C16" w:rsidRPr="005C7C16" w:rsidRDefault="005C7C16" w:rsidP="005C7C16">
      <w:pPr>
        <w:pStyle w:val="ListParagraph"/>
        <w:numPr>
          <w:ilvl w:val="0"/>
          <w:numId w:val="12"/>
        </w:numPr>
        <w:spacing w:after="0"/>
        <w:jc w:val="both"/>
        <w:rPr>
          <w:rFonts w:cs="Arial"/>
        </w:rPr>
      </w:pPr>
      <w:r w:rsidRPr="005C7C16">
        <w:rPr>
          <w:rFonts w:cs="Arial"/>
        </w:rPr>
        <w:t xml:space="preserve">SWOT/TOWS analysis </w:t>
      </w:r>
    </w:p>
    <w:p w14:paraId="25037DC6" w14:textId="77777777" w:rsidR="005C7C16" w:rsidRPr="00E0457B" w:rsidRDefault="005C7C16" w:rsidP="005C7C16">
      <w:pPr>
        <w:spacing w:after="0"/>
        <w:jc w:val="both"/>
        <w:rPr>
          <w:rFonts w:cs="Arial"/>
        </w:rPr>
      </w:pPr>
      <w:r w:rsidRPr="00E0457B">
        <w:rPr>
          <w:rFonts w:cs="Arial"/>
        </w:rPr>
        <w:t xml:space="preserve">Strength-Opportunity fit: Human service interaction can differentiate Tesco in a price-pressured market. The service-dominant argument emphasises co-creation of value through human service excellence (Vargo et. al., 2008). Additionally, Söderlund (2018) found that the employee proactivity in customer service increases customer </w:t>
      </w:r>
      <w:r w:rsidRPr="00E0457B">
        <w:rPr>
          <w:rFonts w:cs="Arial"/>
        </w:rPr>
        <w:lastRenderedPageBreak/>
        <w:t xml:space="preserve">satisfaction in grocery contexts, directly offering an evidence base for human service and outcomes that can support differentiation for an organisation in price-competitive markets. </w:t>
      </w:r>
    </w:p>
    <w:p w14:paraId="11FCCF3A" w14:textId="77777777" w:rsidR="005C7C16" w:rsidRPr="00E0457B" w:rsidRDefault="005C7C16" w:rsidP="005C7C16">
      <w:pPr>
        <w:spacing w:after="0"/>
        <w:jc w:val="both"/>
        <w:rPr>
          <w:rFonts w:cs="Arial"/>
        </w:rPr>
      </w:pPr>
    </w:p>
    <w:p w14:paraId="2AA6A3B0" w14:textId="74F9549A" w:rsidR="005C7C16" w:rsidRPr="00E0457B" w:rsidRDefault="005C7C16" w:rsidP="005C7C16">
      <w:pPr>
        <w:spacing w:after="0"/>
        <w:jc w:val="both"/>
        <w:rPr>
          <w:rFonts w:cs="Arial"/>
        </w:rPr>
      </w:pPr>
      <w:r w:rsidRPr="00E0457B">
        <w:rPr>
          <w:rFonts w:cs="Arial"/>
        </w:rPr>
        <w:t xml:space="preserve">Weakness-Threat exposure: The main constraint under this option is cost. Labour inflation and retention challenges contribute to rising operational expenses </w:t>
      </w:r>
      <w:r w:rsidR="00CB037F">
        <w:rPr>
          <w:rFonts w:cs="Arial"/>
        </w:rPr>
        <w:t xml:space="preserve">that </w:t>
      </w:r>
      <w:r w:rsidRPr="00E0457B">
        <w:rPr>
          <w:rFonts w:cs="Arial"/>
        </w:rPr>
        <w:t xml:space="preserve">make human-centric enhancements difficult to scale across thousands of stores. Additionally, Aldi and Lidl’s models of low labour operations intensify price pressures and limit Tesco’s capacity for service expensive differentiation (Rice, 2019). </w:t>
      </w:r>
    </w:p>
    <w:p w14:paraId="55E25294" w14:textId="77777777" w:rsidR="005C7C16" w:rsidRPr="00E0457B" w:rsidRDefault="005C7C16" w:rsidP="005C7C16">
      <w:pPr>
        <w:spacing w:after="0"/>
        <w:jc w:val="both"/>
        <w:rPr>
          <w:rFonts w:cs="Arial"/>
          <w:u w:val="single"/>
        </w:rPr>
      </w:pPr>
    </w:p>
    <w:p w14:paraId="6686E815" w14:textId="77777777" w:rsidR="005C7C16" w:rsidRPr="005C7C16" w:rsidRDefault="005C7C16" w:rsidP="005C7C16">
      <w:pPr>
        <w:pStyle w:val="ListParagraph"/>
        <w:numPr>
          <w:ilvl w:val="0"/>
          <w:numId w:val="12"/>
        </w:numPr>
        <w:spacing w:after="0"/>
        <w:jc w:val="both"/>
        <w:rPr>
          <w:rFonts w:cs="Arial"/>
        </w:rPr>
      </w:pPr>
      <w:r w:rsidRPr="005C7C16">
        <w:rPr>
          <w:rFonts w:cs="Arial"/>
        </w:rPr>
        <w:t>Feasibility and Cost</w:t>
      </w:r>
    </w:p>
    <w:p w14:paraId="6082522E" w14:textId="77777777" w:rsidR="005C7C16" w:rsidRPr="00E0457B" w:rsidRDefault="005C7C16" w:rsidP="005C7C16">
      <w:pPr>
        <w:spacing w:after="0"/>
        <w:jc w:val="both"/>
        <w:rPr>
          <w:rFonts w:cs="Arial"/>
        </w:rPr>
      </w:pPr>
      <w:r w:rsidRPr="00E0457B">
        <w:rPr>
          <w:rFonts w:cs="Arial"/>
        </w:rPr>
        <w:t xml:space="preserve">This is a feasible option but would come with a fair cost. Delivering consistent personalised service across a geographically distributed workforce requires training, culture transformation and ongoing investment. The success of implementing this option is also risky due to variability in staff capabilities and resources needed to support staff retention to prevent turnover. </w:t>
      </w:r>
    </w:p>
    <w:p w14:paraId="0297A5C7" w14:textId="77777777" w:rsidR="005C7C16" w:rsidRPr="00E0457B" w:rsidRDefault="005C7C16" w:rsidP="005C7C16">
      <w:pPr>
        <w:spacing w:after="0"/>
        <w:jc w:val="both"/>
        <w:rPr>
          <w:rFonts w:cs="Arial"/>
          <w:u w:val="single"/>
        </w:rPr>
      </w:pPr>
    </w:p>
    <w:p w14:paraId="0EBF6876" w14:textId="77777777" w:rsidR="005C7C16" w:rsidRPr="005C7C16" w:rsidRDefault="005C7C16" w:rsidP="005C7C16">
      <w:pPr>
        <w:pStyle w:val="ListParagraph"/>
        <w:numPr>
          <w:ilvl w:val="0"/>
          <w:numId w:val="12"/>
        </w:numPr>
        <w:spacing w:after="0"/>
        <w:jc w:val="both"/>
        <w:rPr>
          <w:rFonts w:cs="Arial"/>
        </w:rPr>
      </w:pPr>
      <w:r w:rsidRPr="005C7C16">
        <w:rPr>
          <w:rFonts w:cs="Arial"/>
        </w:rPr>
        <w:t xml:space="preserve">Overall Assessment </w:t>
      </w:r>
    </w:p>
    <w:p w14:paraId="60172DF1" w14:textId="77777777" w:rsidR="005C7C16" w:rsidRPr="00E0457B" w:rsidRDefault="005C7C16" w:rsidP="005C7C16">
      <w:pPr>
        <w:spacing w:after="0"/>
        <w:jc w:val="both"/>
        <w:rPr>
          <w:rFonts w:cs="Arial"/>
        </w:rPr>
      </w:pPr>
      <w:r w:rsidRPr="00E0457B">
        <w:rPr>
          <w:rFonts w:cs="Arial"/>
        </w:rPr>
        <w:t>Provides emotional differentiation but is expensive, difficult to scale and vulnerable in a margin-constrained environment. Best deployed selectively for high-value segments rather than as a core strategy.</w:t>
      </w:r>
    </w:p>
    <w:p w14:paraId="744A546F" w14:textId="77777777" w:rsidR="005C7C16" w:rsidRPr="00E0457B" w:rsidRDefault="005C7C16" w:rsidP="005C7C16">
      <w:pPr>
        <w:spacing w:after="0"/>
        <w:jc w:val="both"/>
        <w:rPr>
          <w:rFonts w:cs="Arial"/>
        </w:rPr>
      </w:pPr>
    </w:p>
    <w:p w14:paraId="62961704" w14:textId="77777777" w:rsidR="005C7C16" w:rsidRPr="00E0457B" w:rsidRDefault="005C7C16" w:rsidP="005C7C16">
      <w:pPr>
        <w:pStyle w:val="ListParagraph"/>
        <w:numPr>
          <w:ilvl w:val="0"/>
          <w:numId w:val="2"/>
        </w:numPr>
        <w:spacing w:after="0"/>
        <w:jc w:val="both"/>
        <w:rPr>
          <w:rFonts w:cs="Arial"/>
          <w:i/>
          <w:iCs/>
        </w:rPr>
      </w:pPr>
      <w:r w:rsidRPr="00E0457B">
        <w:rPr>
          <w:rFonts w:cs="Arial"/>
          <w:i/>
          <w:iCs/>
        </w:rPr>
        <w:t>Hybrid approach (omnichannel strategy)</w:t>
      </w:r>
    </w:p>
    <w:p w14:paraId="32FDD57D" w14:textId="77777777" w:rsidR="005C7C16" w:rsidRPr="00E0457B" w:rsidRDefault="005C7C16" w:rsidP="005C7C16">
      <w:pPr>
        <w:spacing w:after="0"/>
        <w:jc w:val="both"/>
        <w:rPr>
          <w:rFonts w:cs="Arial"/>
        </w:rPr>
      </w:pPr>
      <w:r w:rsidRPr="00E0457B">
        <w:rPr>
          <w:rFonts w:cs="Arial"/>
        </w:rPr>
        <w:lastRenderedPageBreak/>
        <w:t>This option would blend AI-driven recommendations with human support, creating a seamless personalised experience across online, app and in-store environments. It ensures consistent loyalty integration regardless of channel.</w:t>
      </w:r>
    </w:p>
    <w:p w14:paraId="4EF3D881" w14:textId="77777777" w:rsidR="005C7C16" w:rsidRPr="00E0457B" w:rsidRDefault="005C7C16" w:rsidP="005C7C16">
      <w:pPr>
        <w:spacing w:after="0"/>
        <w:jc w:val="both"/>
        <w:rPr>
          <w:rFonts w:cs="Arial"/>
        </w:rPr>
      </w:pPr>
    </w:p>
    <w:p w14:paraId="7BC59A43" w14:textId="77777777" w:rsidR="005C7C16" w:rsidRPr="005C7C16" w:rsidRDefault="005C7C16" w:rsidP="005C7C16">
      <w:pPr>
        <w:pStyle w:val="ListParagraph"/>
        <w:numPr>
          <w:ilvl w:val="0"/>
          <w:numId w:val="12"/>
        </w:numPr>
        <w:spacing w:after="0"/>
        <w:jc w:val="both"/>
        <w:rPr>
          <w:rFonts w:cs="Arial"/>
        </w:rPr>
      </w:pPr>
      <w:r w:rsidRPr="005C7C16">
        <w:rPr>
          <w:rFonts w:cs="Arial"/>
        </w:rPr>
        <w:t xml:space="preserve">SWOT/TOWS analysis </w:t>
      </w:r>
    </w:p>
    <w:p w14:paraId="66BBEE87" w14:textId="77777777" w:rsidR="005C7C16" w:rsidRPr="00E0457B" w:rsidRDefault="005C7C16" w:rsidP="005C7C16">
      <w:pPr>
        <w:spacing w:after="0"/>
        <w:jc w:val="both"/>
        <w:rPr>
          <w:rFonts w:cs="Arial"/>
        </w:rPr>
      </w:pPr>
      <w:r w:rsidRPr="00E0457B">
        <w:rPr>
          <w:rFonts w:cs="Arial"/>
        </w:rPr>
        <w:t xml:space="preserve">Strength-Opportunity fit: Omnichannel customers spend more and exhibit higher lifetime value (Sopadjieva et. al., 2017). Supermarket Income REIT (2025) found that in the past year, ‘Tesco and Sainsbury’s have continued to be the leading operators in the UK grocery market…Tesco operates c.400 omnichannel stores in the UK and continues to invest further in its capabilities…the combined impact saw Tesco’s online sales increase by 10.2% YoY’, making this strategy highly aligned with its store network, online fulfilment capability and Clubcard data ecosystem. </w:t>
      </w:r>
    </w:p>
    <w:p w14:paraId="52BAAA5A" w14:textId="77777777" w:rsidR="005C7C16" w:rsidRPr="00E0457B" w:rsidRDefault="005C7C16" w:rsidP="005C7C16">
      <w:pPr>
        <w:spacing w:after="0"/>
        <w:jc w:val="both"/>
        <w:rPr>
          <w:rFonts w:cs="Arial"/>
        </w:rPr>
      </w:pPr>
    </w:p>
    <w:p w14:paraId="5E261B74" w14:textId="77777777" w:rsidR="005C7C16" w:rsidRPr="00E0457B" w:rsidRDefault="005C7C16" w:rsidP="005C7C16">
      <w:pPr>
        <w:spacing w:after="0"/>
        <w:jc w:val="both"/>
        <w:rPr>
          <w:rFonts w:cs="Arial"/>
        </w:rPr>
      </w:pPr>
      <w:r w:rsidRPr="00E0457B">
        <w:rPr>
          <w:rFonts w:cs="Arial"/>
        </w:rPr>
        <w:t xml:space="preserve">Weakness-Threat exposure: Complexity and integration risks are significant. Legacy systems, organisational silos and fragmented data architectures can hinder seamless experiences. BCG’s research shows many digital/omnichannel transformations fail because companies lack integrated operating model alignment due to functional silos and weak cross-department collaboration that undermines transformation success (Lukic et. al., 2022). </w:t>
      </w:r>
    </w:p>
    <w:p w14:paraId="76F82C65" w14:textId="77777777" w:rsidR="005C7C16" w:rsidRPr="00E0457B" w:rsidRDefault="005C7C16" w:rsidP="005C7C16">
      <w:pPr>
        <w:spacing w:after="0"/>
        <w:jc w:val="both"/>
        <w:rPr>
          <w:rFonts w:cs="Arial"/>
        </w:rPr>
      </w:pPr>
    </w:p>
    <w:p w14:paraId="29CC172E" w14:textId="77777777" w:rsidR="005C7C16" w:rsidRPr="005C7C16" w:rsidRDefault="005C7C16" w:rsidP="005C7C16">
      <w:pPr>
        <w:pStyle w:val="ListParagraph"/>
        <w:numPr>
          <w:ilvl w:val="0"/>
          <w:numId w:val="12"/>
        </w:numPr>
        <w:spacing w:after="0"/>
        <w:jc w:val="both"/>
        <w:rPr>
          <w:rFonts w:cs="Arial"/>
        </w:rPr>
      </w:pPr>
      <w:r w:rsidRPr="005C7C16">
        <w:rPr>
          <w:rFonts w:cs="Arial"/>
        </w:rPr>
        <w:t>Feasibility and Cost</w:t>
      </w:r>
    </w:p>
    <w:p w14:paraId="15A1F630" w14:textId="77777777" w:rsidR="005C7C16" w:rsidRPr="00E0457B" w:rsidRDefault="005C7C16" w:rsidP="005C7C16">
      <w:pPr>
        <w:spacing w:after="0"/>
        <w:jc w:val="both"/>
        <w:rPr>
          <w:rFonts w:cs="Arial"/>
        </w:rPr>
      </w:pPr>
      <w:r w:rsidRPr="00E0457B">
        <w:rPr>
          <w:rFonts w:cs="Arial"/>
        </w:rPr>
        <w:t xml:space="preserve">This option requires investment in cloud modernisation, unified customer data and staff enablement tools. In ensuring legacy systems are updated and organisational silos are eradicated, significant financial investment will be required. However, this </w:t>
      </w:r>
      <w:r w:rsidRPr="00E0457B">
        <w:rPr>
          <w:rFonts w:cs="Arial"/>
        </w:rPr>
        <w:lastRenderedPageBreak/>
        <w:t>initial (albeit substantial) upfront cost would leverage existing assets more efficiently than a human-only strategy.</w:t>
      </w:r>
    </w:p>
    <w:p w14:paraId="016E44F1" w14:textId="77777777" w:rsidR="005C7C16" w:rsidRPr="00E0457B" w:rsidRDefault="005C7C16" w:rsidP="005C7C16">
      <w:pPr>
        <w:spacing w:after="0"/>
        <w:jc w:val="both"/>
        <w:rPr>
          <w:rFonts w:cs="Arial"/>
        </w:rPr>
      </w:pPr>
    </w:p>
    <w:p w14:paraId="7E57792F" w14:textId="77777777" w:rsidR="005C7C16" w:rsidRPr="005C7C16" w:rsidRDefault="005C7C16" w:rsidP="005C7C16">
      <w:pPr>
        <w:pStyle w:val="ListParagraph"/>
        <w:numPr>
          <w:ilvl w:val="0"/>
          <w:numId w:val="12"/>
        </w:numPr>
        <w:spacing w:after="0"/>
        <w:jc w:val="both"/>
        <w:rPr>
          <w:rFonts w:cs="Arial"/>
        </w:rPr>
      </w:pPr>
      <w:r w:rsidRPr="005C7C16">
        <w:rPr>
          <w:rFonts w:cs="Arial"/>
        </w:rPr>
        <w:t xml:space="preserve">Overall Assessment </w:t>
      </w:r>
    </w:p>
    <w:p w14:paraId="7CD103A5" w14:textId="77777777" w:rsidR="005C7C16" w:rsidRPr="00E0457B" w:rsidRDefault="005C7C16" w:rsidP="005C7C16">
      <w:pPr>
        <w:spacing w:after="0"/>
        <w:jc w:val="both"/>
        <w:rPr>
          <w:rFonts w:cs="Arial"/>
        </w:rPr>
      </w:pPr>
      <w:r w:rsidRPr="00E0457B">
        <w:rPr>
          <w:rFonts w:cs="Arial"/>
        </w:rPr>
        <w:t>This option offers the strongest strategic fit in personalised customer care for Tesco. It balances cost, scalability and personal connection while mitigating threats from discounters through differentiated experience and retaining efficiency.</w:t>
      </w:r>
    </w:p>
    <w:p w14:paraId="7985DB2E" w14:textId="77777777" w:rsidR="005C7C16" w:rsidRPr="00E0457B" w:rsidRDefault="005C7C16" w:rsidP="005C7C16">
      <w:pPr>
        <w:spacing w:after="0"/>
        <w:jc w:val="both"/>
        <w:rPr>
          <w:rFonts w:cs="Arial"/>
        </w:rPr>
      </w:pPr>
    </w:p>
    <w:p w14:paraId="1F3678DC" w14:textId="77777777" w:rsidR="005C7C16" w:rsidRPr="00E0457B" w:rsidRDefault="005C7C16" w:rsidP="005C7C16">
      <w:pPr>
        <w:spacing w:after="0"/>
        <w:jc w:val="both"/>
        <w:rPr>
          <w:rFonts w:cs="Arial"/>
        </w:rPr>
      </w:pPr>
      <w:r w:rsidRPr="00E0457B">
        <w:rPr>
          <w:rFonts w:cs="Arial"/>
        </w:rPr>
        <w:t xml:space="preserve">Using TOWS logic, the hybrid omnichannel strategy is the most sustainable option. It leverages Tesco’s scale, data and store network while balancing cost-efficiency with human differentiation. Digital personalisation alone is high return but vulnerable to regulation and becoming indistinguishable. Human-centric service alone is also costly and difficult to scale. The hybrid model best supports agility, customer obsession, digital innovation and designing ‘custom omnichannel experiences’ supporting ‘a customer-centric mindset throughout the organisation’ (Amar et. al., 2020). </w:t>
      </w:r>
    </w:p>
    <w:p w14:paraId="07C76139" w14:textId="77777777" w:rsidR="005C7C16" w:rsidRPr="00E0457B" w:rsidRDefault="005C7C16" w:rsidP="005C7C16">
      <w:pPr>
        <w:spacing w:after="0"/>
        <w:jc w:val="both"/>
        <w:rPr>
          <w:rFonts w:cs="Arial"/>
        </w:rPr>
      </w:pPr>
    </w:p>
    <w:p w14:paraId="469D6672" w14:textId="6AE9F6FF" w:rsidR="005C7C16" w:rsidRPr="005C7C16" w:rsidRDefault="005C7C16" w:rsidP="005C7C16">
      <w:pPr>
        <w:spacing w:after="0"/>
        <w:jc w:val="both"/>
        <w:rPr>
          <w:rFonts w:cs="Arial"/>
          <w:u w:val="single"/>
        </w:rPr>
      </w:pPr>
      <w:r w:rsidRPr="005C7C16">
        <w:rPr>
          <w:rFonts w:cs="Arial"/>
          <w:u w:val="single"/>
        </w:rPr>
        <w:t xml:space="preserve">Strategic Direction </w:t>
      </w:r>
    </w:p>
    <w:p w14:paraId="1F6FED4C" w14:textId="77777777" w:rsidR="005C7C16" w:rsidRPr="00E0457B" w:rsidRDefault="005C7C16" w:rsidP="005C7C16">
      <w:pPr>
        <w:spacing w:after="0"/>
        <w:jc w:val="both"/>
        <w:rPr>
          <w:rFonts w:cs="Arial"/>
        </w:rPr>
      </w:pPr>
      <w:r w:rsidRPr="00E0457B">
        <w:rPr>
          <w:rFonts w:cs="Arial"/>
        </w:rPr>
        <w:t>Tesco should pursue a hybrid omnichannel personalisation strategy, integrating AI-driven digital personalisation with enhanced human service across its store network. This approach leverages Tesco’s structural strengths (scale, Clubcard data, fulfilment infrastructure) whilst addressing threats from discounters, regulatory scrutiny and cost pressures. This option creates a differentiated, agile and resilient strategic position for personalised customer care in a variable environment.</w:t>
      </w:r>
    </w:p>
    <w:p w14:paraId="23EF33D5" w14:textId="77777777" w:rsidR="005C7C16" w:rsidRPr="00E0457B" w:rsidRDefault="005C7C16" w:rsidP="005C7C16">
      <w:pPr>
        <w:spacing w:after="0"/>
        <w:jc w:val="both"/>
        <w:rPr>
          <w:rFonts w:cs="Arial"/>
          <w:b/>
          <w:bCs/>
        </w:rPr>
      </w:pPr>
    </w:p>
    <w:p w14:paraId="2AA44733" w14:textId="77777777" w:rsidR="005C7C16" w:rsidRPr="005C7C16" w:rsidRDefault="005C7C16" w:rsidP="005C7C16">
      <w:pPr>
        <w:spacing w:after="0"/>
        <w:jc w:val="both"/>
        <w:rPr>
          <w:rFonts w:cs="Arial"/>
          <w:i/>
          <w:iCs/>
        </w:rPr>
      </w:pPr>
      <w:r w:rsidRPr="005C7C16">
        <w:rPr>
          <w:rFonts w:cs="Arial"/>
          <w:i/>
          <w:iCs/>
        </w:rPr>
        <w:t>Ansoff Matrix</w:t>
      </w:r>
    </w:p>
    <w:p w14:paraId="7B4C3AAD" w14:textId="77777777" w:rsidR="005C7C16" w:rsidRPr="00E0457B" w:rsidRDefault="005C7C16" w:rsidP="005C7C16">
      <w:pPr>
        <w:spacing w:after="0"/>
        <w:jc w:val="both"/>
        <w:rPr>
          <w:rFonts w:cs="Arial"/>
        </w:rPr>
      </w:pPr>
      <w:r w:rsidRPr="00E0457B">
        <w:rPr>
          <w:rFonts w:cs="Arial"/>
        </w:rPr>
        <w:lastRenderedPageBreak/>
        <w:t>Tesco operates in a mature, low-growth category where market penetration strategies focused on deepening relationships with existing customers are most effective. Personalised omnichannel experiences can increase wallet share, frequency and retention. A study of 46,000 consumers found the more channels a customer uses, the more valuable they are with customers using four or more channels spending ‘9% more in the store, on average, when compared to those who used just one channel’ (Sopadjieva et. al., 2017). The hybrid model also enables market development in Ansoff’s matrix - reaching digital first younger customers and value conscious shoppers with tailored promotions, expanding Tesco’s market reach without costly physical expansion.</w:t>
      </w:r>
    </w:p>
    <w:p w14:paraId="3674062B" w14:textId="77777777" w:rsidR="005C7C16" w:rsidRPr="00E0457B" w:rsidRDefault="005C7C16" w:rsidP="005C7C16">
      <w:pPr>
        <w:spacing w:after="0"/>
        <w:jc w:val="both"/>
        <w:rPr>
          <w:rFonts w:cs="Arial"/>
          <w:b/>
          <w:bCs/>
        </w:rPr>
      </w:pPr>
    </w:p>
    <w:p w14:paraId="1C1D7B43" w14:textId="77777777" w:rsidR="005C7C16" w:rsidRPr="005C7C16" w:rsidRDefault="005C7C16" w:rsidP="005C7C16">
      <w:pPr>
        <w:spacing w:after="0"/>
        <w:jc w:val="both"/>
        <w:rPr>
          <w:rFonts w:cs="Arial"/>
          <w:i/>
          <w:iCs/>
        </w:rPr>
      </w:pPr>
      <w:r w:rsidRPr="005C7C16">
        <w:rPr>
          <w:rFonts w:cs="Arial"/>
          <w:i/>
          <w:iCs/>
        </w:rPr>
        <w:t>Blue Ocean Strategy</w:t>
      </w:r>
    </w:p>
    <w:p w14:paraId="320E7270" w14:textId="77777777" w:rsidR="005C7C16" w:rsidRPr="00E0457B" w:rsidRDefault="005C7C16" w:rsidP="005C7C16">
      <w:pPr>
        <w:spacing w:after="0"/>
        <w:jc w:val="both"/>
        <w:rPr>
          <w:rFonts w:cs="Arial"/>
        </w:rPr>
      </w:pPr>
      <w:r w:rsidRPr="00E0457B">
        <w:rPr>
          <w:rFonts w:cs="Arial"/>
        </w:rPr>
        <w:t>Discounter supermarkets (i.e., Aldi and Lidl) compete mainly on price with minimal service and basic digital capability (Rice, 2019), creating a crowded ‘red ocean.’ The hybrid strategy generates a blue ocean of personalised value by combining digital convenience, emotional service and store-led fulfilment efficiencies. This value proposition is difficult for discounters and premium retailers alike to replicate. As Kim &amp; Mauborgne (2005) highlight, blue oceans arise from reconstructing the value chain to deliver simultaneous differentiation and on ‘the path to profitable growth’.</w:t>
      </w:r>
    </w:p>
    <w:p w14:paraId="6F48F5E5" w14:textId="77777777" w:rsidR="005C7C16" w:rsidRPr="005C7C16" w:rsidRDefault="005C7C16" w:rsidP="005C7C16">
      <w:pPr>
        <w:spacing w:after="0"/>
        <w:jc w:val="both"/>
        <w:rPr>
          <w:rFonts w:cs="Arial"/>
          <w:b/>
          <w:bCs/>
          <w:i/>
          <w:iCs/>
        </w:rPr>
      </w:pPr>
    </w:p>
    <w:p w14:paraId="5D0E4FC5" w14:textId="77777777" w:rsidR="005C7C16" w:rsidRPr="005C7C16" w:rsidRDefault="005C7C16" w:rsidP="005C7C16">
      <w:pPr>
        <w:spacing w:after="0"/>
        <w:jc w:val="both"/>
        <w:rPr>
          <w:rFonts w:cs="Arial"/>
          <w:i/>
          <w:iCs/>
        </w:rPr>
      </w:pPr>
      <w:r w:rsidRPr="005C7C16">
        <w:rPr>
          <w:rFonts w:cs="Arial"/>
          <w:i/>
          <w:iCs/>
        </w:rPr>
        <w:t>Strategic Agility and Dynamic Capabilities</w:t>
      </w:r>
    </w:p>
    <w:p w14:paraId="091722E5" w14:textId="77777777" w:rsidR="005C7C16" w:rsidRPr="00E0457B" w:rsidRDefault="005C7C16" w:rsidP="005C7C16">
      <w:pPr>
        <w:spacing w:after="0"/>
        <w:jc w:val="both"/>
        <w:rPr>
          <w:rFonts w:cs="Arial"/>
        </w:rPr>
      </w:pPr>
      <w:r w:rsidRPr="00E0457B">
        <w:rPr>
          <w:rFonts w:cs="Arial"/>
        </w:rPr>
        <w:t xml:space="preserve">The hybrid approach strengthens Tesco’s dynamic capabilities by integrating sensing (customer data), seizing (AI-driven offers) and transforming (store enablement and process redesign) (Teece, 2007). This accelerates customer insight loops, enabling </w:t>
      </w:r>
      <w:r w:rsidRPr="00E0457B">
        <w:rPr>
          <w:rFonts w:cs="Arial"/>
        </w:rPr>
        <w:lastRenderedPageBreak/>
        <w:t>rapid response to price shocks, supply issues or shifting customer preferences. All of which are essential in geopolitical and inflation driven instability.</w:t>
      </w:r>
    </w:p>
    <w:p w14:paraId="57A25500" w14:textId="77777777" w:rsidR="005C7C16" w:rsidRPr="00E0457B" w:rsidRDefault="005C7C16" w:rsidP="005C7C16">
      <w:pPr>
        <w:spacing w:after="0"/>
        <w:jc w:val="both"/>
        <w:rPr>
          <w:rFonts w:cs="Arial"/>
          <w:b/>
          <w:bCs/>
        </w:rPr>
      </w:pPr>
    </w:p>
    <w:p w14:paraId="09A3C87B" w14:textId="77777777" w:rsidR="005C7C16" w:rsidRPr="005C7C16" w:rsidRDefault="005C7C16" w:rsidP="005C7C16">
      <w:pPr>
        <w:spacing w:after="0"/>
        <w:jc w:val="both"/>
        <w:rPr>
          <w:rFonts w:cs="Arial"/>
          <w:i/>
          <w:iCs/>
        </w:rPr>
      </w:pPr>
      <w:r w:rsidRPr="005C7C16">
        <w:rPr>
          <w:rFonts w:cs="Arial"/>
          <w:i/>
          <w:iCs/>
        </w:rPr>
        <w:t>Customer-Care Innovation</w:t>
      </w:r>
    </w:p>
    <w:p w14:paraId="6B4EC43D" w14:textId="77777777" w:rsidR="005C7C16" w:rsidRPr="00E0457B" w:rsidRDefault="005C7C16" w:rsidP="005C7C16">
      <w:pPr>
        <w:spacing w:after="0"/>
        <w:jc w:val="both"/>
        <w:rPr>
          <w:rFonts w:cs="Arial"/>
        </w:rPr>
      </w:pPr>
      <w:r w:rsidRPr="00E0457B">
        <w:rPr>
          <w:rFonts w:cs="Arial"/>
        </w:rPr>
        <w:t>Research shows leaders have found ‘proven ways to drive 5 to 15 percent increases in revenue and 10 to 30 percent increases in marketing-spend efficiency’ through personalisation and deploying ‘triggered communications’ across channels. (Boudet, et. al, 2019). Combining digital recommendations with in-store staff support enhances emotional loyalty and experiential value - key differentiators in an interchangeable grocery market.</w:t>
      </w:r>
    </w:p>
    <w:p w14:paraId="47CB42C8" w14:textId="77777777" w:rsidR="005C7C16" w:rsidRPr="00E0457B" w:rsidRDefault="005C7C16" w:rsidP="005C7C16">
      <w:pPr>
        <w:spacing w:after="0"/>
        <w:jc w:val="both"/>
        <w:rPr>
          <w:rFonts w:cs="Arial"/>
          <w:b/>
          <w:bCs/>
        </w:rPr>
      </w:pPr>
    </w:p>
    <w:p w14:paraId="5BCDDEC7" w14:textId="0F61CAC9" w:rsidR="005C7C16" w:rsidRPr="00E0457B" w:rsidRDefault="005C7C16" w:rsidP="005C7C16">
      <w:pPr>
        <w:spacing w:after="0"/>
        <w:jc w:val="both"/>
        <w:rPr>
          <w:rFonts w:cs="Arial"/>
        </w:rPr>
      </w:pPr>
      <w:r w:rsidRPr="00E0457B">
        <w:rPr>
          <w:rFonts w:cs="Arial"/>
        </w:rPr>
        <w:t>The below roadmap outlines how Tesco’s could implement this strategic direction with the resources required for each stage and suggested key performance indicators (</w:t>
      </w:r>
      <w:r w:rsidR="00315A21" w:rsidRPr="00E0457B">
        <w:rPr>
          <w:rFonts w:cs="Arial"/>
        </w:rPr>
        <w:t>KPIs</w:t>
      </w:r>
      <w:r w:rsidRPr="00E0457B">
        <w:rPr>
          <w:rFonts w:cs="Arial"/>
        </w:rPr>
        <w:t xml:space="preserve">) to enable success: </w:t>
      </w:r>
    </w:p>
    <w:p w14:paraId="03E85642" w14:textId="77777777" w:rsidR="005C7C16" w:rsidRPr="00E0457B" w:rsidRDefault="005C7C16" w:rsidP="005C7C16">
      <w:pPr>
        <w:spacing w:after="0"/>
        <w:jc w:val="both"/>
        <w:rPr>
          <w:rFonts w:cs="Arial"/>
          <w:b/>
          <w:bCs/>
        </w:rPr>
      </w:pPr>
    </w:p>
    <w:p w14:paraId="0341CCEA" w14:textId="77777777" w:rsidR="005C7C16" w:rsidRPr="00E0457B" w:rsidRDefault="005C7C16" w:rsidP="005C7C16">
      <w:pPr>
        <w:spacing w:after="0"/>
        <w:jc w:val="both"/>
        <w:rPr>
          <w:rFonts w:cs="Arial"/>
          <w:b/>
          <w:bCs/>
        </w:rPr>
      </w:pPr>
      <w:r w:rsidRPr="00E0457B">
        <w:rPr>
          <w:rFonts w:cs="Arial"/>
          <w:b/>
          <w:bCs/>
          <w:noProof/>
        </w:rPr>
        <w:drawing>
          <wp:inline distT="0" distB="0" distL="0" distR="0" wp14:anchorId="1313AA3D" wp14:editId="747692E4">
            <wp:extent cx="5731510" cy="1034415"/>
            <wp:effectExtent l="0" t="0" r="2540" b="0"/>
            <wp:docPr id="527686221" name="Picture 1" descr="A diagram of a baby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86221" name="Picture 1" descr="A diagram of a baby food&#10;&#10;AI-generated content may be incorrect."/>
                    <pic:cNvPicPr/>
                  </pic:nvPicPr>
                  <pic:blipFill>
                    <a:blip r:embed="rId7"/>
                    <a:stretch>
                      <a:fillRect/>
                    </a:stretch>
                  </pic:blipFill>
                  <pic:spPr>
                    <a:xfrm>
                      <a:off x="0" y="0"/>
                      <a:ext cx="5731510" cy="1034415"/>
                    </a:xfrm>
                    <a:prstGeom prst="rect">
                      <a:avLst/>
                    </a:prstGeom>
                  </pic:spPr>
                </pic:pic>
              </a:graphicData>
            </a:graphic>
          </wp:inline>
        </w:drawing>
      </w:r>
    </w:p>
    <w:p w14:paraId="694CA16B" w14:textId="77777777" w:rsidR="005C7C16" w:rsidRPr="00E0457B" w:rsidRDefault="005C7C16" w:rsidP="005C7C16">
      <w:pPr>
        <w:spacing w:after="0"/>
        <w:jc w:val="both"/>
        <w:rPr>
          <w:rFonts w:cs="Arial"/>
          <w:b/>
          <w:bCs/>
        </w:rPr>
      </w:pPr>
    </w:p>
    <w:tbl>
      <w:tblPr>
        <w:tblStyle w:val="TableGrid"/>
        <w:tblW w:w="0" w:type="auto"/>
        <w:tblLook w:val="04A0" w:firstRow="1" w:lastRow="0" w:firstColumn="1" w:lastColumn="0" w:noHBand="0" w:noVBand="1"/>
      </w:tblPr>
      <w:tblGrid>
        <w:gridCol w:w="1555"/>
        <w:gridCol w:w="2258"/>
        <w:gridCol w:w="2625"/>
        <w:gridCol w:w="2578"/>
      </w:tblGrid>
      <w:tr w:rsidR="005C7C16" w:rsidRPr="00E0457B" w14:paraId="431CC0F8" w14:textId="77777777" w:rsidTr="00F72A63">
        <w:tc>
          <w:tcPr>
            <w:tcW w:w="1561" w:type="dxa"/>
          </w:tcPr>
          <w:p w14:paraId="3BD966C1" w14:textId="77777777" w:rsidR="005C7C16" w:rsidRPr="00E0457B" w:rsidRDefault="005C7C16" w:rsidP="005C7C16">
            <w:pPr>
              <w:jc w:val="center"/>
              <w:rPr>
                <w:rFonts w:ascii="Arial" w:hAnsi="Arial" w:cs="Arial"/>
                <w:b/>
                <w:bCs/>
              </w:rPr>
            </w:pPr>
            <w:r w:rsidRPr="00E0457B">
              <w:rPr>
                <w:rFonts w:ascii="Arial" w:hAnsi="Arial" w:cs="Arial"/>
                <w:b/>
                <w:bCs/>
              </w:rPr>
              <w:t>Phase</w:t>
            </w:r>
          </w:p>
        </w:tc>
        <w:tc>
          <w:tcPr>
            <w:tcW w:w="2120" w:type="dxa"/>
          </w:tcPr>
          <w:p w14:paraId="1E47CEA3" w14:textId="77777777" w:rsidR="005C7C16" w:rsidRPr="00E0457B" w:rsidRDefault="005C7C16" w:rsidP="005C7C16">
            <w:pPr>
              <w:jc w:val="center"/>
              <w:rPr>
                <w:rFonts w:ascii="Arial" w:hAnsi="Arial" w:cs="Arial"/>
                <w:b/>
                <w:bCs/>
              </w:rPr>
            </w:pPr>
            <w:r w:rsidRPr="00E0457B">
              <w:rPr>
                <w:rFonts w:ascii="Arial" w:hAnsi="Arial" w:cs="Arial"/>
                <w:b/>
                <w:bCs/>
              </w:rPr>
              <w:t>Initiative</w:t>
            </w:r>
          </w:p>
        </w:tc>
        <w:tc>
          <w:tcPr>
            <w:tcW w:w="2985" w:type="dxa"/>
          </w:tcPr>
          <w:p w14:paraId="43CEF27F" w14:textId="77777777" w:rsidR="005C7C16" w:rsidRPr="00E0457B" w:rsidRDefault="005C7C16" w:rsidP="005C7C16">
            <w:pPr>
              <w:jc w:val="center"/>
              <w:rPr>
                <w:rFonts w:ascii="Arial" w:hAnsi="Arial" w:cs="Arial"/>
                <w:b/>
                <w:bCs/>
              </w:rPr>
            </w:pPr>
            <w:r w:rsidRPr="00E0457B">
              <w:rPr>
                <w:rFonts w:ascii="Arial" w:hAnsi="Arial" w:cs="Arial"/>
                <w:b/>
                <w:bCs/>
              </w:rPr>
              <w:t>Resources</w:t>
            </w:r>
          </w:p>
        </w:tc>
        <w:tc>
          <w:tcPr>
            <w:tcW w:w="2350" w:type="dxa"/>
          </w:tcPr>
          <w:p w14:paraId="7539BD36" w14:textId="51115A51" w:rsidR="005C7C16" w:rsidRPr="00E0457B" w:rsidRDefault="00315A21" w:rsidP="005C7C16">
            <w:pPr>
              <w:jc w:val="center"/>
              <w:rPr>
                <w:rFonts w:ascii="Arial" w:hAnsi="Arial" w:cs="Arial"/>
                <w:b/>
                <w:bCs/>
              </w:rPr>
            </w:pPr>
            <w:r w:rsidRPr="00E0457B">
              <w:rPr>
                <w:rFonts w:ascii="Arial" w:hAnsi="Arial" w:cs="Arial"/>
                <w:b/>
                <w:bCs/>
              </w:rPr>
              <w:t>KPIs</w:t>
            </w:r>
          </w:p>
        </w:tc>
      </w:tr>
      <w:tr w:rsidR="005C7C16" w:rsidRPr="00E0457B" w14:paraId="4119118B" w14:textId="77777777" w:rsidTr="00F72A63">
        <w:tc>
          <w:tcPr>
            <w:tcW w:w="1561" w:type="dxa"/>
            <w:vAlign w:val="center"/>
          </w:tcPr>
          <w:p w14:paraId="4123C9C7" w14:textId="77777777" w:rsidR="005C7C16" w:rsidRPr="00E0457B" w:rsidRDefault="005C7C16" w:rsidP="005C7C16">
            <w:pPr>
              <w:rPr>
                <w:rFonts w:ascii="Arial" w:hAnsi="Arial" w:cs="Arial"/>
                <w:b/>
                <w:bCs/>
              </w:rPr>
            </w:pPr>
            <w:r w:rsidRPr="00E0457B">
              <w:rPr>
                <w:rFonts w:ascii="Arial" w:hAnsi="Arial" w:cs="Arial"/>
                <w:b/>
                <w:bCs/>
              </w:rPr>
              <w:t>Foundation</w:t>
            </w:r>
          </w:p>
        </w:tc>
        <w:tc>
          <w:tcPr>
            <w:tcW w:w="2120" w:type="dxa"/>
          </w:tcPr>
          <w:p w14:paraId="1500AF69" w14:textId="0D31FA59" w:rsidR="005C7C16" w:rsidRPr="00E0457B" w:rsidRDefault="005C7C16" w:rsidP="005C7C16">
            <w:pPr>
              <w:pStyle w:val="ListParagraph"/>
              <w:numPr>
                <w:ilvl w:val="0"/>
                <w:numId w:val="3"/>
              </w:numPr>
              <w:rPr>
                <w:rFonts w:ascii="Arial" w:hAnsi="Arial" w:cs="Arial"/>
              </w:rPr>
            </w:pPr>
            <w:r w:rsidRPr="00E0457B">
              <w:rPr>
                <w:rFonts w:ascii="Arial" w:hAnsi="Arial" w:cs="Arial"/>
              </w:rPr>
              <w:t xml:space="preserve">Modernise customer data </w:t>
            </w:r>
            <w:r w:rsidR="00315A21" w:rsidRPr="00E0457B">
              <w:rPr>
                <w:rFonts w:ascii="Arial" w:hAnsi="Arial" w:cs="Arial"/>
              </w:rPr>
              <w:t>platform.</w:t>
            </w:r>
          </w:p>
          <w:p w14:paraId="565619FF" w14:textId="357FE9C0" w:rsidR="005C7C16" w:rsidRPr="00E0457B" w:rsidRDefault="005C7C16" w:rsidP="005C7C16">
            <w:pPr>
              <w:pStyle w:val="ListParagraph"/>
              <w:numPr>
                <w:ilvl w:val="0"/>
                <w:numId w:val="3"/>
              </w:numPr>
              <w:rPr>
                <w:rFonts w:ascii="Arial" w:hAnsi="Arial" w:cs="Arial"/>
              </w:rPr>
            </w:pPr>
            <w:r w:rsidRPr="00E0457B">
              <w:rPr>
                <w:rFonts w:ascii="Arial" w:hAnsi="Arial" w:cs="Arial"/>
              </w:rPr>
              <w:t xml:space="preserve">Map omnichannel customer </w:t>
            </w:r>
            <w:r w:rsidR="00315A21" w:rsidRPr="00E0457B">
              <w:rPr>
                <w:rFonts w:ascii="Arial" w:hAnsi="Arial" w:cs="Arial"/>
              </w:rPr>
              <w:t>journeys.</w:t>
            </w:r>
          </w:p>
          <w:p w14:paraId="40303716" w14:textId="6054C317" w:rsidR="005C7C16" w:rsidRPr="00E0457B" w:rsidRDefault="005C7C16" w:rsidP="005C7C16">
            <w:pPr>
              <w:pStyle w:val="ListParagraph"/>
              <w:numPr>
                <w:ilvl w:val="0"/>
                <w:numId w:val="3"/>
              </w:numPr>
              <w:rPr>
                <w:rFonts w:ascii="Arial" w:hAnsi="Arial" w:cs="Arial"/>
              </w:rPr>
            </w:pPr>
            <w:r w:rsidRPr="00E0457B">
              <w:rPr>
                <w:rFonts w:ascii="Arial" w:hAnsi="Arial" w:cs="Arial"/>
              </w:rPr>
              <w:t xml:space="preserve">Pilot personalised </w:t>
            </w:r>
            <w:r w:rsidRPr="00E0457B">
              <w:rPr>
                <w:rFonts w:ascii="Arial" w:hAnsi="Arial" w:cs="Arial"/>
              </w:rPr>
              <w:lastRenderedPageBreak/>
              <w:t xml:space="preserve">offers and staff </w:t>
            </w:r>
            <w:r w:rsidR="00315A21" w:rsidRPr="00E0457B">
              <w:rPr>
                <w:rFonts w:ascii="Arial" w:hAnsi="Arial" w:cs="Arial"/>
              </w:rPr>
              <w:t>prompts.</w:t>
            </w:r>
          </w:p>
          <w:p w14:paraId="14BE0C9B"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t>Establish algorithmic governance</w:t>
            </w:r>
          </w:p>
        </w:tc>
        <w:tc>
          <w:tcPr>
            <w:tcW w:w="2985" w:type="dxa"/>
          </w:tcPr>
          <w:p w14:paraId="59F63FF8"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lastRenderedPageBreak/>
              <w:t>People - data engineers, data scientists, researchers, compliance specialists</w:t>
            </w:r>
          </w:p>
          <w:p w14:paraId="5700E6A2"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t xml:space="preserve">Technology - customer data platforms, analytic tools, customer </w:t>
            </w:r>
            <w:r w:rsidRPr="00E0457B">
              <w:rPr>
                <w:rFonts w:ascii="Arial" w:hAnsi="Arial" w:cs="Arial"/>
              </w:rPr>
              <w:lastRenderedPageBreak/>
              <w:t>relationship management integration</w:t>
            </w:r>
          </w:p>
          <w:p w14:paraId="589CB103" w14:textId="70E67F74" w:rsidR="005C7C16" w:rsidRPr="00E0457B" w:rsidRDefault="005C7C16" w:rsidP="005C7C16">
            <w:pPr>
              <w:pStyle w:val="ListParagraph"/>
              <w:numPr>
                <w:ilvl w:val="0"/>
                <w:numId w:val="3"/>
              </w:numPr>
              <w:rPr>
                <w:rFonts w:ascii="Arial" w:hAnsi="Arial" w:cs="Arial"/>
              </w:rPr>
            </w:pPr>
            <w:r w:rsidRPr="00E0457B">
              <w:rPr>
                <w:rFonts w:ascii="Arial" w:hAnsi="Arial" w:cs="Arial"/>
              </w:rPr>
              <w:t xml:space="preserve">Process - governance frameworks, data privacy </w:t>
            </w:r>
            <w:r w:rsidR="00315A21" w:rsidRPr="00E0457B">
              <w:rPr>
                <w:rFonts w:ascii="Arial" w:hAnsi="Arial" w:cs="Arial"/>
              </w:rPr>
              <w:t>protocols.</w:t>
            </w:r>
          </w:p>
          <w:p w14:paraId="0E3FA9F8"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t>Budget - platform upgrades, pilot programs</w:t>
            </w:r>
          </w:p>
        </w:tc>
        <w:tc>
          <w:tcPr>
            <w:tcW w:w="2350" w:type="dxa"/>
          </w:tcPr>
          <w:p w14:paraId="3B683575"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lastRenderedPageBreak/>
              <w:t>% of customer data unified</w:t>
            </w:r>
          </w:p>
          <w:p w14:paraId="27D7A358" w14:textId="1022C17B" w:rsidR="005C7C16" w:rsidRPr="00E0457B" w:rsidRDefault="005C7C16" w:rsidP="005C7C16">
            <w:pPr>
              <w:pStyle w:val="ListParagraph"/>
              <w:numPr>
                <w:ilvl w:val="0"/>
                <w:numId w:val="3"/>
              </w:numPr>
              <w:rPr>
                <w:rFonts w:ascii="Arial" w:hAnsi="Arial" w:cs="Arial"/>
              </w:rPr>
            </w:pPr>
            <w:r w:rsidRPr="00E0457B">
              <w:rPr>
                <w:rFonts w:ascii="Arial" w:hAnsi="Arial" w:cs="Arial"/>
              </w:rPr>
              <w:t>Number of friction points identified/</w:t>
            </w:r>
            <w:r w:rsidR="00315A21" w:rsidRPr="00E0457B">
              <w:rPr>
                <w:rFonts w:ascii="Arial" w:hAnsi="Arial" w:cs="Arial"/>
              </w:rPr>
              <w:t>resolved.</w:t>
            </w:r>
          </w:p>
          <w:p w14:paraId="16A238A5"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t>Pilot engagement rates</w:t>
            </w:r>
          </w:p>
          <w:p w14:paraId="6863C4F7" w14:textId="77777777" w:rsidR="005C7C16" w:rsidRPr="00E0457B" w:rsidRDefault="005C7C16" w:rsidP="005C7C16">
            <w:pPr>
              <w:pStyle w:val="ListParagraph"/>
              <w:numPr>
                <w:ilvl w:val="0"/>
                <w:numId w:val="3"/>
              </w:numPr>
              <w:rPr>
                <w:rFonts w:ascii="Arial" w:hAnsi="Arial" w:cs="Arial"/>
              </w:rPr>
            </w:pPr>
            <w:r w:rsidRPr="00E0457B">
              <w:rPr>
                <w:rFonts w:ascii="Arial" w:hAnsi="Arial" w:cs="Arial"/>
              </w:rPr>
              <w:t>Compliance score</w:t>
            </w:r>
          </w:p>
          <w:p w14:paraId="56882C51" w14:textId="77777777" w:rsidR="005C7C16" w:rsidRPr="00E0457B" w:rsidRDefault="005C7C16" w:rsidP="005C7C16">
            <w:pPr>
              <w:rPr>
                <w:rFonts w:ascii="Arial" w:hAnsi="Arial" w:cs="Arial"/>
              </w:rPr>
            </w:pPr>
          </w:p>
        </w:tc>
      </w:tr>
      <w:tr w:rsidR="005C7C16" w:rsidRPr="00E0457B" w14:paraId="32D70F74" w14:textId="77777777" w:rsidTr="00F72A63">
        <w:tc>
          <w:tcPr>
            <w:tcW w:w="1561" w:type="dxa"/>
            <w:vAlign w:val="center"/>
          </w:tcPr>
          <w:p w14:paraId="79C2CD78" w14:textId="77777777" w:rsidR="005C7C16" w:rsidRPr="00E0457B" w:rsidRDefault="005C7C16" w:rsidP="005C7C16">
            <w:pPr>
              <w:rPr>
                <w:rFonts w:ascii="Arial" w:hAnsi="Arial" w:cs="Arial"/>
                <w:b/>
                <w:bCs/>
              </w:rPr>
            </w:pPr>
            <w:r w:rsidRPr="00E0457B">
              <w:rPr>
                <w:rFonts w:ascii="Arial" w:hAnsi="Arial" w:cs="Arial"/>
                <w:b/>
                <w:bCs/>
              </w:rPr>
              <w:lastRenderedPageBreak/>
              <w:t>Integration</w:t>
            </w:r>
          </w:p>
        </w:tc>
        <w:tc>
          <w:tcPr>
            <w:tcW w:w="2120" w:type="dxa"/>
          </w:tcPr>
          <w:p w14:paraId="41517BD7" w14:textId="77777777" w:rsidR="005C7C16" w:rsidRPr="00E0457B" w:rsidRDefault="005C7C16" w:rsidP="005C7C16">
            <w:pPr>
              <w:pStyle w:val="ListParagraph"/>
              <w:numPr>
                <w:ilvl w:val="0"/>
                <w:numId w:val="4"/>
              </w:numPr>
              <w:rPr>
                <w:rFonts w:ascii="Arial" w:hAnsi="Arial" w:cs="Arial"/>
              </w:rPr>
            </w:pPr>
            <w:r w:rsidRPr="00E0457B">
              <w:rPr>
                <w:rFonts w:ascii="Arial" w:hAnsi="Arial" w:cs="Arial"/>
              </w:rPr>
              <w:t>Real-time personalisation (app, self-checkout)</w:t>
            </w:r>
          </w:p>
          <w:p w14:paraId="6E08BBB2" w14:textId="0CE6909B" w:rsidR="005C7C16" w:rsidRPr="00E0457B" w:rsidRDefault="005C7C16" w:rsidP="005C7C16">
            <w:pPr>
              <w:pStyle w:val="ListParagraph"/>
              <w:numPr>
                <w:ilvl w:val="0"/>
                <w:numId w:val="4"/>
              </w:numPr>
              <w:rPr>
                <w:rFonts w:ascii="Arial" w:hAnsi="Arial" w:cs="Arial"/>
              </w:rPr>
            </w:pPr>
            <w:r w:rsidRPr="00E0457B">
              <w:rPr>
                <w:rFonts w:ascii="Arial" w:hAnsi="Arial" w:cs="Arial"/>
              </w:rPr>
              <w:t xml:space="preserve">Deploy staff handheld devices with </w:t>
            </w:r>
            <w:r w:rsidR="00315A21" w:rsidRPr="00E0457B">
              <w:rPr>
                <w:rFonts w:ascii="Arial" w:hAnsi="Arial" w:cs="Arial"/>
              </w:rPr>
              <w:t>insights.</w:t>
            </w:r>
          </w:p>
          <w:p w14:paraId="60159EA3" w14:textId="49E1554C" w:rsidR="005C7C16" w:rsidRPr="00E0457B" w:rsidRDefault="005C7C16" w:rsidP="005C7C16">
            <w:pPr>
              <w:pStyle w:val="ListParagraph"/>
              <w:numPr>
                <w:ilvl w:val="0"/>
                <w:numId w:val="4"/>
              </w:numPr>
              <w:rPr>
                <w:rFonts w:ascii="Arial" w:hAnsi="Arial" w:cs="Arial"/>
              </w:rPr>
            </w:pPr>
            <w:r w:rsidRPr="00E0457B">
              <w:rPr>
                <w:rFonts w:ascii="Arial" w:hAnsi="Arial" w:cs="Arial"/>
              </w:rPr>
              <w:t xml:space="preserve">Expand store led fulfilment using predictive </w:t>
            </w:r>
            <w:r w:rsidR="00315A21" w:rsidRPr="00E0457B">
              <w:rPr>
                <w:rFonts w:ascii="Arial" w:hAnsi="Arial" w:cs="Arial"/>
              </w:rPr>
              <w:t>models.</w:t>
            </w:r>
          </w:p>
          <w:p w14:paraId="3873C089" w14:textId="77777777" w:rsidR="005C7C16" w:rsidRPr="00E0457B" w:rsidRDefault="005C7C16" w:rsidP="005C7C16">
            <w:pPr>
              <w:pStyle w:val="ListParagraph"/>
              <w:numPr>
                <w:ilvl w:val="0"/>
                <w:numId w:val="4"/>
              </w:numPr>
              <w:rPr>
                <w:rFonts w:ascii="Arial" w:hAnsi="Arial" w:cs="Arial"/>
              </w:rPr>
            </w:pPr>
            <w:r w:rsidRPr="00E0457B">
              <w:rPr>
                <w:rFonts w:ascii="Arial" w:hAnsi="Arial" w:cs="Arial"/>
              </w:rPr>
              <w:t>Launch omnichannel loyalty proposition</w:t>
            </w:r>
          </w:p>
        </w:tc>
        <w:tc>
          <w:tcPr>
            <w:tcW w:w="2985" w:type="dxa"/>
          </w:tcPr>
          <w:p w14:paraId="4BAE2222" w14:textId="00A16A2B" w:rsidR="005C7C16" w:rsidRPr="00E0457B" w:rsidRDefault="005C7C16" w:rsidP="005C7C16">
            <w:pPr>
              <w:pStyle w:val="ListParagraph"/>
              <w:numPr>
                <w:ilvl w:val="0"/>
                <w:numId w:val="5"/>
              </w:numPr>
              <w:rPr>
                <w:rFonts w:ascii="Arial" w:hAnsi="Arial" w:cs="Arial"/>
              </w:rPr>
            </w:pPr>
            <w:r w:rsidRPr="00E0457B">
              <w:rPr>
                <w:rFonts w:ascii="Arial" w:hAnsi="Arial" w:cs="Arial"/>
              </w:rPr>
              <w:t xml:space="preserve">People - software developers, retail operations leads, training </w:t>
            </w:r>
            <w:r w:rsidR="00315A21" w:rsidRPr="00E0457B">
              <w:rPr>
                <w:rFonts w:ascii="Arial" w:hAnsi="Arial" w:cs="Arial"/>
              </w:rPr>
              <w:t>specialists.</w:t>
            </w:r>
          </w:p>
          <w:p w14:paraId="72604E70" w14:textId="77777777" w:rsidR="005C7C16" w:rsidRPr="00E0457B" w:rsidRDefault="005C7C16" w:rsidP="005C7C16">
            <w:pPr>
              <w:pStyle w:val="ListParagraph"/>
              <w:numPr>
                <w:ilvl w:val="0"/>
                <w:numId w:val="5"/>
              </w:numPr>
              <w:rPr>
                <w:rFonts w:ascii="Arial" w:hAnsi="Arial" w:cs="Arial"/>
              </w:rPr>
            </w:pPr>
            <w:r w:rsidRPr="00E0457B">
              <w:rPr>
                <w:rFonts w:ascii="Arial" w:hAnsi="Arial" w:cs="Arial"/>
              </w:rPr>
              <w:t>Technology - personalisation engine, mobile devices, predictive analytics</w:t>
            </w:r>
          </w:p>
          <w:p w14:paraId="73AE0197" w14:textId="790730E8" w:rsidR="005C7C16" w:rsidRPr="00E0457B" w:rsidRDefault="005C7C16" w:rsidP="005C7C16">
            <w:pPr>
              <w:pStyle w:val="ListParagraph"/>
              <w:numPr>
                <w:ilvl w:val="0"/>
                <w:numId w:val="5"/>
              </w:numPr>
              <w:rPr>
                <w:rFonts w:ascii="Arial" w:hAnsi="Arial" w:cs="Arial"/>
              </w:rPr>
            </w:pPr>
            <w:r w:rsidRPr="00E0457B">
              <w:rPr>
                <w:rFonts w:ascii="Arial" w:hAnsi="Arial" w:cs="Arial"/>
              </w:rPr>
              <w:t xml:space="preserve">Process - staff onboarding, workflow </w:t>
            </w:r>
            <w:r w:rsidR="00315A21" w:rsidRPr="00E0457B">
              <w:rPr>
                <w:rFonts w:ascii="Arial" w:hAnsi="Arial" w:cs="Arial"/>
              </w:rPr>
              <w:t>integration.</w:t>
            </w:r>
            <w:r w:rsidRPr="00E0457B">
              <w:rPr>
                <w:rFonts w:ascii="Arial" w:hAnsi="Arial" w:cs="Arial"/>
              </w:rPr>
              <w:t xml:space="preserve"> </w:t>
            </w:r>
          </w:p>
          <w:p w14:paraId="757FF510" w14:textId="67EB7748" w:rsidR="005C7C16" w:rsidRPr="00E0457B" w:rsidRDefault="005C7C16" w:rsidP="005C7C16">
            <w:pPr>
              <w:pStyle w:val="ListParagraph"/>
              <w:numPr>
                <w:ilvl w:val="0"/>
                <w:numId w:val="5"/>
              </w:numPr>
              <w:rPr>
                <w:rFonts w:ascii="Arial" w:hAnsi="Arial" w:cs="Arial"/>
              </w:rPr>
            </w:pPr>
            <w:r w:rsidRPr="00E0457B">
              <w:rPr>
                <w:rFonts w:ascii="Arial" w:hAnsi="Arial" w:cs="Arial"/>
              </w:rPr>
              <w:t>Budget -procurement, system integration</w:t>
            </w:r>
            <w:r w:rsidR="00315A21">
              <w:rPr>
                <w:rFonts w:ascii="Arial" w:hAnsi="Arial" w:cs="Arial"/>
              </w:rPr>
              <w:t>.</w:t>
            </w:r>
          </w:p>
        </w:tc>
        <w:tc>
          <w:tcPr>
            <w:tcW w:w="2350" w:type="dxa"/>
          </w:tcPr>
          <w:p w14:paraId="48E966B7" w14:textId="77777777" w:rsidR="005C7C16" w:rsidRPr="00E0457B" w:rsidRDefault="005C7C16" w:rsidP="005C7C16">
            <w:pPr>
              <w:pStyle w:val="ListParagraph"/>
              <w:numPr>
                <w:ilvl w:val="0"/>
                <w:numId w:val="6"/>
              </w:numPr>
              <w:rPr>
                <w:rFonts w:ascii="Arial" w:hAnsi="Arial" w:cs="Arial"/>
              </w:rPr>
            </w:pPr>
            <w:r w:rsidRPr="00E0457B">
              <w:rPr>
                <w:rFonts w:ascii="Arial" w:hAnsi="Arial" w:cs="Arial"/>
              </w:rPr>
              <w:t>% of transactions influenced by real-time personalisation</w:t>
            </w:r>
          </w:p>
          <w:p w14:paraId="3D1656B8" w14:textId="77777777" w:rsidR="005C7C16" w:rsidRPr="00E0457B" w:rsidRDefault="005C7C16" w:rsidP="005C7C16">
            <w:pPr>
              <w:pStyle w:val="ListParagraph"/>
              <w:numPr>
                <w:ilvl w:val="0"/>
                <w:numId w:val="6"/>
              </w:numPr>
              <w:rPr>
                <w:rFonts w:ascii="Arial" w:hAnsi="Arial" w:cs="Arial"/>
              </w:rPr>
            </w:pPr>
            <w:r w:rsidRPr="00E0457B">
              <w:rPr>
                <w:rFonts w:ascii="Arial" w:hAnsi="Arial" w:cs="Arial"/>
              </w:rPr>
              <w:t>Staff adoption of handheld devices</w:t>
            </w:r>
          </w:p>
          <w:p w14:paraId="1D099B53" w14:textId="77777777" w:rsidR="005C7C16" w:rsidRPr="00E0457B" w:rsidRDefault="005C7C16" w:rsidP="005C7C16">
            <w:pPr>
              <w:pStyle w:val="ListParagraph"/>
              <w:numPr>
                <w:ilvl w:val="0"/>
                <w:numId w:val="6"/>
              </w:numPr>
              <w:rPr>
                <w:rFonts w:ascii="Arial" w:hAnsi="Arial" w:cs="Arial"/>
              </w:rPr>
            </w:pPr>
            <w:r w:rsidRPr="00E0457B">
              <w:rPr>
                <w:rFonts w:ascii="Arial" w:hAnsi="Arial" w:cs="Arial"/>
              </w:rPr>
              <w:t>Fulfilment lead time improvement</w:t>
            </w:r>
          </w:p>
          <w:p w14:paraId="149887C3" w14:textId="77777777" w:rsidR="005C7C16" w:rsidRPr="00E0457B" w:rsidRDefault="005C7C16" w:rsidP="005C7C16">
            <w:pPr>
              <w:pStyle w:val="ListParagraph"/>
              <w:numPr>
                <w:ilvl w:val="0"/>
                <w:numId w:val="6"/>
              </w:numPr>
              <w:rPr>
                <w:rFonts w:ascii="Arial" w:hAnsi="Arial" w:cs="Arial"/>
              </w:rPr>
            </w:pPr>
            <w:r w:rsidRPr="00E0457B">
              <w:rPr>
                <w:rFonts w:ascii="Arial" w:hAnsi="Arial" w:cs="Arial"/>
              </w:rPr>
              <w:t>Loyalty program engagement metrics</w:t>
            </w:r>
          </w:p>
          <w:p w14:paraId="3A9CF7B1" w14:textId="77777777" w:rsidR="005C7C16" w:rsidRPr="00E0457B" w:rsidRDefault="005C7C16" w:rsidP="005C7C16">
            <w:pPr>
              <w:rPr>
                <w:rFonts w:ascii="Arial" w:hAnsi="Arial" w:cs="Arial"/>
              </w:rPr>
            </w:pPr>
          </w:p>
        </w:tc>
      </w:tr>
      <w:tr w:rsidR="005C7C16" w:rsidRPr="00E0457B" w14:paraId="54745119" w14:textId="77777777" w:rsidTr="00F72A63">
        <w:tc>
          <w:tcPr>
            <w:tcW w:w="1561" w:type="dxa"/>
            <w:vAlign w:val="center"/>
          </w:tcPr>
          <w:p w14:paraId="7F7899EC" w14:textId="77777777" w:rsidR="005C7C16" w:rsidRPr="00E0457B" w:rsidRDefault="005C7C16" w:rsidP="005C7C16">
            <w:pPr>
              <w:rPr>
                <w:rFonts w:ascii="Arial" w:hAnsi="Arial" w:cs="Arial"/>
                <w:b/>
                <w:bCs/>
              </w:rPr>
            </w:pPr>
            <w:r w:rsidRPr="00E0457B">
              <w:rPr>
                <w:rFonts w:ascii="Arial" w:hAnsi="Arial" w:cs="Arial"/>
                <w:b/>
                <w:bCs/>
              </w:rPr>
              <w:t>Scaling and Continuous Innovation</w:t>
            </w:r>
          </w:p>
        </w:tc>
        <w:tc>
          <w:tcPr>
            <w:tcW w:w="2120" w:type="dxa"/>
          </w:tcPr>
          <w:p w14:paraId="50B5E932" w14:textId="77777777" w:rsidR="005C7C16" w:rsidRPr="00E0457B" w:rsidRDefault="005C7C16" w:rsidP="005C7C16">
            <w:pPr>
              <w:pStyle w:val="ListParagraph"/>
              <w:numPr>
                <w:ilvl w:val="0"/>
                <w:numId w:val="7"/>
              </w:numPr>
              <w:rPr>
                <w:rFonts w:ascii="Arial" w:hAnsi="Arial" w:cs="Arial"/>
              </w:rPr>
            </w:pPr>
            <w:r w:rsidRPr="00E0457B">
              <w:rPr>
                <w:rFonts w:ascii="Arial" w:hAnsi="Arial" w:cs="Arial"/>
              </w:rPr>
              <w:t>Hyperlocal pricing and stock optimisation</w:t>
            </w:r>
          </w:p>
          <w:p w14:paraId="6DC003BF" w14:textId="44CABB64" w:rsidR="005C7C16" w:rsidRPr="00E0457B" w:rsidRDefault="005C7C16" w:rsidP="005C7C16">
            <w:pPr>
              <w:pStyle w:val="ListParagraph"/>
              <w:numPr>
                <w:ilvl w:val="0"/>
                <w:numId w:val="7"/>
              </w:numPr>
              <w:rPr>
                <w:rFonts w:ascii="Arial" w:hAnsi="Arial" w:cs="Arial"/>
              </w:rPr>
            </w:pPr>
            <w:r w:rsidRPr="00E0457B">
              <w:rPr>
                <w:rFonts w:ascii="Arial" w:hAnsi="Arial" w:cs="Arial"/>
              </w:rPr>
              <w:t xml:space="preserve">Integrate retail media insights into </w:t>
            </w:r>
            <w:r w:rsidR="00315A21" w:rsidRPr="00E0457B">
              <w:rPr>
                <w:rFonts w:ascii="Arial" w:hAnsi="Arial" w:cs="Arial"/>
              </w:rPr>
              <w:t>personalisation.</w:t>
            </w:r>
          </w:p>
          <w:p w14:paraId="7A5C9564" w14:textId="6ACA70BB" w:rsidR="005C7C16" w:rsidRPr="00E0457B" w:rsidRDefault="005C7C16" w:rsidP="005C7C16">
            <w:pPr>
              <w:pStyle w:val="ListParagraph"/>
              <w:numPr>
                <w:ilvl w:val="0"/>
                <w:numId w:val="7"/>
              </w:numPr>
              <w:rPr>
                <w:rFonts w:ascii="Arial" w:hAnsi="Arial" w:cs="Arial"/>
              </w:rPr>
            </w:pPr>
            <w:r w:rsidRPr="00E0457B">
              <w:rPr>
                <w:rFonts w:ascii="Arial" w:hAnsi="Arial" w:cs="Arial"/>
              </w:rPr>
              <w:t xml:space="preserve">Continuous training and commence culture </w:t>
            </w:r>
            <w:r w:rsidR="00315A21" w:rsidRPr="00E0457B">
              <w:rPr>
                <w:rFonts w:ascii="Arial" w:hAnsi="Arial" w:cs="Arial"/>
              </w:rPr>
              <w:t>change.</w:t>
            </w:r>
          </w:p>
          <w:p w14:paraId="4CDC29D1" w14:textId="77777777" w:rsidR="005C7C16" w:rsidRPr="00E0457B" w:rsidRDefault="005C7C16" w:rsidP="005C7C16">
            <w:pPr>
              <w:pStyle w:val="ListParagraph"/>
              <w:numPr>
                <w:ilvl w:val="0"/>
                <w:numId w:val="7"/>
              </w:numPr>
              <w:rPr>
                <w:rFonts w:ascii="Arial" w:hAnsi="Arial" w:cs="Arial"/>
              </w:rPr>
            </w:pPr>
            <w:r w:rsidRPr="00E0457B">
              <w:rPr>
                <w:rFonts w:ascii="Arial" w:hAnsi="Arial" w:cs="Arial"/>
              </w:rPr>
              <w:t>Establish ‘Agile Retail Lab’ for testing and evaluation</w:t>
            </w:r>
          </w:p>
        </w:tc>
        <w:tc>
          <w:tcPr>
            <w:tcW w:w="2985" w:type="dxa"/>
          </w:tcPr>
          <w:p w14:paraId="353D26F2" w14:textId="77777777" w:rsidR="005C7C16" w:rsidRPr="00E0457B" w:rsidRDefault="005C7C16" w:rsidP="005C7C16">
            <w:pPr>
              <w:pStyle w:val="ListParagraph"/>
              <w:numPr>
                <w:ilvl w:val="0"/>
                <w:numId w:val="8"/>
              </w:numPr>
              <w:rPr>
                <w:rFonts w:ascii="Arial" w:hAnsi="Arial" w:cs="Arial"/>
              </w:rPr>
            </w:pPr>
            <w:r w:rsidRPr="00E0457B">
              <w:rPr>
                <w:rFonts w:ascii="Arial" w:hAnsi="Arial" w:cs="Arial"/>
              </w:rPr>
              <w:t>People - data scientists, retail strategy leads, innovation coaches</w:t>
            </w:r>
          </w:p>
          <w:p w14:paraId="060BDA99" w14:textId="77777777" w:rsidR="005C7C16" w:rsidRPr="00E0457B" w:rsidRDefault="005C7C16" w:rsidP="005C7C16">
            <w:pPr>
              <w:pStyle w:val="ListParagraph"/>
              <w:numPr>
                <w:ilvl w:val="0"/>
                <w:numId w:val="8"/>
              </w:numPr>
              <w:rPr>
                <w:rFonts w:ascii="Arial" w:hAnsi="Arial" w:cs="Arial"/>
              </w:rPr>
            </w:pPr>
            <w:r w:rsidRPr="00E0457B">
              <w:rPr>
                <w:rFonts w:ascii="Arial" w:hAnsi="Arial" w:cs="Arial"/>
              </w:rPr>
              <w:t>Technology - advanced analytics, retail media systems</w:t>
            </w:r>
          </w:p>
          <w:p w14:paraId="0FCDDA67" w14:textId="3FF6EE94" w:rsidR="005C7C16" w:rsidRPr="00E0457B" w:rsidRDefault="005C7C16" w:rsidP="005C7C16">
            <w:pPr>
              <w:pStyle w:val="ListParagraph"/>
              <w:numPr>
                <w:ilvl w:val="0"/>
                <w:numId w:val="8"/>
              </w:numPr>
              <w:rPr>
                <w:rFonts w:ascii="Arial" w:hAnsi="Arial" w:cs="Arial"/>
              </w:rPr>
            </w:pPr>
            <w:r w:rsidRPr="00E0457B">
              <w:rPr>
                <w:rFonts w:ascii="Arial" w:hAnsi="Arial" w:cs="Arial"/>
              </w:rPr>
              <w:t xml:space="preserve">Process - learning frameworks, experimentation </w:t>
            </w:r>
            <w:r w:rsidR="00315A21" w:rsidRPr="00E0457B">
              <w:rPr>
                <w:rFonts w:ascii="Arial" w:hAnsi="Arial" w:cs="Arial"/>
              </w:rPr>
              <w:t>governance.</w:t>
            </w:r>
          </w:p>
          <w:p w14:paraId="67406B72" w14:textId="2BF06CC2" w:rsidR="005C7C16" w:rsidRPr="00E0457B" w:rsidRDefault="005C7C16" w:rsidP="005C7C16">
            <w:pPr>
              <w:pStyle w:val="ListParagraph"/>
              <w:numPr>
                <w:ilvl w:val="0"/>
                <w:numId w:val="8"/>
              </w:numPr>
              <w:rPr>
                <w:rFonts w:ascii="Arial" w:hAnsi="Arial" w:cs="Arial"/>
              </w:rPr>
            </w:pPr>
            <w:r w:rsidRPr="00E0457B">
              <w:rPr>
                <w:rFonts w:ascii="Arial" w:hAnsi="Arial" w:cs="Arial"/>
              </w:rPr>
              <w:t>Budget - analytics tools, training, lab setup costs</w:t>
            </w:r>
            <w:r w:rsidR="00315A21">
              <w:rPr>
                <w:rFonts w:ascii="Arial" w:hAnsi="Arial" w:cs="Arial"/>
              </w:rPr>
              <w:t>.</w:t>
            </w:r>
          </w:p>
        </w:tc>
        <w:tc>
          <w:tcPr>
            <w:tcW w:w="2350" w:type="dxa"/>
          </w:tcPr>
          <w:p w14:paraId="2D66DFF0" w14:textId="77777777" w:rsidR="005C7C16" w:rsidRPr="00E0457B" w:rsidRDefault="005C7C16" w:rsidP="005C7C16">
            <w:pPr>
              <w:pStyle w:val="ListParagraph"/>
              <w:numPr>
                <w:ilvl w:val="0"/>
                <w:numId w:val="9"/>
              </w:numPr>
              <w:rPr>
                <w:rFonts w:ascii="Arial" w:hAnsi="Arial" w:cs="Arial"/>
              </w:rPr>
            </w:pPr>
            <w:r w:rsidRPr="00E0457B">
              <w:rPr>
                <w:rFonts w:ascii="Arial" w:hAnsi="Arial" w:cs="Arial"/>
              </w:rPr>
              <w:t>Sales uplift from hyperlocal pricing</w:t>
            </w:r>
          </w:p>
          <w:p w14:paraId="5EA9C6C3" w14:textId="77777777" w:rsidR="005C7C16" w:rsidRPr="00E0457B" w:rsidRDefault="005C7C16" w:rsidP="005C7C16">
            <w:pPr>
              <w:pStyle w:val="ListParagraph"/>
              <w:numPr>
                <w:ilvl w:val="0"/>
                <w:numId w:val="9"/>
              </w:numPr>
              <w:rPr>
                <w:rFonts w:ascii="Arial" w:hAnsi="Arial" w:cs="Arial"/>
              </w:rPr>
            </w:pPr>
            <w:r w:rsidRPr="00E0457B">
              <w:rPr>
                <w:rFonts w:ascii="Arial" w:hAnsi="Arial" w:cs="Arial"/>
              </w:rPr>
              <w:t>Supplier engagement and media revenue</w:t>
            </w:r>
          </w:p>
          <w:p w14:paraId="323B191B" w14:textId="77777777" w:rsidR="005C7C16" w:rsidRPr="00E0457B" w:rsidRDefault="005C7C16" w:rsidP="005C7C16">
            <w:pPr>
              <w:pStyle w:val="ListParagraph"/>
              <w:numPr>
                <w:ilvl w:val="0"/>
                <w:numId w:val="9"/>
              </w:numPr>
              <w:rPr>
                <w:rFonts w:ascii="Arial" w:hAnsi="Arial" w:cs="Arial"/>
              </w:rPr>
            </w:pPr>
            <w:r w:rsidRPr="00E0457B">
              <w:rPr>
                <w:rFonts w:ascii="Arial" w:hAnsi="Arial" w:cs="Arial"/>
              </w:rPr>
              <w:t>Staff trained and culture adoption</w:t>
            </w:r>
          </w:p>
          <w:p w14:paraId="203EFABA" w14:textId="25CE07F9" w:rsidR="005C7C16" w:rsidRPr="00E0457B" w:rsidRDefault="005C7C16" w:rsidP="005C7C16">
            <w:pPr>
              <w:pStyle w:val="ListParagraph"/>
              <w:numPr>
                <w:ilvl w:val="0"/>
                <w:numId w:val="9"/>
              </w:numPr>
              <w:rPr>
                <w:rFonts w:ascii="Arial" w:hAnsi="Arial" w:cs="Arial"/>
              </w:rPr>
            </w:pPr>
            <w:r w:rsidRPr="00E0457B">
              <w:rPr>
                <w:rFonts w:ascii="Arial" w:hAnsi="Arial" w:cs="Arial"/>
              </w:rPr>
              <w:t xml:space="preserve">Experiments launched, </w:t>
            </w:r>
            <w:r w:rsidR="00315A21" w:rsidRPr="00E0457B">
              <w:rPr>
                <w:rFonts w:ascii="Arial" w:hAnsi="Arial" w:cs="Arial"/>
              </w:rPr>
              <w:t>evaluated</w:t>
            </w:r>
            <w:r w:rsidR="00315A21">
              <w:rPr>
                <w:rFonts w:ascii="Arial" w:hAnsi="Arial" w:cs="Arial"/>
              </w:rPr>
              <w:t>,</w:t>
            </w:r>
            <w:r w:rsidRPr="00E0457B">
              <w:rPr>
                <w:rFonts w:ascii="Arial" w:hAnsi="Arial" w:cs="Arial"/>
              </w:rPr>
              <w:t xml:space="preserve"> </w:t>
            </w:r>
            <w:r w:rsidR="00315A21" w:rsidRPr="00E0457B">
              <w:rPr>
                <w:rFonts w:ascii="Arial" w:hAnsi="Arial" w:cs="Arial"/>
              </w:rPr>
              <w:t>scaled.</w:t>
            </w:r>
          </w:p>
          <w:p w14:paraId="2B2563D9" w14:textId="77777777" w:rsidR="005C7C16" w:rsidRPr="00E0457B" w:rsidRDefault="005C7C16" w:rsidP="005C7C16">
            <w:pPr>
              <w:rPr>
                <w:rFonts w:ascii="Arial" w:hAnsi="Arial" w:cs="Arial"/>
              </w:rPr>
            </w:pPr>
          </w:p>
        </w:tc>
      </w:tr>
    </w:tbl>
    <w:p w14:paraId="0D58210C" w14:textId="77777777" w:rsidR="005C7C16" w:rsidRPr="00E0457B" w:rsidRDefault="005C7C16" w:rsidP="005C7C16">
      <w:pPr>
        <w:spacing w:after="0"/>
        <w:jc w:val="both"/>
        <w:rPr>
          <w:rFonts w:cs="Arial"/>
          <w:b/>
          <w:bCs/>
        </w:rPr>
      </w:pPr>
    </w:p>
    <w:p w14:paraId="42F62B97" w14:textId="5D55A2CE" w:rsidR="005C7C16" w:rsidRPr="00E0457B" w:rsidRDefault="005C7C16" w:rsidP="005C7C16">
      <w:pPr>
        <w:spacing w:after="0"/>
        <w:jc w:val="both"/>
        <w:rPr>
          <w:rFonts w:cs="Arial"/>
        </w:rPr>
      </w:pPr>
      <w:r w:rsidRPr="00E0457B">
        <w:rPr>
          <w:rFonts w:cs="Arial"/>
        </w:rPr>
        <w:t>The above suggests that implementation would be achievable but there would be a number of implications for Tesco across IT, systems, human resources and finance as well as change management considerations.</w:t>
      </w:r>
    </w:p>
    <w:p w14:paraId="412C04F1" w14:textId="77777777" w:rsidR="005C7C16" w:rsidRPr="005C7C16" w:rsidRDefault="005C7C16" w:rsidP="005C7C16">
      <w:pPr>
        <w:spacing w:after="0"/>
        <w:jc w:val="both"/>
        <w:rPr>
          <w:rFonts w:cs="Arial"/>
        </w:rPr>
      </w:pPr>
      <w:r w:rsidRPr="005C7C16">
        <w:rPr>
          <w:i/>
          <w:iCs/>
        </w:rPr>
        <w:lastRenderedPageBreak/>
        <w:t>Human Resources - talent and capability development</w:t>
      </w:r>
    </w:p>
    <w:p w14:paraId="78F3229C" w14:textId="03CBEC11" w:rsidR="005C7C16" w:rsidRPr="005C7C16" w:rsidRDefault="005C7C16" w:rsidP="005C7C16">
      <w:pPr>
        <w:spacing w:after="0"/>
        <w:jc w:val="both"/>
        <w:rPr>
          <w:rFonts w:cs="Arial"/>
        </w:rPr>
      </w:pPr>
      <w:r w:rsidRPr="005C7C16">
        <w:rPr>
          <w:rFonts w:cs="Arial"/>
        </w:rPr>
        <w:t>Tesco would need to develop hybrid digital-service roles to integrate in-store operations with digital engagement. Investment in digital literacy, data ethics, customer empathy and advisory skills will enhance workforce capability for omnichannel strategies. Performance management would need to shift from transaction based KPIs to metrics tied to customer outcomes, loyalty and satisfaction. A hybrid approach that integrates change management frameworks like Kotter’s with more adaptive, human</w:t>
      </w:r>
      <w:r w:rsidRPr="005C7C16">
        <w:rPr>
          <w:rFonts w:cs="Arial"/>
        </w:rPr>
        <w:noBreakHyphen/>
        <w:t xml:space="preserve">centred or agile ways of working (e.g. design thinking and change framework) will help embed structural change and adaptability (Engmann et. al., 2024). </w:t>
      </w:r>
    </w:p>
    <w:p w14:paraId="2283A3F3" w14:textId="77777777" w:rsidR="005C7C16" w:rsidRPr="00E0457B" w:rsidRDefault="005C7C16" w:rsidP="005C7C16">
      <w:pPr>
        <w:spacing w:after="0"/>
        <w:jc w:val="both"/>
        <w:rPr>
          <w:rFonts w:cs="Arial"/>
        </w:rPr>
      </w:pPr>
    </w:p>
    <w:p w14:paraId="1AEBFA27" w14:textId="77777777" w:rsidR="005C7C16" w:rsidRPr="00F675B7" w:rsidRDefault="005C7C16" w:rsidP="00F675B7">
      <w:pPr>
        <w:spacing w:after="0"/>
        <w:jc w:val="both"/>
        <w:rPr>
          <w:rFonts w:cs="Arial"/>
        </w:rPr>
      </w:pPr>
      <w:r w:rsidRPr="00F675B7">
        <w:rPr>
          <w:rFonts w:cs="Arial"/>
          <w:i/>
          <w:iCs/>
        </w:rPr>
        <w:t>Operations and Supply Chain</w:t>
      </w:r>
    </w:p>
    <w:p w14:paraId="2F355CB2" w14:textId="20C75A9D" w:rsidR="005C7C16" w:rsidRPr="005C7C16" w:rsidRDefault="005C7C16" w:rsidP="005C7C16">
      <w:pPr>
        <w:spacing w:after="0"/>
        <w:jc w:val="both"/>
        <w:rPr>
          <w:rFonts w:cs="Arial"/>
        </w:rPr>
      </w:pPr>
      <w:r w:rsidRPr="005C7C16">
        <w:rPr>
          <w:rFonts w:cs="Arial"/>
        </w:rPr>
        <w:t xml:space="preserve">Stores would need to be reconfigured to support dual roles for conventional shopping and local fulfilment hubs for online shopping. AI-driven demand forecasting would optimise inventory, reduce waste and ensure product availability (Goedhart, 2023). </w:t>
      </w:r>
    </w:p>
    <w:p w14:paraId="2D31F414" w14:textId="77777777" w:rsidR="005C7C16" w:rsidRPr="00E0457B" w:rsidRDefault="005C7C16" w:rsidP="005C7C16">
      <w:pPr>
        <w:spacing w:after="0"/>
        <w:jc w:val="both"/>
        <w:rPr>
          <w:rFonts w:cs="Arial"/>
          <w:i/>
          <w:iCs/>
        </w:rPr>
      </w:pPr>
    </w:p>
    <w:p w14:paraId="7FD7A55B" w14:textId="77777777" w:rsidR="00F675B7" w:rsidRPr="00F675B7" w:rsidRDefault="005C7C16" w:rsidP="00F675B7">
      <w:pPr>
        <w:spacing w:after="0"/>
        <w:jc w:val="both"/>
        <w:rPr>
          <w:rFonts w:cs="Arial"/>
        </w:rPr>
      </w:pPr>
      <w:r w:rsidRPr="00F675B7">
        <w:rPr>
          <w:rFonts w:cs="Arial"/>
          <w:i/>
          <w:iCs/>
        </w:rPr>
        <w:t>Finance and Investment</w:t>
      </w:r>
    </w:p>
    <w:p w14:paraId="706D6DD1" w14:textId="72F8E4E6" w:rsidR="005C7C16" w:rsidRPr="00F675B7" w:rsidRDefault="005C7C16" w:rsidP="00F675B7">
      <w:pPr>
        <w:spacing w:after="0"/>
        <w:jc w:val="both"/>
        <w:rPr>
          <w:rFonts w:cs="Arial"/>
        </w:rPr>
      </w:pPr>
      <w:r w:rsidRPr="00F675B7">
        <w:rPr>
          <w:rFonts w:cs="Arial"/>
        </w:rPr>
        <w:t xml:space="preserve">Capital would need to be prioritised for cloud/systems modernisation, analytic platforms and advanced store technology. ‘A robust tech foundation can extend retail business models beyond the traditional core business to generate additional revenues, diversify customer touchpoints, and increase customer data’ (Bick et. al., 2022). Therefore, a return on investment would need to focus on customer retention, basket size growth and promotion efficiency. Staged investment governance linked to measurable customer outcomes would ensure disciplined allocation of resources and strategic </w:t>
      </w:r>
      <w:r w:rsidR="00315A21" w:rsidRPr="00F675B7">
        <w:rPr>
          <w:rFonts w:cs="Arial"/>
        </w:rPr>
        <w:t>alignment.</w:t>
      </w:r>
      <w:r w:rsidRPr="00F675B7">
        <w:rPr>
          <w:rFonts w:cs="Arial"/>
        </w:rPr>
        <w:t xml:space="preserve"> </w:t>
      </w:r>
    </w:p>
    <w:p w14:paraId="311AE0DD" w14:textId="77777777" w:rsidR="005C7C16" w:rsidRPr="00E0457B" w:rsidRDefault="005C7C16" w:rsidP="005C7C16">
      <w:pPr>
        <w:spacing w:after="0"/>
        <w:jc w:val="both"/>
        <w:rPr>
          <w:rFonts w:cs="Arial"/>
        </w:rPr>
      </w:pPr>
    </w:p>
    <w:p w14:paraId="6F315486" w14:textId="77777777" w:rsidR="005C7C16" w:rsidRPr="00E0457B" w:rsidRDefault="005C7C16" w:rsidP="005C7C16">
      <w:pPr>
        <w:spacing w:after="0"/>
        <w:jc w:val="both"/>
        <w:rPr>
          <w:rFonts w:cs="Arial"/>
        </w:rPr>
      </w:pPr>
      <w:r w:rsidRPr="00E0457B">
        <w:rPr>
          <w:rFonts w:cs="Arial"/>
          <w:i/>
          <w:iCs/>
        </w:rPr>
        <w:lastRenderedPageBreak/>
        <w:t>Marketing</w:t>
      </w:r>
      <w:r w:rsidRPr="00E0457B">
        <w:rPr>
          <w:rFonts w:cs="Arial"/>
        </w:rPr>
        <w:br/>
        <w:t>There would be a need to shift segmentation from demographic to behavioural based models to deliver personalised engagement. Tesco’s could be positioned as ‘Your Personal Tesco’ or ‘A Personal Tesco’ - a brand that anticipates and supports customers across special moments. Retail media insights could be used to build on their current customer insight platforms (Tesco, 2021) and monetise data responsibly, funding initiatives that enhance customer value and experience.</w:t>
      </w:r>
    </w:p>
    <w:p w14:paraId="52849B81" w14:textId="77777777" w:rsidR="005C7C16" w:rsidRPr="00E0457B" w:rsidRDefault="005C7C16" w:rsidP="005C7C16">
      <w:pPr>
        <w:spacing w:after="0"/>
        <w:jc w:val="both"/>
        <w:rPr>
          <w:rFonts w:cs="Arial"/>
        </w:rPr>
      </w:pPr>
    </w:p>
    <w:p w14:paraId="4E98F5AE" w14:textId="77777777" w:rsidR="00F675B7" w:rsidRPr="00F675B7" w:rsidRDefault="005C7C16" w:rsidP="00F675B7">
      <w:pPr>
        <w:spacing w:after="0"/>
        <w:jc w:val="both"/>
        <w:rPr>
          <w:rFonts w:cs="Arial"/>
        </w:rPr>
      </w:pPr>
      <w:r w:rsidRPr="00F675B7">
        <w:rPr>
          <w:rFonts w:cs="Arial"/>
          <w:i/>
          <w:iCs/>
        </w:rPr>
        <w:t>IT and Data Analytics</w:t>
      </w:r>
    </w:p>
    <w:p w14:paraId="444E8366" w14:textId="1787C4E3" w:rsidR="005C7C16" w:rsidRPr="00F675B7" w:rsidRDefault="005C7C16" w:rsidP="00F675B7">
      <w:pPr>
        <w:spacing w:after="0"/>
        <w:jc w:val="both"/>
        <w:rPr>
          <w:rFonts w:cs="Arial"/>
        </w:rPr>
      </w:pPr>
      <w:r w:rsidRPr="00F675B7">
        <w:rPr>
          <w:rFonts w:cs="Arial"/>
        </w:rPr>
        <w:t xml:space="preserve">Tesco would need to build a real time, integrated data architecture to enable seamless omnichannel personalisation. Privacy-by-design approaches (ICO, 2023) would be needed alongside CMA-compliant AI systems (Competition and Markets Authority, 2024) and strengthened cybersecurity measures, as these will be central to business operations and demonstrating confidence to customers in meeting regulatory and data security requirements. </w:t>
      </w:r>
    </w:p>
    <w:p w14:paraId="2174C9BF" w14:textId="77777777" w:rsidR="005C7C16" w:rsidRDefault="005C7C16"/>
    <w:p w14:paraId="24C62BB4" w14:textId="47395252" w:rsidR="00F675B7" w:rsidRDefault="00F675B7" w:rsidP="00F675B7">
      <w:pPr>
        <w:rPr>
          <w:b/>
          <w:bCs/>
        </w:rPr>
      </w:pPr>
      <w:r w:rsidRPr="00F675B7">
        <w:rPr>
          <w:b/>
          <w:bCs/>
        </w:rPr>
        <w:t>Conclusion and Recommendation</w:t>
      </w:r>
    </w:p>
    <w:p w14:paraId="56CA0189" w14:textId="77777777" w:rsidR="00F675B7" w:rsidRPr="00F675B7" w:rsidRDefault="00F675B7" w:rsidP="00F675B7">
      <w:pPr>
        <w:rPr>
          <w:b/>
          <w:bCs/>
        </w:rPr>
      </w:pPr>
    </w:p>
    <w:p w14:paraId="22F42198" w14:textId="1EA9C5CE" w:rsidR="00F675B7" w:rsidRPr="00E0457B" w:rsidRDefault="00F675B7" w:rsidP="00F675B7">
      <w:pPr>
        <w:spacing w:after="0"/>
        <w:jc w:val="both"/>
        <w:rPr>
          <w:rFonts w:cs="Arial"/>
        </w:rPr>
      </w:pPr>
      <w:r w:rsidRPr="00E0457B">
        <w:rPr>
          <w:rFonts w:cs="Arial"/>
        </w:rPr>
        <w:t xml:space="preserve">Tesco faces a challenging landscape from all directions. External PESTLE and Porter’s Five Forces analyses highlight inescapable challenges - accelerating inflation and cost pressures, a competitive arena dominated by low-cost and online rivals (e.g., Ocado) and rapidly shifting consumer behaviours toward convenience and digital services (e.g., Hello Fresh). Geopolitical volatility and rapid technological change further intensify the need for agility. </w:t>
      </w:r>
    </w:p>
    <w:p w14:paraId="0AB97873" w14:textId="77777777" w:rsidR="00F675B7" w:rsidRPr="00E0457B" w:rsidRDefault="00F675B7" w:rsidP="00F675B7">
      <w:pPr>
        <w:spacing w:after="0"/>
        <w:jc w:val="both"/>
        <w:rPr>
          <w:rFonts w:cs="Arial"/>
        </w:rPr>
      </w:pPr>
      <w:r w:rsidRPr="00E0457B">
        <w:rPr>
          <w:rFonts w:cs="Arial"/>
        </w:rPr>
        <w:lastRenderedPageBreak/>
        <w:t>Internally, a VRIO review confirms Tesco’s strengths. Its scale, robust supply chain, strong brand equity and a vast Clubcard data asset spanning 30 years are valuable and hard to imitate. These capabilities must be harnessed effectively to address intense price competition and evolving consumer expectations.</w:t>
      </w:r>
    </w:p>
    <w:p w14:paraId="084E780C" w14:textId="77777777" w:rsidR="00F675B7" w:rsidRPr="00E0457B" w:rsidRDefault="00F675B7" w:rsidP="00F675B7">
      <w:pPr>
        <w:spacing w:after="0"/>
        <w:jc w:val="both"/>
        <w:rPr>
          <w:rFonts w:cs="Arial"/>
        </w:rPr>
      </w:pPr>
    </w:p>
    <w:p w14:paraId="4560148A" w14:textId="77777777" w:rsidR="00F675B7" w:rsidRPr="00E0457B" w:rsidRDefault="00F675B7" w:rsidP="00F675B7">
      <w:pPr>
        <w:spacing w:after="0"/>
        <w:jc w:val="both"/>
        <w:rPr>
          <w:rFonts w:cs="Arial"/>
        </w:rPr>
      </w:pPr>
      <w:r w:rsidRPr="00E0457B">
        <w:rPr>
          <w:rFonts w:cs="Arial"/>
        </w:rPr>
        <w:t xml:space="preserve">The recommended strategic response is a hybrid omnichannel personalisation model. This approach seamlessly integrates advanced digital experiences (e.g., AI-driven personalised promotions and enhanced online shopping tools) with enriched in-store service and human engagement. It leverages Tesco’s scale and infrastructure by activating Clubcard data to tailor offerings and extract real-time insights. By embedding AI analytics and continuous feedback loops, the strategy builds dynamic capabilities into the business, enabling Tesco to learn from data and adapt swiftly. Crucially, it aligns with omnichannel retail trends, ensuring customers encounter a consistent, personalised experience whether they shop online or in store. This model can yield substantial strategic benefits through deepening customer loyalty and satisfaction, as shoppers encounter relevant rewards and continued attentive service that serves to strengthen relationships. Meanwhile, an agile operating model allows Tesco to respond rapidly to market shifts and competitive moves. </w:t>
      </w:r>
    </w:p>
    <w:p w14:paraId="1200C41C" w14:textId="77777777" w:rsidR="00F675B7" w:rsidRPr="00E0457B" w:rsidRDefault="00F675B7" w:rsidP="00F675B7">
      <w:pPr>
        <w:spacing w:after="0"/>
        <w:jc w:val="both"/>
        <w:rPr>
          <w:rFonts w:cs="Arial"/>
        </w:rPr>
      </w:pPr>
    </w:p>
    <w:p w14:paraId="3EDA93E9" w14:textId="326D535A" w:rsidR="005C7C16" w:rsidRDefault="00F675B7" w:rsidP="00F675B7">
      <w:pPr>
        <w:spacing w:after="0"/>
        <w:jc w:val="both"/>
        <w:rPr>
          <w:rFonts w:cs="Arial"/>
        </w:rPr>
      </w:pPr>
      <w:r w:rsidRPr="00E0457B">
        <w:rPr>
          <w:rFonts w:cs="Arial"/>
        </w:rPr>
        <w:t>By differentiating on personalisation rather than price alone, Tesco can establish a sustainable advantage over discounters such as Aldi and Lidl. It can maintain competitive pricing through scale while adding unique customer value. The hybrid omnichannel personalisation strategy therefore positions Tesco for long-term resilience and distinction in an ever-evolving changing market.</w:t>
      </w:r>
    </w:p>
    <w:p w14:paraId="1AEE8886" w14:textId="77777777" w:rsidR="00E871C9" w:rsidRDefault="00E871C9" w:rsidP="00F675B7">
      <w:pPr>
        <w:spacing w:after="0"/>
        <w:jc w:val="both"/>
        <w:rPr>
          <w:rFonts w:cs="Arial"/>
        </w:rPr>
      </w:pPr>
    </w:p>
    <w:p w14:paraId="0F3353FA" w14:textId="7DBDD6C7" w:rsidR="00E871C9" w:rsidRPr="00692FBD" w:rsidRDefault="00E871C9" w:rsidP="00F675B7">
      <w:pPr>
        <w:spacing w:after="0"/>
        <w:jc w:val="both"/>
        <w:rPr>
          <w:rFonts w:cs="Arial"/>
          <w:b/>
          <w:bCs/>
        </w:rPr>
      </w:pPr>
      <w:r w:rsidRPr="00692FBD">
        <w:rPr>
          <w:rFonts w:cs="Arial"/>
          <w:b/>
          <w:bCs/>
        </w:rPr>
        <w:lastRenderedPageBreak/>
        <w:t>Appendix 1: Overview of Tesco</w:t>
      </w:r>
    </w:p>
    <w:p w14:paraId="667B1AD0" w14:textId="77777777" w:rsidR="00692FBD" w:rsidRDefault="00692FBD" w:rsidP="00692FBD">
      <w:pPr>
        <w:spacing w:after="0"/>
        <w:jc w:val="both"/>
        <w:rPr>
          <w:rFonts w:cs="Arial"/>
        </w:rPr>
      </w:pPr>
    </w:p>
    <w:p w14:paraId="701B4768" w14:textId="77777777" w:rsidR="00692FBD" w:rsidRPr="00503D3C" w:rsidRDefault="00692FBD" w:rsidP="00692FBD">
      <w:pPr>
        <w:jc w:val="both"/>
        <w:rPr>
          <w:u w:val="single"/>
        </w:rPr>
      </w:pPr>
      <w:r w:rsidRPr="00503D3C">
        <w:rPr>
          <w:u w:val="single"/>
        </w:rPr>
        <w:t>History</w:t>
      </w:r>
    </w:p>
    <w:p w14:paraId="618F4E53" w14:textId="56E22113" w:rsidR="00692FBD" w:rsidRDefault="00692FBD" w:rsidP="00692FBD">
      <w:pPr>
        <w:jc w:val="both"/>
      </w:pPr>
      <w:r w:rsidRPr="00DF2726">
        <w:t>Tesco PLC</w:t>
      </w:r>
      <w:r>
        <w:t xml:space="preserve"> was </w:t>
      </w:r>
      <w:r w:rsidRPr="00DF2726">
        <w:t>founded in 1919 by Jack Cohen as a market stall in London</w:t>
      </w:r>
      <w:r>
        <w:t>. It</w:t>
      </w:r>
      <w:r w:rsidRPr="00DF2726">
        <w:t xml:space="preserve"> has </w:t>
      </w:r>
      <w:r>
        <w:t xml:space="preserve">since </w:t>
      </w:r>
      <w:r w:rsidRPr="00DF2726">
        <w:t>evolved into the United Kingdom’s largest retailer and a leading international grocery chain. The name 'Tesco'</w:t>
      </w:r>
      <w:r>
        <w:t xml:space="preserve"> (</w:t>
      </w:r>
      <w:r w:rsidRPr="00DF2726">
        <w:t>a combination of supplier T.E. Stockwell and Cohen</w:t>
      </w:r>
      <w:r>
        <w:t xml:space="preserve">) </w:t>
      </w:r>
      <w:r w:rsidRPr="00DF2726">
        <w:t xml:space="preserve">first appeared in 1924 (Tesco, 2025). </w:t>
      </w:r>
    </w:p>
    <w:p w14:paraId="51BCB592" w14:textId="1FA0BA17" w:rsidR="00692FBD" w:rsidRDefault="00692FBD" w:rsidP="00692FBD">
      <w:pPr>
        <w:jc w:val="both"/>
      </w:pPr>
      <w:r w:rsidRPr="00DF2726">
        <w:t>Headquartered in Welwyn Garden City, the company is listed on the London Stock Exchange and is a constituent of the FTSE 100 inde</w:t>
      </w:r>
      <w:r>
        <w:t>x (London Stock Exchange, 2025).</w:t>
      </w:r>
      <w:r w:rsidRPr="00DF2726">
        <w:t xml:space="preserve"> From its origins in value</w:t>
      </w:r>
      <w:r>
        <w:t xml:space="preserve"> driven</w:t>
      </w:r>
      <w:r w:rsidRPr="00DF2726">
        <w:t xml:space="preserve"> retailing (</w:t>
      </w:r>
      <w:r>
        <w:t>‘stack ‘em high, sell ‘em low’</w:t>
      </w:r>
      <w:r w:rsidRPr="00DF2726">
        <w:t>)</w:t>
      </w:r>
      <w:r>
        <w:t xml:space="preserve"> (Winterman, 2013), </w:t>
      </w:r>
      <w:r w:rsidRPr="00DF2726">
        <w:t xml:space="preserve">Tesco transformed under subsequent leadership into a multi-format retailer. Over the decades, Tesco </w:t>
      </w:r>
      <w:r>
        <w:t xml:space="preserve">has </w:t>
      </w:r>
      <w:r w:rsidRPr="00DF2726">
        <w:t>expanded through organic growth and strategic acquisitions</w:t>
      </w:r>
      <w:r>
        <w:t xml:space="preserve">, acquiring One Stop in 2002 and merging with </w:t>
      </w:r>
      <w:r w:rsidRPr="005F26FB">
        <w:t xml:space="preserve">Wholesale Booker Group in </w:t>
      </w:r>
      <w:r w:rsidRPr="00DF2726">
        <w:t>2018, becoming the UK's dominant grocer and a significant player in Central Europe (Tesco,</w:t>
      </w:r>
      <w:r w:rsidRPr="005F26FB">
        <w:t xml:space="preserve"> </w:t>
      </w:r>
      <w:r w:rsidRPr="00DF2726">
        <w:t>2025).</w:t>
      </w:r>
      <w:r>
        <w:t xml:space="preserve"> </w:t>
      </w:r>
    </w:p>
    <w:p w14:paraId="6C559A5F" w14:textId="77777777" w:rsidR="00692FBD" w:rsidRPr="00DF2726" w:rsidRDefault="00692FBD" w:rsidP="00692FBD">
      <w:pPr>
        <w:jc w:val="both"/>
      </w:pPr>
    </w:p>
    <w:p w14:paraId="4F8E7FB3" w14:textId="77777777" w:rsidR="00692FBD" w:rsidRPr="00DF2726" w:rsidRDefault="00692FBD" w:rsidP="00692FBD">
      <w:pPr>
        <w:jc w:val="both"/>
        <w:rPr>
          <w:u w:val="single"/>
        </w:rPr>
      </w:pPr>
      <w:r w:rsidRPr="00DF2726">
        <w:rPr>
          <w:u w:val="single"/>
        </w:rPr>
        <w:t>Financials and Scale of Operations</w:t>
      </w:r>
    </w:p>
    <w:p w14:paraId="28C5D1D1" w14:textId="1B289005" w:rsidR="00692FBD" w:rsidRDefault="00692FBD" w:rsidP="00692FBD">
      <w:pPr>
        <w:jc w:val="both"/>
      </w:pPr>
      <w:r>
        <w:t>The</w:t>
      </w:r>
      <w:r w:rsidRPr="00DF2726">
        <w:t xml:space="preserve"> Preliminary Results for the year ending February 2025 (FY 24/25)</w:t>
      </w:r>
      <w:r>
        <w:t xml:space="preserve"> outlined that </w:t>
      </w:r>
      <w:r w:rsidRPr="00DF2726">
        <w:t>Tesco</w:t>
      </w:r>
      <w:r>
        <w:t xml:space="preserve"> </w:t>
      </w:r>
      <w:r w:rsidRPr="00DF2726">
        <w:t>generated sales (excluding VAT and fuel) of £63.6 billion</w:t>
      </w:r>
      <w:r>
        <w:t>. This is a</w:t>
      </w:r>
      <w:r w:rsidRPr="00DF2726">
        <w:t xml:space="preserve"> growth of 3.5% year-on-year. Adjusted operating profit rose by 10.6% to £3.1</w:t>
      </w:r>
      <w:r>
        <w:t>28</w:t>
      </w:r>
      <w:r w:rsidRPr="00DF2726">
        <w:t xml:space="preserve"> billion, driven by strong performance in the UK and </w:t>
      </w:r>
      <w:r w:rsidR="00315A21" w:rsidRPr="00DF2726">
        <w:t>Ireland</w:t>
      </w:r>
      <w:r w:rsidRPr="00DF2726">
        <w:t xml:space="preserve"> retail segments (Tesco</w:t>
      </w:r>
      <w:r>
        <w:t xml:space="preserve">, </w:t>
      </w:r>
      <w:r w:rsidRPr="00DF2726">
        <w:t xml:space="preserve">2025). </w:t>
      </w:r>
    </w:p>
    <w:p w14:paraId="480F05F5" w14:textId="228C4D8D" w:rsidR="00692FBD" w:rsidRDefault="00692FBD" w:rsidP="00692FBD">
      <w:pPr>
        <w:jc w:val="both"/>
      </w:pPr>
      <w:r w:rsidRPr="00DF2726">
        <w:t>The company employs over 330,000 colleagues and operates a vast network of 4,</w:t>
      </w:r>
      <w:r>
        <w:t>572</w:t>
      </w:r>
      <w:r w:rsidRPr="00DF2726">
        <w:t xml:space="preserve"> stores globally</w:t>
      </w:r>
      <w:r>
        <w:t>,</w:t>
      </w:r>
      <w:r w:rsidRPr="00DF2726">
        <w:t xml:space="preserve"> </w:t>
      </w:r>
      <w:r>
        <w:t>with</w:t>
      </w:r>
      <w:r w:rsidRPr="00DF2726">
        <w:t xml:space="preserve"> </w:t>
      </w:r>
      <w:r>
        <w:t>3,829</w:t>
      </w:r>
      <w:r w:rsidRPr="00DF2726">
        <w:t xml:space="preserve"> in the UK, alongside operations in </w:t>
      </w:r>
      <w:r w:rsidR="00315A21" w:rsidRPr="00DF2726">
        <w:t>Ireland</w:t>
      </w:r>
      <w:r w:rsidRPr="00DF2726">
        <w:t>, Czech Republic, Hungary, and Slovakia (Tesco, 2025).</w:t>
      </w:r>
      <w:r w:rsidRPr="00182D8E">
        <w:t xml:space="preserve"> </w:t>
      </w:r>
      <w:r w:rsidRPr="00DF2726">
        <w:t>Its wholesale division</w:t>
      </w:r>
      <w:r>
        <w:t xml:space="preserve"> (</w:t>
      </w:r>
      <w:r w:rsidRPr="00DF2726">
        <w:t>Booker</w:t>
      </w:r>
      <w:r>
        <w:t xml:space="preserve">) </w:t>
      </w:r>
      <w:r w:rsidRPr="00DF2726">
        <w:t xml:space="preserve">supplies </w:t>
      </w:r>
      <w:r w:rsidRPr="00DF2726">
        <w:lastRenderedPageBreak/>
        <w:t>thousands of independent retailers, diversifying Tesco's revenue streams beyond consumer retail</w:t>
      </w:r>
      <w:r>
        <w:t xml:space="preserve"> (Tesco, 2025). </w:t>
      </w:r>
    </w:p>
    <w:p w14:paraId="03646957" w14:textId="23E4E49F" w:rsidR="00692FBD" w:rsidRDefault="00692FBD" w:rsidP="00692FBD">
      <w:pPr>
        <w:jc w:val="both"/>
      </w:pPr>
      <w:r w:rsidRPr="00DF2726">
        <w:t>Recent strategic shifts have seen the company consolidate its portfolio, most recently, selling its banking operations to Barclays in November 2024</w:t>
      </w:r>
      <w:r>
        <w:t>,</w:t>
      </w:r>
      <w:r w:rsidRPr="00DF2726">
        <w:t xml:space="preserve"> to focus on its core retail and wholesale value proposition (Tesco,</w:t>
      </w:r>
      <w:r>
        <w:t xml:space="preserve"> 2025</w:t>
      </w:r>
      <w:r w:rsidRPr="00DF2726">
        <w:t xml:space="preserve">). </w:t>
      </w:r>
    </w:p>
    <w:p w14:paraId="2FCE0704" w14:textId="77777777" w:rsidR="00692FBD" w:rsidRDefault="00692FBD" w:rsidP="00692FBD">
      <w:pPr>
        <w:jc w:val="both"/>
        <w:rPr>
          <w:u w:val="single"/>
        </w:rPr>
      </w:pPr>
    </w:p>
    <w:p w14:paraId="3E29E035" w14:textId="1F237F0E" w:rsidR="00692FBD" w:rsidRPr="00DF2726" w:rsidRDefault="00692FBD" w:rsidP="00692FBD">
      <w:pPr>
        <w:jc w:val="both"/>
        <w:rPr>
          <w:u w:val="single"/>
        </w:rPr>
      </w:pPr>
      <w:r w:rsidRPr="00DF2726">
        <w:rPr>
          <w:u w:val="single"/>
        </w:rPr>
        <w:t>Mission, Vision, and Values</w:t>
      </w:r>
    </w:p>
    <w:p w14:paraId="678B3488" w14:textId="77777777" w:rsidR="00692FBD" w:rsidRPr="00DF2726" w:rsidRDefault="00692FBD" w:rsidP="00692FBD">
      <w:pPr>
        <w:jc w:val="both"/>
      </w:pPr>
      <w:r w:rsidRPr="00DF2726">
        <w:t xml:space="preserve">Tesco’s core purpose is </w:t>
      </w:r>
      <w:r>
        <w:t>‘</w:t>
      </w:r>
      <w:r w:rsidRPr="00DF2726">
        <w:t>Serving our customers, communities and planet a little better every day</w:t>
      </w:r>
      <w:r>
        <w:t>’ (Tesco, 2025).</w:t>
      </w:r>
      <w:r w:rsidRPr="00DF2726">
        <w:t xml:space="preserve"> The company’s values guide its culture:</w:t>
      </w:r>
    </w:p>
    <w:p w14:paraId="626B3918" w14:textId="77777777" w:rsidR="00692FBD" w:rsidRPr="00DF2726" w:rsidRDefault="00692FBD" w:rsidP="00692FBD">
      <w:pPr>
        <w:numPr>
          <w:ilvl w:val="0"/>
          <w:numId w:val="17"/>
        </w:numPr>
        <w:tabs>
          <w:tab w:val="clear" w:pos="360"/>
        </w:tabs>
        <w:jc w:val="both"/>
      </w:pPr>
      <w:r w:rsidRPr="00DF2726">
        <w:t>No one tries harder for customers.</w:t>
      </w:r>
    </w:p>
    <w:p w14:paraId="467A38F1" w14:textId="77777777" w:rsidR="00692FBD" w:rsidRPr="00DF2726" w:rsidRDefault="00692FBD" w:rsidP="00692FBD">
      <w:pPr>
        <w:numPr>
          <w:ilvl w:val="0"/>
          <w:numId w:val="17"/>
        </w:numPr>
        <w:tabs>
          <w:tab w:val="clear" w:pos="360"/>
        </w:tabs>
        <w:jc w:val="both"/>
      </w:pPr>
      <w:r w:rsidRPr="00DF2726">
        <w:t>We treat people how they want to be treated.</w:t>
      </w:r>
    </w:p>
    <w:p w14:paraId="59E74C9E" w14:textId="77777777" w:rsidR="00692FBD" w:rsidRPr="00DF2726" w:rsidRDefault="00692FBD" w:rsidP="00692FBD">
      <w:pPr>
        <w:numPr>
          <w:ilvl w:val="0"/>
          <w:numId w:val="17"/>
        </w:numPr>
        <w:tabs>
          <w:tab w:val="clear" w:pos="360"/>
        </w:tabs>
        <w:jc w:val="both"/>
      </w:pPr>
      <w:r w:rsidRPr="00DF2726">
        <w:t>Every little help makes a big difference (Tesco, 2025).</w:t>
      </w:r>
    </w:p>
    <w:p w14:paraId="717D686F" w14:textId="4354E4B5" w:rsidR="00692FBD" w:rsidRDefault="00692FBD" w:rsidP="00692FBD">
      <w:pPr>
        <w:jc w:val="both"/>
      </w:pPr>
      <w:r w:rsidRPr="00DF2726">
        <w:t xml:space="preserve">Strategically, the company focuses on </w:t>
      </w:r>
      <w:r>
        <w:t>‘</w:t>
      </w:r>
      <w:r w:rsidRPr="00DF2726">
        <w:t>Magnetic Value,</w:t>
      </w:r>
      <w:r>
        <w:t>’</w:t>
      </w:r>
      <w:r w:rsidRPr="00DF2726">
        <w:t xml:space="preserve"> customer loyalty (Clubcard), and convenience (Tesco, 2025).</w:t>
      </w:r>
      <w:r>
        <w:t xml:space="preserve"> </w:t>
      </w:r>
      <w:r w:rsidRPr="00DF2726">
        <w:t>Sustainability is</w:t>
      </w:r>
      <w:r>
        <w:t xml:space="preserve"> also</w:t>
      </w:r>
      <w:r w:rsidRPr="00DF2726">
        <w:t xml:space="preserve"> central to its vision</w:t>
      </w:r>
      <w:r>
        <w:t>, with the company</w:t>
      </w:r>
      <w:r w:rsidRPr="00DF2726">
        <w:t xml:space="preserve"> commit</w:t>
      </w:r>
      <w:r>
        <w:t>ting</w:t>
      </w:r>
      <w:r w:rsidRPr="00DF2726">
        <w:t xml:space="preserve"> to </w:t>
      </w:r>
      <w:r>
        <w:t>carbon neutral</w:t>
      </w:r>
      <w:r w:rsidRPr="00DF2726">
        <w:t xml:space="preserve"> across its</w:t>
      </w:r>
      <w:r>
        <w:t xml:space="preserve"> </w:t>
      </w:r>
      <w:r w:rsidRPr="00DF2726">
        <w:t>operations by 2035 and a target to increase healthy product sales to 65% of total volume by 2025 (Tesco, 2025).</w:t>
      </w:r>
    </w:p>
    <w:p w14:paraId="0DC80FD3" w14:textId="77777777" w:rsidR="00692FBD" w:rsidRDefault="00692FBD" w:rsidP="00692FBD">
      <w:pPr>
        <w:jc w:val="both"/>
      </w:pPr>
    </w:p>
    <w:p w14:paraId="731C510C" w14:textId="77777777" w:rsidR="00692FBD" w:rsidRPr="00503D3C" w:rsidRDefault="00692FBD" w:rsidP="00692FBD">
      <w:pPr>
        <w:jc w:val="both"/>
        <w:rPr>
          <w:u w:val="single"/>
        </w:rPr>
      </w:pPr>
      <w:r w:rsidRPr="00503D3C">
        <w:rPr>
          <w:u w:val="single"/>
        </w:rPr>
        <w:t>Products and Services</w:t>
      </w:r>
    </w:p>
    <w:p w14:paraId="205E3AC3" w14:textId="77777777" w:rsidR="00692FBD" w:rsidRPr="00DF2726" w:rsidRDefault="00692FBD" w:rsidP="00692FBD">
      <w:pPr>
        <w:jc w:val="both"/>
      </w:pPr>
      <w:r w:rsidRPr="00DF2726">
        <w:t>Tesco operates a diversified portfolio:</w:t>
      </w:r>
    </w:p>
    <w:p w14:paraId="5A0118FD" w14:textId="0A02158A" w:rsidR="00692FBD" w:rsidRPr="00DF2726" w:rsidRDefault="00692FBD" w:rsidP="00692FBD">
      <w:pPr>
        <w:numPr>
          <w:ilvl w:val="0"/>
          <w:numId w:val="18"/>
        </w:numPr>
        <w:tabs>
          <w:tab w:val="clear" w:pos="360"/>
        </w:tabs>
        <w:jc w:val="both"/>
      </w:pPr>
      <w:r w:rsidRPr="00DF2726">
        <w:t xml:space="preserve">Retail </w:t>
      </w:r>
      <w:r>
        <w:t>f</w:t>
      </w:r>
      <w:r w:rsidRPr="00DF2726">
        <w:t xml:space="preserve">ood </w:t>
      </w:r>
      <w:r>
        <w:t>and d</w:t>
      </w:r>
      <w:r w:rsidRPr="00DF2726">
        <w:t xml:space="preserve">rink: </w:t>
      </w:r>
      <w:r>
        <w:t>r</w:t>
      </w:r>
      <w:r w:rsidRPr="00DF2726">
        <w:t xml:space="preserve">anges span from the </w:t>
      </w:r>
      <w:r w:rsidRPr="00692FBD">
        <w:t>budget friendly</w:t>
      </w:r>
      <w:r w:rsidRPr="00DF2726">
        <w:t xml:space="preserve"> </w:t>
      </w:r>
      <w:r w:rsidRPr="00692FBD">
        <w:t>‘</w:t>
      </w:r>
      <w:r w:rsidRPr="00DF2726">
        <w:t>Exclusively at Tesco</w:t>
      </w:r>
      <w:r w:rsidRPr="00692FBD">
        <w:t xml:space="preserve">’ </w:t>
      </w:r>
      <w:r w:rsidRPr="00DF2726">
        <w:t xml:space="preserve">to the premium </w:t>
      </w:r>
      <w:r w:rsidRPr="00692FBD">
        <w:t>‘</w:t>
      </w:r>
      <w:r w:rsidRPr="00DF2726">
        <w:t>Tesco Finest</w:t>
      </w:r>
      <w:r w:rsidRPr="00692FBD">
        <w:t xml:space="preserve">’ </w:t>
      </w:r>
      <w:r w:rsidRPr="00DF2726">
        <w:t>line, which saw sales exceeding £2.5 billion in FY 24/25</w:t>
      </w:r>
      <w:r w:rsidRPr="00692FBD">
        <w:t xml:space="preserve"> (Tesco, 2025)</w:t>
      </w:r>
      <w:r w:rsidRPr="00DF2726">
        <w:t>.</w:t>
      </w:r>
    </w:p>
    <w:p w14:paraId="77288D0E" w14:textId="7B9FC2E6" w:rsidR="00692FBD" w:rsidRPr="00DF2726" w:rsidRDefault="00692FBD" w:rsidP="00692FBD">
      <w:pPr>
        <w:numPr>
          <w:ilvl w:val="0"/>
          <w:numId w:val="18"/>
        </w:numPr>
        <w:tabs>
          <w:tab w:val="clear" w:pos="360"/>
        </w:tabs>
        <w:jc w:val="both"/>
      </w:pPr>
      <w:r w:rsidRPr="00DF2726">
        <w:lastRenderedPageBreak/>
        <w:t xml:space="preserve">Clothing </w:t>
      </w:r>
      <w:r>
        <w:t>and general m</w:t>
      </w:r>
      <w:r w:rsidRPr="00DF2726">
        <w:t xml:space="preserve">erchandise: </w:t>
      </w:r>
      <w:r>
        <w:t>t</w:t>
      </w:r>
      <w:r w:rsidRPr="00DF2726">
        <w:t>he F&amp;F clothing brand remains a key revenue stream, now expanding its digital presence.</w:t>
      </w:r>
    </w:p>
    <w:p w14:paraId="69B8488C" w14:textId="03D8868C" w:rsidR="00692FBD" w:rsidRPr="00DF2726" w:rsidRDefault="00692FBD" w:rsidP="00692FBD">
      <w:pPr>
        <w:numPr>
          <w:ilvl w:val="0"/>
          <w:numId w:val="18"/>
        </w:numPr>
        <w:jc w:val="both"/>
      </w:pPr>
      <w:r w:rsidRPr="00DF2726">
        <w:t xml:space="preserve">Banking: </w:t>
      </w:r>
      <w:r>
        <w:t>i</w:t>
      </w:r>
      <w:r w:rsidRPr="00DF2726">
        <w:t xml:space="preserve">n a strategic shift, Tesco sold its banking operations (loans, credit cards, savings) to Barclays in November 2024. Tesco retains insurance, </w:t>
      </w:r>
      <w:r>
        <w:t>cashpoints</w:t>
      </w:r>
      <w:r w:rsidRPr="00DF2726">
        <w:t xml:space="preserve"> and travel money, w</w:t>
      </w:r>
      <w:r>
        <w:t>ith</w:t>
      </w:r>
      <w:r w:rsidRPr="00DF2726">
        <w:t xml:space="preserve"> Barclays now provid</w:t>
      </w:r>
      <w:r>
        <w:t>ing</w:t>
      </w:r>
      <w:r w:rsidRPr="00DF2726">
        <w:t xml:space="preserve"> Tesco</w:t>
      </w:r>
      <w:r>
        <w:t xml:space="preserve"> </w:t>
      </w:r>
      <w:r w:rsidRPr="00DF2726">
        <w:t xml:space="preserve">branded banking products </w:t>
      </w:r>
      <w:r w:rsidRPr="00692FBD">
        <w:t>‘</w:t>
      </w:r>
      <w:r w:rsidRPr="00DF2726">
        <w:t>under a</w:t>
      </w:r>
      <w:r w:rsidRPr="00692FBD">
        <w:t xml:space="preserve"> long-term strategic </w:t>
      </w:r>
      <w:r w:rsidRPr="00DF2726">
        <w:t>partnership</w:t>
      </w:r>
      <w:r w:rsidRPr="00692FBD">
        <w:t>’</w:t>
      </w:r>
      <w:r w:rsidRPr="00DF2726">
        <w:t xml:space="preserve"> (Tesco, 2024).</w:t>
      </w:r>
    </w:p>
    <w:p w14:paraId="5DC40371" w14:textId="7D191CE3" w:rsidR="00692FBD" w:rsidRPr="00DF2726" w:rsidRDefault="00692FBD" w:rsidP="00692FBD">
      <w:pPr>
        <w:numPr>
          <w:ilvl w:val="0"/>
          <w:numId w:val="18"/>
        </w:numPr>
        <w:tabs>
          <w:tab w:val="clear" w:pos="360"/>
        </w:tabs>
        <w:jc w:val="both"/>
      </w:pPr>
      <w:r w:rsidRPr="00DF2726">
        <w:t xml:space="preserve">Wholesale: </w:t>
      </w:r>
      <w:r>
        <w:t>t</w:t>
      </w:r>
      <w:r w:rsidRPr="00DF2726">
        <w:t>hrough Booker, Tesco serves independent retailers and caterers.</w:t>
      </w:r>
    </w:p>
    <w:p w14:paraId="43C4E50F" w14:textId="02029067" w:rsidR="00692FBD" w:rsidRPr="00DF2726" w:rsidRDefault="00692FBD" w:rsidP="00692FBD">
      <w:pPr>
        <w:numPr>
          <w:ilvl w:val="0"/>
          <w:numId w:val="18"/>
        </w:numPr>
        <w:jc w:val="both"/>
      </w:pPr>
      <w:r w:rsidRPr="00DF2726">
        <w:t>Data: Dunnhumby, its data science subsidiary, powers the Clubcard loyalty scheme</w:t>
      </w:r>
      <w:r>
        <w:t xml:space="preserve"> providing </w:t>
      </w:r>
      <w:r w:rsidRPr="00DF2726">
        <w:t>a critical competitive advantage.</w:t>
      </w:r>
    </w:p>
    <w:p w14:paraId="73945693" w14:textId="25914D1C" w:rsidR="00692FBD" w:rsidRDefault="00692FBD" w:rsidP="00692FBD">
      <w:pPr>
        <w:numPr>
          <w:ilvl w:val="0"/>
          <w:numId w:val="18"/>
        </w:numPr>
        <w:tabs>
          <w:tab w:val="clear" w:pos="360"/>
        </w:tabs>
        <w:jc w:val="both"/>
      </w:pPr>
      <w:r w:rsidRPr="00DF2726">
        <w:t xml:space="preserve">Digital: </w:t>
      </w:r>
      <w:r w:rsidR="0030078C">
        <w:t>t</w:t>
      </w:r>
      <w:r w:rsidRPr="00DF2726">
        <w:t>he Tesco Clubcard loyalty scheme and rapid delivery service 'Whoosh' are pivotal to its digital engagement strategy</w:t>
      </w:r>
      <w:r>
        <w:t xml:space="preserve"> (Tesco, 2023).</w:t>
      </w:r>
    </w:p>
    <w:p w14:paraId="2D93F867" w14:textId="77777777" w:rsidR="00692FBD" w:rsidRPr="00692FBD" w:rsidRDefault="00692FBD" w:rsidP="00692FBD">
      <w:pPr>
        <w:ind w:left="360"/>
        <w:jc w:val="both"/>
      </w:pPr>
    </w:p>
    <w:p w14:paraId="1CCA3559" w14:textId="76D72391" w:rsidR="00692FBD" w:rsidRPr="00DF2726" w:rsidRDefault="00692FBD" w:rsidP="00692FBD">
      <w:pPr>
        <w:jc w:val="both"/>
        <w:rPr>
          <w:u w:val="single"/>
        </w:rPr>
      </w:pPr>
      <w:r w:rsidRPr="00DF2726">
        <w:rPr>
          <w:u w:val="single"/>
        </w:rPr>
        <w:t>Market Position</w:t>
      </w:r>
    </w:p>
    <w:p w14:paraId="23359BF4" w14:textId="20AD57D1" w:rsidR="0042136B" w:rsidRDefault="00692FBD" w:rsidP="00692FBD">
      <w:pPr>
        <w:jc w:val="both"/>
      </w:pPr>
      <w:r w:rsidRPr="00DF2726">
        <w:t xml:space="preserve">Tesco maintains a dominant market position. As of November 2025, Kantar data places Tesco’s UK grocery market share at approximately 28.2%, significantly ahead of its nearest competitor, Sainsbury’s (15.7%). The market structure remains highly competitive; Tesco faces pressure from traditional rivals Asda (11.6%) and Morrisons (8.3%), as well as the continued growth of discounters Aldi (10.6%) and Lidl (8.2%) (Kantar, 2025). Despite this, Tesco has successfully defended its share through its </w:t>
      </w:r>
      <w:r>
        <w:t>‘</w:t>
      </w:r>
      <w:r w:rsidRPr="00DF2726">
        <w:t>Aldi Price Match</w:t>
      </w:r>
      <w:r>
        <w:t>’</w:t>
      </w:r>
      <w:r w:rsidRPr="00DF2726">
        <w:t xml:space="preserve"> and Clubcard Prices initiatives.</w:t>
      </w:r>
    </w:p>
    <w:p w14:paraId="609CD8AA" w14:textId="77777777" w:rsidR="00732209" w:rsidRDefault="00732209" w:rsidP="00692FBD">
      <w:pPr>
        <w:jc w:val="both"/>
      </w:pPr>
    </w:p>
    <w:p w14:paraId="774A3AE3" w14:textId="77777777" w:rsidR="00732209" w:rsidRDefault="00732209" w:rsidP="00692FBD">
      <w:pPr>
        <w:jc w:val="both"/>
      </w:pPr>
    </w:p>
    <w:p w14:paraId="6A0DD525" w14:textId="77777777" w:rsidR="00732209" w:rsidRPr="00BE5579" w:rsidRDefault="00732209" w:rsidP="00732209">
      <w:pPr>
        <w:spacing w:after="0"/>
        <w:rPr>
          <w:rFonts w:cs="Arial"/>
          <w:b/>
          <w:bCs/>
        </w:rPr>
      </w:pPr>
      <w:r w:rsidRPr="00BE5579">
        <w:rPr>
          <w:rFonts w:cs="Arial"/>
          <w:b/>
          <w:bCs/>
        </w:rPr>
        <w:lastRenderedPageBreak/>
        <w:t>References:</w:t>
      </w:r>
    </w:p>
    <w:p w14:paraId="2FB6E2FB" w14:textId="77777777" w:rsidR="00732209" w:rsidRPr="00BE5579" w:rsidRDefault="00732209" w:rsidP="00732209">
      <w:pPr>
        <w:spacing w:after="0"/>
        <w:rPr>
          <w:rFonts w:cs="Arial"/>
        </w:rPr>
      </w:pPr>
    </w:p>
    <w:p w14:paraId="162E784D" w14:textId="77777777" w:rsidR="00732209" w:rsidRPr="00BE5579" w:rsidRDefault="00732209" w:rsidP="00732209">
      <w:pPr>
        <w:spacing w:after="0"/>
        <w:rPr>
          <w:rFonts w:cs="Arial"/>
        </w:rPr>
      </w:pPr>
      <w:r w:rsidRPr="00BE5579">
        <w:rPr>
          <w:rFonts w:cs="Arial"/>
        </w:rPr>
        <w:t xml:space="preserve">Abraham, M., Geng, T.R., Kogler, F., and Taylor L. (2024) ‘What Consumers Want from Personalization.’ </w:t>
      </w:r>
      <w:r w:rsidRPr="00BE5579">
        <w:rPr>
          <w:rFonts w:cs="Arial"/>
          <w:i/>
          <w:iCs/>
        </w:rPr>
        <w:t xml:space="preserve">BCG. </w:t>
      </w:r>
      <w:r w:rsidRPr="00BE5579">
        <w:rPr>
          <w:rFonts w:cs="Arial"/>
        </w:rPr>
        <w:t xml:space="preserve">12 December. Available at: </w:t>
      </w:r>
      <w:hyperlink r:id="rId8" w:history="1">
        <w:r w:rsidRPr="00BE5579">
          <w:rPr>
            <w:rStyle w:val="Hyperlink"/>
            <w:rFonts w:cs="Arial"/>
          </w:rPr>
          <w:t>https://www.bcg.com/publications/2024/what-consumers-want-from-personalization</w:t>
        </w:r>
      </w:hyperlink>
      <w:r w:rsidRPr="00BE5579">
        <w:rPr>
          <w:rFonts w:cs="Arial"/>
        </w:rPr>
        <w:t xml:space="preserve"> [Accessed: 30 November 2025]. </w:t>
      </w:r>
    </w:p>
    <w:p w14:paraId="0FC9CF88" w14:textId="77777777" w:rsidR="00732209" w:rsidRPr="00BE5579" w:rsidRDefault="00732209" w:rsidP="00732209">
      <w:pPr>
        <w:spacing w:after="0"/>
        <w:rPr>
          <w:rFonts w:cs="Arial"/>
        </w:rPr>
      </w:pPr>
    </w:p>
    <w:p w14:paraId="4C2B58AA" w14:textId="77777777" w:rsidR="00732209" w:rsidRPr="00BE5579" w:rsidRDefault="00732209" w:rsidP="00732209">
      <w:pPr>
        <w:spacing w:after="0"/>
        <w:rPr>
          <w:rFonts w:cs="Arial"/>
        </w:rPr>
      </w:pPr>
      <w:r w:rsidRPr="00BE5579">
        <w:rPr>
          <w:rFonts w:cs="Arial"/>
        </w:rPr>
        <w:t>Aguilar, F. J. (1967). Scanning the business environment. New York: Macmillan. [Accessed: 28 November 2025].</w:t>
      </w:r>
    </w:p>
    <w:p w14:paraId="35F55DCE" w14:textId="77777777" w:rsidR="00732209" w:rsidRPr="00BE5579" w:rsidRDefault="00732209" w:rsidP="00732209">
      <w:pPr>
        <w:spacing w:after="0"/>
        <w:rPr>
          <w:rFonts w:cs="Arial"/>
        </w:rPr>
      </w:pPr>
    </w:p>
    <w:p w14:paraId="211C7ED4" w14:textId="77777777" w:rsidR="00732209" w:rsidRPr="00BE5579" w:rsidRDefault="00732209" w:rsidP="00732209">
      <w:pPr>
        <w:spacing w:after="0"/>
        <w:rPr>
          <w:rFonts w:cs="Arial"/>
        </w:rPr>
      </w:pPr>
      <w:r w:rsidRPr="00BE5579">
        <w:rPr>
          <w:rFonts w:cs="Arial"/>
        </w:rPr>
        <w:t xml:space="preserve">Alicke, K., Bayazit, C., Beckhoff, T., Foster, T., and </w:t>
      </w:r>
      <w:proofErr w:type="gramStart"/>
      <w:r w:rsidRPr="00BE5579">
        <w:rPr>
          <w:rFonts w:cs="Arial"/>
        </w:rPr>
        <w:t>Mysore</w:t>
      </w:r>
      <w:proofErr w:type="gramEnd"/>
      <w:r w:rsidRPr="00BE5579">
        <w:rPr>
          <w:rFonts w:cs="Arial"/>
        </w:rPr>
        <w:t xml:space="preserve">, M. (2022) </w:t>
      </w:r>
      <w:r w:rsidRPr="00BE5579">
        <w:rPr>
          <w:rFonts w:cs="Arial"/>
          <w:i/>
          <w:iCs/>
        </w:rPr>
        <w:t>Supply chains: To build resilience, manage proactively</w:t>
      </w:r>
      <w:r w:rsidRPr="00BE5579">
        <w:rPr>
          <w:rFonts w:cs="Arial"/>
        </w:rPr>
        <w:t xml:space="preserve">. Available at: </w:t>
      </w:r>
      <w:hyperlink r:id="rId9" w:history="1">
        <w:r w:rsidRPr="00BE5579">
          <w:rPr>
            <w:rStyle w:val="Hyperlink"/>
            <w:rFonts w:cs="Arial"/>
          </w:rPr>
          <w:t>https://www.mckinsey.com/capabilities/operations/our-insights/supply-chains-to-build-resilience-manage-proactively</w:t>
        </w:r>
      </w:hyperlink>
      <w:r w:rsidRPr="00BE5579">
        <w:rPr>
          <w:rFonts w:cs="Arial"/>
        </w:rPr>
        <w:t xml:space="preserve"> [Accessed: 29 November 2025]. </w:t>
      </w:r>
    </w:p>
    <w:p w14:paraId="5D3A606F" w14:textId="77777777" w:rsidR="00732209" w:rsidRPr="00BE5579" w:rsidRDefault="00732209" w:rsidP="00732209">
      <w:pPr>
        <w:spacing w:after="0"/>
        <w:rPr>
          <w:rFonts w:cs="Arial"/>
        </w:rPr>
      </w:pPr>
    </w:p>
    <w:p w14:paraId="23925EDD" w14:textId="77777777" w:rsidR="00732209" w:rsidRPr="00BE5579" w:rsidRDefault="00732209" w:rsidP="00732209">
      <w:pPr>
        <w:spacing w:after="0"/>
        <w:rPr>
          <w:rFonts w:cs="Arial"/>
        </w:rPr>
      </w:pPr>
      <w:r w:rsidRPr="00BE5579">
        <w:rPr>
          <w:rFonts w:cs="Arial"/>
        </w:rPr>
        <w:t xml:space="preserve">Amar, J., Jacobsen, R., Kleinstein, B., and Shi, A. (2020) </w:t>
      </w:r>
      <w:r w:rsidRPr="00BE5579">
        <w:rPr>
          <w:rFonts w:cs="Arial"/>
          <w:i/>
          <w:iCs/>
        </w:rPr>
        <w:t xml:space="preserve">Redefine the omnichannel approach: Focus on what truly matters. </w:t>
      </w:r>
      <w:r w:rsidRPr="00BE5579">
        <w:rPr>
          <w:rFonts w:cs="Arial"/>
        </w:rPr>
        <w:t xml:space="preserve">Available at: </w:t>
      </w:r>
      <w:hyperlink r:id="rId10" w:history="1">
        <w:r w:rsidRPr="00BE5579">
          <w:rPr>
            <w:rStyle w:val="Hyperlink"/>
            <w:rFonts w:cs="Arial"/>
          </w:rPr>
          <w:t>https://www.mckinsey.com/capabilities/operations/our-insights/redefine-the-omnichannel-approach-focus-on-what-truly-matters</w:t>
        </w:r>
      </w:hyperlink>
      <w:r w:rsidRPr="00BE5579">
        <w:rPr>
          <w:rFonts w:cs="Arial"/>
        </w:rPr>
        <w:t xml:space="preserve"> [Accessed: 24 November 2025].</w:t>
      </w:r>
    </w:p>
    <w:p w14:paraId="414E0446" w14:textId="77777777" w:rsidR="00732209" w:rsidRPr="00BE5579" w:rsidRDefault="00732209" w:rsidP="00732209">
      <w:pPr>
        <w:spacing w:after="0"/>
        <w:rPr>
          <w:rFonts w:cs="Arial"/>
        </w:rPr>
      </w:pPr>
    </w:p>
    <w:p w14:paraId="6906CFE9" w14:textId="77777777" w:rsidR="00732209" w:rsidRPr="00BE5579" w:rsidRDefault="00732209" w:rsidP="00732209">
      <w:pPr>
        <w:spacing w:after="0"/>
        <w:rPr>
          <w:rFonts w:cs="Arial"/>
        </w:rPr>
      </w:pPr>
      <w:r w:rsidRPr="00BE5579">
        <w:rPr>
          <w:rFonts w:cs="Arial"/>
        </w:rPr>
        <w:t xml:space="preserve">Andrews, R. (2023) </w:t>
      </w:r>
      <w:r w:rsidRPr="00BE5579">
        <w:rPr>
          <w:rFonts w:cs="Arial"/>
          <w:i/>
          <w:iCs/>
        </w:rPr>
        <w:t xml:space="preserve">Over half of UK consumers prepared to boycott brands over misleading green claims. </w:t>
      </w:r>
      <w:r w:rsidRPr="00BE5579">
        <w:rPr>
          <w:rFonts w:cs="Arial"/>
        </w:rPr>
        <w:t xml:space="preserve">Available at: </w:t>
      </w:r>
      <w:hyperlink r:id="rId11" w:history="1">
        <w:r w:rsidRPr="00BE5579">
          <w:rPr>
            <w:rStyle w:val="Hyperlink"/>
            <w:rFonts w:cs="Arial"/>
          </w:rPr>
          <w:t>https://kpmg.com/uk/en/media/press-releases/2023/09/over-half-of-uk-consumers-prepared-to-boycott-brands-over-misleading-green-claims.html</w:t>
        </w:r>
      </w:hyperlink>
      <w:r w:rsidRPr="00BE5579">
        <w:rPr>
          <w:rFonts w:cs="Arial"/>
        </w:rPr>
        <w:t xml:space="preserve"> [Accessed: 2 December 2025].</w:t>
      </w:r>
    </w:p>
    <w:p w14:paraId="45631FB8" w14:textId="77777777" w:rsidR="00732209" w:rsidRPr="00BE5579" w:rsidRDefault="00732209" w:rsidP="00732209">
      <w:pPr>
        <w:spacing w:after="0"/>
        <w:rPr>
          <w:rFonts w:cs="Arial"/>
        </w:rPr>
      </w:pPr>
    </w:p>
    <w:p w14:paraId="06C4BC46" w14:textId="77777777" w:rsidR="00732209" w:rsidRPr="00BE5579" w:rsidRDefault="00732209" w:rsidP="00732209">
      <w:pPr>
        <w:spacing w:after="0"/>
        <w:rPr>
          <w:rFonts w:cs="Arial"/>
        </w:rPr>
      </w:pPr>
      <w:r w:rsidRPr="00BE5579">
        <w:rPr>
          <w:rFonts w:cs="Arial"/>
        </w:rPr>
        <w:lastRenderedPageBreak/>
        <w:t xml:space="preserve">Arrowsmith, S., Hales, P., Trimmer, G., Moncur, S., Rowland, J. and Hall, A. (2025) ‘Spotlight: UK Grocery Report – 2025.’ </w:t>
      </w:r>
      <w:r w:rsidRPr="00BE5579">
        <w:rPr>
          <w:rFonts w:cs="Arial"/>
          <w:i/>
          <w:iCs/>
        </w:rPr>
        <w:t>Savills</w:t>
      </w:r>
      <w:r w:rsidRPr="00BE5579">
        <w:rPr>
          <w:rFonts w:cs="Arial"/>
        </w:rPr>
        <w:t xml:space="preserve">. 16 July. Available at: </w:t>
      </w:r>
      <w:hyperlink r:id="rId12" w:history="1">
        <w:r w:rsidRPr="00BE5579">
          <w:rPr>
            <w:rStyle w:val="Hyperlink"/>
            <w:rFonts w:cs="Arial"/>
          </w:rPr>
          <w:t>https://www.savills.co.uk/research_articles/229130/379213-0</w:t>
        </w:r>
      </w:hyperlink>
      <w:r w:rsidRPr="00BE5579">
        <w:rPr>
          <w:rFonts w:cs="Arial"/>
        </w:rPr>
        <w:t xml:space="preserve"> [Accessed: 29 November 2025].</w:t>
      </w:r>
    </w:p>
    <w:p w14:paraId="44778885" w14:textId="77777777" w:rsidR="00732209" w:rsidRPr="00BE5579" w:rsidRDefault="00732209" w:rsidP="00732209">
      <w:pPr>
        <w:spacing w:after="0"/>
        <w:rPr>
          <w:rFonts w:cs="Arial"/>
        </w:rPr>
      </w:pPr>
    </w:p>
    <w:p w14:paraId="38BD2DE9" w14:textId="77777777" w:rsidR="00732209" w:rsidRPr="00BE5579" w:rsidRDefault="00732209" w:rsidP="00732209">
      <w:pPr>
        <w:spacing w:after="0"/>
        <w:rPr>
          <w:rFonts w:cs="Arial"/>
        </w:rPr>
      </w:pPr>
      <w:r w:rsidRPr="00BE5579">
        <w:rPr>
          <w:rFonts w:cs="Arial"/>
        </w:rPr>
        <w:t>Barney, J. (1991) ‘Firm resources and sustained competitive advantage.’ </w:t>
      </w:r>
      <w:r w:rsidRPr="00BE5579">
        <w:rPr>
          <w:rFonts w:cs="Arial"/>
          <w:i/>
          <w:iCs/>
        </w:rPr>
        <w:t>Journal of Management</w:t>
      </w:r>
      <w:r w:rsidRPr="00BE5579">
        <w:rPr>
          <w:rFonts w:cs="Arial"/>
        </w:rPr>
        <w:t xml:space="preserve">. Volume 17(1), pgs 99-120. Available at: </w:t>
      </w:r>
      <w:hyperlink r:id="rId13" w:history="1">
        <w:r w:rsidRPr="00BE5579">
          <w:rPr>
            <w:rStyle w:val="Hyperlink"/>
            <w:rFonts w:cs="Arial"/>
          </w:rPr>
          <w:t>http://diglib.globalcollege.edu.et:8080/xmlui/bitstream/handle/123456789/704/00483.pdf?sequence=1&amp;isAllowed=y</w:t>
        </w:r>
      </w:hyperlink>
      <w:r w:rsidRPr="00BE5579">
        <w:rPr>
          <w:rFonts w:cs="Arial"/>
        </w:rPr>
        <w:t xml:space="preserve"> [Accessed: 2 December 2025].</w:t>
      </w:r>
    </w:p>
    <w:p w14:paraId="4C970415" w14:textId="77777777" w:rsidR="00732209" w:rsidRPr="00BE5579" w:rsidRDefault="00732209" w:rsidP="00732209">
      <w:pPr>
        <w:spacing w:after="0"/>
        <w:rPr>
          <w:rFonts w:cs="Arial"/>
        </w:rPr>
      </w:pPr>
    </w:p>
    <w:p w14:paraId="58847B8F" w14:textId="77777777" w:rsidR="00732209" w:rsidRPr="00BE5579" w:rsidRDefault="00732209" w:rsidP="00732209">
      <w:pPr>
        <w:spacing w:after="0"/>
        <w:rPr>
          <w:rFonts w:cs="Arial"/>
        </w:rPr>
      </w:pPr>
      <w:r w:rsidRPr="00BE5579">
        <w:rPr>
          <w:rFonts w:cs="Arial"/>
        </w:rPr>
        <w:t xml:space="preserve">Belsare, </w:t>
      </w:r>
      <w:proofErr w:type="spellStart"/>
      <w:r w:rsidRPr="00BE5579">
        <w:rPr>
          <w:rFonts w:cs="Arial"/>
        </w:rPr>
        <w:t>H.V</w:t>
      </w:r>
      <w:proofErr w:type="spellEnd"/>
      <w:r w:rsidRPr="00BE5579">
        <w:rPr>
          <w:rFonts w:cs="Arial"/>
        </w:rPr>
        <w:t>. (2025) ‘Pestle Analysis’. </w:t>
      </w:r>
      <w:r w:rsidRPr="00BE5579">
        <w:rPr>
          <w:rFonts w:cs="Arial"/>
          <w:i/>
          <w:iCs/>
        </w:rPr>
        <w:t>International Journal of Advanced Research</w:t>
      </w:r>
      <w:r w:rsidRPr="00BE5579">
        <w:rPr>
          <w:rFonts w:cs="Arial"/>
        </w:rPr>
        <w:t xml:space="preserve">. Volume 13(8). Pgs 608-612 Available at: </w:t>
      </w:r>
      <w:hyperlink r:id="rId14" w:history="1">
        <w:r w:rsidRPr="00BE5579">
          <w:rPr>
            <w:rStyle w:val="Hyperlink"/>
            <w:rFonts w:cs="Arial"/>
          </w:rPr>
          <w:t>https://www.journalijar.com/article/52427/pestle-analysis/</w:t>
        </w:r>
      </w:hyperlink>
      <w:r w:rsidRPr="00BE5579">
        <w:rPr>
          <w:rFonts w:cs="Arial"/>
        </w:rPr>
        <w:t xml:space="preserve"> [Accessed: 30 November 2025].</w:t>
      </w:r>
    </w:p>
    <w:p w14:paraId="6D85064C" w14:textId="77777777" w:rsidR="00732209" w:rsidRPr="00BE5579" w:rsidRDefault="00732209" w:rsidP="00732209">
      <w:pPr>
        <w:spacing w:after="0"/>
        <w:rPr>
          <w:rFonts w:cs="Arial"/>
        </w:rPr>
      </w:pPr>
    </w:p>
    <w:p w14:paraId="234F7A49" w14:textId="77777777" w:rsidR="00732209" w:rsidRPr="00BE5579" w:rsidRDefault="00732209" w:rsidP="00732209">
      <w:pPr>
        <w:spacing w:after="0"/>
        <w:rPr>
          <w:rFonts w:cs="Arial"/>
        </w:rPr>
      </w:pPr>
      <w:r w:rsidRPr="00BE5579">
        <w:rPr>
          <w:rFonts w:cs="Arial"/>
        </w:rPr>
        <w:t xml:space="preserve">Bick, R., Bout, S., Frick, F., </w:t>
      </w:r>
      <w:proofErr w:type="spellStart"/>
      <w:r w:rsidRPr="00BE5579">
        <w:rPr>
          <w:rFonts w:cs="Arial"/>
        </w:rPr>
        <w:t>Keutel</w:t>
      </w:r>
      <w:proofErr w:type="spellEnd"/>
      <w:r w:rsidRPr="00BE5579">
        <w:rPr>
          <w:rFonts w:cs="Arial"/>
        </w:rPr>
        <w:t xml:space="preserve">, M. and Skinner, V. (2022) </w:t>
      </w:r>
      <w:r w:rsidRPr="00BE5579">
        <w:rPr>
          <w:rFonts w:cs="Arial"/>
          <w:i/>
          <w:iCs/>
        </w:rPr>
        <w:t xml:space="preserve">The tech transformation imperative in retail. </w:t>
      </w:r>
      <w:r w:rsidRPr="00BE5579">
        <w:rPr>
          <w:rFonts w:cs="Arial"/>
        </w:rPr>
        <w:t xml:space="preserve">Available at: </w:t>
      </w:r>
      <w:hyperlink r:id="rId15" w:history="1">
        <w:r w:rsidRPr="00BE5579">
          <w:rPr>
            <w:rStyle w:val="Hyperlink"/>
            <w:rFonts w:cs="Arial"/>
          </w:rPr>
          <w:t>https://www.mckinsey.com/industries/retail/our-insights/the-tech-transformation-imperative-in-retail</w:t>
        </w:r>
      </w:hyperlink>
      <w:r w:rsidRPr="00BE5579">
        <w:rPr>
          <w:rFonts w:cs="Arial"/>
        </w:rPr>
        <w:t xml:space="preserve"> [Accessed: 7 December 2025].</w:t>
      </w:r>
    </w:p>
    <w:p w14:paraId="3B1312EB" w14:textId="77777777" w:rsidR="00732209" w:rsidRPr="00BE5579" w:rsidRDefault="00732209" w:rsidP="00732209">
      <w:pPr>
        <w:spacing w:after="0"/>
        <w:rPr>
          <w:rFonts w:cs="Arial"/>
        </w:rPr>
      </w:pPr>
    </w:p>
    <w:p w14:paraId="65C99763" w14:textId="77777777" w:rsidR="00732209" w:rsidRPr="00BE5579" w:rsidRDefault="00732209" w:rsidP="00732209">
      <w:pPr>
        <w:spacing w:after="0"/>
        <w:rPr>
          <w:rFonts w:cs="Arial"/>
        </w:rPr>
      </w:pPr>
      <w:r w:rsidRPr="00BE5579">
        <w:rPr>
          <w:rFonts w:cs="Arial"/>
        </w:rPr>
        <w:t xml:space="preserve">Boudet, J., Rathje, K., Stein, E., and </w:t>
      </w:r>
      <w:proofErr w:type="spellStart"/>
      <w:r w:rsidRPr="00BE5579">
        <w:rPr>
          <w:rFonts w:cs="Arial"/>
        </w:rPr>
        <w:t>Vollhardt</w:t>
      </w:r>
      <w:proofErr w:type="spellEnd"/>
      <w:r w:rsidRPr="00BE5579">
        <w:rPr>
          <w:rFonts w:cs="Arial"/>
        </w:rPr>
        <w:t>, K. (2019)</w:t>
      </w:r>
      <w:r w:rsidRPr="00BE5579">
        <w:rPr>
          <w:rFonts w:cs="Arial"/>
          <w:i/>
          <w:iCs/>
        </w:rPr>
        <w:t xml:space="preserve"> The future of personalization—and how to get ready for it. </w:t>
      </w:r>
      <w:r w:rsidRPr="00BE5579">
        <w:rPr>
          <w:rFonts w:cs="Arial"/>
        </w:rPr>
        <w:t xml:space="preserve">Available at: </w:t>
      </w:r>
      <w:hyperlink r:id="rId16" w:history="1">
        <w:r w:rsidRPr="00BE5579">
          <w:rPr>
            <w:rStyle w:val="Hyperlink"/>
            <w:rFonts w:cs="Arial"/>
          </w:rPr>
          <w:t>https://www.mckinsey.com/capabilities/growth-marketing-and-sales/our-insights/the-future-of-personalization-and-how-to-get-ready-for-it</w:t>
        </w:r>
      </w:hyperlink>
      <w:r w:rsidRPr="00BE5579">
        <w:rPr>
          <w:rFonts w:cs="Arial"/>
        </w:rPr>
        <w:t xml:space="preserve"> [Accessed: 7 December 2025].</w:t>
      </w:r>
    </w:p>
    <w:p w14:paraId="01C19EE4" w14:textId="77777777" w:rsidR="00732209" w:rsidRPr="00BE5579" w:rsidRDefault="00732209" w:rsidP="00732209">
      <w:pPr>
        <w:spacing w:after="0"/>
        <w:rPr>
          <w:rFonts w:cs="Arial"/>
        </w:rPr>
      </w:pPr>
    </w:p>
    <w:p w14:paraId="7BF92FD8" w14:textId="77777777" w:rsidR="00732209" w:rsidRPr="00BE5579" w:rsidRDefault="00732209" w:rsidP="00732209">
      <w:pPr>
        <w:spacing w:after="0"/>
        <w:rPr>
          <w:rFonts w:cs="Arial"/>
        </w:rPr>
      </w:pPr>
      <w:r w:rsidRPr="00BE5579">
        <w:rPr>
          <w:rFonts w:cs="Arial"/>
        </w:rPr>
        <w:lastRenderedPageBreak/>
        <w:t xml:space="preserve">Butler, S. (2021) ‘Tesco takes on Amazon Fresh with launch of ‘just walk out’ store.’ </w:t>
      </w:r>
      <w:r w:rsidRPr="00BE5579">
        <w:rPr>
          <w:rFonts w:cs="Arial"/>
          <w:i/>
          <w:iCs/>
        </w:rPr>
        <w:t xml:space="preserve">The Guardian. </w:t>
      </w:r>
      <w:r w:rsidRPr="00BE5579">
        <w:rPr>
          <w:rFonts w:cs="Arial"/>
        </w:rPr>
        <w:t xml:space="preserve">19 October. Available at: </w:t>
      </w:r>
      <w:hyperlink r:id="rId17" w:history="1">
        <w:r w:rsidRPr="00BE5579">
          <w:rPr>
            <w:rStyle w:val="Hyperlink"/>
            <w:rFonts w:cs="Arial"/>
          </w:rPr>
          <w:t>https://www.theguardian.com/business/2021/oct/19/tesco-takes-on-amazon-go-with-launch-of-just-walk-out-store</w:t>
        </w:r>
      </w:hyperlink>
      <w:r w:rsidRPr="00BE5579">
        <w:rPr>
          <w:rFonts w:cs="Arial"/>
        </w:rPr>
        <w:t xml:space="preserve"> [Accessed: 2 December 2025].</w:t>
      </w:r>
    </w:p>
    <w:p w14:paraId="21AD7951" w14:textId="77777777" w:rsidR="00732209" w:rsidRPr="00BE5579" w:rsidRDefault="00732209" w:rsidP="00732209">
      <w:pPr>
        <w:spacing w:after="0"/>
        <w:rPr>
          <w:rFonts w:cs="Arial"/>
        </w:rPr>
      </w:pPr>
    </w:p>
    <w:p w14:paraId="1713EEF9" w14:textId="77777777" w:rsidR="00732209" w:rsidRPr="00BE5579" w:rsidRDefault="00732209" w:rsidP="00732209">
      <w:pPr>
        <w:spacing w:after="0"/>
        <w:rPr>
          <w:rFonts w:cs="Arial"/>
        </w:rPr>
      </w:pPr>
      <w:r w:rsidRPr="00BE5579">
        <w:rPr>
          <w:rFonts w:cs="Arial"/>
        </w:rPr>
        <w:t>Butler, S. (2025) ‘The return of ‘</w:t>
      </w:r>
      <w:proofErr w:type="spellStart"/>
      <w:r w:rsidRPr="00BE5579">
        <w:rPr>
          <w:rFonts w:cs="Arial"/>
        </w:rPr>
        <w:t>Tescopoly</w:t>
      </w:r>
      <w:proofErr w:type="spellEnd"/>
      <w:r w:rsidRPr="00BE5579">
        <w:rPr>
          <w:rFonts w:cs="Arial"/>
        </w:rPr>
        <w:t xml:space="preserve">’? How Britain’s biggest retailer dominates everyday life.’ </w:t>
      </w:r>
      <w:r w:rsidRPr="00BE5579">
        <w:rPr>
          <w:rFonts w:cs="Arial"/>
          <w:i/>
          <w:iCs/>
        </w:rPr>
        <w:t xml:space="preserve">The Guardian. </w:t>
      </w:r>
      <w:r w:rsidRPr="00BE5579">
        <w:rPr>
          <w:rFonts w:cs="Arial"/>
        </w:rPr>
        <w:t xml:space="preserve">19 October. Available at: </w:t>
      </w:r>
      <w:hyperlink r:id="rId18" w:history="1">
        <w:r w:rsidRPr="00BE5579">
          <w:rPr>
            <w:rStyle w:val="Hyperlink"/>
            <w:rFonts w:cs="Arial"/>
          </w:rPr>
          <w:t>https://www.theguardian.com/business/2025/oct/19/tesco-britain-biggest-retailer-dominates</w:t>
        </w:r>
      </w:hyperlink>
      <w:r w:rsidRPr="00BE5579">
        <w:rPr>
          <w:rFonts w:cs="Arial"/>
        </w:rPr>
        <w:t xml:space="preserve"> [Accessed: 2 December 2025].</w:t>
      </w:r>
    </w:p>
    <w:p w14:paraId="72C37210" w14:textId="77777777" w:rsidR="00732209" w:rsidRPr="00BE5579" w:rsidRDefault="00732209" w:rsidP="00732209">
      <w:pPr>
        <w:spacing w:after="0"/>
        <w:rPr>
          <w:rFonts w:cs="Arial"/>
        </w:rPr>
      </w:pPr>
    </w:p>
    <w:p w14:paraId="4EFBC513" w14:textId="77777777" w:rsidR="00732209" w:rsidRPr="00BE5579" w:rsidRDefault="00732209" w:rsidP="00732209">
      <w:pPr>
        <w:spacing w:after="0"/>
        <w:rPr>
          <w:rFonts w:cs="Arial"/>
        </w:rPr>
      </w:pPr>
      <w:r w:rsidRPr="00BE5579">
        <w:rPr>
          <w:rFonts w:cs="Arial"/>
        </w:rPr>
        <w:t xml:space="preserve">Competitions and Market Authority (2023) </w:t>
      </w:r>
      <w:r w:rsidRPr="00BE5579">
        <w:rPr>
          <w:rFonts w:cs="Arial"/>
          <w:i/>
          <w:iCs/>
        </w:rPr>
        <w:t xml:space="preserve">Competition, choice and rising prices in </w:t>
      </w:r>
      <w:proofErr w:type="gramStart"/>
      <w:r w:rsidRPr="00BE5579">
        <w:rPr>
          <w:rFonts w:cs="Arial"/>
          <w:i/>
          <w:iCs/>
        </w:rPr>
        <w:t>groceries</w:t>
      </w:r>
      <w:r w:rsidRPr="00BE5579">
        <w:rPr>
          <w:rFonts w:cs="Arial"/>
        </w:rPr>
        <w:t>’</w:t>
      </w:r>
      <w:proofErr w:type="gramEnd"/>
      <w:r w:rsidRPr="00BE5579">
        <w:rPr>
          <w:rFonts w:cs="Arial"/>
        </w:rPr>
        <w:t xml:space="preserve">. Available at: </w:t>
      </w:r>
      <w:hyperlink r:id="rId19" w:history="1">
        <w:r w:rsidRPr="00BE5579">
          <w:rPr>
            <w:rStyle w:val="Hyperlink"/>
            <w:rFonts w:cs="Arial"/>
          </w:rPr>
          <w:t>https://www.gov.uk/government/publications/competition-choice-and-rising-prices-in-groceries</w:t>
        </w:r>
      </w:hyperlink>
      <w:r w:rsidRPr="00BE5579">
        <w:rPr>
          <w:rFonts w:cs="Arial"/>
        </w:rPr>
        <w:t xml:space="preserve"> [Accessed: 5 December 2025].</w:t>
      </w:r>
    </w:p>
    <w:p w14:paraId="2BC44E15" w14:textId="77777777" w:rsidR="00732209" w:rsidRPr="00BE5579" w:rsidRDefault="00732209" w:rsidP="00732209">
      <w:pPr>
        <w:spacing w:after="0"/>
        <w:rPr>
          <w:rFonts w:cs="Arial"/>
        </w:rPr>
      </w:pPr>
    </w:p>
    <w:p w14:paraId="24F44FDA" w14:textId="77777777" w:rsidR="00732209" w:rsidRPr="00BE5579" w:rsidRDefault="00732209" w:rsidP="00732209">
      <w:pPr>
        <w:spacing w:after="0"/>
        <w:rPr>
          <w:rFonts w:cs="Arial"/>
        </w:rPr>
      </w:pPr>
      <w:r w:rsidRPr="00BE5579">
        <w:rPr>
          <w:rFonts w:cs="Arial"/>
        </w:rPr>
        <w:t>Competition and Markets Authority (2024)</w:t>
      </w:r>
      <w:r w:rsidRPr="00BE5579">
        <w:rPr>
          <w:rFonts w:cs="Arial"/>
          <w:i/>
          <w:iCs/>
        </w:rPr>
        <w:t xml:space="preserve"> CMA AI strategic update. </w:t>
      </w:r>
      <w:r w:rsidRPr="00BE5579">
        <w:rPr>
          <w:rFonts w:cs="Arial"/>
        </w:rPr>
        <w:t xml:space="preserve">Available at: </w:t>
      </w:r>
      <w:hyperlink r:id="rId20" w:history="1">
        <w:r w:rsidRPr="00BE5579">
          <w:rPr>
            <w:rStyle w:val="Hyperlink"/>
            <w:rFonts w:cs="Arial"/>
          </w:rPr>
          <w:t>https://www.gov.uk/government/publications/cma-ai-strategic-update/cma-ai-strategic-update</w:t>
        </w:r>
      </w:hyperlink>
      <w:r w:rsidRPr="00BE5579">
        <w:rPr>
          <w:rFonts w:cs="Arial"/>
        </w:rPr>
        <w:t xml:space="preserve"> [Accessed: 7 December 2025].</w:t>
      </w:r>
    </w:p>
    <w:p w14:paraId="4BA817F7" w14:textId="77777777" w:rsidR="00732209" w:rsidRPr="00BE5579" w:rsidRDefault="00732209" w:rsidP="00732209">
      <w:pPr>
        <w:spacing w:after="0"/>
        <w:rPr>
          <w:rFonts w:cs="Arial"/>
        </w:rPr>
      </w:pPr>
    </w:p>
    <w:p w14:paraId="0AAC3A4C" w14:textId="77777777" w:rsidR="00732209" w:rsidRPr="00BE5579" w:rsidRDefault="00732209" w:rsidP="00732209">
      <w:pPr>
        <w:spacing w:after="0"/>
        <w:rPr>
          <w:rFonts w:cs="Arial"/>
        </w:rPr>
      </w:pPr>
      <w:r w:rsidRPr="00BE5579">
        <w:rPr>
          <w:rFonts w:cs="Arial"/>
        </w:rPr>
        <w:t xml:space="preserve">Competition and Markets Authority (2024) </w:t>
      </w:r>
      <w:r w:rsidRPr="00BE5579">
        <w:rPr>
          <w:rFonts w:cs="Arial"/>
          <w:i/>
          <w:iCs/>
        </w:rPr>
        <w:t>Loyalty pricing in the groceries sector.</w:t>
      </w:r>
    </w:p>
    <w:p w14:paraId="0C4527BD" w14:textId="77777777" w:rsidR="00732209" w:rsidRPr="00BE5579" w:rsidRDefault="00732209" w:rsidP="00732209">
      <w:pPr>
        <w:spacing w:after="0"/>
        <w:rPr>
          <w:rFonts w:cs="Arial"/>
        </w:rPr>
      </w:pPr>
      <w:hyperlink r:id="rId21" w:anchor="findings-published" w:history="1">
        <w:r w:rsidRPr="00BE5579">
          <w:rPr>
            <w:rStyle w:val="Hyperlink"/>
            <w:rFonts w:cs="Arial"/>
          </w:rPr>
          <w:t>https://www.gov.uk/cma-cases/loyalty-pricing-in-the-groceries-sector#findings-published</w:t>
        </w:r>
      </w:hyperlink>
      <w:r w:rsidRPr="00BE5579">
        <w:rPr>
          <w:rFonts w:cs="Arial"/>
        </w:rPr>
        <w:t xml:space="preserve"> [Accessed: 7 December 2025].</w:t>
      </w:r>
    </w:p>
    <w:p w14:paraId="541244FE" w14:textId="77777777" w:rsidR="00732209" w:rsidRPr="00BE5579" w:rsidRDefault="00732209" w:rsidP="00732209">
      <w:pPr>
        <w:spacing w:after="0"/>
        <w:rPr>
          <w:rFonts w:cs="Arial"/>
        </w:rPr>
      </w:pPr>
    </w:p>
    <w:p w14:paraId="5BED9B1D" w14:textId="77777777" w:rsidR="00732209" w:rsidRPr="00BE5579" w:rsidRDefault="00732209" w:rsidP="00732209">
      <w:pPr>
        <w:spacing w:after="0"/>
        <w:rPr>
          <w:rFonts w:cs="Arial"/>
        </w:rPr>
      </w:pPr>
      <w:r w:rsidRPr="00BE5579">
        <w:rPr>
          <w:rFonts w:cs="Arial"/>
        </w:rPr>
        <w:t xml:space="preserve">Department for Business and Trade (2024) </w:t>
      </w:r>
      <w:r w:rsidRPr="00BE5579">
        <w:rPr>
          <w:rFonts w:cs="Arial"/>
          <w:i/>
          <w:iCs/>
        </w:rPr>
        <w:t>UK Sustainability Reporting Standards</w:t>
      </w:r>
    </w:p>
    <w:p w14:paraId="45649561" w14:textId="77777777" w:rsidR="00732209" w:rsidRPr="00BE5579" w:rsidRDefault="00732209" w:rsidP="00732209">
      <w:pPr>
        <w:spacing w:after="0"/>
        <w:rPr>
          <w:rFonts w:cs="Arial"/>
        </w:rPr>
      </w:pPr>
      <w:r w:rsidRPr="00BE5579">
        <w:rPr>
          <w:rFonts w:cs="Arial"/>
        </w:rPr>
        <w:lastRenderedPageBreak/>
        <w:t xml:space="preserve">Available at: </w:t>
      </w:r>
      <w:hyperlink r:id="rId22" w:anchor=":~:text=The%20UK%20government%20is%20now,and%20Implementation%20Committee%20(%20PIC%20)" w:history="1">
        <w:r w:rsidRPr="00BE5579">
          <w:rPr>
            <w:rStyle w:val="Hyperlink"/>
            <w:rFonts w:cs="Arial"/>
          </w:rPr>
          <w:t>https://www.gov.uk/guidance/uk-sustainability-reporting-standards#:~:text=The%20UK%20government%20is%20now,and%20Implementation%20Committee%20(%20PIC%20)</w:t>
        </w:r>
      </w:hyperlink>
      <w:r w:rsidRPr="00BE5579">
        <w:rPr>
          <w:rFonts w:cs="Arial"/>
        </w:rPr>
        <w:t xml:space="preserve">. [Accessed 2 December 2025]. </w:t>
      </w:r>
    </w:p>
    <w:p w14:paraId="3EC38F04" w14:textId="77777777" w:rsidR="00732209" w:rsidRPr="00BE5579" w:rsidRDefault="00732209" w:rsidP="00732209">
      <w:pPr>
        <w:spacing w:after="0"/>
        <w:rPr>
          <w:rFonts w:cs="Arial"/>
        </w:rPr>
      </w:pPr>
    </w:p>
    <w:p w14:paraId="6F52720E" w14:textId="77777777" w:rsidR="00732209" w:rsidRPr="00BE5579" w:rsidRDefault="00732209" w:rsidP="00732209">
      <w:pPr>
        <w:spacing w:after="0"/>
        <w:rPr>
          <w:rFonts w:cs="Arial"/>
        </w:rPr>
      </w:pPr>
      <w:r w:rsidRPr="00BE5579">
        <w:rPr>
          <w:rFonts w:cs="Arial"/>
        </w:rPr>
        <w:t xml:space="preserve">Department for Environment, Food and Rural Affairs (2024) </w:t>
      </w:r>
      <w:r w:rsidRPr="00BE5579">
        <w:rPr>
          <w:rFonts w:cs="Arial"/>
          <w:i/>
          <w:iCs/>
        </w:rPr>
        <w:t xml:space="preserve">United Kingdom Food Security Report 2024: Theme 3: Food Supply Chain Resilience. </w:t>
      </w:r>
      <w:r w:rsidRPr="00BE5579">
        <w:rPr>
          <w:rFonts w:cs="Arial"/>
        </w:rPr>
        <w:t xml:space="preserve">Available at: </w:t>
      </w:r>
      <w:hyperlink r:id="rId23" w:history="1">
        <w:r w:rsidRPr="00BE5579">
          <w:rPr>
            <w:rStyle w:val="Hyperlink"/>
            <w:rFonts w:cs="Arial"/>
          </w:rPr>
          <w:t>https://www.gov.uk/government/statistics/united-kingdom-food-security-report-2024/united-kingdom-food-security-report-2024-theme-3-food-supply-chain-resilience</w:t>
        </w:r>
      </w:hyperlink>
      <w:r w:rsidRPr="00BE5579">
        <w:rPr>
          <w:rFonts w:cs="Arial"/>
        </w:rPr>
        <w:t xml:space="preserve"> [Accessed: 2 December 2025].</w:t>
      </w:r>
    </w:p>
    <w:p w14:paraId="48EE689D" w14:textId="77777777" w:rsidR="00732209" w:rsidRPr="00BE5579" w:rsidRDefault="00732209" w:rsidP="00732209">
      <w:pPr>
        <w:spacing w:after="0"/>
        <w:rPr>
          <w:rFonts w:cs="Arial"/>
        </w:rPr>
      </w:pPr>
    </w:p>
    <w:p w14:paraId="7D302DAB" w14:textId="77777777" w:rsidR="00732209" w:rsidRPr="00BE5579" w:rsidRDefault="00732209" w:rsidP="00732209">
      <w:pPr>
        <w:spacing w:after="0"/>
        <w:rPr>
          <w:rFonts w:cs="Arial"/>
        </w:rPr>
      </w:pPr>
      <w:r w:rsidRPr="00BE5579">
        <w:rPr>
          <w:rFonts w:cs="Arial"/>
        </w:rPr>
        <w:t xml:space="preserve">Doz, </w:t>
      </w:r>
      <w:proofErr w:type="spellStart"/>
      <w:r w:rsidRPr="00BE5579">
        <w:rPr>
          <w:rFonts w:cs="Arial"/>
        </w:rPr>
        <w:t>Y.l</w:t>
      </w:r>
      <w:proofErr w:type="spellEnd"/>
      <w:r w:rsidRPr="00BE5579">
        <w:rPr>
          <w:rFonts w:cs="Arial"/>
        </w:rPr>
        <w:t xml:space="preserve">. and Kosonen, M. (2010) ‘Embedding Strategic Agility: A Leadership Agenda for Accelerating Business Model Renewal’. </w:t>
      </w:r>
      <w:r w:rsidRPr="00BE5579">
        <w:rPr>
          <w:rFonts w:cs="Arial"/>
          <w:i/>
          <w:iCs/>
        </w:rPr>
        <w:t>Long Range Planning</w:t>
      </w:r>
      <w:r w:rsidRPr="00BE5579">
        <w:rPr>
          <w:rFonts w:cs="Arial"/>
        </w:rPr>
        <w:t xml:space="preserve">. Volume 43, pgs 370–382. Available at: </w:t>
      </w:r>
      <w:hyperlink r:id="rId24" w:history="1">
        <w:r w:rsidRPr="00BE5579">
          <w:rPr>
            <w:rStyle w:val="Hyperlink"/>
            <w:rFonts w:cs="Arial"/>
          </w:rPr>
          <w:t>https://www.sciencedirect.com/science/article/pii/S0024630109000570</w:t>
        </w:r>
      </w:hyperlink>
      <w:r w:rsidRPr="00BE5579">
        <w:rPr>
          <w:rFonts w:cs="Arial"/>
        </w:rPr>
        <w:t xml:space="preserve"> [Accessed: 28 November 2025]. </w:t>
      </w:r>
    </w:p>
    <w:p w14:paraId="3C54E2C5" w14:textId="77777777" w:rsidR="00732209" w:rsidRPr="00BE5579" w:rsidRDefault="00732209" w:rsidP="00732209">
      <w:pPr>
        <w:spacing w:after="0"/>
        <w:rPr>
          <w:rFonts w:cs="Arial"/>
        </w:rPr>
      </w:pPr>
    </w:p>
    <w:p w14:paraId="1F8C7DE7" w14:textId="77777777" w:rsidR="00732209" w:rsidRPr="00BE5579" w:rsidRDefault="00732209" w:rsidP="00732209">
      <w:pPr>
        <w:spacing w:after="0"/>
        <w:rPr>
          <w:rFonts w:cs="Arial"/>
        </w:rPr>
      </w:pPr>
      <w:r w:rsidRPr="00BE5579">
        <w:rPr>
          <w:rFonts w:cs="Arial"/>
        </w:rPr>
        <w:t xml:space="preserve">Engmann, A., </w:t>
      </w:r>
      <w:proofErr w:type="spellStart"/>
      <w:r w:rsidRPr="00BE5579">
        <w:rPr>
          <w:rFonts w:cs="Arial"/>
        </w:rPr>
        <w:t>Eluerkeh</w:t>
      </w:r>
      <w:proofErr w:type="spellEnd"/>
      <w:r w:rsidRPr="00BE5579">
        <w:rPr>
          <w:rFonts w:cs="Arial"/>
        </w:rPr>
        <w:t xml:space="preserve">, E. and </w:t>
      </w:r>
      <w:proofErr w:type="spellStart"/>
      <w:r w:rsidRPr="00BE5579">
        <w:rPr>
          <w:rFonts w:cs="Arial"/>
        </w:rPr>
        <w:t>Ngwakwe</w:t>
      </w:r>
      <w:proofErr w:type="spellEnd"/>
      <w:r w:rsidRPr="00BE5579">
        <w:rPr>
          <w:rFonts w:cs="Arial"/>
        </w:rPr>
        <w:t>, C. (2024) ‘Leading Change by Design-Integrating Design thinking with Kotter’s 8 Step Process.’ </w:t>
      </w:r>
      <w:r w:rsidRPr="00BE5579">
        <w:rPr>
          <w:rFonts w:cs="Arial"/>
          <w:i/>
          <w:iCs/>
        </w:rPr>
        <w:t>HOLISTICA Journal of Business and Public Administration</w:t>
      </w:r>
      <w:r w:rsidRPr="00BE5579">
        <w:rPr>
          <w:rFonts w:cs="Arial"/>
        </w:rPr>
        <w:t xml:space="preserve">. Volume </w:t>
      </w:r>
      <w:r w:rsidRPr="00BE5579">
        <w:rPr>
          <w:rFonts w:cs="Arial"/>
          <w:i/>
          <w:iCs/>
        </w:rPr>
        <w:t>15</w:t>
      </w:r>
      <w:r w:rsidRPr="00BE5579">
        <w:rPr>
          <w:rFonts w:cs="Arial"/>
        </w:rPr>
        <w:t xml:space="preserve">(2), pgs. 127-141. Available at: </w:t>
      </w:r>
      <w:hyperlink r:id="rId25" w:history="1">
        <w:r w:rsidRPr="00BE5579">
          <w:rPr>
            <w:rStyle w:val="Hyperlink"/>
            <w:rFonts w:cs="Arial"/>
          </w:rPr>
          <w:t>https://reference-global.com/2/v2/download/pdf/10.2478/hjbpa-2024-0018</w:t>
        </w:r>
      </w:hyperlink>
      <w:r w:rsidRPr="00BE5579">
        <w:rPr>
          <w:rFonts w:cs="Arial"/>
        </w:rPr>
        <w:t xml:space="preserve"> [Accessed: 7 December 2025].</w:t>
      </w:r>
    </w:p>
    <w:p w14:paraId="6BC6D4B1" w14:textId="77777777" w:rsidR="00732209" w:rsidRPr="00BE5579" w:rsidRDefault="00732209" w:rsidP="00732209">
      <w:pPr>
        <w:spacing w:after="0"/>
        <w:rPr>
          <w:rFonts w:cs="Arial"/>
        </w:rPr>
      </w:pPr>
    </w:p>
    <w:p w14:paraId="45DA78F8" w14:textId="77777777" w:rsidR="00732209" w:rsidRPr="00BE5579" w:rsidRDefault="00732209" w:rsidP="00732209">
      <w:pPr>
        <w:spacing w:after="0"/>
        <w:rPr>
          <w:rFonts w:cs="Arial"/>
        </w:rPr>
      </w:pPr>
      <w:r w:rsidRPr="00BE5579">
        <w:rPr>
          <w:rFonts w:cs="Arial"/>
        </w:rPr>
        <w:t xml:space="preserve">EY (2025) </w:t>
      </w:r>
      <w:r w:rsidRPr="00BE5579">
        <w:rPr>
          <w:rFonts w:cs="Arial"/>
          <w:i/>
          <w:iCs/>
        </w:rPr>
        <w:t xml:space="preserve">Brand loyalty declines as financial concerns persist. </w:t>
      </w:r>
      <w:r w:rsidRPr="00BE5579">
        <w:rPr>
          <w:rFonts w:cs="Arial"/>
        </w:rPr>
        <w:t xml:space="preserve">(Press Release). Available at: </w:t>
      </w:r>
      <w:hyperlink r:id="rId26" w:history="1">
        <w:r w:rsidRPr="00BE5579">
          <w:rPr>
            <w:rStyle w:val="Hyperlink"/>
            <w:rFonts w:cs="Arial"/>
          </w:rPr>
          <w:t>https://www.ey.com/en_uk/newsroom/2025/05/brand-loyalty-declines-as-financial-concerns-persist</w:t>
        </w:r>
      </w:hyperlink>
      <w:r w:rsidRPr="00BE5579">
        <w:rPr>
          <w:rFonts w:cs="Arial"/>
        </w:rPr>
        <w:t xml:space="preserve"> [Accessed: 30 November 2025].</w:t>
      </w:r>
    </w:p>
    <w:p w14:paraId="695FA6DF" w14:textId="77777777" w:rsidR="00732209" w:rsidRPr="00BE5579" w:rsidRDefault="00732209" w:rsidP="00732209">
      <w:pPr>
        <w:spacing w:after="0"/>
        <w:rPr>
          <w:rFonts w:cs="Arial"/>
        </w:rPr>
      </w:pPr>
      <w:r w:rsidRPr="00BE5579">
        <w:rPr>
          <w:rFonts w:cs="Arial"/>
        </w:rPr>
        <w:lastRenderedPageBreak/>
        <w:t xml:space="preserve">Goedhart, J., </w:t>
      </w:r>
      <w:proofErr w:type="spellStart"/>
      <w:r w:rsidRPr="00BE5579">
        <w:rPr>
          <w:rFonts w:cs="Arial"/>
        </w:rPr>
        <w:t>Haijema</w:t>
      </w:r>
      <w:proofErr w:type="spellEnd"/>
      <w:r w:rsidRPr="00BE5579">
        <w:rPr>
          <w:rFonts w:cs="Arial"/>
        </w:rPr>
        <w:t xml:space="preserve">, R., Akkerman, R., and de Leeuw, S. (2023) Replenishment and fulfilment decisions for stores in an omni-channel retail network. </w:t>
      </w:r>
      <w:r w:rsidRPr="00BE5579">
        <w:rPr>
          <w:rFonts w:cs="Arial"/>
          <w:i/>
          <w:iCs/>
        </w:rPr>
        <w:t>European Journal of Operational Research.</w:t>
      </w:r>
      <w:r w:rsidRPr="00BE5579">
        <w:rPr>
          <w:rFonts w:cs="Arial"/>
        </w:rPr>
        <w:t xml:space="preserve"> Volume 311(3) pgs. 1009-1022, Available at: </w:t>
      </w:r>
      <w:hyperlink r:id="rId27" w:history="1">
        <w:r w:rsidRPr="00BE5579">
          <w:rPr>
            <w:rStyle w:val="Hyperlink"/>
            <w:rFonts w:cs="Arial"/>
          </w:rPr>
          <w:t>https://www.sciencedirect.com/science/article/pii/S0377221723004691</w:t>
        </w:r>
      </w:hyperlink>
      <w:r w:rsidRPr="00BE5579">
        <w:rPr>
          <w:rFonts w:cs="Arial"/>
        </w:rPr>
        <w:t xml:space="preserve"> [Accessed: 7 December 2025]. </w:t>
      </w:r>
    </w:p>
    <w:p w14:paraId="15919E9E" w14:textId="77777777" w:rsidR="00732209" w:rsidRPr="00BE5579" w:rsidRDefault="00732209" w:rsidP="00732209">
      <w:pPr>
        <w:spacing w:after="0"/>
        <w:rPr>
          <w:rFonts w:cs="Arial"/>
        </w:rPr>
      </w:pPr>
    </w:p>
    <w:p w14:paraId="0E7ED291" w14:textId="77777777" w:rsidR="00732209" w:rsidRPr="00BE5579" w:rsidRDefault="00732209" w:rsidP="00732209">
      <w:pPr>
        <w:spacing w:after="0"/>
        <w:rPr>
          <w:rFonts w:cs="Arial"/>
        </w:rPr>
      </w:pPr>
      <w:r w:rsidRPr="00BE5579">
        <w:rPr>
          <w:rFonts w:cs="Arial"/>
        </w:rPr>
        <w:t>Goyal, A. (2020) ‘A Critical Analysis of Porter's 5 Forces Model of Competitive Advantage</w:t>
      </w:r>
      <w:r w:rsidRPr="00BE5579">
        <w:rPr>
          <w:rFonts w:cs="Arial"/>
          <w:i/>
          <w:iCs/>
        </w:rPr>
        <w:t xml:space="preserve">.’ Journal of Emerging Technologies and Innovative Research. </w:t>
      </w:r>
      <w:r w:rsidRPr="00BE5579">
        <w:rPr>
          <w:rFonts w:cs="Arial"/>
        </w:rPr>
        <w:t>Volume</w:t>
      </w:r>
      <w:r w:rsidRPr="00BE5579">
        <w:rPr>
          <w:rFonts w:cs="Arial"/>
          <w:i/>
          <w:iCs/>
        </w:rPr>
        <w:t xml:space="preserve"> </w:t>
      </w:r>
      <w:r w:rsidRPr="00BE5579">
        <w:rPr>
          <w:rFonts w:cs="Arial"/>
        </w:rPr>
        <w:t xml:space="preserve">7. pgs. 149-152. Available at: </w:t>
      </w:r>
      <w:hyperlink r:id="rId28" w:history="1">
        <w:r w:rsidRPr="00BE5579">
          <w:rPr>
            <w:rStyle w:val="Hyperlink"/>
            <w:rFonts w:cs="Arial"/>
          </w:rPr>
          <w:t>https://www.researchgate.net/publication/348550277_A_Critical_Analysis_of_Porter's_5_Forces_Model_of_Competitive_Advantage</w:t>
        </w:r>
      </w:hyperlink>
      <w:r w:rsidRPr="00BE5579">
        <w:rPr>
          <w:rFonts w:cs="Arial"/>
        </w:rPr>
        <w:t xml:space="preserve"> [Accessed: 1 December 2025].</w:t>
      </w:r>
    </w:p>
    <w:p w14:paraId="3260BCE0" w14:textId="77777777" w:rsidR="00732209" w:rsidRPr="00BE5579" w:rsidRDefault="00732209" w:rsidP="00732209">
      <w:pPr>
        <w:spacing w:after="0"/>
        <w:rPr>
          <w:rFonts w:cs="Arial"/>
        </w:rPr>
      </w:pPr>
    </w:p>
    <w:p w14:paraId="443A99B1" w14:textId="77777777" w:rsidR="00732209" w:rsidRPr="00BE5579" w:rsidRDefault="00732209" w:rsidP="00732209">
      <w:pPr>
        <w:spacing w:after="0"/>
        <w:rPr>
          <w:rFonts w:cs="Arial"/>
        </w:rPr>
      </w:pPr>
      <w:r w:rsidRPr="00BE5579">
        <w:rPr>
          <w:rFonts w:cs="Arial"/>
        </w:rPr>
        <w:t xml:space="preserve">Grewal, D., Gauri, D.K., Das, G., Agarwal, J., and Spence, M.T. (2021) ‘Retailing and emergent </w:t>
      </w:r>
      <w:proofErr w:type="gramStart"/>
      <w:r w:rsidRPr="00BE5579">
        <w:rPr>
          <w:rFonts w:cs="Arial"/>
        </w:rPr>
        <w:t>technologies’</w:t>
      </w:r>
      <w:proofErr w:type="gramEnd"/>
      <w:r w:rsidRPr="00BE5579">
        <w:rPr>
          <w:rFonts w:cs="Arial"/>
        </w:rPr>
        <w:t xml:space="preserve">. Journal of Business Research. Volume 134, pgs 198-202. Available at: </w:t>
      </w:r>
      <w:hyperlink r:id="rId29" w:history="1">
        <w:r w:rsidRPr="00BE5579">
          <w:rPr>
            <w:rStyle w:val="Hyperlink"/>
            <w:rFonts w:cs="Arial"/>
          </w:rPr>
          <w:t>https://www.sciencedirect.com/science/article/pii/S0148296321003313?via%3Dihub</w:t>
        </w:r>
      </w:hyperlink>
      <w:r w:rsidRPr="00BE5579">
        <w:rPr>
          <w:rFonts w:cs="Arial"/>
        </w:rPr>
        <w:t xml:space="preserve"> [Accessed: 30 November 2025].</w:t>
      </w:r>
    </w:p>
    <w:p w14:paraId="1726FD9C" w14:textId="77777777" w:rsidR="00732209" w:rsidRPr="00BE5579" w:rsidRDefault="00732209" w:rsidP="00732209">
      <w:pPr>
        <w:spacing w:after="0"/>
        <w:rPr>
          <w:rFonts w:cs="Arial"/>
        </w:rPr>
      </w:pPr>
    </w:p>
    <w:p w14:paraId="4DDC0923" w14:textId="77777777" w:rsidR="00732209" w:rsidRPr="00BE5579" w:rsidRDefault="00732209" w:rsidP="00732209">
      <w:pPr>
        <w:spacing w:after="0"/>
        <w:rPr>
          <w:rFonts w:cs="Arial"/>
        </w:rPr>
      </w:pPr>
      <w:r w:rsidRPr="00BE5579">
        <w:rPr>
          <w:rFonts w:cs="Arial"/>
        </w:rPr>
        <w:t xml:space="preserve">Herbert, E. (2024) ‘Tesco plans to expand use of AI to personalise how people shop.’ </w:t>
      </w:r>
      <w:r w:rsidRPr="00BE5579">
        <w:rPr>
          <w:rFonts w:cs="Arial"/>
          <w:i/>
          <w:iCs/>
        </w:rPr>
        <w:t xml:space="preserve">Financial Times. </w:t>
      </w:r>
      <w:r w:rsidRPr="00BE5579">
        <w:rPr>
          <w:rFonts w:cs="Arial"/>
        </w:rPr>
        <w:t xml:space="preserve">17 September. Available at: </w:t>
      </w:r>
      <w:hyperlink r:id="rId30" w:history="1">
        <w:r w:rsidRPr="00BE5579">
          <w:rPr>
            <w:rStyle w:val="Hyperlink"/>
            <w:rFonts w:cs="Arial"/>
          </w:rPr>
          <w:t>https://www.ft.com/content/7008d6fc-6395-4511-8871-cd840a8eebb1</w:t>
        </w:r>
      </w:hyperlink>
      <w:r w:rsidRPr="00BE5579">
        <w:rPr>
          <w:rFonts w:cs="Arial"/>
        </w:rPr>
        <w:t xml:space="preserve"> [Accessed: 3 December 2025].</w:t>
      </w:r>
    </w:p>
    <w:p w14:paraId="0D5757CA" w14:textId="77777777" w:rsidR="00732209" w:rsidRPr="00BE5579" w:rsidRDefault="00732209" w:rsidP="00732209">
      <w:pPr>
        <w:spacing w:after="0"/>
        <w:rPr>
          <w:rFonts w:cs="Arial"/>
        </w:rPr>
      </w:pPr>
    </w:p>
    <w:p w14:paraId="6ACF8C37" w14:textId="77777777" w:rsidR="00732209" w:rsidRPr="00BE5579" w:rsidRDefault="00732209" w:rsidP="00732209">
      <w:pPr>
        <w:spacing w:after="0"/>
        <w:rPr>
          <w:rFonts w:cs="Arial"/>
        </w:rPr>
      </w:pPr>
      <w:r w:rsidRPr="00BE5579">
        <w:rPr>
          <w:rFonts w:cs="Arial"/>
        </w:rPr>
        <w:t xml:space="preserve">ICO (2023) </w:t>
      </w:r>
      <w:r w:rsidRPr="00BE5579">
        <w:rPr>
          <w:rFonts w:cs="Arial"/>
          <w:i/>
          <w:iCs/>
        </w:rPr>
        <w:t xml:space="preserve">Data protection by design and default. </w:t>
      </w:r>
      <w:r w:rsidRPr="00BE5579">
        <w:rPr>
          <w:rFonts w:cs="Arial"/>
        </w:rPr>
        <w:t xml:space="preserve">Available at: </w:t>
      </w:r>
      <w:hyperlink r:id="rId31" w:history="1">
        <w:r w:rsidRPr="00BE5579">
          <w:rPr>
            <w:rStyle w:val="Hyperlink"/>
            <w:rFonts w:cs="Arial"/>
          </w:rPr>
          <w:t>https://ico.org.uk/for-organisations/uk-gdpr-guidance-and-resources/accountability-and-</w:t>
        </w:r>
        <w:r w:rsidRPr="00BE5579">
          <w:rPr>
            <w:rStyle w:val="Hyperlink"/>
            <w:rFonts w:cs="Arial"/>
          </w:rPr>
          <w:lastRenderedPageBreak/>
          <w:t>governance/guide-to-accountability-and-governance/data-protection-by-design-and-default/</w:t>
        </w:r>
      </w:hyperlink>
      <w:r w:rsidRPr="00BE5579">
        <w:rPr>
          <w:rFonts w:cs="Arial"/>
        </w:rPr>
        <w:t xml:space="preserve"> [Accessed: 7 December 2025].</w:t>
      </w:r>
    </w:p>
    <w:p w14:paraId="3742FDC9" w14:textId="77777777" w:rsidR="00732209" w:rsidRPr="00BE5579" w:rsidRDefault="00732209" w:rsidP="00732209">
      <w:pPr>
        <w:spacing w:after="0"/>
        <w:rPr>
          <w:rFonts w:cs="Arial"/>
        </w:rPr>
      </w:pPr>
    </w:p>
    <w:p w14:paraId="200EDFC3" w14:textId="77777777" w:rsidR="00732209" w:rsidRPr="00BE5579" w:rsidRDefault="00732209" w:rsidP="00732209">
      <w:pPr>
        <w:spacing w:after="0"/>
        <w:rPr>
          <w:rFonts w:cs="Arial"/>
        </w:rPr>
      </w:pPr>
      <w:r w:rsidRPr="00BE5579">
        <w:rPr>
          <w:rFonts w:cs="Arial"/>
        </w:rPr>
        <w:t xml:space="preserve">Kaul, P. (2024) ‘Re-examining the relevance of Michael Porter’s five forces framework: Business strategy and competitiveness in the contemporary globalised world.’ </w:t>
      </w:r>
      <w:r w:rsidRPr="00BE5579">
        <w:rPr>
          <w:rFonts w:cs="Arial"/>
          <w:i/>
          <w:iCs/>
        </w:rPr>
        <w:t>International Journal for Multidisciplinary Research</w:t>
      </w:r>
      <w:r w:rsidRPr="00BE5579">
        <w:rPr>
          <w:rFonts w:cs="Arial"/>
        </w:rPr>
        <w:t>, </w:t>
      </w:r>
      <w:r w:rsidRPr="00BE5579">
        <w:rPr>
          <w:rFonts w:cs="Arial"/>
          <w:i/>
          <w:iCs/>
        </w:rPr>
        <w:t>6</w:t>
      </w:r>
      <w:r w:rsidRPr="00BE5579">
        <w:rPr>
          <w:rFonts w:cs="Arial"/>
        </w:rPr>
        <w:t xml:space="preserve">(4), </w:t>
      </w:r>
      <w:proofErr w:type="spellStart"/>
      <w:r w:rsidRPr="00BE5579">
        <w:rPr>
          <w:rFonts w:cs="Arial"/>
        </w:rPr>
        <w:t>pgs.1</w:t>
      </w:r>
      <w:proofErr w:type="spellEnd"/>
      <w:r w:rsidRPr="00BE5579">
        <w:rPr>
          <w:rFonts w:cs="Arial"/>
        </w:rPr>
        <w:t xml:space="preserve">-8. Available at: </w:t>
      </w:r>
      <w:hyperlink r:id="rId32" w:history="1">
        <w:r w:rsidRPr="00BE5579">
          <w:rPr>
            <w:rStyle w:val="Hyperlink"/>
            <w:rFonts w:cs="Arial"/>
          </w:rPr>
          <w:t>https://www.researchgate.net/publication/388721096_Re-examining_the_Relevance_of_Michael_Porter's_'Five_Forces_Framework'_Business_Strategy_and_Competitiveness_in_the_Contemporary_Globalised_World</w:t>
        </w:r>
      </w:hyperlink>
      <w:r w:rsidRPr="00BE5579">
        <w:rPr>
          <w:rFonts w:cs="Arial"/>
        </w:rPr>
        <w:t xml:space="preserve"> [Accessed: 1 December 2025].</w:t>
      </w:r>
    </w:p>
    <w:p w14:paraId="75AB0A36" w14:textId="77777777" w:rsidR="00732209" w:rsidRPr="00BE5579" w:rsidRDefault="00732209" w:rsidP="00732209">
      <w:pPr>
        <w:spacing w:after="0"/>
        <w:rPr>
          <w:rFonts w:cs="Arial"/>
        </w:rPr>
      </w:pPr>
    </w:p>
    <w:p w14:paraId="3DB3B9AC" w14:textId="77777777" w:rsidR="00732209" w:rsidRPr="00BE5579" w:rsidRDefault="00732209" w:rsidP="00732209">
      <w:pPr>
        <w:spacing w:after="0"/>
        <w:rPr>
          <w:rFonts w:cs="Arial"/>
        </w:rPr>
      </w:pPr>
      <w:r w:rsidRPr="00DF2726">
        <w:rPr>
          <w:rFonts w:cs="Arial"/>
        </w:rPr>
        <w:t xml:space="preserve">Kantar (2025) </w:t>
      </w:r>
      <w:r w:rsidRPr="00DF2726">
        <w:rPr>
          <w:rFonts w:cs="Arial"/>
          <w:i/>
          <w:iCs/>
        </w:rPr>
        <w:t>Grocery Market Share Update, November 2025</w:t>
      </w:r>
      <w:r w:rsidRPr="00DF2726">
        <w:rPr>
          <w:rFonts w:cs="Arial"/>
        </w:rPr>
        <w:t>.</w:t>
      </w:r>
      <w:r w:rsidRPr="00BE5579">
        <w:rPr>
          <w:rFonts w:cs="Arial"/>
        </w:rPr>
        <w:t xml:space="preserve"> </w:t>
      </w:r>
      <w:hyperlink r:id="rId33" w:history="1">
        <w:r w:rsidRPr="00BE5579">
          <w:rPr>
            <w:rStyle w:val="Hyperlink"/>
            <w:rFonts w:cs="Arial"/>
          </w:rPr>
          <w:t>https://www.kantar.com/uki/campaigns/grocery-market-share</w:t>
        </w:r>
      </w:hyperlink>
      <w:r w:rsidRPr="00BE5579">
        <w:rPr>
          <w:rFonts w:cs="Arial"/>
        </w:rPr>
        <w:t xml:space="preserve"> [Accessed: 3 December 2025].</w:t>
      </w:r>
    </w:p>
    <w:p w14:paraId="32E6BF4C" w14:textId="77777777" w:rsidR="00732209" w:rsidRPr="00BE5579" w:rsidRDefault="00732209" w:rsidP="00732209">
      <w:pPr>
        <w:spacing w:after="0"/>
        <w:rPr>
          <w:rFonts w:cs="Arial"/>
        </w:rPr>
      </w:pPr>
    </w:p>
    <w:p w14:paraId="594588D8" w14:textId="77777777" w:rsidR="00732209" w:rsidRPr="00BE5579" w:rsidRDefault="00732209" w:rsidP="00732209">
      <w:pPr>
        <w:spacing w:after="0"/>
        <w:rPr>
          <w:rFonts w:cs="Arial"/>
        </w:rPr>
      </w:pPr>
      <w:r w:rsidRPr="00BE5579">
        <w:rPr>
          <w:rFonts w:cs="Arial"/>
        </w:rPr>
        <w:t>Kim, W.C. and Mauborgne, R. (2005)</w:t>
      </w:r>
      <w:r w:rsidRPr="00BE5579">
        <w:rPr>
          <w:rFonts w:cs="Arial"/>
          <w:i/>
          <w:iCs/>
        </w:rPr>
        <w:t xml:space="preserve"> Blue Ocean Strategy. </w:t>
      </w:r>
      <w:r w:rsidRPr="00BE5579">
        <w:rPr>
          <w:rFonts w:cs="Arial"/>
        </w:rPr>
        <w:t xml:space="preserve">Available at: </w:t>
      </w:r>
      <w:hyperlink r:id="rId34" w:history="1">
        <w:r w:rsidRPr="00BE5579">
          <w:rPr>
            <w:rStyle w:val="Hyperlink"/>
            <w:rFonts w:cs="Arial"/>
          </w:rPr>
          <w:t>https://www.blueoceanstrategy.com/</w:t>
        </w:r>
      </w:hyperlink>
      <w:r w:rsidRPr="00BE5579">
        <w:rPr>
          <w:rFonts w:cs="Arial"/>
        </w:rPr>
        <w:t xml:space="preserve"> [Accessed: 7 December 2025].</w:t>
      </w:r>
    </w:p>
    <w:p w14:paraId="5B9FB62F" w14:textId="77777777" w:rsidR="00732209" w:rsidRPr="00BE5579" w:rsidRDefault="00732209" w:rsidP="00732209">
      <w:pPr>
        <w:spacing w:after="0"/>
        <w:rPr>
          <w:rFonts w:cs="Arial"/>
        </w:rPr>
      </w:pPr>
    </w:p>
    <w:p w14:paraId="191D229C" w14:textId="77777777" w:rsidR="00732209" w:rsidRPr="00BE5579" w:rsidRDefault="00732209" w:rsidP="00732209">
      <w:pPr>
        <w:spacing w:after="0"/>
        <w:rPr>
          <w:rFonts w:cs="Arial"/>
        </w:rPr>
      </w:pPr>
      <w:r w:rsidRPr="00BE5579">
        <w:rPr>
          <w:rFonts w:cs="Arial"/>
        </w:rPr>
        <w:t xml:space="preserve">Kraaijenbrink, J., Spender, J.-C., and Groen, A. J. (2010) ‘The Resource-Based View: A Review and Assessment of Its Critiques.’ </w:t>
      </w:r>
      <w:r w:rsidRPr="00BE5579">
        <w:rPr>
          <w:rFonts w:cs="Arial"/>
          <w:i/>
          <w:iCs/>
        </w:rPr>
        <w:t>Journal of Management</w:t>
      </w:r>
      <w:r w:rsidRPr="00BE5579">
        <w:rPr>
          <w:rFonts w:cs="Arial"/>
        </w:rPr>
        <w:t xml:space="preserve">. Volume 36(1), pgs. 349-372. Available at: </w:t>
      </w:r>
      <w:hyperlink r:id="rId35" w:history="1">
        <w:r w:rsidRPr="00BE5579">
          <w:rPr>
            <w:rStyle w:val="Hyperlink"/>
            <w:rFonts w:cs="Arial"/>
          </w:rPr>
          <w:t>https://journals.sagepub.com/doi/abs/10.1177/0149206309350775</w:t>
        </w:r>
      </w:hyperlink>
      <w:r w:rsidRPr="00BE5579">
        <w:rPr>
          <w:rFonts w:cs="Arial"/>
        </w:rPr>
        <w:t xml:space="preserve"> [Accessed: 5 December 2025].</w:t>
      </w:r>
    </w:p>
    <w:p w14:paraId="0DC585FA" w14:textId="77777777" w:rsidR="00732209" w:rsidRPr="00BE5579" w:rsidRDefault="00732209" w:rsidP="00732209">
      <w:pPr>
        <w:spacing w:after="0"/>
        <w:rPr>
          <w:rFonts w:cs="Arial"/>
        </w:rPr>
      </w:pPr>
    </w:p>
    <w:p w14:paraId="6DB19059" w14:textId="77777777" w:rsidR="00732209" w:rsidRPr="00BE5579" w:rsidRDefault="00732209" w:rsidP="00732209">
      <w:pPr>
        <w:spacing w:after="0"/>
        <w:rPr>
          <w:rFonts w:cs="Arial"/>
        </w:rPr>
      </w:pPr>
      <w:r w:rsidRPr="00BE5579">
        <w:rPr>
          <w:rFonts w:cs="Arial"/>
        </w:rPr>
        <w:lastRenderedPageBreak/>
        <w:t xml:space="preserve">Lim, R. and Holmes, J. (2024) Retail Economics. </w:t>
      </w:r>
      <w:r w:rsidRPr="00BE5579">
        <w:rPr>
          <w:rFonts w:cs="Arial"/>
          <w:i/>
          <w:iCs/>
        </w:rPr>
        <w:t xml:space="preserve">Ecommerce Delivery Benchmark Report 2024. </w:t>
      </w:r>
      <w:r w:rsidRPr="00BE5579">
        <w:rPr>
          <w:rFonts w:cs="Arial"/>
        </w:rPr>
        <w:t xml:space="preserve">Available at: </w:t>
      </w:r>
      <w:hyperlink r:id="rId36" w:history="1">
        <w:r w:rsidRPr="00BE5579">
          <w:rPr>
            <w:rStyle w:val="Hyperlink"/>
            <w:rFonts w:cs="Arial"/>
          </w:rPr>
          <w:t>https://www.retaileconomics.co.uk/retail-insights/thought-leadership-reports/ecommerce-delivery-benchmark-report-2024</w:t>
        </w:r>
      </w:hyperlink>
      <w:r w:rsidRPr="00BE5579">
        <w:rPr>
          <w:rFonts w:cs="Arial"/>
        </w:rPr>
        <w:t xml:space="preserve"> [Accessed: 29 November 2025].</w:t>
      </w:r>
    </w:p>
    <w:p w14:paraId="4FFB9FF1" w14:textId="77777777" w:rsidR="00732209" w:rsidRPr="00BE5579" w:rsidRDefault="00732209" w:rsidP="00732209">
      <w:pPr>
        <w:spacing w:after="0"/>
        <w:rPr>
          <w:rFonts w:cs="Arial"/>
        </w:rPr>
      </w:pPr>
    </w:p>
    <w:p w14:paraId="0333B2E7" w14:textId="77777777" w:rsidR="00732209" w:rsidRPr="00BE5579" w:rsidRDefault="00732209" w:rsidP="00732209">
      <w:pPr>
        <w:spacing w:after="0"/>
        <w:rPr>
          <w:rFonts w:cs="Arial"/>
        </w:rPr>
      </w:pPr>
      <w:r w:rsidRPr="00BE5579">
        <w:rPr>
          <w:rFonts w:cs="Arial"/>
        </w:rPr>
        <w:t xml:space="preserve">London Stock Exchange (2025) </w:t>
      </w:r>
      <w:r w:rsidRPr="00BE5579">
        <w:rPr>
          <w:rFonts w:cs="Arial"/>
          <w:i/>
          <w:iCs/>
        </w:rPr>
        <w:t xml:space="preserve">Tesco PLC. </w:t>
      </w:r>
      <w:hyperlink r:id="rId37" w:history="1">
        <w:r w:rsidRPr="00BE5579">
          <w:rPr>
            <w:rStyle w:val="Hyperlink"/>
            <w:rFonts w:cs="Arial"/>
          </w:rPr>
          <w:t>https://www.londonstockexchange.com/stock/TSCO/tesco-plc/company-page</w:t>
        </w:r>
      </w:hyperlink>
      <w:r w:rsidRPr="00BE5579">
        <w:rPr>
          <w:rFonts w:cs="Arial"/>
        </w:rPr>
        <w:t xml:space="preserve"> [Accessed: 8 December 2025]. </w:t>
      </w:r>
    </w:p>
    <w:p w14:paraId="7162ECEE" w14:textId="77777777" w:rsidR="00732209" w:rsidRPr="00BE5579" w:rsidRDefault="00732209" w:rsidP="00732209">
      <w:pPr>
        <w:spacing w:after="0"/>
        <w:rPr>
          <w:rFonts w:cs="Arial"/>
        </w:rPr>
      </w:pPr>
    </w:p>
    <w:p w14:paraId="7B285C52" w14:textId="77777777" w:rsidR="00732209" w:rsidRPr="00BE5579" w:rsidRDefault="00732209" w:rsidP="00732209">
      <w:pPr>
        <w:spacing w:after="0"/>
        <w:rPr>
          <w:rFonts w:cs="Arial"/>
        </w:rPr>
      </w:pPr>
      <w:r w:rsidRPr="00BE5579">
        <w:rPr>
          <w:rFonts w:cs="Arial"/>
        </w:rPr>
        <w:t xml:space="preserve">Lukic, V., Close, K., Grebe, M., de </w:t>
      </w:r>
      <w:proofErr w:type="spellStart"/>
      <w:r w:rsidRPr="00BE5579">
        <w:rPr>
          <w:rFonts w:cs="Arial"/>
        </w:rPr>
        <w:t>Laubier</w:t>
      </w:r>
      <w:proofErr w:type="spellEnd"/>
      <w:r w:rsidRPr="00BE5579">
        <w:rPr>
          <w:rFonts w:cs="Arial"/>
        </w:rPr>
        <w:t xml:space="preserve">, R., Franke, M.R., Leyh, M., Charanya, T. and </w:t>
      </w:r>
      <w:proofErr w:type="spellStart"/>
      <w:r w:rsidRPr="00BE5579">
        <w:rPr>
          <w:rFonts w:cs="Arial"/>
        </w:rPr>
        <w:t>Nopp</w:t>
      </w:r>
      <w:proofErr w:type="spellEnd"/>
      <w:r w:rsidRPr="00BE5579">
        <w:rPr>
          <w:rFonts w:cs="Arial"/>
        </w:rPr>
        <w:t xml:space="preserve">, C. (2022) </w:t>
      </w:r>
      <w:r w:rsidRPr="00BE5579">
        <w:rPr>
          <w:rFonts w:cs="Arial"/>
          <w:i/>
          <w:iCs/>
        </w:rPr>
        <w:t xml:space="preserve">Show Me the Digital Value. </w:t>
      </w:r>
      <w:r w:rsidRPr="00BE5579">
        <w:rPr>
          <w:rFonts w:cs="Arial"/>
        </w:rPr>
        <w:t xml:space="preserve">Available at: </w:t>
      </w:r>
      <w:hyperlink r:id="rId38" w:history="1">
        <w:r w:rsidRPr="00BE5579">
          <w:rPr>
            <w:rStyle w:val="Hyperlink"/>
            <w:rFonts w:cs="Arial"/>
          </w:rPr>
          <w:t>https://www.bcg.com/publications/2022/assessing-digital-value-gap</w:t>
        </w:r>
      </w:hyperlink>
      <w:r w:rsidRPr="00BE5579">
        <w:rPr>
          <w:rFonts w:cs="Arial"/>
        </w:rPr>
        <w:t xml:space="preserve"> [Accessed: 7 December 2025].</w:t>
      </w:r>
    </w:p>
    <w:p w14:paraId="566AC247" w14:textId="77777777" w:rsidR="00732209" w:rsidRPr="00BE5579" w:rsidRDefault="00732209" w:rsidP="00732209">
      <w:pPr>
        <w:spacing w:after="0"/>
        <w:rPr>
          <w:rFonts w:cs="Arial"/>
        </w:rPr>
      </w:pPr>
    </w:p>
    <w:p w14:paraId="58AC0DCF" w14:textId="77777777" w:rsidR="00732209" w:rsidRPr="00BE5579" w:rsidRDefault="00732209" w:rsidP="00732209">
      <w:pPr>
        <w:spacing w:after="0"/>
        <w:rPr>
          <w:rFonts w:cs="Arial"/>
        </w:rPr>
      </w:pPr>
      <w:r w:rsidRPr="00BE5579">
        <w:rPr>
          <w:rFonts w:cs="Arial"/>
        </w:rPr>
        <w:t xml:space="preserve">Manikowski, A. (2016). </w:t>
      </w:r>
      <w:r w:rsidRPr="00BE5579">
        <w:rPr>
          <w:rFonts w:cs="Arial"/>
          <w:i/>
          <w:iCs/>
        </w:rPr>
        <w:t>The impact of product, service and in-store environment perceptions on customer satisfaction and behaviour.</w:t>
      </w:r>
      <w:r w:rsidRPr="00BE5579">
        <w:rPr>
          <w:rFonts w:cs="Arial"/>
        </w:rPr>
        <w:t xml:space="preserve"> Doctor of Business Administration Thesis. Cranfield University. Available at: </w:t>
      </w:r>
      <w:hyperlink r:id="rId39" w:history="1">
        <w:r w:rsidRPr="00BE5579">
          <w:rPr>
            <w:rStyle w:val="Hyperlink"/>
            <w:rFonts w:cs="Arial"/>
          </w:rPr>
          <w:t>https://dspace.lib.cranfield.ac.uk/items/94bcdbb5-d528-48df-9fd1-5c723beea2b1</w:t>
        </w:r>
      </w:hyperlink>
      <w:r w:rsidRPr="00BE5579">
        <w:rPr>
          <w:rFonts w:cs="Arial"/>
        </w:rPr>
        <w:t xml:space="preserve"> [Accessed: 5 December 2025].</w:t>
      </w:r>
    </w:p>
    <w:p w14:paraId="5B9AAD3E" w14:textId="77777777" w:rsidR="00732209" w:rsidRPr="00BE5579" w:rsidRDefault="00732209" w:rsidP="00732209">
      <w:pPr>
        <w:spacing w:after="0"/>
        <w:rPr>
          <w:rFonts w:cs="Arial"/>
        </w:rPr>
      </w:pPr>
    </w:p>
    <w:p w14:paraId="57F504B4" w14:textId="77777777" w:rsidR="00732209" w:rsidRPr="00BE5579" w:rsidRDefault="00732209" w:rsidP="00732209">
      <w:pPr>
        <w:spacing w:after="0"/>
        <w:rPr>
          <w:rFonts w:cs="Arial"/>
        </w:rPr>
      </w:pPr>
      <w:r w:rsidRPr="00BE5579">
        <w:rPr>
          <w:rFonts w:cs="Arial"/>
        </w:rPr>
        <w:t xml:space="preserve">Meyer-Waarden, L. and Benavent, C. (2006) ‘The Impact of Loyalty Programmes on Repeat Purchase Behaviour.’ </w:t>
      </w:r>
      <w:r w:rsidRPr="00BE5579">
        <w:rPr>
          <w:rFonts w:cs="Arial"/>
          <w:i/>
          <w:iCs/>
        </w:rPr>
        <w:t>Journal of Marketing Management.</w:t>
      </w:r>
      <w:r w:rsidRPr="00BE5579">
        <w:rPr>
          <w:rFonts w:cs="Arial"/>
        </w:rPr>
        <w:t xml:space="preserve"> Volume 22. pgs 61-88. Available at: </w:t>
      </w:r>
      <w:hyperlink r:id="rId40" w:history="1">
        <w:r w:rsidRPr="00BE5579">
          <w:rPr>
            <w:rStyle w:val="Hyperlink"/>
            <w:rFonts w:cs="Arial"/>
          </w:rPr>
          <w:t>https://www.tandfonline.com/doi/abs/10.1362/026725706776022308</w:t>
        </w:r>
      </w:hyperlink>
      <w:r w:rsidRPr="00BE5579">
        <w:rPr>
          <w:rFonts w:cs="Arial"/>
        </w:rPr>
        <w:t xml:space="preserve"> [Accessed: 7 December 2025].</w:t>
      </w:r>
    </w:p>
    <w:p w14:paraId="6DC25DC8" w14:textId="77777777" w:rsidR="00732209" w:rsidRPr="00BE5579" w:rsidRDefault="00732209" w:rsidP="00732209">
      <w:pPr>
        <w:spacing w:after="0"/>
        <w:rPr>
          <w:rFonts w:cs="Arial"/>
        </w:rPr>
      </w:pPr>
      <w:r w:rsidRPr="00BE5579">
        <w:rPr>
          <w:rFonts w:cs="Arial"/>
        </w:rPr>
        <w:lastRenderedPageBreak/>
        <w:t xml:space="preserve">ONS (2023) </w:t>
      </w:r>
      <w:r w:rsidRPr="00BE5579">
        <w:rPr>
          <w:rFonts w:cs="Arial"/>
          <w:i/>
          <w:iCs/>
        </w:rPr>
        <w:t xml:space="preserve">ONS household expenditure data insights into the effects of costs-of-living pressures: 4 December 2023. </w:t>
      </w:r>
      <w:hyperlink r:id="rId41" w:history="1">
        <w:r w:rsidRPr="00BE5579">
          <w:rPr>
            <w:rStyle w:val="Hyperlink"/>
            <w:rFonts w:cs="Arial"/>
          </w:rPr>
          <w:t>https://www.ons.gov.uk/economy/inflationandpriceindices/bulletins/onshouseholdexpendituredatainsightsintotheeffectsofcostsoflivingpressures/4december2023</w:t>
        </w:r>
      </w:hyperlink>
      <w:r w:rsidRPr="00BE5579">
        <w:rPr>
          <w:rFonts w:cs="Arial"/>
        </w:rPr>
        <w:t xml:space="preserve"> [Accessed: 30 November 2025].</w:t>
      </w:r>
    </w:p>
    <w:p w14:paraId="5494AD2D" w14:textId="77777777" w:rsidR="00732209" w:rsidRPr="00BE5579" w:rsidRDefault="00732209" w:rsidP="00732209">
      <w:pPr>
        <w:spacing w:after="0"/>
        <w:rPr>
          <w:rFonts w:cs="Arial"/>
        </w:rPr>
      </w:pPr>
    </w:p>
    <w:p w14:paraId="66C48A5C" w14:textId="77777777" w:rsidR="00732209" w:rsidRPr="00BE5579" w:rsidRDefault="00732209" w:rsidP="00732209">
      <w:pPr>
        <w:spacing w:after="0"/>
        <w:rPr>
          <w:rFonts w:cs="Arial"/>
        </w:rPr>
      </w:pPr>
      <w:r w:rsidRPr="00BE5579">
        <w:rPr>
          <w:rFonts w:cs="Arial"/>
        </w:rPr>
        <w:t>ONS (2025) Retail sales, Great Britain: April 2025.</w:t>
      </w:r>
      <w:r w:rsidRPr="00BE5579">
        <w:rPr>
          <w:rFonts w:cs="Arial"/>
          <w:b/>
          <w:bCs/>
        </w:rPr>
        <w:t xml:space="preserve"> </w:t>
      </w:r>
      <w:r w:rsidRPr="00BE5579">
        <w:rPr>
          <w:rFonts w:cs="Arial"/>
        </w:rPr>
        <w:t xml:space="preserve">Available at: </w:t>
      </w:r>
      <w:hyperlink r:id="rId42" w:history="1">
        <w:r w:rsidRPr="00BE5579">
          <w:rPr>
            <w:rStyle w:val="Hyperlink"/>
            <w:rFonts w:cs="Arial"/>
          </w:rPr>
          <w:t>https://www.ons.gov.uk/businessindustryandtrade/retailindustry/bulletins/retailsales/april2025</w:t>
        </w:r>
      </w:hyperlink>
      <w:r w:rsidRPr="00BE5579">
        <w:rPr>
          <w:rFonts w:cs="Arial"/>
        </w:rPr>
        <w:t xml:space="preserve"> [Accessed: 2 December 2025].</w:t>
      </w:r>
    </w:p>
    <w:p w14:paraId="1CFCE4A9" w14:textId="77777777" w:rsidR="00732209" w:rsidRPr="00BE5579" w:rsidRDefault="00732209" w:rsidP="00732209">
      <w:pPr>
        <w:spacing w:after="0"/>
        <w:rPr>
          <w:rFonts w:cs="Arial"/>
        </w:rPr>
      </w:pPr>
    </w:p>
    <w:p w14:paraId="2CDCD6D3" w14:textId="77777777" w:rsidR="00732209" w:rsidRPr="00BE5579" w:rsidRDefault="00732209" w:rsidP="00732209">
      <w:pPr>
        <w:spacing w:after="0"/>
        <w:rPr>
          <w:rFonts w:cs="Arial"/>
        </w:rPr>
      </w:pPr>
      <w:r w:rsidRPr="00BE5579">
        <w:rPr>
          <w:rFonts w:cs="Arial"/>
        </w:rPr>
        <w:t>Paavola, L. and Cuthbertson, R. (2021) Algorithms Creating Paradoxes of Power: Explore, Exploit, Embed, Embalm. </w:t>
      </w:r>
      <w:r w:rsidRPr="00BE5579">
        <w:rPr>
          <w:rFonts w:cs="Arial"/>
          <w:i/>
          <w:iCs/>
        </w:rPr>
        <w:t>Information Systems Management.</w:t>
      </w:r>
      <w:r w:rsidRPr="00BE5579">
        <w:rPr>
          <w:rFonts w:cs="Arial"/>
        </w:rPr>
        <w:t xml:space="preserve"> Volume 38(4), pgs 358–371. Available at: </w:t>
      </w:r>
      <w:hyperlink r:id="rId43" w:history="1">
        <w:r w:rsidRPr="00BE5579">
          <w:rPr>
            <w:rStyle w:val="Hyperlink"/>
            <w:rFonts w:cs="Arial"/>
          </w:rPr>
          <w:t>https://www.tandfonline.com/doi/full/10.1080/10580530.2021.1939200</w:t>
        </w:r>
      </w:hyperlink>
      <w:r w:rsidRPr="00BE5579">
        <w:rPr>
          <w:rFonts w:cs="Arial"/>
        </w:rPr>
        <w:t xml:space="preserve"> [Accessed: 6 December 2025].</w:t>
      </w:r>
    </w:p>
    <w:p w14:paraId="2F2A35AB" w14:textId="77777777" w:rsidR="00732209" w:rsidRPr="00BE5579" w:rsidRDefault="00732209" w:rsidP="00732209">
      <w:pPr>
        <w:spacing w:after="0"/>
        <w:rPr>
          <w:rFonts w:cs="Arial"/>
        </w:rPr>
      </w:pPr>
    </w:p>
    <w:p w14:paraId="0159B2DF" w14:textId="77777777" w:rsidR="00732209" w:rsidRPr="00BE5579" w:rsidRDefault="00732209" w:rsidP="00732209">
      <w:pPr>
        <w:spacing w:after="0"/>
        <w:rPr>
          <w:rFonts w:cs="Arial"/>
        </w:rPr>
      </w:pPr>
      <w:r w:rsidRPr="00BE5579">
        <w:rPr>
          <w:rFonts w:cs="Arial"/>
        </w:rPr>
        <w:t>Peteraf, M. A. (1993) ‘The Cornerstones of Competitive Advantage: A Resource-Based View.’ S</w:t>
      </w:r>
      <w:r w:rsidRPr="00BE5579">
        <w:rPr>
          <w:rFonts w:cs="Arial"/>
          <w:i/>
          <w:iCs/>
        </w:rPr>
        <w:t>trategic Management Journal</w:t>
      </w:r>
      <w:r w:rsidRPr="00BE5579">
        <w:rPr>
          <w:rFonts w:cs="Arial"/>
        </w:rPr>
        <w:t xml:space="preserve">. Volume 14(3) pgs. 179–91. Available at: </w:t>
      </w:r>
      <w:hyperlink r:id="rId44" w:history="1">
        <w:r w:rsidRPr="00BE5579">
          <w:rPr>
            <w:rStyle w:val="Hyperlink"/>
            <w:rFonts w:cs="Arial"/>
          </w:rPr>
          <w:t>https://www-jstor-org.ezproxy.uwtsd.ac.uk/stable/2486921?seq=2</w:t>
        </w:r>
      </w:hyperlink>
      <w:r w:rsidRPr="00BE5579">
        <w:rPr>
          <w:rFonts w:cs="Arial"/>
        </w:rPr>
        <w:t xml:space="preserve"> [Accessed: 3 December 2025].</w:t>
      </w:r>
    </w:p>
    <w:p w14:paraId="692FCF01" w14:textId="77777777" w:rsidR="00732209" w:rsidRPr="00BE5579" w:rsidRDefault="00732209" w:rsidP="00732209">
      <w:pPr>
        <w:spacing w:after="0"/>
        <w:rPr>
          <w:rFonts w:cs="Arial"/>
        </w:rPr>
      </w:pPr>
    </w:p>
    <w:p w14:paraId="6A2549D4" w14:textId="77777777" w:rsidR="00732209" w:rsidRPr="00BE5579" w:rsidRDefault="00732209" w:rsidP="00732209">
      <w:pPr>
        <w:spacing w:after="0"/>
        <w:rPr>
          <w:rFonts w:cs="Arial"/>
        </w:rPr>
      </w:pPr>
      <w:r w:rsidRPr="00BE5579">
        <w:rPr>
          <w:rFonts w:cs="Arial"/>
        </w:rPr>
        <w:t xml:space="preserve">Porter, M. E. (1985). </w:t>
      </w:r>
      <w:r w:rsidRPr="00BE5579">
        <w:rPr>
          <w:rFonts w:cs="Arial"/>
          <w:i/>
          <w:iCs/>
        </w:rPr>
        <w:t>The Competitive Advantage: Creating and Sustaining Superior Performance.</w:t>
      </w:r>
      <w:r w:rsidRPr="00BE5579">
        <w:rPr>
          <w:rFonts w:cs="Arial"/>
        </w:rPr>
        <w:t xml:space="preserve"> NY: Free Press, 1985. (Republished with a new introduction, 1998.) Accessed via: </w:t>
      </w:r>
      <w:hyperlink r:id="rId45" w:history="1">
        <w:r w:rsidRPr="00BE5579">
          <w:rPr>
            <w:rStyle w:val="Hyperlink"/>
            <w:rFonts w:cs="Arial"/>
          </w:rPr>
          <w:t>https://research-ebsco-</w:t>
        </w:r>
        <w:r w:rsidRPr="00BE5579">
          <w:rPr>
            <w:rStyle w:val="Hyperlink"/>
            <w:rFonts w:cs="Arial"/>
          </w:rPr>
          <w:lastRenderedPageBreak/>
          <w:t>com.ezproxy.uwtsd.ac.uk/c/onvpsy/search/details/kleqxegtqr?db=nlebk&amp;db=nlabk</w:t>
        </w:r>
      </w:hyperlink>
      <w:r w:rsidRPr="00BE5579">
        <w:rPr>
          <w:rFonts w:cs="Arial"/>
        </w:rPr>
        <w:t xml:space="preserve"> [Accessed: 2 December 2025].</w:t>
      </w:r>
    </w:p>
    <w:p w14:paraId="338E47F9" w14:textId="77777777" w:rsidR="00732209" w:rsidRPr="00BE5579" w:rsidRDefault="00732209" w:rsidP="00732209">
      <w:pPr>
        <w:spacing w:after="0"/>
        <w:rPr>
          <w:rFonts w:cs="Arial"/>
        </w:rPr>
      </w:pPr>
    </w:p>
    <w:p w14:paraId="746BDBE4" w14:textId="77777777" w:rsidR="00732209" w:rsidRPr="00BE5579" w:rsidRDefault="00732209" w:rsidP="00732209">
      <w:pPr>
        <w:spacing w:after="0"/>
        <w:rPr>
          <w:rFonts w:cs="Arial"/>
        </w:rPr>
      </w:pPr>
      <w:r w:rsidRPr="00BE5579">
        <w:rPr>
          <w:rFonts w:cs="Arial"/>
        </w:rPr>
        <w:t xml:space="preserve">Porter, M. E. (2008). The five competitive forces that shape strategy. Harvard Business Review, 86(1), 25–40. Available at: </w:t>
      </w:r>
      <w:hyperlink r:id="rId46" w:history="1">
        <w:r w:rsidRPr="00BE5579">
          <w:rPr>
            <w:rStyle w:val="Hyperlink"/>
            <w:rFonts w:cs="Arial"/>
          </w:rPr>
          <w:t>https://hbr.org/2008/01/the-five-competitive-forces-that-shape-strategy</w:t>
        </w:r>
      </w:hyperlink>
      <w:r w:rsidRPr="00BE5579">
        <w:rPr>
          <w:rFonts w:cs="Arial"/>
        </w:rPr>
        <w:t xml:space="preserve"> [Accessed: 29 November 2025].</w:t>
      </w:r>
    </w:p>
    <w:p w14:paraId="68DFC21F" w14:textId="77777777" w:rsidR="00732209" w:rsidRPr="00BE5579" w:rsidRDefault="00732209" w:rsidP="00732209">
      <w:pPr>
        <w:spacing w:after="0"/>
        <w:rPr>
          <w:rFonts w:cs="Arial"/>
        </w:rPr>
      </w:pPr>
    </w:p>
    <w:p w14:paraId="6B2708AF" w14:textId="77777777" w:rsidR="00732209" w:rsidRPr="00BE5579" w:rsidRDefault="00732209" w:rsidP="00732209">
      <w:pPr>
        <w:spacing w:after="0"/>
        <w:rPr>
          <w:rFonts w:cs="Arial"/>
        </w:rPr>
      </w:pPr>
      <w:r w:rsidRPr="00BE5579">
        <w:rPr>
          <w:rFonts w:cs="Arial"/>
        </w:rPr>
        <w:t xml:space="preserve">Priem, R. L., and Butler. </w:t>
      </w:r>
      <w:proofErr w:type="spellStart"/>
      <w:r w:rsidRPr="00BE5579">
        <w:rPr>
          <w:rFonts w:cs="Arial"/>
        </w:rPr>
        <w:t>J.E</w:t>
      </w:r>
      <w:proofErr w:type="spellEnd"/>
      <w:r w:rsidRPr="00BE5579">
        <w:rPr>
          <w:rFonts w:cs="Arial"/>
        </w:rPr>
        <w:t xml:space="preserve">. (2001) ‘Tautology in the Resource-Based View and the Implications of Externally Determined Resource Value: Further Comments.’ </w:t>
      </w:r>
      <w:r w:rsidRPr="00BE5579">
        <w:rPr>
          <w:rFonts w:cs="Arial"/>
          <w:i/>
          <w:iCs/>
        </w:rPr>
        <w:t>The Academy of Management Review</w:t>
      </w:r>
      <w:r w:rsidRPr="00BE5579">
        <w:rPr>
          <w:rFonts w:cs="Arial"/>
        </w:rPr>
        <w:t xml:space="preserve">, Volume 26(1) pgs. 57–66. Available at: </w:t>
      </w:r>
      <w:hyperlink r:id="rId47" w:history="1">
        <w:r w:rsidRPr="00BE5579">
          <w:rPr>
            <w:rStyle w:val="Hyperlink"/>
            <w:rFonts w:cs="Arial"/>
          </w:rPr>
          <w:t>https://doi.org/10.2307/259394</w:t>
        </w:r>
      </w:hyperlink>
      <w:r w:rsidRPr="00BE5579">
        <w:rPr>
          <w:rFonts w:cs="Arial"/>
        </w:rPr>
        <w:t>. [Accessed 7 December 2025].</w:t>
      </w:r>
    </w:p>
    <w:p w14:paraId="53851137" w14:textId="77777777" w:rsidR="00732209" w:rsidRPr="00BE5579" w:rsidRDefault="00732209" w:rsidP="00732209">
      <w:pPr>
        <w:spacing w:after="0"/>
        <w:rPr>
          <w:rFonts w:cs="Arial"/>
        </w:rPr>
      </w:pPr>
    </w:p>
    <w:p w14:paraId="32F25DB2" w14:textId="77777777" w:rsidR="00732209" w:rsidRPr="00BE5579" w:rsidRDefault="00732209" w:rsidP="00732209">
      <w:pPr>
        <w:spacing w:after="0"/>
        <w:rPr>
          <w:rFonts w:cs="Arial"/>
        </w:rPr>
      </w:pPr>
      <w:r w:rsidRPr="00BE5579">
        <w:rPr>
          <w:rFonts w:cs="Arial"/>
        </w:rPr>
        <w:t>Rice, X. (2019) The Aldi effect: how one discount supermarket transformed the way Britain shops</w:t>
      </w:r>
      <w:r w:rsidRPr="00BE5579">
        <w:rPr>
          <w:rFonts w:cs="Arial"/>
          <w:i/>
          <w:iCs/>
        </w:rPr>
        <w:t>. The Guardian</w:t>
      </w:r>
      <w:r w:rsidRPr="00BE5579">
        <w:rPr>
          <w:rFonts w:cs="Arial"/>
        </w:rPr>
        <w:t xml:space="preserve">. 5 March. Available at: </w:t>
      </w:r>
      <w:hyperlink r:id="rId48" w:history="1">
        <w:r w:rsidRPr="00BE5579">
          <w:rPr>
            <w:rStyle w:val="Hyperlink"/>
            <w:rFonts w:cs="Arial"/>
          </w:rPr>
          <w:t>https://www.theguardian.com/business/2019/mar/05/long-read-aldi-discount-supermarket-changed-britain-shopping</w:t>
        </w:r>
      </w:hyperlink>
      <w:r w:rsidRPr="00BE5579">
        <w:rPr>
          <w:rFonts w:cs="Arial"/>
        </w:rPr>
        <w:t xml:space="preserve"> [Accessed: 7 December 2025]. </w:t>
      </w:r>
    </w:p>
    <w:p w14:paraId="17015307" w14:textId="77777777" w:rsidR="00732209" w:rsidRPr="00BE5579" w:rsidRDefault="00732209" w:rsidP="00732209">
      <w:pPr>
        <w:spacing w:after="0"/>
        <w:rPr>
          <w:rFonts w:cs="Arial"/>
        </w:rPr>
      </w:pPr>
    </w:p>
    <w:p w14:paraId="28DAF375" w14:textId="77777777" w:rsidR="00732209" w:rsidRPr="00BE5579" w:rsidRDefault="00732209" w:rsidP="00732209">
      <w:pPr>
        <w:spacing w:after="0"/>
        <w:rPr>
          <w:rFonts w:cs="Arial"/>
        </w:rPr>
      </w:pPr>
      <w:r w:rsidRPr="00BE5579">
        <w:rPr>
          <w:rFonts w:cs="Arial"/>
        </w:rPr>
        <w:t>Scholes, K., Johnson, G. and Whittington, R. (2002). </w:t>
      </w:r>
      <w:r w:rsidRPr="00BE5579">
        <w:rPr>
          <w:rFonts w:cs="Arial"/>
          <w:i/>
          <w:iCs/>
        </w:rPr>
        <w:t>Exploring corporate strategy</w:t>
      </w:r>
      <w:r w:rsidRPr="00BE5579">
        <w:rPr>
          <w:rFonts w:cs="Arial"/>
        </w:rPr>
        <w:t>. Pg. 46. [Accessed: 28 November 2025].</w:t>
      </w:r>
    </w:p>
    <w:p w14:paraId="72BAA704" w14:textId="77777777" w:rsidR="00732209" w:rsidRPr="00BE5579" w:rsidRDefault="00732209" w:rsidP="00732209">
      <w:pPr>
        <w:spacing w:after="0"/>
        <w:rPr>
          <w:rFonts w:cs="Arial"/>
        </w:rPr>
      </w:pPr>
    </w:p>
    <w:p w14:paraId="7DA64AA5" w14:textId="77777777" w:rsidR="00732209" w:rsidRPr="00BE5579" w:rsidRDefault="00732209" w:rsidP="00732209">
      <w:pPr>
        <w:spacing w:after="0"/>
        <w:rPr>
          <w:rFonts w:cs="Arial"/>
        </w:rPr>
      </w:pPr>
      <w:r w:rsidRPr="00BE5579">
        <w:rPr>
          <w:rFonts w:cs="Arial"/>
        </w:rPr>
        <w:t xml:space="preserve">Seifert, R.W. and Markhoff, R. (2024) </w:t>
      </w:r>
      <w:r w:rsidRPr="00BE5579">
        <w:rPr>
          <w:rFonts w:cs="Arial"/>
          <w:i/>
          <w:iCs/>
        </w:rPr>
        <w:t xml:space="preserve">Tesco and Ocado: Contrasting online grocery supply chain models. </w:t>
      </w:r>
      <w:r w:rsidRPr="00BE5579">
        <w:rPr>
          <w:rFonts w:cs="Arial"/>
        </w:rPr>
        <w:t xml:space="preserve">Available at: </w:t>
      </w:r>
      <w:hyperlink r:id="rId49" w:history="1">
        <w:r w:rsidRPr="00BE5579">
          <w:rPr>
            <w:rStyle w:val="Hyperlink"/>
            <w:rFonts w:cs="Arial"/>
          </w:rPr>
          <w:t>https://www.imd.org/research-knowledge/operations/case-studies/tesco-and-ocado-contrasting-online-grocery-supply-chain-models/</w:t>
        </w:r>
      </w:hyperlink>
      <w:r w:rsidRPr="00BE5579">
        <w:rPr>
          <w:rFonts w:cs="Arial"/>
        </w:rPr>
        <w:t xml:space="preserve"> [Accessed: 3 December 2025].</w:t>
      </w:r>
    </w:p>
    <w:p w14:paraId="6F8AA86E" w14:textId="77777777" w:rsidR="00732209" w:rsidRPr="00BE5579" w:rsidRDefault="00732209" w:rsidP="00732209">
      <w:pPr>
        <w:spacing w:after="0"/>
        <w:rPr>
          <w:rFonts w:cs="Arial"/>
        </w:rPr>
      </w:pPr>
    </w:p>
    <w:p w14:paraId="356C73FB" w14:textId="77777777" w:rsidR="00732209" w:rsidRPr="00BE5579" w:rsidRDefault="00732209" w:rsidP="00732209">
      <w:pPr>
        <w:spacing w:after="0"/>
        <w:rPr>
          <w:rFonts w:cs="Arial"/>
        </w:rPr>
      </w:pPr>
      <w:r w:rsidRPr="00BE5579">
        <w:rPr>
          <w:rFonts w:cs="Arial"/>
        </w:rPr>
        <w:lastRenderedPageBreak/>
        <w:t xml:space="preserve">Söderlund, M. (2018) ‘The </w:t>
      </w:r>
      <w:proofErr w:type="gramStart"/>
      <w:r w:rsidRPr="00BE5579">
        <w:rPr>
          <w:rFonts w:cs="Arial"/>
        </w:rPr>
        <w:t>proactive</w:t>
      </w:r>
      <w:proofErr w:type="gramEnd"/>
      <w:r w:rsidRPr="00BE5579">
        <w:rPr>
          <w:rFonts w:cs="Arial"/>
        </w:rPr>
        <w:t xml:space="preserve"> employee on the floor of the store and the impact on customer satisfaction.’ </w:t>
      </w:r>
      <w:r w:rsidRPr="00BE5579">
        <w:rPr>
          <w:rFonts w:cs="Arial"/>
          <w:i/>
          <w:iCs/>
        </w:rPr>
        <w:t>Journal of Retailing and Consumer Services</w:t>
      </w:r>
      <w:r w:rsidRPr="00BE5579">
        <w:rPr>
          <w:rFonts w:cs="Arial"/>
        </w:rPr>
        <w:t xml:space="preserve">. Volume 43, pgs. 46-53. Available at: </w:t>
      </w:r>
      <w:hyperlink r:id="rId50" w:history="1">
        <w:r w:rsidRPr="00BE5579">
          <w:rPr>
            <w:rStyle w:val="Hyperlink"/>
            <w:rFonts w:cs="Arial"/>
          </w:rPr>
          <w:t>https://www.sciencedirect.com/science/article/pii/S0969698917306380</w:t>
        </w:r>
      </w:hyperlink>
      <w:r w:rsidRPr="00BE5579">
        <w:rPr>
          <w:rFonts w:cs="Arial"/>
        </w:rPr>
        <w:t xml:space="preserve"> [Accessed: 7 December 2025].</w:t>
      </w:r>
    </w:p>
    <w:p w14:paraId="1CAA2CF1" w14:textId="77777777" w:rsidR="00732209" w:rsidRPr="00BE5579" w:rsidRDefault="00732209" w:rsidP="00732209">
      <w:pPr>
        <w:spacing w:after="0"/>
        <w:rPr>
          <w:rFonts w:cs="Arial"/>
        </w:rPr>
      </w:pPr>
    </w:p>
    <w:p w14:paraId="478ADB56" w14:textId="77777777" w:rsidR="00732209" w:rsidRPr="00BE5579" w:rsidRDefault="00732209" w:rsidP="00732209">
      <w:pPr>
        <w:spacing w:after="0"/>
        <w:rPr>
          <w:rFonts w:cs="Arial"/>
        </w:rPr>
      </w:pPr>
      <w:r w:rsidRPr="00BE5579">
        <w:rPr>
          <w:rFonts w:cs="Arial"/>
        </w:rPr>
        <w:t xml:space="preserve">Sopadjieva, E., Dholakia, U.M., and Benjamin, B. (2017) A Study of 46,000 Shows That Omnichannel Retailing Works. Available at: </w:t>
      </w:r>
      <w:hyperlink r:id="rId51" w:history="1">
        <w:r w:rsidRPr="00BE5579">
          <w:rPr>
            <w:rStyle w:val="Hyperlink"/>
            <w:rFonts w:cs="Arial"/>
          </w:rPr>
          <w:t>https://hbr.org/2017/01/a-study-of-46000-shoppers-shows-that-omnichannel-retailing-works</w:t>
        </w:r>
      </w:hyperlink>
      <w:r w:rsidRPr="00BE5579">
        <w:rPr>
          <w:rFonts w:cs="Arial"/>
        </w:rPr>
        <w:t xml:space="preserve"> [Accessed: 7 December 2025]. </w:t>
      </w:r>
    </w:p>
    <w:p w14:paraId="350D5E84" w14:textId="77777777" w:rsidR="00732209" w:rsidRPr="00BE5579" w:rsidRDefault="00732209" w:rsidP="00732209">
      <w:pPr>
        <w:spacing w:after="0"/>
        <w:rPr>
          <w:rFonts w:cs="Arial"/>
          <w:b/>
          <w:bCs/>
        </w:rPr>
      </w:pPr>
    </w:p>
    <w:p w14:paraId="5CEFB37C" w14:textId="77777777" w:rsidR="00732209" w:rsidRPr="00BE5579" w:rsidRDefault="00732209" w:rsidP="00732209">
      <w:pPr>
        <w:spacing w:after="0"/>
        <w:rPr>
          <w:rFonts w:cs="Arial"/>
        </w:rPr>
      </w:pPr>
      <w:r w:rsidRPr="00BE5579">
        <w:rPr>
          <w:rFonts w:cs="Arial"/>
        </w:rPr>
        <w:t xml:space="preserve">Supermarket Income REIT (2025) </w:t>
      </w:r>
      <w:r w:rsidRPr="00BE5579">
        <w:rPr>
          <w:rFonts w:cs="Arial"/>
          <w:i/>
          <w:iCs/>
        </w:rPr>
        <w:t xml:space="preserve">Annual Report 2025. </w:t>
      </w:r>
      <w:r w:rsidRPr="00BE5579">
        <w:rPr>
          <w:rFonts w:cs="Arial"/>
        </w:rPr>
        <w:t xml:space="preserve">Available at: </w:t>
      </w:r>
      <w:hyperlink r:id="rId52" w:history="1">
        <w:r w:rsidRPr="00BE5579">
          <w:rPr>
            <w:rStyle w:val="Hyperlink"/>
            <w:rFonts w:cs="Arial"/>
          </w:rPr>
          <w:t>https://supermarketincomereit.com/wp-content/uploads/2025/09/Annual-Report-and-Accounts.pdf</w:t>
        </w:r>
      </w:hyperlink>
      <w:r w:rsidRPr="00BE5579">
        <w:rPr>
          <w:rFonts w:cs="Arial"/>
        </w:rPr>
        <w:t xml:space="preserve"> [Accessed: 7 December 2025].</w:t>
      </w:r>
    </w:p>
    <w:p w14:paraId="72C58B76" w14:textId="77777777" w:rsidR="00732209" w:rsidRPr="00BE5579" w:rsidRDefault="00732209" w:rsidP="00732209">
      <w:pPr>
        <w:spacing w:after="0"/>
        <w:rPr>
          <w:rFonts w:cs="Arial"/>
        </w:rPr>
      </w:pPr>
    </w:p>
    <w:p w14:paraId="1F8431E5" w14:textId="77777777" w:rsidR="00732209" w:rsidRPr="00BE5579" w:rsidRDefault="00732209" w:rsidP="00732209">
      <w:pPr>
        <w:spacing w:after="0"/>
        <w:rPr>
          <w:rFonts w:cs="Arial"/>
        </w:rPr>
      </w:pPr>
      <w:r w:rsidRPr="00BE5579">
        <w:rPr>
          <w:rFonts w:cs="Arial"/>
        </w:rPr>
        <w:t xml:space="preserve">Teece, D. J. (2007) ‘Explicating Dynamic Capabilities: The Nature and </w:t>
      </w:r>
      <w:proofErr w:type="spellStart"/>
      <w:r w:rsidRPr="00BE5579">
        <w:rPr>
          <w:rFonts w:cs="Arial"/>
        </w:rPr>
        <w:t>Microfoundations</w:t>
      </w:r>
      <w:proofErr w:type="spellEnd"/>
      <w:r w:rsidRPr="00BE5579">
        <w:rPr>
          <w:rFonts w:cs="Arial"/>
        </w:rPr>
        <w:t xml:space="preserve"> of (Sustainable) Enterprise Performance.’ </w:t>
      </w:r>
      <w:r w:rsidRPr="00BE5579">
        <w:rPr>
          <w:rFonts w:cs="Arial"/>
          <w:i/>
          <w:iCs/>
        </w:rPr>
        <w:t>Strategic Management Journal</w:t>
      </w:r>
      <w:r w:rsidRPr="00BE5579">
        <w:rPr>
          <w:rFonts w:cs="Arial"/>
        </w:rPr>
        <w:t xml:space="preserve">. Volume 28(13), pgs. 1319–1350. Available at: </w:t>
      </w:r>
      <w:hyperlink r:id="rId53" w:history="1">
        <w:r w:rsidRPr="00BE5579">
          <w:rPr>
            <w:rStyle w:val="Hyperlink"/>
            <w:rFonts w:cs="Arial"/>
          </w:rPr>
          <w:t>https://www.jstor.org/stable/20141992</w:t>
        </w:r>
      </w:hyperlink>
      <w:r w:rsidRPr="00BE5579">
        <w:rPr>
          <w:rFonts w:cs="Arial"/>
        </w:rPr>
        <w:t xml:space="preserve"> [Accessed: 7 December 2025].</w:t>
      </w:r>
    </w:p>
    <w:p w14:paraId="2D7AD3C4" w14:textId="77777777" w:rsidR="00732209" w:rsidRPr="00BE5579" w:rsidRDefault="00732209" w:rsidP="00732209">
      <w:pPr>
        <w:spacing w:after="0"/>
        <w:rPr>
          <w:rFonts w:cs="Arial"/>
        </w:rPr>
      </w:pPr>
    </w:p>
    <w:p w14:paraId="5C1ADB2C" w14:textId="77777777" w:rsidR="00732209" w:rsidRPr="00BE5579" w:rsidRDefault="00732209" w:rsidP="00732209">
      <w:pPr>
        <w:spacing w:after="0"/>
        <w:rPr>
          <w:rFonts w:cs="Arial"/>
        </w:rPr>
      </w:pPr>
      <w:r w:rsidRPr="00BE5579">
        <w:rPr>
          <w:rFonts w:cs="Arial"/>
        </w:rPr>
        <w:t>Teece, D.J., Pisano, G. and Shuen, A. (1997) ‘Dynamic capabilities and strategic management.’ Strategic Management Journal. Volume 18. pgs 509-533. Available at: </w:t>
      </w:r>
      <w:hyperlink r:id="rId54" w:history="1">
        <w:r w:rsidRPr="00BE5579">
          <w:rPr>
            <w:rStyle w:val="Hyperlink"/>
            <w:rFonts w:cs="Arial"/>
          </w:rPr>
          <w:t>https://sms.onlinelibrary.wiley.com/doi/abs/10.1002/(SICI)1097-0266(199708)18:7%3C509::AID-SMJ882%3E3.0.CO;2-Z</w:t>
        </w:r>
      </w:hyperlink>
      <w:r w:rsidRPr="00BE5579">
        <w:rPr>
          <w:rFonts w:cs="Arial"/>
        </w:rPr>
        <w:t xml:space="preserve"> [Accessed: 7 December 2025].</w:t>
      </w:r>
    </w:p>
    <w:p w14:paraId="0D570014" w14:textId="77777777" w:rsidR="00732209" w:rsidRPr="00BE5579" w:rsidRDefault="00732209" w:rsidP="00732209">
      <w:pPr>
        <w:spacing w:after="0"/>
        <w:rPr>
          <w:rFonts w:cs="Arial"/>
        </w:rPr>
      </w:pPr>
      <w:r w:rsidRPr="00BE5579">
        <w:rPr>
          <w:rFonts w:cs="Arial"/>
        </w:rPr>
        <w:lastRenderedPageBreak/>
        <w:t>Teece, D.J. (2018) ‘Business models and dynamic capabilities.’ </w:t>
      </w:r>
      <w:r w:rsidRPr="00BE5579">
        <w:rPr>
          <w:rFonts w:cs="Arial"/>
          <w:i/>
          <w:iCs/>
        </w:rPr>
        <w:t>Long Range Planning</w:t>
      </w:r>
      <w:r w:rsidRPr="00BE5579">
        <w:rPr>
          <w:rFonts w:cs="Arial"/>
        </w:rPr>
        <w:t xml:space="preserve">, Volume 51(1), pgs. 40-49. Available at: </w:t>
      </w:r>
      <w:hyperlink r:id="rId55" w:history="1">
        <w:r w:rsidRPr="00BE5579">
          <w:rPr>
            <w:rStyle w:val="Hyperlink"/>
            <w:rFonts w:cs="Arial"/>
          </w:rPr>
          <w:t>https://www.sciencedirect.com/science/article/pii/S0024630117302868</w:t>
        </w:r>
      </w:hyperlink>
      <w:r w:rsidRPr="00BE5579">
        <w:rPr>
          <w:rFonts w:cs="Arial"/>
        </w:rPr>
        <w:t xml:space="preserve"> [Accessed: 7 December 2025].</w:t>
      </w:r>
    </w:p>
    <w:p w14:paraId="5DAAB19E" w14:textId="77777777" w:rsidR="00732209" w:rsidRPr="00BE5579" w:rsidRDefault="00732209" w:rsidP="00732209">
      <w:pPr>
        <w:spacing w:after="0"/>
        <w:rPr>
          <w:rFonts w:cs="Arial"/>
        </w:rPr>
      </w:pPr>
    </w:p>
    <w:p w14:paraId="786CD6A2" w14:textId="77777777" w:rsidR="00732209" w:rsidRPr="00BE5579" w:rsidRDefault="00732209" w:rsidP="00732209">
      <w:pPr>
        <w:spacing w:after="0"/>
        <w:rPr>
          <w:rFonts w:cs="Arial"/>
        </w:rPr>
      </w:pPr>
      <w:r w:rsidRPr="00BE5579">
        <w:rPr>
          <w:rFonts w:cs="Arial"/>
        </w:rPr>
        <w:t xml:space="preserve">Tesco (2021) </w:t>
      </w:r>
      <w:r w:rsidRPr="00BE5579">
        <w:rPr>
          <w:rFonts w:cs="Arial"/>
          <w:i/>
          <w:iCs/>
        </w:rPr>
        <w:t>Tesco Impact Report 2021</w:t>
      </w:r>
      <w:r w:rsidRPr="00BE5579">
        <w:rPr>
          <w:rFonts w:cs="Arial"/>
        </w:rPr>
        <w:t xml:space="preserve">. Available at: </w:t>
      </w:r>
      <w:hyperlink r:id="rId56" w:history="1">
        <w:r w:rsidRPr="00BE5579">
          <w:rPr>
            <w:rStyle w:val="Hyperlink"/>
            <w:rFonts w:cs="Arial"/>
          </w:rPr>
          <w:t>https://www.tescoplc.com/media/4u4mtwjc/tesco_impact_report.pdf</w:t>
        </w:r>
      </w:hyperlink>
      <w:r w:rsidRPr="00BE5579">
        <w:rPr>
          <w:rFonts w:cs="Arial"/>
        </w:rPr>
        <w:t xml:space="preserve"> [Accessed: 29 November 2021].</w:t>
      </w:r>
    </w:p>
    <w:p w14:paraId="0272F5B3" w14:textId="77777777" w:rsidR="00732209" w:rsidRPr="00BE5579" w:rsidRDefault="00732209" w:rsidP="00732209">
      <w:pPr>
        <w:spacing w:after="0"/>
        <w:rPr>
          <w:rFonts w:cs="Arial"/>
        </w:rPr>
      </w:pPr>
    </w:p>
    <w:p w14:paraId="0F48766C" w14:textId="77777777" w:rsidR="00732209" w:rsidRDefault="00732209" w:rsidP="00732209">
      <w:pPr>
        <w:spacing w:after="0"/>
        <w:rPr>
          <w:rFonts w:cs="Arial"/>
        </w:rPr>
      </w:pPr>
      <w:r w:rsidRPr="00BE5579">
        <w:rPr>
          <w:rFonts w:cs="Arial"/>
        </w:rPr>
        <w:t xml:space="preserve">Tesco (2021) </w:t>
      </w:r>
      <w:r w:rsidRPr="00BE5579">
        <w:rPr>
          <w:rFonts w:cs="Arial"/>
          <w:i/>
          <w:iCs/>
        </w:rPr>
        <w:t>Tesco launches the UK’s largest closed loop grocery Media and Insight platform, powered by dunnhumby.</w:t>
      </w:r>
      <w:r w:rsidRPr="00BE5579">
        <w:rPr>
          <w:rFonts w:cs="Arial"/>
        </w:rPr>
        <w:t xml:space="preserve"> Available at: </w:t>
      </w:r>
      <w:hyperlink r:id="rId57" w:history="1">
        <w:r w:rsidRPr="00BE5579">
          <w:rPr>
            <w:rStyle w:val="Hyperlink"/>
            <w:rFonts w:cs="Arial"/>
          </w:rPr>
          <w:t>https://www.tescoplc.com/tesco-launches-the-uk-s-largest-closed-loop-grocery-media-and-insight-platform-powered-by-dunnhumby/</w:t>
        </w:r>
      </w:hyperlink>
      <w:r w:rsidRPr="00BE5579">
        <w:rPr>
          <w:rFonts w:cs="Arial"/>
        </w:rPr>
        <w:t xml:space="preserve"> [Accessed: 7 December 2025].</w:t>
      </w:r>
    </w:p>
    <w:p w14:paraId="69F3CF06" w14:textId="77777777" w:rsidR="00732209" w:rsidRDefault="00732209" w:rsidP="00732209">
      <w:pPr>
        <w:spacing w:after="0"/>
        <w:rPr>
          <w:rFonts w:cs="Arial"/>
        </w:rPr>
      </w:pPr>
    </w:p>
    <w:p w14:paraId="4959F617" w14:textId="77777777" w:rsidR="00732209" w:rsidRPr="00BE5579" w:rsidRDefault="00732209" w:rsidP="00732209">
      <w:pPr>
        <w:spacing w:after="0"/>
        <w:rPr>
          <w:rFonts w:cs="Arial"/>
        </w:rPr>
      </w:pPr>
      <w:r w:rsidRPr="00BE5579">
        <w:rPr>
          <w:rFonts w:cs="Arial"/>
        </w:rPr>
        <w:t xml:space="preserve">Tesco (2023) </w:t>
      </w:r>
      <w:r w:rsidRPr="00BE5579">
        <w:rPr>
          <w:rFonts w:cs="Arial"/>
          <w:i/>
          <w:iCs/>
        </w:rPr>
        <w:t xml:space="preserve">Tesco rapid delivery service Whoosh now available from 1,000 stores as it exceeds rollout target by 25%. </w:t>
      </w:r>
      <w:hyperlink r:id="rId58" w:history="1">
        <w:r w:rsidRPr="00BE5579">
          <w:rPr>
            <w:rStyle w:val="Hyperlink"/>
            <w:rFonts w:cs="Arial"/>
          </w:rPr>
          <w:t>https://www.tescoplc.com/tesco-rapid-delivery-service-whoosh-now-available-from-1-000-stores-as-it-exceeds-rollout-target-by-25/</w:t>
        </w:r>
      </w:hyperlink>
      <w:r w:rsidRPr="00BE5579">
        <w:rPr>
          <w:rFonts w:cs="Arial"/>
        </w:rPr>
        <w:t xml:space="preserve"> [Accessed: 8 December 2025].</w:t>
      </w:r>
    </w:p>
    <w:p w14:paraId="1B42B330" w14:textId="77777777" w:rsidR="00732209" w:rsidRPr="00BE5579" w:rsidRDefault="00732209" w:rsidP="00732209">
      <w:pPr>
        <w:spacing w:after="0"/>
        <w:rPr>
          <w:rFonts w:cs="Arial"/>
        </w:rPr>
      </w:pPr>
    </w:p>
    <w:p w14:paraId="68E10251" w14:textId="77777777" w:rsidR="00732209" w:rsidRPr="00BE5579" w:rsidRDefault="00732209" w:rsidP="00732209">
      <w:pPr>
        <w:spacing w:after="0"/>
        <w:rPr>
          <w:rFonts w:cs="Arial"/>
        </w:rPr>
      </w:pPr>
      <w:r w:rsidRPr="00BE5579">
        <w:rPr>
          <w:rFonts w:cs="Arial"/>
        </w:rPr>
        <w:t xml:space="preserve">Tesco (2024) </w:t>
      </w:r>
      <w:r w:rsidRPr="00BE5579">
        <w:rPr>
          <w:rFonts w:cs="Arial"/>
          <w:i/>
          <w:iCs/>
        </w:rPr>
        <w:t xml:space="preserve">Annual Report and Financial Statements 2024. </w:t>
      </w:r>
      <w:r w:rsidRPr="00BE5579">
        <w:rPr>
          <w:rFonts w:cs="Arial"/>
        </w:rPr>
        <w:t xml:space="preserve">Available at: </w:t>
      </w:r>
      <w:hyperlink r:id="rId59" w:history="1">
        <w:r w:rsidRPr="00BE5579">
          <w:rPr>
            <w:rStyle w:val="Hyperlink"/>
            <w:rFonts w:cs="Arial"/>
          </w:rPr>
          <w:t>https://www.tescoplc.com/investors/reports-results-and-presentations/annual-report-2024</w:t>
        </w:r>
      </w:hyperlink>
      <w:r w:rsidRPr="00BE5579">
        <w:rPr>
          <w:rFonts w:cs="Arial"/>
        </w:rPr>
        <w:t xml:space="preserve"> [Accessed: 29 November 2025].</w:t>
      </w:r>
    </w:p>
    <w:p w14:paraId="1B22BB04" w14:textId="77777777" w:rsidR="00732209" w:rsidRPr="00BE5579" w:rsidRDefault="00732209" w:rsidP="00732209">
      <w:pPr>
        <w:spacing w:after="0"/>
        <w:rPr>
          <w:rFonts w:cs="Arial"/>
        </w:rPr>
      </w:pPr>
    </w:p>
    <w:p w14:paraId="1E6D36E9" w14:textId="77777777" w:rsidR="00732209" w:rsidRPr="00BE5579" w:rsidRDefault="00732209" w:rsidP="00732209">
      <w:pPr>
        <w:spacing w:after="0"/>
        <w:rPr>
          <w:rFonts w:cs="Arial"/>
        </w:rPr>
      </w:pPr>
      <w:r w:rsidRPr="00BE5579">
        <w:rPr>
          <w:rFonts w:cs="Arial"/>
        </w:rPr>
        <w:t xml:space="preserve">Tesco (2024) </w:t>
      </w:r>
      <w:r w:rsidRPr="00BE5579">
        <w:rPr>
          <w:rFonts w:cs="Arial"/>
          <w:i/>
          <w:iCs/>
        </w:rPr>
        <w:t>Tesco completes sale of banking operations to Barclays and commences long-term strategic partnership.</w:t>
      </w:r>
      <w:r w:rsidRPr="00BE5579">
        <w:rPr>
          <w:rFonts w:cs="Arial"/>
        </w:rPr>
        <w:t xml:space="preserve"> </w:t>
      </w:r>
      <w:hyperlink r:id="rId60" w:history="1">
        <w:r w:rsidRPr="00BE5579">
          <w:rPr>
            <w:rStyle w:val="Hyperlink"/>
            <w:rFonts w:cs="Arial"/>
          </w:rPr>
          <w:t>https://www.tescoplc.com/tesco-</w:t>
        </w:r>
        <w:r w:rsidRPr="00BE5579">
          <w:rPr>
            <w:rStyle w:val="Hyperlink"/>
            <w:rFonts w:cs="Arial"/>
          </w:rPr>
          <w:lastRenderedPageBreak/>
          <w:t>completes-sale-of-banking-operations-to-barclays-and-commences-long-term-strategic-partnership/</w:t>
        </w:r>
      </w:hyperlink>
      <w:r w:rsidRPr="00BE5579">
        <w:rPr>
          <w:rFonts w:cs="Arial"/>
        </w:rPr>
        <w:t xml:space="preserve"> [Accessed: 8 December 2025].</w:t>
      </w:r>
    </w:p>
    <w:p w14:paraId="5EE053CC" w14:textId="77777777" w:rsidR="00732209" w:rsidRPr="00BE5579" w:rsidRDefault="00732209" w:rsidP="00732209">
      <w:pPr>
        <w:spacing w:after="0"/>
        <w:rPr>
          <w:rFonts w:cs="Arial"/>
        </w:rPr>
      </w:pPr>
    </w:p>
    <w:p w14:paraId="5EFB9A11" w14:textId="77777777" w:rsidR="00732209" w:rsidRDefault="00732209" w:rsidP="00732209">
      <w:pPr>
        <w:spacing w:after="0"/>
        <w:rPr>
          <w:rFonts w:cs="Arial"/>
        </w:rPr>
      </w:pPr>
      <w:r w:rsidRPr="00BE5579">
        <w:rPr>
          <w:rFonts w:cs="Arial"/>
        </w:rPr>
        <w:t xml:space="preserve">Tesco (2025) </w:t>
      </w:r>
      <w:r w:rsidRPr="00BE5579">
        <w:rPr>
          <w:rFonts w:cs="Arial"/>
          <w:i/>
          <w:iCs/>
        </w:rPr>
        <w:t>Preliminary Results 2024/25</w:t>
      </w:r>
      <w:r w:rsidRPr="00BE5579">
        <w:rPr>
          <w:rFonts w:cs="Arial"/>
        </w:rPr>
        <w:t xml:space="preserve">. </w:t>
      </w:r>
      <w:hyperlink r:id="rId61" w:history="1">
        <w:r w:rsidRPr="00BE5579">
          <w:rPr>
            <w:rStyle w:val="Hyperlink"/>
            <w:rFonts w:cs="Arial"/>
          </w:rPr>
          <w:t>https://www.tescoplc.com/preliminary-results-202425/</w:t>
        </w:r>
      </w:hyperlink>
      <w:r w:rsidRPr="00BE5579">
        <w:rPr>
          <w:rFonts w:cs="Arial"/>
        </w:rPr>
        <w:t xml:space="preserve"> [Accessed: 4 December 2025].</w:t>
      </w:r>
    </w:p>
    <w:p w14:paraId="755259A9" w14:textId="77777777" w:rsidR="00732209" w:rsidRPr="00BE5579" w:rsidRDefault="00732209" w:rsidP="00732209">
      <w:pPr>
        <w:spacing w:after="0"/>
        <w:rPr>
          <w:rFonts w:cs="Arial"/>
        </w:rPr>
      </w:pPr>
    </w:p>
    <w:p w14:paraId="7346A047" w14:textId="77777777" w:rsidR="00732209" w:rsidRDefault="00732209" w:rsidP="00732209">
      <w:pPr>
        <w:spacing w:after="0"/>
        <w:rPr>
          <w:rFonts w:cs="Arial"/>
        </w:rPr>
      </w:pPr>
      <w:r w:rsidRPr="00BE5579">
        <w:rPr>
          <w:rFonts w:cs="Arial"/>
        </w:rPr>
        <w:t xml:space="preserve">Tesco (2025) </w:t>
      </w:r>
      <w:r w:rsidRPr="00BE5579">
        <w:rPr>
          <w:rFonts w:cs="Arial"/>
          <w:i/>
          <w:iCs/>
        </w:rPr>
        <w:t xml:space="preserve">Our History. </w:t>
      </w:r>
      <w:hyperlink r:id="rId62" w:history="1">
        <w:r w:rsidRPr="00BE5579">
          <w:rPr>
            <w:rStyle w:val="Hyperlink"/>
            <w:rFonts w:cs="Arial"/>
          </w:rPr>
          <w:t>https://www.tescoplc.com/about/our-history</w:t>
        </w:r>
      </w:hyperlink>
      <w:r w:rsidRPr="00BE5579">
        <w:rPr>
          <w:rFonts w:cs="Arial"/>
        </w:rPr>
        <w:t xml:space="preserve"> [Accessed: 8 December 2025]. </w:t>
      </w:r>
    </w:p>
    <w:p w14:paraId="777FB59B" w14:textId="77777777" w:rsidR="00732209" w:rsidRPr="00BE5579" w:rsidRDefault="00732209" w:rsidP="00732209">
      <w:pPr>
        <w:spacing w:after="0"/>
        <w:rPr>
          <w:rFonts w:cs="Arial"/>
        </w:rPr>
      </w:pPr>
    </w:p>
    <w:p w14:paraId="7966F836" w14:textId="77777777" w:rsidR="00732209" w:rsidRPr="00BE5579" w:rsidRDefault="00732209" w:rsidP="00732209">
      <w:pPr>
        <w:spacing w:after="0"/>
        <w:rPr>
          <w:rFonts w:cs="Arial"/>
        </w:rPr>
      </w:pPr>
      <w:r w:rsidRPr="00BE5579">
        <w:rPr>
          <w:rFonts w:cs="Arial"/>
        </w:rPr>
        <w:t>Tesco PLC (2025)</w:t>
      </w:r>
      <w:r w:rsidRPr="00BE5579">
        <w:rPr>
          <w:rFonts w:cs="Arial"/>
          <w:i/>
          <w:iCs/>
        </w:rPr>
        <w:t xml:space="preserve"> Tesco announces a multi-million-pound investment to future-proof its growing store network. </w:t>
      </w:r>
      <w:r w:rsidRPr="00BE5579">
        <w:rPr>
          <w:rFonts w:cs="Arial"/>
        </w:rPr>
        <w:t xml:space="preserve">Available at: </w:t>
      </w:r>
      <w:hyperlink r:id="rId63" w:history="1">
        <w:r w:rsidRPr="00BE5579">
          <w:rPr>
            <w:rStyle w:val="Hyperlink"/>
            <w:rFonts w:cs="Arial"/>
          </w:rPr>
          <w:t>https://www.tescoplc.com/tesco-announces-a-multi-million-pound-investment-to-future-proof-its-growing-store-network/</w:t>
        </w:r>
      </w:hyperlink>
      <w:r w:rsidRPr="00BE5579">
        <w:rPr>
          <w:rFonts w:cs="Arial"/>
        </w:rPr>
        <w:t xml:space="preserve"> [Accessed: 6 December 2025].</w:t>
      </w:r>
    </w:p>
    <w:p w14:paraId="7E4D2806" w14:textId="77777777" w:rsidR="00732209" w:rsidRPr="00BE5579" w:rsidRDefault="00732209" w:rsidP="00732209">
      <w:pPr>
        <w:spacing w:after="0"/>
        <w:rPr>
          <w:rFonts w:cs="Arial"/>
        </w:rPr>
      </w:pPr>
    </w:p>
    <w:p w14:paraId="71056A7C" w14:textId="77777777" w:rsidR="00732209" w:rsidRPr="00BE5579" w:rsidRDefault="00732209" w:rsidP="00732209">
      <w:pPr>
        <w:spacing w:after="0"/>
        <w:rPr>
          <w:rFonts w:cs="Arial"/>
        </w:rPr>
      </w:pPr>
      <w:r w:rsidRPr="00BE5579">
        <w:rPr>
          <w:rFonts w:cs="Arial"/>
        </w:rPr>
        <w:t xml:space="preserve">Tesco PLC (2025) </w:t>
      </w:r>
      <w:r w:rsidRPr="00BE5579">
        <w:rPr>
          <w:rFonts w:cs="Arial"/>
          <w:i/>
          <w:iCs/>
        </w:rPr>
        <w:t>Tesco PLC Annual Report and Financial Statements 2025</w:t>
      </w:r>
      <w:r w:rsidRPr="00BE5579">
        <w:rPr>
          <w:rFonts w:cs="Arial"/>
        </w:rPr>
        <w:t xml:space="preserve">. Available at: </w:t>
      </w:r>
      <w:hyperlink r:id="rId64" w:history="1">
        <w:r w:rsidRPr="00BE5579">
          <w:rPr>
            <w:rStyle w:val="Hyperlink"/>
            <w:rFonts w:cs="Arial"/>
          </w:rPr>
          <w:t>https://www.tescoplc.com/investors/reports-results-and-presentations/annual-report-2025</w:t>
        </w:r>
      </w:hyperlink>
      <w:r w:rsidRPr="00BE5579">
        <w:rPr>
          <w:rFonts w:cs="Arial"/>
        </w:rPr>
        <w:t xml:space="preserve"> [Accessed: 29 November 2025].</w:t>
      </w:r>
    </w:p>
    <w:p w14:paraId="77D2FE12" w14:textId="77777777" w:rsidR="00732209" w:rsidRPr="00BE5579" w:rsidRDefault="00732209" w:rsidP="00732209">
      <w:pPr>
        <w:spacing w:after="0"/>
        <w:rPr>
          <w:rFonts w:cs="Arial"/>
        </w:rPr>
      </w:pPr>
    </w:p>
    <w:p w14:paraId="7469EF73" w14:textId="77777777" w:rsidR="00732209" w:rsidRPr="00BE5579" w:rsidRDefault="00732209" w:rsidP="00732209">
      <w:pPr>
        <w:spacing w:after="0"/>
        <w:rPr>
          <w:rFonts w:cs="Arial"/>
        </w:rPr>
      </w:pPr>
      <w:r w:rsidRPr="00BE5579">
        <w:rPr>
          <w:rFonts w:cs="Arial"/>
        </w:rPr>
        <w:t xml:space="preserve">Vargo, S. &amp; Maglio, P. and Akaka, M. (2008) ‘On Value and Value Co-Creation: A Service Systems and Service Logic Perspective.’ </w:t>
      </w:r>
      <w:r w:rsidRPr="00BE5579">
        <w:rPr>
          <w:rFonts w:cs="Arial"/>
          <w:i/>
          <w:iCs/>
        </w:rPr>
        <w:t xml:space="preserve">European Management Journal. </w:t>
      </w:r>
      <w:r w:rsidRPr="00BE5579">
        <w:rPr>
          <w:rFonts w:cs="Arial"/>
        </w:rPr>
        <w:t xml:space="preserve">Volume 26. pgs. 145-152. Available at: </w:t>
      </w:r>
      <w:hyperlink r:id="rId65" w:history="1">
        <w:r w:rsidRPr="00BE5579">
          <w:rPr>
            <w:rStyle w:val="Hyperlink"/>
            <w:rFonts w:cs="Arial"/>
          </w:rPr>
          <w:t>https://www.sciencedirect.com/science/article/pii/S026323730800042X</w:t>
        </w:r>
      </w:hyperlink>
      <w:r w:rsidRPr="00BE5579">
        <w:rPr>
          <w:rFonts w:cs="Arial"/>
        </w:rPr>
        <w:t xml:space="preserve"> [Accessed: 7 December 2025]. </w:t>
      </w:r>
    </w:p>
    <w:p w14:paraId="1F13F2CF" w14:textId="77777777" w:rsidR="00732209" w:rsidRPr="00BE5579" w:rsidRDefault="00732209" w:rsidP="00732209">
      <w:pPr>
        <w:spacing w:after="0"/>
        <w:rPr>
          <w:rFonts w:cs="Arial"/>
        </w:rPr>
      </w:pPr>
    </w:p>
    <w:p w14:paraId="5B56B58E" w14:textId="77777777" w:rsidR="00732209" w:rsidRPr="00BE5579" w:rsidRDefault="00732209" w:rsidP="00732209">
      <w:pPr>
        <w:spacing w:after="0"/>
        <w:rPr>
          <w:rFonts w:cs="Arial"/>
        </w:rPr>
      </w:pPr>
      <w:r w:rsidRPr="00BE5579">
        <w:rPr>
          <w:rFonts w:cs="Arial"/>
        </w:rPr>
        <w:lastRenderedPageBreak/>
        <w:t>Wernerfelt, B. (1984) ‘A resource</w:t>
      </w:r>
      <w:r w:rsidRPr="00BE5579">
        <w:rPr>
          <w:rFonts w:ascii="Cambria Math" w:hAnsi="Cambria Math" w:cs="Cambria Math"/>
        </w:rPr>
        <w:t>‐</w:t>
      </w:r>
      <w:r w:rsidRPr="00BE5579">
        <w:rPr>
          <w:rFonts w:cs="Arial"/>
        </w:rPr>
        <w:t>based view of the firm.’ </w:t>
      </w:r>
      <w:r w:rsidRPr="00BE5579">
        <w:rPr>
          <w:rFonts w:cs="Arial"/>
          <w:i/>
          <w:iCs/>
        </w:rPr>
        <w:t>Strategic Management Journal</w:t>
      </w:r>
      <w:r w:rsidRPr="00BE5579">
        <w:rPr>
          <w:rFonts w:cs="Arial"/>
        </w:rPr>
        <w:t>. </w:t>
      </w:r>
      <w:r w:rsidRPr="00BE5579">
        <w:rPr>
          <w:rFonts w:cs="Arial"/>
          <w:i/>
          <w:iCs/>
        </w:rPr>
        <w:t>Volume 5</w:t>
      </w:r>
      <w:r w:rsidRPr="00BE5579">
        <w:rPr>
          <w:rFonts w:cs="Arial"/>
        </w:rPr>
        <w:t xml:space="preserve">(2), pgs. 171-180. Available at: </w:t>
      </w:r>
      <w:hyperlink r:id="rId66" w:history="1">
        <w:r w:rsidRPr="00BE5579">
          <w:rPr>
            <w:rStyle w:val="Hyperlink"/>
            <w:rFonts w:cs="Arial"/>
          </w:rPr>
          <w:t>https://www.jstor.org/stable/2486175</w:t>
        </w:r>
      </w:hyperlink>
      <w:r w:rsidRPr="00BE5579">
        <w:rPr>
          <w:rFonts w:cs="Arial"/>
        </w:rPr>
        <w:t xml:space="preserve"> [Accessed: 3 December 2025].</w:t>
      </w:r>
    </w:p>
    <w:p w14:paraId="287FF7EE" w14:textId="77777777" w:rsidR="00732209" w:rsidRPr="00BE5579" w:rsidRDefault="00732209" w:rsidP="00732209">
      <w:pPr>
        <w:spacing w:after="0"/>
        <w:rPr>
          <w:rFonts w:cs="Arial"/>
        </w:rPr>
      </w:pPr>
    </w:p>
    <w:p w14:paraId="50573C27" w14:textId="77777777" w:rsidR="00732209" w:rsidRDefault="00732209" w:rsidP="00732209">
      <w:pPr>
        <w:spacing w:after="0"/>
        <w:rPr>
          <w:rFonts w:cs="Arial"/>
        </w:rPr>
      </w:pPr>
      <w:r w:rsidRPr="00BE5579">
        <w:rPr>
          <w:rFonts w:cs="Arial"/>
        </w:rPr>
        <w:t xml:space="preserve">Winterman, D. (2013) ‘Tesco: How one supermarket came to dominate’. </w:t>
      </w:r>
      <w:r w:rsidRPr="00BE5579">
        <w:rPr>
          <w:rFonts w:cs="Arial"/>
          <w:i/>
          <w:iCs/>
        </w:rPr>
        <w:t xml:space="preserve">BBC News. </w:t>
      </w:r>
      <w:r w:rsidRPr="00BE5579">
        <w:rPr>
          <w:rFonts w:cs="Arial"/>
        </w:rPr>
        <w:t xml:space="preserve">9 September. </w:t>
      </w:r>
      <w:hyperlink r:id="rId67" w:history="1">
        <w:r w:rsidRPr="00BE5579">
          <w:rPr>
            <w:rStyle w:val="Hyperlink"/>
            <w:rFonts w:cs="Arial"/>
          </w:rPr>
          <w:t>https://www.bbc.co.uk/news/magazine-23988795</w:t>
        </w:r>
      </w:hyperlink>
      <w:r w:rsidRPr="00BE5579">
        <w:rPr>
          <w:rFonts w:cs="Arial"/>
        </w:rPr>
        <w:t xml:space="preserve"> [Accessed: 8 December 2025]. </w:t>
      </w:r>
    </w:p>
    <w:p w14:paraId="3DAB8414" w14:textId="77777777" w:rsidR="00732209" w:rsidRPr="00BE5579" w:rsidRDefault="00732209" w:rsidP="00732209">
      <w:pPr>
        <w:spacing w:after="0"/>
        <w:rPr>
          <w:rFonts w:cs="Arial"/>
        </w:rPr>
      </w:pPr>
    </w:p>
    <w:p w14:paraId="77F6B9EB" w14:textId="77777777" w:rsidR="00732209" w:rsidRPr="00BE5579" w:rsidRDefault="00732209" w:rsidP="00732209">
      <w:pPr>
        <w:spacing w:after="0"/>
        <w:rPr>
          <w:rFonts w:cs="Arial"/>
        </w:rPr>
      </w:pPr>
      <w:r w:rsidRPr="00BE5579">
        <w:rPr>
          <w:rFonts w:cs="Arial"/>
        </w:rPr>
        <w:t>Xie, Y. and Allen, C. (2013) ‘Information technologies in retail supply chains: a comparison of Tesco and Asda.’ </w:t>
      </w:r>
      <w:r w:rsidRPr="00BE5579">
        <w:rPr>
          <w:rFonts w:cs="Arial"/>
          <w:i/>
          <w:iCs/>
        </w:rPr>
        <w:t>International Journal of Business Performance and Supply Chain Modelling</w:t>
      </w:r>
      <w:r w:rsidRPr="00BE5579">
        <w:rPr>
          <w:rFonts w:cs="Arial"/>
        </w:rPr>
        <w:t xml:space="preserve">. Volume </w:t>
      </w:r>
      <w:r w:rsidRPr="00BE5579">
        <w:rPr>
          <w:rFonts w:cs="Arial"/>
          <w:i/>
          <w:iCs/>
        </w:rPr>
        <w:t>5</w:t>
      </w:r>
      <w:r w:rsidRPr="00BE5579">
        <w:rPr>
          <w:rFonts w:cs="Arial"/>
        </w:rPr>
        <w:t xml:space="preserve">(1), pgs 46-62. Available at: </w:t>
      </w:r>
      <w:hyperlink r:id="rId68" w:history="1">
        <w:r w:rsidRPr="00BE5579">
          <w:rPr>
            <w:rStyle w:val="Hyperlink"/>
            <w:rFonts w:cs="Arial"/>
          </w:rPr>
          <w:t>https://www.researchgate.net/publication/264822091_Information_technologies_in_retail_supply_chains_A_comparison_of_Tesco_and_Asda</w:t>
        </w:r>
      </w:hyperlink>
      <w:r w:rsidRPr="00BE5579">
        <w:rPr>
          <w:rFonts w:cs="Arial"/>
        </w:rPr>
        <w:t xml:space="preserve"> [Accessed: 4 December 2025].</w:t>
      </w:r>
    </w:p>
    <w:p w14:paraId="4F477796" w14:textId="77777777" w:rsidR="00732209" w:rsidRPr="00BE5579" w:rsidRDefault="00732209" w:rsidP="00732209">
      <w:pPr>
        <w:spacing w:after="0"/>
        <w:rPr>
          <w:rFonts w:cs="Arial"/>
        </w:rPr>
      </w:pPr>
    </w:p>
    <w:p w14:paraId="330BE2F0" w14:textId="3AAE5C5F" w:rsidR="00732209" w:rsidRPr="00732209" w:rsidRDefault="00732209" w:rsidP="00732209">
      <w:pPr>
        <w:spacing w:after="0"/>
        <w:rPr>
          <w:rFonts w:cs="Arial"/>
        </w:rPr>
      </w:pPr>
      <w:r w:rsidRPr="00BE5579">
        <w:rPr>
          <w:rFonts w:cs="Arial"/>
        </w:rPr>
        <w:t>Yüksel, I. (2012) ‘Developing a multi-</w:t>
      </w:r>
      <w:proofErr w:type="gramStart"/>
      <w:r w:rsidRPr="00BE5579">
        <w:rPr>
          <w:rFonts w:cs="Arial"/>
        </w:rPr>
        <w:t>criteria decision making</w:t>
      </w:r>
      <w:proofErr w:type="gramEnd"/>
      <w:r w:rsidRPr="00BE5579">
        <w:rPr>
          <w:rFonts w:cs="Arial"/>
        </w:rPr>
        <w:t xml:space="preserve"> model for PESTEL analysis.’ </w:t>
      </w:r>
      <w:r w:rsidRPr="00BE5579">
        <w:rPr>
          <w:rFonts w:cs="Arial"/>
          <w:i/>
          <w:iCs/>
        </w:rPr>
        <w:t>International Journal of Business and Management</w:t>
      </w:r>
      <w:r w:rsidRPr="00BE5579">
        <w:rPr>
          <w:rFonts w:cs="Arial"/>
        </w:rPr>
        <w:t xml:space="preserve">,  Volume </w:t>
      </w:r>
      <w:r w:rsidRPr="00BE5579">
        <w:rPr>
          <w:rFonts w:cs="Arial"/>
          <w:i/>
          <w:iCs/>
        </w:rPr>
        <w:t>7</w:t>
      </w:r>
      <w:r w:rsidRPr="00BE5579">
        <w:rPr>
          <w:rFonts w:cs="Arial"/>
        </w:rPr>
        <w:t xml:space="preserve">(24), </w:t>
      </w:r>
      <w:proofErr w:type="spellStart"/>
      <w:r w:rsidRPr="00BE5579">
        <w:rPr>
          <w:rFonts w:cs="Arial"/>
        </w:rPr>
        <w:t>p.52</w:t>
      </w:r>
      <w:proofErr w:type="spellEnd"/>
      <w:r w:rsidRPr="00BE5579">
        <w:rPr>
          <w:rFonts w:cs="Arial"/>
        </w:rPr>
        <w:t xml:space="preserve">. Available at: </w:t>
      </w:r>
      <w:hyperlink r:id="rId69" w:history="1">
        <w:r w:rsidRPr="00BE5579">
          <w:rPr>
            <w:rStyle w:val="Hyperlink"/>
            <w:rFonts w:cs="Arial"/>
          </w:rPr>
          <w:t>https://www.researchgate.net/profile/Ihsan-Yueksel/publication/274863692_Developing_a_Multi-Criteria_Decision_Making_Model_for_PESTEL_Analysis/links/569aaf1708ae6169e55dad01/Developing-a-Multi-Criteria-Decision-Making-Model-for-PESTEL-Analysis.pdf</w:t>
        </w:r>
      </w:hyperlink>
      <w:r w:rsidRPr="00BE5579">
        <w:rPr>
          <w:rFonts w:cs="Arial"/>
        </w:rPr>
        <w:t xml:space="preserve"> [Accessed: 30 November 2025].</w:t>
      </w:r>
    </w:p>
    <w:sectPr w:rsidR="00732209" w:rsidRPr="00732209" w:rsidSect="0042136B">
      <w:footerReference w:type="default" r:id="rId7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52214" w14:textId="77777777" w:rsidR="00A32BA8" w:rsidRDefault="00A32BA8" w:rsidP="0042136B">
      <w:pPr>
        <w:spacing w:after="0" w:line="240" w:lineRule="auto"/>
      </w:pPr>
      <w:r>
        <w:separator/>
      </w:r>
    </w:p>
  </w:endnote>
  <w:endnote w:type="continuationSeparator" w:id="0">
    <w:p w14:paraId="2D016373" w14:textId="77777777" w:rsidR="00A32BA8" w:rsidRDefault="00A32BA8" w:rsidP="00421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449230"/>
      <w:docPartObj>
        <w:docPartGallery w:val="Page Numbers (Bottom of Page)"/>
        <w:docPartUnique/>
      </w:docPartObj>
    </w:sdtPr>
    <w:sdtContent>
      <w:sdt>
        <w:sdtPr>
          <w:id w:val="-1769616900"/>
          <w:docPartObj>
            <w:docPartGallery w:val="Page Numbers (Top of Page)"/>
            <w:docPartUnique/>
          </w:docPartObj>
        </w:sdtPr>
        <w:sdtContent>
          <w:p w14:paraId="19BD3125" w14:textId="19E7CF16" w:rsidR="0042136B" w:rsidRDefault="0042136B">
            <w:pPr>
              <w:pStyle w:val="Footer"/>
              <w:jc w:val="right"/>
            </w:pPr>
            <w:r w:rsidRPr="0042136B">
              <w:rPr>
                <w:sz w:val="16"/>
                <w:szCs w:val="16"/>
              </w:rPr>
              <w:t xml:space="preserve">Page </w:t>
            </w:r>
            <w:r w:rsidRPr="0042136B">
              <w:rPr>
                <w:b/>
                <w:bCs/>
                <w:sz w:val="16"/>
                <w:szCs w:val="16"/>
              </w:rPr>
              <w:fldChar w:fldCharType="begin"/>
            </w:r>
            <w:r w:rsidRPr="0042136B">
              <w:rPr>
                <w:b/>
                <w:bCs/>
                <w:sz w:val="16"/>
                <w:szCs w:val="16"/>
              </w:rPr>
              <w:instrText xml:space="preserve"> PAGE </w:instrText>
            </w:r>
            <w:r w:rsidRPr="0042136B">
              <w:rPr>
                <w:b/>
                <w:bCs/>
                <w:sz w:val="16"/>
                <w:szCs w:val="16"/>
              </w:rPr>
              <w:fldChar w:fldCharType="separate"/>
            </w:r>
            <w:r w:rsidRPr="0042136B">
              <w:rPr>
                <w:b/>
                <w:bCs/>
                <w:noProof/>
                <w:sz w:val="16"/>
                <w:szCs w:val="16"/>
              </w:rPr>
              <w:t>2</w:t>
            </w:r>
            <w:r w:rsidRPr="0042136B">
              <w:rPr>
                <w:b/>
                <w:bCs/>
                <w:sz w:val="16"/>
                <w:szCs w:val="16"/>
              </w:rPr>
              <w:fldChar w:fldCharType="end"/>
            </w:r>
            <w:r w:rsidRPr="0042136B">
              <w:rPr>
                <w:sz w:val="16"/>
                <w:szCs w:val="16"/>
              </w:rPr>
              <w:t xml:space="preserve"> of </w:t>
            </w:r>
            <w:r w:rsidRPr="0042136B">
              <w:rPr>
                <w:b/>
                <w:bCs/>
                <w:sz w:val="16"/>
                <w:szCs w:val="16"/>
              </w:rPr>
              <w:fldChar w:fldCharType="begin"/>
            </w:r>
            <w:r w:rsidRPr="0042136B">
              <w:rPr>
                <w:b/>
                <w:bCs/>
                <w:sz w:val="16"/>
                <w:szCs w:val="16"/>
              </w:rPr>
              <w:instrText xml:space="preserve"> NUMPAGES  </w:instrText>
            </w:r>
            <w:r w:rsidRPr="0042136B">
              <w:rPr>
                <w:b/>
                <w:bCs/>
                <w:sz w:val="16"/>
                <w:szCs w:val="16"/>
              </w:rPr>
              <w:fldChar w:fldCharType="separate"/>
            </w:r>
            <w:r w:rsidRPr="0042136B">
              <w:rPr>
                <w:b/>
                <w:bCs/>
                <w:noProof/>
                <w:sz w:val="16"/>
                <w:szCs w:val="16"/>
              </w:rPr>
              <w:t>2</w:t>
            </w:r>
            <w:r w:rsidRPr="0042136B">
              <w:rPr>
                <w:b/>
                <w:bCs/>
                <w:sz w:val="16"/>
                <w:szCs w:val="16"/>
              </w:rPr>
              <w:fldChar w:fldCharType="end"/>
            </w:r>
          </w:p>
        </w:sdtContent>
      </w:sdt>
    </w:sdtContent>
  </w:sdt>
  <w:p w14:paraId="34083AFB" w14:textId="77777777" w:rsidR="0042136B" w:rsidRDefault="00421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16846" w14:textId="77777777" w:rsidR="00A32BA8" w:rsidRDefault="00A32BA8" w:rsidP="0042136B">
      <w:pPr>
        <w:spacing w:after="0" w:line="240" w:lineRule="auto"/>
      </w:pPr>
      <w:r>
        <w:separator/>
      </w:r>
    </w:p>
  </w:footnote>
  <w:footnote w:type="continuationSeparator" w:id="0">
    <w:p w14:paraId="0FED87DD" w14:textId="77777777" w:rsidR="00A32BA8" w:rsidRDefault="00A32BA8" w:rsidP="004213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70018"/>
    <w:multiLevelType w:val="hybridMultilevel"/>
    <w:tmpl w:val="ACE07C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EB7D35"/>
    <w:multiLevelType w:val="hybridMultilevel"/>
    <w:tmpl w:val="493630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CF497E"/>
    <w:multiLevelType w:val="hybridMultilevel"/>
    <w:tmpl w:val="5584437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D74098B"/>
    <w:multiLevelType w:val="hybridMultilevel"/>
    <w:tmpl w:val="9E4C54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EE293F"/>
    <w:multiLevelType w:val="hybridMultilevel"/>
    <w:tmpl w:val="0EAA14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E31066"/>
    <w:multiLevelType w:val="hybridMultilevel"/>
    <w:tmpl w:val="BC3011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1170C5"/>
    <w:multiLevelType w:val="hybridMultilevel"/>
    <w:tmpl w:val="03A2CD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BA4E9C"/>
    <w:multiLevelType w:val="multilevel"/>
    <w:tmpl w:val="8E56EFE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48047B14"/>
    <w:multiLevelType w:val="hybridMultilevel"/>
    <w:tmpl w:val="141CD9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8645BE7"/>
    <w:multiLevelType w:val="hybridMultilevel"/>
    <w:tmpl w:val="EBB41AE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9587354"/>
    <w:multiLevelType w:val="multilevel"/>
    <w:tmpl w:val="24C64B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E1A0224"/>
    <w:multiLevelType w:val="hybridMultilevel"/>
    <w:tmpl w:val="8FBCBA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3894FC8"/>
    <w:multiLevelType w:val="hybridMultilevel"/>
    <w:tmpl w:val="E02A6F6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78F2EDF"/>
    <w:multiLevelType w:val="hybridMultilevel"/>
    <w:tmpl w:val="91F49F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37B0A42"/>
    <w:multiLevelType w:val="hybridMultilevel"/>
    <w:tmpl w:val="881C32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81066"/>
    <w:multiLevelType w:val="hybridMultilevel"/>
    <w:tmpl w:val="B6042A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84302D7"/>
    <w:multiLevelType w:val="hybridMultilevel"/>
    <w:tmpl w:val="2034E9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E0971CE"/>
    <w:multiLevelType w:val="hybridMultilevel"/>
    <w:tmpl w:val="992481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F2758F9"/>
    <w:multiLevelType w:val="hybridMultilevel"/>
    <w:tmpl w:val="08308F0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1265949">
    <w:abstractNumId w:val="18"/>
  </w:num>
  <w:num w:numId="2" w16cid:durableId="1640307613">
    <w:abstractNumId w:val="16"/>
  </w:num>
  <w:num w:numId="3" w16cid:durableId="310017186">
    <w:abstractNumId w:val="2"/>
  </w:num>
  <w:num w:numId="4" w16cid:durableId="1004430867">
    <w:abstractNumId w:val="1"/>
  </w:num>
  <w:num w:numId="5" w16cid:durableId="459616519">
    <w:abstractNumId w:val="0"/>
  </w:num>
  <w:num w:numId="6" w16cid:durableId="42560578">
    <w:abstractNumId w:val="12"/>
  </w:num>
  <w:num w:numId="7" w16cid:durableId="205801387">
    <w:abstractNumId w:val="3"/>
  </w:num>
  <w:num w:numId="8" w16cid:durableId="369839085">
    <w:abstractNumId w:val="17"/>
  </w:num>
  <w:num w:numId="9" w16cid:durableId="972250897">
    <w:abstractNumId w:val="11"/>
  </w:num>
  <w:num w:numId="10" w16cid:durableId="2089186473">
    <w:abstractNumId w:val="8"/>
  </w:num>
  <w:num w:numId="11" w16cid:durableId="1133206642">
    <w:abstractNumId w:val="6"/>
  </w:num>
  <w:num w:numId="12" w16cid:durableId="1187211760">
    <w:abstractNumId w:val="13"/>
  </w:num>
  <w:num w:numId="13" w16cid:durableId="1701858720">
    <w:abstractNumId w:val="9"/>
  </w:num>
  <w:num w:numId="14" w16cid:durableId="1175726160">
    <w:abstractNumId w:val="5"/>
  </w:num>
  <w:num w:numId="15" w16cid:durableId="903950631">
    <w:abstractNumId w:val="14"/>
  </w:num>
  <w:num w:numId="16" w16cid:durableId="1600215750">
    <w:abstractNumId w:val="4"/>
  </w:num>
  <w:num w:numId="17" w16cid:durableId="240407315">
    <w:abstractNumId w:val="7"/>
  </w:num>
  <w:num w:numId="18" w16cid:durableId="472992142">
    <w:abstractNumId w:val="10"/>
  </w:num>
  <w:num w:numId="19" w16cid:durableId="19315040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6B"/>
    <w:rsid w:val="000F142B"/>
    <w:rsid w:val="0030078C"/>
    <w:rsid w:val="003049C0"/>
    <w:rsid w:val="00315A21"/>
    <w:rsid w:val="0042136B"/>
    <w:rsid w:val="004D6E95"/>
    <w:rsid w:val="005119B8"/>
    <w:rsid w:val="00537A76"/>
    <w:rsid w:val="005C7C16"/>
    <w:rsid w:val="005D6B8D"/>
    <w:rsid w:val="00636872"/>
    <w:rsid w:val="0066768F"/>
    <w:rsid w:val="00692FBD"/>
    <w:rsid w:val="00724006"/>
    <w:rsid w:val="00732209"/>
    <w:rsid w:val="007A2E6E"/>
    <w:rsid w:val="008165F6"/>
    <w:rsid w:val="00824EB4"/>
    <w:rsid w:val="00996CD3"/>
    <w:rsid w:val="009C4854"/>
    <w:rsid w:val="00A215D8"/>
    <w:rsid w:val="00A32BA8"/>
    <w:rsid w:val="00A636B4"/>
    <w:rsid w:val="00B04AD0"/>
    <w:rsid w:val="00C04E83"/>
    <w:rsid w:val="00CB037F"/>
    <w:rsid w:val="00CD1BE3"/>
    <w:rsid w:val="00D04CEB"/>
    <w:rsid w:val="00DE068B"/>
    <w:rsid w:val="00E871C9"/>
    <w:rsid w:val="00F675B7"/>
    <w:rsid w:val="00F9170A"/>
    <w:rsid w:val="00FA1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3658C"/>
  <w15:chartTrackingRefBased/>
  <w15:docId w15:val="{34D30CB6-48B8-44FB-BFB6-43D7EA14D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3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3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3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3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36B"/>
    <w:rPr>
      <w:rFonts w:eastAsiaTheme="majorEastAsia" w:cstheme="majorBidi"/>
      <w:color w:val="272727" w:themeColor="text1" w:themeTint="D8"/>
    </w:rPr>
  </w:style>
  <w:style w:type="paragraph" w:styleId="Title">
    <w:name w:val="Title"/>
    <w:basedOn w:val="Normal"/>
    <w:next w:val="Normal"/>
    <w:link w:val="TitleChar"/>
    <w:uiPriority w:val="10"/>
    <w:qFormat/>
    <w:rsid w:val="00421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36B"/>
    <w:pPr>
      <w:spacing w:before="160"/>
      <w:jc w:val="center"/>
    </w:pPr>
    <w:rPr>
      <w:i/>
      <w:iCs/>
      <w:color w:val="404040" w:themeColor="text1" w:themeTint="BF"/>
    </w:rPr>
  </w:style>
  <w:style w:type="character" w:customStyle="1" w:styleId="QuoteChar">
    <w:name w:val="Quote Char"/>
    <w:basedOn w:val="DefaultParagraphFont"/>
    <w:link w:val="Quote"/>
    <w:uiPriority w:val="29"/>
    <w:rsid w:val="0042136B"/>
    <w:rPr>
      <w:i/>
      <w:iCs/>
      <w:color w:val="404040" w:themeColor="text1" w:themeTint="BF"/>
    </w:rPr>
  </w:style>
  <w:style w:type="paragraph" w:styleId="ListParagraph">
    <w:name w:val="List Paragraph"/>
    <w:basedOn w:val="Normal"/>
    <w:uiPriority w:val="34"/>
    <w:qFormat/>
    <w:rsid w:val="0042136B"/>
    <w:pPr>
      <w:ind w:left="720"/>
      <w:contextualSpacing/>
    </w:pPr>
  </w:style>
  <w:style w:type="character" w:styleId="IntenseEmphasis">
    <w:name w:val="Intense Emphasis"/>
    <w:basedOn w:val="DefaultParagraphFont"/>
    <w:uiPriority w:val="21"/>
    <w:qFormat/>
    <w:rsid w:val="0042136B"/>
    <w:rPr>
      <w:i/>
      <w:iCs/>
      <w:color w:val="0F4761" w:themeColor="accent1" w:themeShade="BF"/>
    </w:rPr>
  </w:style>
  <w:style w:type="paragraph" w:styleId="IntenseQuote">
    <w:name w:val="Intense Quote"/>
    <w:basedOn w:val="Normal"/>
    <w:next w:val="Normal"/>
    <w:link w:val="IntenseQuoteChar"/>
    <w:uiPriority w:val="30"/>
    <w:qFormat/>
    <w:rsid w:val="00421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36B"/>
    <w:rPr>
      <w:i/>
      <w:iCs/>
      <w:color w:val="0F4761" w:themeColor="accent1" w:themeShade="BF"/>
    </w:rPr>
  </w:style>
  <w:style w:type="character" w:styleId="IntenseReference">
    <w:name w:val="Intense Reference"/>
    <w:basedOn w:val="DefaultParagraphFont"/>
    <w:uiPriority w:val="32"/>
    <w:qFormat/>
    <w:rsid w:val="0042136B"/>
    <w:rPr>
      <w:b/>
      <w:bCs/>
      <w:smallCaps/>
      <w:color w:val="0F4761" w:themeColor="accent1" w:themeShade="BF"/>
      <w:spacing w:val="5"/>
    </w:rPr>
  </w:style>
  <w:style w:type="paragraph" w:styleId="Header">
    <w:name w:val="header"/>
    <w:basedOn w:val="Normal"/>
    <w:link w:val="HeaderChar"/>
    <w:uiPriority w:val="99"/>
    <w:unhideWhenUsed/>
    <w:rsid w:val="00421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36B"/>
  </w:style>
  <w:style w:type="paragraph" w:styleId="Footer">
    <w:name w:val="footer"/>
    <w:basedOn w:val="Normal"/>
    <w:link w:val="FooterChar"/>
    <w:uiPriority w:val="99"/>
    <w:unhideWhenUsed/>
    <w:rsid w:val="00421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36B"/>
  </w:style>
  <w:style w:type="table" w:styleId="TableGrid">
    <w:name w:val="Table Grid"/>
    <w:basedOn w:val="TableNormal"/>
    <w:uiPriority w:val="39"/>
    <w:rsid w:val="005C7C16"/>
    <w:pPr>
      <w:spacing w:after="0" w:line="240" w:lineRule="auto"/>
    </w:pPr>
    <w:rPr>
      <w:rFonts w:asciiTheme="minorHAnsi" w:hAnsiTheme="minorHAns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24006"/>
    <w:pPr>
      <w:spacing w:after="0" w:line="240" w:lineRule="auto"/>
    </w:pPr>
  </w:style>
  <w:style w:type="character" w:styleId="CommentReference">
    <w:name w:val="annotation reference"/>
    <w:basedOn w:val="DefaultParagraphFont"/>
    <w:uiPriority w:val="99"/>
    <w:semiHidden/>
    <w:unhideWhenUsed/>
    <w:rsid w:val="00996CD3"/>
    <w:rPr>
      <w:sz w:val="16"/>
      <w:szCs w:val="16"/>
    </w:rPr>
  </w:style>
  <w:style w:type="paragraph" w:styleId="CommentText">
    <w:name w:val="annotation text"/>
    <w:basedOn w:val="Normal"/>
    <w:link w:val="CommentTextChar"/>
    <w:uiPriority w:val="99"/>
    <w:unhideWhenUsed/>
    <w:rsid w:val="00996CD3"/>
    <w:pPr>
      <w:spacing w:line="240" w:lineRule="auto"/>
    </w:pPr>
    <w:rPr>
      <w:sz w:val="20"/>
      <w:szCs w:val="20"/>
    </w:rPr>
  </w:style>
  <w:style w:type="character" w:customStyle="1" w:styleId="CommentTextChar">
    <w:name w:val="Comment Text Char"/>
    <w:basedOn w:val="DefaultParagraphFont"/>
    <w:link w:val="CommentText"/>
    <w:uiPriority w:val="99"/>
    <w:rsid w:val="00996CD3"/>
    <w:rPr>
      <w:sz w:val="20"/>
      <w:szCs w:val="20"/>
    </w:rPr>
  </w:style>
  <w:style w:type="paragraph" w:styleId="CommentSubject">
    <w:name w:val="annotation subject"/>
    <w:basedOn w:val="CommentText"/>
    <w:next w:val="CommentText"/>
    <w:link w:val="CommentSubjectChar"/>
    <w:uiPriority w:val="99"/>
    <w:semiHidden/>
    <w:unhideWhenUsed/>
    <w:rsid w:val="00996CD3"/>
    <w:rPr>
      <w:b/>
      <w:bCs/>
    </w:rPr>
  </w:style>
  <w:style w:type="character" w:customStyle="1" w:styleId="CommentSubjectChar">
    <w:name w:val="Comment Subject Char"/>
    <w:basedOn w:val="CommentTextChar"/>
    <w:link w:val="CommentSubject"/>
    <w:uiPriority w:val="99"/>
    <w:semiHidden/>
    <w:rsid w:val="00996CD3"/>
    <w:rPr>
      <w:b/>
      <w:bCs/>
      <w:sz w:val="20"/>
      <w:szCs w:val="20"/>
    </w:rPr>
  </w:style>
  <w:style w:type="character" w:styleId="Hyperlink">
    <w:name w:val="Hyperlink"/>
    <w:basedOn w:val="DefaultParagraphFont"/>
    <w:uiPriority w:val="99"/>
    <w:unhideWhenUsed/>
    <w:rsid w:val="0073220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y.com/en_uk/newsroom/2025/05/brand-loyalty-declines-as-financial-concerns-persist" TargetMode="External"/><Relationship Id="rId21" Type="http://schemas.openxmlformats.org/officeDocument/2006/relationships/hyperlink" Target="https://www.gov.uk/cma-cases/loyalty-pricing-in-the-groceries-sector" TargetMode="External"/><Relationship Id="rId42" Type="http://schemas.openxmlformats.org/officeDocument/2006/relationships/hyperlink" Target="https://www.ons.gov.uk/businessindustryandtrade/retailindustry/bulletins/retailsales/april2025" TargetMode="External"/><Relationship Id="rId47" Type="http://schemas.openxmlformats.org/officeDocument/2006/relationships/hyperlink" Target="https://doi.org/10.2307/259394" TargetMode="External"/><Relationship Id="rId63" Type="http://schemas.openxmlformats.org/officeDocument/2006/relationships/hyperlink" Target="https://www.tescoplc.com/tesco-announces-a-multi-million-pound-investment-to-future-proof-its-growing-store-network/" TargetMode="External"/><Relationship Id="rId68" Type="http://schemas.openxmlformats.org/officeDocument/2006/relationships/hyperlink" Target="https://www.researchgate.net/publication/264822091_Information_technologies_in_retail_supply_chains_A_comparison_of_Tesco_and_Asda" TargetMode="Externa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ckinsey.com/capabilities/growth-marketing-and-sales/our-insights/the-future-of-personalization-and-how-to-get-ready-for-it" TargetMode="External"/><Relationship Id="rId29" Type="http://schemas.openxmlformats.org/officeDocument/2006/relationships/hyperlink" Target="https://www.sciencedirect.com/science/article/pii/S0148296321003313?via%3Dihub" TargetMode="External"/><Relationship Id="rId11" Type="http://schemas.openxmlformats.org/officeDocument/2006/relationships/hyperlink" Target="https://kpmg.com/uk/en/media/press-releases/2023/09/over-half-of-uk-consumers-prepared-to-boycott-brands-over-misleading-green-claims.html" TargetMode="External"/><Relationship Id="rId24" Type="http://schemas.openxmlformats.org/officeDocument/2006/relationships/hyperlink" Target="https://www.sciencedirect.com/science/article/pii/S0024630109000570" TargetMode="External"/><Relationship Id="rId32" Type="http://schemas.openxmlformats.org/officeDocument/2006/relationships/hyperlink" Target="https://www.researchgate.net/publication/388721096_Re-examining_the_Relevance_of_Michael_Porter's_'Five_Forces_Framework'_Business_Strategy_and_Competitiveness_in_the_Contemporary_Globalised_World" TargetMode="External"/><Relationship Id="rId37" Type="http://schemas.openxmlformats.org/officeDocument/2006/relationships/hyperlink" Target="https://www.londonstockexchange.com/stock/TSCO/tesco-plc/company-page" TargetMode="External"/><Relationship Id="rId40" Type="http://schemas.openxmlformats.org/officeDocument/2006/relationships/hyperlink" Target="https://www.tandfonline.com/doi/abs/10.1362/026725706776022308" TargetMode="External"/><Relationship Id="rId45" Type="http://schemas.openxmlformats.org/officeDocument/2006/relationships/hyperlink" Target="https://research-ebsco-com.ezproxy.uwtsd.ac.uk/c/onvpsy/search/details/kleqxegtqr?db=nlebk&amp;db=nlabk" TargetMode="External"/><Relationship Id="rId53" Type="http://schemas.openxmlformats.org/officeDocument/2006/relationships/hyperlink" Target="https://www.jstor.org/stable/20141992" TargetMode="External"/><Relationship Id="rId58" Type="http://schemas.openxmlformats.org/officeDocument/2006/relationships/hyperlink" Target="https://www.tescoplc.com/tesco-rapid-delivery-service-whoosh-now-available-from-1-000-stores-as-it-exceeds-rollout-target-by-25/" TargetMode="External"/><Relationship Id="rId66" Type="http://schemas.openxmlformats.org/officeDocument/2006/relationships/hyperlink" Target="https://www.jstor.org/stable/2486175" TargetMode="External"/><Relationship Id="rId5" Type="http://schemas.openxmlformats.org/officeDocument/2006/relationships/footnotes" Target="footnotes.xml"/><Relationship Id="rId61" Type="http://schemas.openxmlformats.org/officeDocument/2006/relationships/hyperlink" Target="https://www.tescoplc.com/preliminary-results-202425/" TargetMode="External"/><Relationship Id="rId19" Type="http://schemas.openxmlformats.org/officeDocument/2006/relationships/hyperlink" Target="https://www.gov.uk/government/publications/competition-choice-and-rising-prices-in-groceries" TargetMode="External"/><Relationship Id="rId14" Type="http://schemas.openxmlformats.org/officeDocument/2006/relationships/hyperlink" Target="https://www.journalijar.com/article/52427/pestle-analysis/" TargetMode="External"/><Relationship Id="rId22" Type="http://schemas.openxmlformats.org/officeDocument/2006/relationships/hyperlink" Target="https://www.gov.uk/guidance/uk-sustainability-reporting-standards" TargetMode="External"/><Relationship Id="rId27" Type="http://schemas.openxmlformats.org/officeDocument/2006/relationships/hyperlink" Target="https://www.sciencedirect.com/science/article/pii/S0377221723004691" TargetMode="External"/><Relationship Id="rId30" Type="http://schemas.openxmlformats.org/officeDocument/2006/relationships/hyperlink" Target="https://www.ft.com/content/7008d6fc-6395-4511-8871-cd840a8eebb1" TargetMode="External"/><Relationship Id="rId35" Type="http://schemas.openxmlformats.org/officeDocument/2006/relationships/hyperlink" Target="https://journals.sagepub.com/doi/abs/10.1177/0149206309350775" TargetMode="External"/><Relationship Id="rId43" Type="http://schemas.openxmlformats.org/officeDocument/2006/relationships/hyperlink" Target="https://www.tandfonline.com/doi/full/10.1080/10580530.2021.1939200" TargetMode="External"/><Relationship Id="rId48" Type="http://schemas.openxmlformats.org/officeDocument/2006/relationships/hyperlink" Target="https://www.theguardian.com/business/2019/mar/05/long-read-aldi-discount-supermarket-changed-britain-shopping" TargetMode="External"/><Relationship Id="rId56" Type="http://schemas.openxmlformats.org/officeDocument/2006/relationships/hyperlink" Target="https://www.tescoplc.com/media/4u4mtwjc/tesco_impact_report.pdf" TargetMode="External"/><Relationship Id="rId64" Type="http://schemas.openxmlformats.org/officeDocument/2006/relationships/hyperlink" Target="https://www.tescoplc.com/investors/reports-results-and-presentations/annual-report-2025" TargetMode="External"/><Relationship Id="rId69" Type="http://schemas.openxmlformats.org/officeDocument/2006/relationships/hyperlink" Target="https://www.researchgate.net/profile/Ihsan-Yueksel/publication/274863692_Developing_a_Multi-Criteria_Decision_Making_Model_for_PESTEL_Analysis/links/569aaf1708ae6169e55dad01/Developing-a-Multi-Criteria-Decision-Making-Model-for-PESTEL-Analysis.pdf" TargetMode="External"/><Relationship Id="rId8" Type="http://schemas.openxmlformats.org/officeDocument/2006/relationships/hyperlink" Target="https://www.bcg.com/publications/2024/what-consumers-want-from-personalization" TargetMode="External"/><Relationship Id="rId51" Type="http://schemas.openxmlformats.org/officeDocument/2006/relationships/hyperlink" Target="https://hbr.org/2017/01/a-study-of-46000-shoppers-shows-that-omnichannel-retailing-works"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savills.co.uk/research_articles/229130/379213-0" TargetMode="External"/><Relationship Id="rId17" Type="http://schemas.openxmlformats.org/officeDocument/2006/relationships/hyperlink" Target="https://www.theguardian.com/business/2021/oct/19/tesco-takes-on-amazon-go-with-launch-of-just-walk-out-store" TargetMode="External"/><Relationship Id="rId25" Type="http://schemas.openxmlformats.org/officeDocument/2006/relationships/hyperlink" Target="https://reference-global.com/2/v2/download/pdf/10.2478/hjbpa-2024-0018" TargetMode="External"/><Relationship Id="rId33" Type="http://schemas.openxmlformats.org/officeDocument/2006/relationships/hyperlink" Target="https://www.kantar.com/uki/campaigns/grocery-market-share" TargetMode="External"/><Relationship Id="rId38" Type="http://schemas.openxmlformats.org/officeDocument/2006/relationships/hyperlink" Target="https://www.bcg.com/publications/2022/assessing-digital-value-gap" TargetMode="External"/><Relationship Id="rId46" Type="http://schemas.openxmlformats.org/officeDocument/2006/relationships/hyperlink" Target="https://hbr.org/2008/01/the-five-competitive-forces-that-shape-strategy" TargetMode="External"/><Relationship Id="rId59" Type="http://schemas.openxmlformats.org/officeDocument/2006/relationships/hyperlink" Target="https://www.tescoplc.com/investors/reports-results-and-presentations/annual-report-2024" TargetMode="External"/><Relationship Id="rId67" Type="http://schemas.openxmlformats.org/officeDocument/2006/relationships/hyperlink" Target="https://www.bbc.co.uk/news/magazine-23988795" TargetMode="External"/><Relationship Id="rId20" Type="http://schemas.openxmlformats.org/officeDocument/2006/relationships/hyperlink" Target="https://www.gov.uk/government/publications/cma-ai-strategic-update/cma-ai-strategic-update" TargetMode="External"/><Relationship Id="rId41" Type="http://schemas.openxmlformats.org/officeDocument/2006/relationships/hyperlink" Target="https://www.ons.gov.uk/economy/inflationandpriceindices/bulletins/onshouseholdexpendituredatainsightsintotheeffectsofcostsoflivingpressures/4december2023" TargetMode="External"/><Relationship Id="rId54" Type="http://schemas.openxmlformats.org/officeDocument/2006/relationships/hyperlink" Target="https://sms.onlinelibrary.wiley.com/doi/abs/10.1002/(SICI)1097-0266(199708)18:7%3C509::AID-SMJ882%3E3.0.CO;2-Z" TargetMode="External"/><Relationship Id="rId62" Type="http://schemas.openxmlformats.org/officeDocument/2006/relationships/hyperlink" Target="https://www.tescoplc.com/about/our-history"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ckinsey.com/industries/retail/our-insights/the-tech-transformation-imperative-in-retail" TargetMode="External"/><Relationship Id="rId23" Type="http://schemas.openxmlformats.org/officeDocument/2006/relationships/hyperlink" Target="https://www.gov.uk/government/statistics/united-kingdom-food-security-report-2024/united-kingdom-food-security-report-2024-theme-3-food-supply-chain-resilience" TargetMode="External"/><Relationship Id="rId28" Type="http://schemas.openxmlformats.org/officeDocument/2006/relationships/hyperlink" Target="https://www.researchgate.net/publication/348550277_A_Critical_Analysis_of_Porter's_5_Forces_Model_of_Competitive_Advantage" TargetMode="External"/><Relationship Id="rId36" Type="http://schemas.openxmlformats.org/officeDocument/2006/relationships/hyperlink" Target="https://www.retaileconomics.co.uk/retail-insights/thought-leadership-reports/ecommerce-delivery-benchmark-report-2024" TargetMode="External"/><Relationship Id="rId49" Type="http://schemas.openxmlformats.org/officeDocument/2006/relationships/hyperlink" Target="https://www.imd.org/research-knowledge/operations/case-studies/tesco-and-ocado-contrasting-online-grocery-supply-chain-models/" TargetMode="External"/><Relationship Id="rId57" Type="http://schemas.openxmlformats.org/officeDocument/2006/relationships/hyperlink" Target="https://www.tescoplc.com/tesco-launches-the-uk-s-largest-closed-loop-grocery-media-and-insight-platform-powered-by-dunnhumby/" TargetMode="External"/><Relationship Id="rId10" Type="http://schemas.openxmlformats.org/officeDocument/2006/relationships/hyperlink" Target="https://www.mckinsey.com/capabilities/operations/our-insights/redefine-the-omnichannel-approach-focus-on-what-truly-matters" TargetMode="External"/><Relationship Id="rId31" Type="http://schemas.openxmlformats.org/officeDocument/2006/relationships/hyperlink" Target="https://ico.org.uk/for-organisations/uk-gdpr-guidance-and-resources/accountability-and-governance/guide-to-accountability-and-governance/data-protection-by-design-and-default/" TargetMode="External"/><Relationship Id="rId44" Type="http://schemas.openxmlformats.org/officeDocument/2006/relationships/hyperlink" Target="https://www-jstor-org.ezproxy.uwtsd.ac.uk/stable/2486921?seq=2" TargetMode="External"/><Relationship Id="rId52" Type="http://schemas.openxmlformats.org/officeDocument/2006/relationships/hyperlink" Target="https://supermarketincomereit.com/wp-content/uploads/2025/09/Annual-Report-and-Accounts.pdf" TargetMode="External"/><Relationship Id="rId60" Type="http://schemas.openxmlformats.org/officeDocument/2006/relationships/hyperlink" Target="https://www.tescoplc.com/tesco-completes-sale-of-banking-operations-to-barclays-and-commences-long-term-strategic-partnership/" TargetMode="External"/><Relationship Id="rId65" Type="http://schemas.openxmlformats.org/officeDocument/2006/relationships/hyperlink" Target="https://www.sciencedirect.com/science/article/pii/S026323730800042X" TargetMode="External"/><Relationship Id="rId4" Type="http://schemas.openxmlformats.org/officeDocument/2006/relationships/webSettings" Target="webSettings.xml"/><Relationship Id="rId9" Type="http://schemas.openxmlformats.org/officeDocument/2006/relationships/hyperlink" Target="https://www.mckinsey.com/capabilities/operations/our-insights/supply-chains-to-build-resilience-manage-proactively" TargetMode="External"/><Relationship Id="rId13" Type="http://schemas.openxmlformats.org/officeDocument/2006/relationships/hyperlink" Target="http://diglib.globalcollege.edu.et:8080/xmlui/bitstream/handle/123456789/704/00483.pdf?sequence=1&amp;isAllowed=y" TargetMode="External"/><Relationship Id="rId18" Type="http://schemas.openxmlformats.org/officeDocument/2006/relationships/hyperlink" Target="https://www.theguardian.com/business/2025/oct/19/tesco-britain-biggest-retailer-dominates" TargetMode="External"/><Relationship Id="rId39" Type="http://schemas.openxmlformats.org/officeDocument/2006/relationships/hyperlink" Target="https://dspace.lib.cranfield.ac.uk/items/94bcdbb5-d528-48df-9fd1-5c723beea2b1" TargetMode="External"/><Relationship Id="rId34" Type="http://schemas.openxmlformats.org/officeDocument/2006/relationships/hyperlink" Target="https://www.blueoceanstrategy.com/" TargetMode="External"/><Relationship Id="rId50" Type="http://schemas.openxmlformats.org/officeDocument/2006/relationships/hyperlink" Target="https://www.sciencedirect.com/science/article/pii/S0969698917306380" TargetMode="External"/><Relationship Id="rId55" Type="http://schemas.openxmlformats.org/officeDocument/2006/relationships/hyperlink" Target="https://www.sciencedirect.com/science/article/pii/S00246301173028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9741</Words>
  <Characters>55525</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Thomas (2419388)</dc:creator>
  <cp:keywords/>
  <dc:description/>
  <cp:lastModifiedBy>Amy Thomas (2419388)</cp:lastModifiedBy>
  <cp:revision>2</cp:revision>
  <dcterms:created xsi:type="dcterms:W3CDTF">2025-12-11T21:21:00Z</dcterms:created>
  <dcterms:modified xsi:type="dcterms:W3CDTF">2025-12-11T21:21:00Z</dcterms:modified>
</cp:coreProperties>
</file>