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E5787A5" w14:textId="19E04E1B" w:rsidR="0010151A" w:rsidRPr="00F30375" w:rsidRDefault="006B0B05" w:rsidP="00F30375">
      <w:pPr>
        <w:spacing w:line="360" w:lineRule="auto"/>
        <w:rPr>
          <w:b/>
          <w:bCs/>
          <w:sz w:val="32"/>
          <w:szCs w:val="32"/>
        </w:rPr>
      </w:pPr>
      <w:r w:rsidRPr="00F30375">
        <w:rPr>
          <w:b/>
          <w:bCs/>
          <w:sz w:val="32"/>
          <w:szCs w:val="32"/>
        </w:rPr>
        <w:t>Case Study: Consider the provided scenario of an older person who is experiencing social exclusion in later life. Critically discuss historical and contemporary psychological explanations of potential cognitive, emotional and social effects of this social exclusion on continuing development and how negative effects might be ameliorated.</w:t>
      </w:r>
    </w:p>
    <w:p w14:paraId="0CD3E196" w14:textId="77777777" w:rsidR="000F1AFC" w:rsidRPr="005C600C" w:rsidRDefault="000F1AFC" w:rsidP="005C600C">
      <w:pPr>
        <w:spacing w:line="360" w:lineRule="auto"/>
        <w:ind w:firstLine="720"/>
      </w:pPr>
    </w:p>
    <w:p w14:paraId="0EDAD55D" w14:textId="77777777" w:rsidR="000F1AFC" w:rsidRPr="005C600C" w:rsidRDefault="000F1AFC" w:rsidP="005C600C">
      <w:pPr>
        <w:spacing w:line="360" w:lineRule="auto"/>
        <w:ind w:firstLine="720"/>
      </w:pPr>
    </w:p>
    <w:p w14:paraId="0C10EFA1" w14:textId="77777777" w:rsidR="000F1AFC" w:rsidRPr="005C600C" w:rsidRDefault="000F1AFC" w:rsidP="005C600C">
      <w:pPr>
        <w:spacing w:line="360" w:lineRule="auto"/>
        <w:ind w:firstLine="720"/>
      </w:pPr>
    </w:p>
    <w:p w14:paraId="37BA7963" w14:textId="77777777" w:rsidR="000F1AFC" w:rsidRPr="005C600C" w:rsidRDefault="000F1AFC" w:rsidP="005C600C">
      <w:pPr>
        <w:spacing w:line="360" w:lineRule="auto"/>
        <w:ind w:firstLine="720"/>
      </w:pPr>
    </w:p>
    <w:p w14:paraId="45623F6B" w14:textId="77777777" w:rsidR="000F1AFC" w:rsidRPr="005C600C" w:rsidRDefault="000F1AFC" w:rsidP="005C600C">
      <w:pPr>
        <w:spacing w:line="360" w:lineRule="auto"/>
        <w:ind w:firstLine="720"/>
      </w:pPr>
    </w:p>
    <w:p w14:paraId="4203C6D9" w14:textId="77777777" w:rsidR="000F1AFC" w:rsidRPr="005C600C" w:rsidRDefault="000F1AFC" w:rsidP="005C600C">
      <w:pPr>
        <w:spacing w:line="360" w:lineRule="auto"/>
        <w:ind w:firstLine="720"/>
      </w:pPr>
    </w:p>
    <w:p w14:paraId="10E4FB33" w14:textId="77777777" w:rsidR="000F1AFC" w:rsidRPr="005C600C" w:rsidRDefault="000F1AFC" w:rsidP="005C600C">
      <w:pPr>
        <w:spacing w:line="360" w:lineRule="auto"/>
        <w:ind w:firstLine="720"/>
      </w:pPr>
    </w:p>
    <w:p w14:paraId="0E119219" w14:textId="77777777" w:rsidR="000F1AFC" w:rsidRPr="005C600C" w:rsidRDefault="000F1AFC" w:rsidP="005C600C">
      <w:pPr>
        <w:spacing w:line="360" w:lineRule="auto"/>
        <w:ind w:firstLine="720"/>
      </w:pPr>
    </w:p>
    <w:p w14:paraId="5321B12E" w14:textId="77777777" w:rsidR="000F1AFC" w:rsidRPr="005C600C" w:rsidRDefault="000F1AFC" w:rsidP="005C600C">
      <w:pPr>
        <w:spacing w:line="360" w:lineRule="auto"/>
        <w:ind w:firstLine="720"/>
      </w:pPr>
    </w:p>
    <w:p w14:paraId="1720E9AD" w14:textId="77777777" w:rsidR="000F1AFC" w:rsidRPr="005C600C" w:rsidRDefault="000F1AFC" w:rsidP="005C600C">
      <w:pPr>
        <w:spacing w:line="360" w:lineRule="auto"/>
        <w:ind w:firstLine="720"/>
      </w:pPr>
    </w:p>
    <w:p w14:paraId="03130C6B" w14:textId="77777777" w:rsidR="000F1AFC" w:rsidRPr="005C600C" w:rsidRDefault="000F1AFC" w:rsidP="005C600C">
      <w:pPr>
        <w:spacing w:line="360" w:lineRule="auto"/>
        <w:ind w:firstLine="720"/>
      </w:pPr>
    </w:p>
    <w:p w14:paraId="26BE7A72" w14:textId="77777777" w:rsidR="000F1AFC" w:rsidRPr="005C600C" w:rsidRDefault="000F1AFC" w:rsidP="005C600C">
      <w:pPr>
        <w:spacing w:line="360" w:lineRule="auto"/>
        <w:ind w:firstLine="720"/>
      </w:pPr>
    </w:p>
    <w:p w14:paraId="77E1D260" w14:textId="77777777" w:rsidR="000F1AFC" w:rsidRPr="005C600C" w:rsidRDefault="000F1AFC" w:rsidP="005C600C">
      <w:pPr>
        <w:spacing w:line="360" w:lineRule="auto"/>
        <w:ind w:firstLine="720"/>
      </w:pPr>
    </w:p>
    <w:p w14:paraId="0C76D9B9" w14:textId="77777777" w:rsidR="000F1AFC" w:rsidRPr="005C600C" w:rsidRDefault="000F1AFC" w:rsidP="005C600C">
      <w:pPr>
        <w:spacing w:line="360" w:lineRule="auto"/>
        <w:ind w:firstLine="720"/>
      </w:pPr>
    </w:p>
    <w:p w14:paraId="7EDBBDCB" w14:textId="77777777" w:rsidR="00311AA2" w:rsidRDefault="00311AA2" w:rsidP="00311AA2">
      <w:pPr>
        <w:spacing w:line="360" w:lineRule="auto"/>
      </w:pPr>
    </w:p>
    <w:p w14:paraId="6F7662CD" w14:textId="77777777" w:rsidR="00F30375" w:rsidRPr="005C600C" w:rsidRDefault="00F30375" w:rsidP="00311AA2">
      <w:pPr>
        <w:spacing w:line="360" w:lineRule="auto"/>
      </w:pPr>
    </w:p>
    <w:p w14:paraId="66532191" w14:textId="45B84D0F" w:rsidR="00A11E9F" w:rsidRPr="005C600C" w:rsidRDefault="00310C9D" w:rsidP="005C600C">
      <w:pPr>
        <w:spacing w:line="360" w:lineRule="auto"/>
        <w:ind w:firstLine="720"/>
      </w:pPr>
      <w:r w:rsidRPr="005C600C">
        <w:lastRenderedPageBreak/>
        <w:t xml:space="preserve">This </w:t>
      </w:r>
      <w:r w:rsidR="00DC611F" w:rsidRPr="005C600C">
        <w:t xml:space="preserve">case study </w:t>
      </w:r>
      <w:r w:rsidR="0037064F" w:rsidRPr="005C600C">
        <w:t xml:space="preserve">delves </w:t>
      </w:r>
      <w:r w:rsidR="00051075" w:rsidRPr="005C600C">
        <w:t xml:space="preserve">into the life of Barbara, a retired teacher in her late seventies, who </w:t>
      </w:r>
      <w:r w:rsidR="0040389E" w:rsidRPr="005C600C">
        <w:t xml:space="preserve">resides on her own in a village following the passing of her spouse. Despite having a son who resides with his family afar, Barbara feels isolated and excluded from village life. While once a social and active individual, she </w:t>
      </w:r>
      <w:r w:rsidR="009147C8" w:rsidRPr="005C600C">
        <w:t>has ceased</w:t>
      </w:r>
      <w:r w:rsidR="0040389E" w:rsidRPr="005C600C">
        <w:t xml:space="preserve"> participating in her former hobbies</w:t>
      </w:r>
      <w:r w:rsidR="006E5E5E" w:rsidRPr="005C600C">
        <w:t>, like dancing and coach trips,</w:t>
      </w:r>
      <w:r w:rsidR="009147C8" w:rsidRPr="005C600C">
        <w:t xml:space="preserve"> since the </w:t>
      </w:r>
      <w:r w:rsidR="006E5E5E" w:rsidRPr="005C600C">
        <w:t>demise of her husband</w:t>
      </w:r>
      <w:r w:rsidR="0040389E" w:rsidRPr="005C600C">
        <w:t>. Nowadays, Barbara spends her days engrossed in gardening and reading at home. However, she yearns for the sense of community and companionship that the village once provided</w:t>
      </w:r>
      <w:r w:rsidR="00AA1F7A" w:rsidRPr="005C600C">
        <w:t>. T</w:t>
      </w:r>
      <w:r w:rsidR="000E3BE6" w:rsidRPr="005C600C">
        <w:t>his essa</w:t>
      </w:r>
      <w:r w:rsidR="00AA1F7A" w:rsidRPr="005C600C">
        <w:t>y will</w:t>
      </w:r>
      <w:r w:rsidR="000E3BE6" w:rsidRPr="005C600C">
        <w:t xml:space="preserve"> </w:t>
      </w:r>
      <w:r w:rsidR="00AA1F7A" w:rsidRPr="005C600C">
        <w:t>discuss</w:t>
      </w:r>
      <w:r w:rsidR="000E3BE6" w:rsidRPr="005C600C">
        <w:t xml:space="preserve"> the profound effects of social exclusion on an individual's cognitive, emotional, and social well-being</w:t>
      </w:r>
      <w:r w:rsidR="0096764F" w:rsidRPr="005C600C">
        <w:t xml:space="preserve"> </w:t>
      </w:r>
      <w:r w:rsidR="00465ECA" w:rsidRPr="005C600C">
        <w:t xml:space="preserve">throughout </w:t>
      </w:r>
      <w:r w:rsidR="004A146D" w:rsidRPr="005C600C">
        <w:t>their</w:t>
      </w:r>
      <w:r w:rsidR="00465ECA" w:rsidRPr="005C600C">
        <w:t xml:space="preserve"> </w:t>
      </w:r>
      <w:r w:rsidR="00296B0E" w:rsidRPr="005C600C">
        <w:t>lifetime</w:t>
      </w:r>
      <w:r w:rsidR="000E3BE6" w:rsidRPr="005C600C">
        <w:t>. The essay</w:t>
      </w:r>
      <w:r w:rsidR="00AA1F7A" w:rsidRPr="005C600C">
        <w:t xml:space="preserve"> will</w:t>
      </w:r>
      <w:r w:rsidR="000E3BE6" w:rsidRPr="005C600C">
        <w:t xml:space="preserve"> critically examine both historical and contemporary psychological explanations to gain insights into the complex interplay between social exclusion and its effects on </w:t>
      </w:r>
      <w:r w:rsidR="00966512" w:rsidRPr="005C600C">
        <w:t>individuals and explore</w:t>
      </w:r>
      <w:r w:rsidR="000E3BE6" w:rsidRPr="005C600C">
        <w:t xml:space="preserve"> different strategies to mitigate the negative consequences of social exclusion.</w:t>
      </w:r>
      <w:r w:rsidR="00403489" w:rsidRPr="005C600C">
        <w:t xml:space="preserve"> </w:t>
      </w:r>
      <w:r w:rsidR="00123B2E" w:rsidRPr="005C600C">
        <w:t>S</w:t>
      </w:r>
      <w:r w:rsidR="003A13C4" w:rsidRPr="005C600C">
        <w:t xml:space="preserve">ocial exclusion encompasses </w:t>
      </w:r>
      <w:r w:rsidR="00DD58E2" w:rsidRPr="005C600C">
        <w:t>many different</w:t>
      </w:r>
      <w:r w:rsidR="003A13C4" w:rsidRPr="005C600C">
        <w:t xml:space="preserve"> components</w:t>
      </w:r>
      <w:r w:rsidR="00A75E6C" w:rsidRPr="005C600C">
        <w:t>, and individuals can be excluded not just because of their current situation</w:t>
      </w:r>
      <w:r w:rsidR="001017B7" w:rsidRPr="005C600C">
        <w:t xml:space="preserve"> but also because of the limited opportunities that may be available to them in the future</w:t>
      </w:r>
      <w:r w:rsidR="002127D1" w:rsidRPr="005C600C">
        <w:t xml:space="preserve"> (Moffatt &amp; Glasgow, 2009)</w:t>
      </w:r>
      <w:r w:rsidR="001017B7" w:rsidRPr="005C600C">
        <w:t>.</w:t>
      </w:r>
      <w:r w:rsidR="00A11E9F" w:rsidRPr="005C600C">
        <w:t xml:space="preserve"> </w:t>
      </w:r>
      <w:r w:rsidR="00237590" w:rsidRPr="005C600C">
        <w:t>According to Burchardt et al. (1999),</w:t>
      </w:r>
      <w:r w:rsidR="00047039">
        <w:t xml:space="preserve"> </w:t>
      </w:r>
      <w:r w:rsidR="00237590" w:rsidRPr="005C600C">
        <w:t>social exclusion</w:t>
      </w:r>
      <w:r w:rsidR="00047039">
        <w:t xml:space="preserve"> can be characterised in four ways</w:t>
      </w:r>
      <w:r w:rsidR="00C5080C">
        <w:t>, b</w:t>
      </w:r>
      <w:r w:rsidR="00C5080C" w:rsidRPr="00C5080C">
        <w:t>eing unable to acquire goods and services, being excluded from socially or economically beneficial activities, not having a say in local or national decision-making, and feeling disconnected from one's community, loved ones, and acquaintance</w:t>
      </w:r>
      <w:r w:rsidR="00C5080C">
        <w:t>s.</w:t>
      </w:r>
    </w:p>
    <w:p w14:paraId="2745AEF1" w14:textId="7E7CA909" w:rsidR="00520EE6" w:rsidRPr="005C600C" w:rsidRDefault="00076279" w:rsidP="005C600C">
      <w:pPr>
        <w:spacing w:line="360" w:lineRule="auto"/>
        <w:ind w:firstLine="720"/>
      </w:pPr>
      <w:r w:rsidRPr="005C600C">
        <w:t xml:space="preserve">Positive social contact plays a vital role in promoting both psychological and physiological well-being. Individuals who experience social alienation or rejection are at an increased risk for a range of </w:t>
      </w:r>
      <w:r w:rsidR="00813CB0" w:rsidRPr="005C600C">
        <w:t>behavioural</w:t>
      </w:r>
      <w:r w:rsidRPr="005C600C">
        <w:t xml:space="preserve">, emotional, and physical health </w:t>
      </w:r>
      <w:r w:rsidR="006D21A6" w:rsidRPr="005C600C">
        <w:t>problems (Baumeister &amp; Leary, 1995)</w:t>
      </w:r>
      <w:r w:rsidRPr="005C600C">
        <w:t>. These findings suggest that human beings inherently possess a fundamental need for social belonging</w:t>
      </w:r>
      <w:r w:rsidR="006D21A6" w:rsidRPr="005C600C">
        <w:t>.</w:t>
      </w:r>
      <w:r w:rsidR="00BC59C8" w:rsidRPr="005C600C">
        <w:t xml:space="preserve"> </w:t>
      </w:r>
      <w:r w:rsidR="00845DAA" w:rsidRPr="005C600C">
        <w:t>Bowlby's attachment theory, which was introduced in 1969, provides a conceptual framework to comprehend social exclusion. The theory proposes that humans have an inherent desire for social connection, and when they experience social exclusion, they tend to seek solace and support from people they are attached to. As per this theory, social exclusion stimulates an individual's attachment system, prompting them to seek proximity to their attachment figures to alleviate their emotional pain.</w:t>
      </w:r>
      <w:r w:rsidR="001E6B3C" w:rsidRPr="005C600C">
        <w:t xml:space="preserve"> </w:t>
      </w:r>
      <w:r w:rsidR="005B25AB" w:rsidRPr="005C600C">
        <w:t xml:space="preserve">Hazan and Shaver </w:t>
      </w:r>
      <w:r w:rsidR="00DF581B" w:rsidRPr="005C600C">
        <w:t>(19</w:t>
      </w:r>
      <w:r w:rsidR="008851B3" w:rsidRPr="005C600C">
        <w:t xml:space="preserve">87) </w:t>
      </w:r>
      <w:r w:rsidR="005B25AB" w:rsidRPr="005C600C">
        <w:lastRenderedPageBreak/>
        <w:t xml:space="preserve">proposed that the </w:t>
      </w:r>
      <w:r w:rsidR="008851B3" w:rsidRPr="005C600C">
        <w:t>behavioural</w:t>
      </w:r>
      <w:r w:rsidR="005B25AB" w:rsidRPr="005C600C">
        <w:t xml:space="preserve"> patterns exhibited in the bond between infants and their caregivers can also be observed in romantic relationships. They noted that romantic </w:t>
      </w:r>
      <w:r w:rsidR="008851B3" w:rsidRPr="005C600C">
        <w:t>bond</w:t>
      </w:r>
      <w:r w:rsidR="005B25AB" w:rsidRPr="005C600C">
        <w:t xml:space="preserve"> entails many of the same </w:t>
      </w:r>
      <w:r w:rsidR="008851B3" w:rsidRPr="005C600C">
        <w:t>behavioural</w:t>
      </w:r>
      <w:r w:rsidR="005B25AB" w:rsidRPr="005C600C">
        <w:t xml:space="preserve"> patterns as the bond between infants and their caregivers. For example, both adults and infants feel a sense of safety and security when in the presence of the other person, and experience discomfort and unease when the other person is absent. </w:t>
      </w:r>
      <w:r w:rsidR="00915F33" w:rsidRPr="005C600C">
        <w:t>Markiewicz et al. (2006) propose that a</w:t>
      </w:r>
      <w:r w:rsidR="000A3208" w:rsidRPr="005C600C">
        <w:t xml:space="preserve">n optimal attachment figure serves two crucial purposes. Firstly, in times of non-distress, the attachment figure provides a secure base to explore the surroundings with the assurance that they will offer support in case of any danger. Secondly, in moments of distress, the attachment figure acts as </w:t>
      </w:r>
      <w:r w:rsidR="00800FF1" w:rsidRPr="005C600C">
        <w:t>a haven</w:t>
      </w:r>
      <w:r w:rsidR="000A3208" w:rsidRPr="005C600C">
        <w:t>, offering comfort and security to alleviate the distress. During childhood, primary caregivers usually play the role of attachment figures, but as adolescents mature, the responsibility of being the primary attachment figure transitions to peers, including close friends and romantic partners.</w:t>
      </w:r>
      <w:r w:rsidR="00C81E0F" w:rsidRPr="005C600C">
        <w:t xml:space="preserve"> </w:t>
      </w:r>
    </w:p>
    <w:p w14:paraId="7AF44FB7" w14:textId="03524197" w:rsidR="004162F2" w:rsidRPr="005C600C" w:rsidRDefault="00EF3B1F" w:rsidP="005C600C">
      <w:pPr>
        <w:spacing w:line="360" w:lineRule="auto"/>
        <w:ind w:firstLine="720"/>
      </w:pPr>
      <w:r w:rsidRPr="005C600C">
        <w:t xml:space="preserve">Piaget's Theory of Cognitive Development </w:t>
      </w:r>
      <w:r w:rsidR="000B7D3A" w:rsidRPr="005C600C">
        <w:t xml:space="preserve">(1964) </w:t>
      </w:r>
      <w:r w:rsidRPr="005C600C">
        <w:t>emphasi</w:t>
      </w:r>
      <w:r w:rsidR="000B7D3A" w:rsidRPr="005C600C">
        <w:t>s</w:t>
      </w:r>
      <w:r w:rsidRPr="005C600C">
        <w:t xml:space="preserve">es the significance of social interaction and experiences in shaping cognition. According to Piaget, interactions with others, especially in social environments, play a crucial role in </w:t>
      </w:r>
      <w:r w:rsidR="00F93ABC">
        <w:t>shaping how and</w:t>
      </w:r>
      <w:r w:rsidRPr="005C600C">
        <w:t xml:space="preserve"> an individual understand</w:t>
      </w:r>
      <w:r w:rsidR="00F93ABC">
        <w:t>s the world around him</w:t>
      </w:r>
      <w:r w:rsidR="00E01448">
        <w:t>.</w:t>
      </w:r>
      <w:r w:rsidRPr="005C600C">
        <w:t xml:space="preserve"> Social exclusion or isolation can limit opportunities for meaningful social interactions, potentially impacting cognitive development, particularly in older adults.</w:t>
      </w:r>
      <w:r w:rsidR="000B7D3A" w:rsidRPr="005C600C">
        <w:t xml:space="preserve"> </w:t>
      </w:r>
      <w:r w:rsidR="00FE5CF8" w:rsidRPr="005C600C">
        <w:t>Papalia and Bielby (1974) examine</w:t>
      </w:r>
      <w:r w:rsidR="000B7D3A" w:rsidRPr="005C600C">
        <w:t>d</w:t>
      </w:r>
      <w:r w:rsidR="00FE5CF8" w:rsidRPr="005C600C">
        <w:t xml:space="preserve"> how social isolation can affect the cognitive abilities of older adults. They propose</w:t>
      </w:r>
      <w:r w:rsidR="00F76F3E" w:rsidRPr="005C600C">
        <w:t>d</w:t>
      </w:r>
      <w:r w:rsidR="00FE5CF8" w:rsidRPr="005C600C">
        <w:t xml:space="preserve"> that reduced social interaction might lead to decreased performance in elderly individuals. Additionally, a study conducted by Rubin </w:t>
      </w:r>
      <w:r w:rsidR="00C54314" w:rsidRPr="005C600C">
        <w:t>(</w:t>
      </w:r>
      <w:r w:rsidR="00FE5CF8" w:rsidRPr="005C600C">
        <w:t>1973</w:t>
      </w:r>
      <w:r w:rsidR="00C54314" w:rsidRPr="005C600C">
        <w:t>)</w:t>
      </w:r>
      <w:r w:rsidR="00FE5CF8" w:rsidRPr="005C600C">
        <w:t xml:space="preserve"> discovered that elderly individuals living in institutions, who are likely to have limited social interaction, displayed poorer task performance compared to elderly individuals living outside institutions. Moreover, the authors suggest that </w:t>
      </w:r>
      <w:r w:rsidR="00C54314" w:rsidRPr="005C600C">
        <w:t>more significant</w:t>
      </w:r>
      <w:r w:rsidR="00FE5CF8" w:rsidRPr="005C600C">
        <w:t xml:space="preserve"> social interaction can impact the development of decentration skills, which are crucial for cognitive growth.</w:t>
      </w:r>
    </w:p>
    <w:p w14:paraId="637E255B" w14:textId="3E459035" w:rsidR="00914604" w:rsidRDefault="00914604" w:rsidP="005C600C">
      <w:pPr>
        <w:spacing w:line="360" w:lineRule="auto"/>
        <w:ind w:firstLine="720"/>
      </w:pPr>
      <w:r w:rsidRPr="00914604">
        <w:t>Eisenberger et al. (2003)</w:t>
      </w:r>
      <w:r w:rsidRPr="005C600C">
        <w:t xml:space="preserve"> </w:t>
      </w:r>
      <w:r w:rsidR="00D14615" w:rsidRPr="005C600C">
        <w:t xml:space="preserve">investigated the effects of social exclusion on </w:t>
      </w:r>
      <w:r w:rsidR="0042774A" w:rsidRPr="005C600C">
        <w:t xml:space="preserve">the brain </w:t>
      </w:r>
      <w:r w:rsidR="00B11D8E" w:rsidRPr="005C600C">
        <w:t>using functional</w:t>
      </w:r>
      <w:r w:rsidR="0033121A" w:rsidRPr="005C600C">
        <w:t xml:space="preserve"> magnetic resonance imaging (fMRI) </w:t>
      </w:r>
      <w:r w:rsidR="00B11D8E" w:rsidRPr="005C600C">
        <w:t xml:space="preserve">and found that </w:t>
      </w:r>
      <w:r w:rsidR="00360DAA" w:rsidRPr="005C600C">
        <w:t xml:space="preserve">the brain regions associated with pain were activated </w:t>
      </w:r>
      <w:r w:rsidR="006865D9" w:rsidRPr="005C600C">
        <w:t xml:space="preserve">during the study </w:t>
      </w:r>
      <w:r w:rsidR="00924048" w:rsidRPr="005C600C">
        <w:t xml:space="preserve">playing a </w:t>
      </w:r>
      <w:r w:rsidR="00C076A4" w:rsidRPr="005C600C">
        <w:t>virtual game in which participants tossed a ball,</w:t>
      </w:r>
      <w:r w:rsidR="00B47836" w:rsidRPr="005C600C">
        <w:t xml:space="preserve"> but some participants were excluded</w:t>
      </w:r>
      <w:r w:rsidR="00A16590" w:rsidRPr="005C600C">
        <w:t>,</w:t>
      </w:r>
      <w:r w:rsidR="00B47836" w:rsidRPr="005C600C">
        <w:t xml:space="preserve"> and their </w:t>
      </w:r>
      <w:r w:rsidR="00C77A2E" w:rsidRPr="005C600C">
        <w:t xml:space="preserve">reactions </w:t>
      </w:r>
      <w:r w:rsidR="00C77A2E" w:rsidRPr="005C600C">
        <w:lastRenderedPageBreak/>
        <w:t>were recorded.</w:t>
      </w:r>
      <w:r w:rsidR="000D5CB6">
        <w:t xml:space="preserve"> This </w:t>
      </w:r>
      <w:r w:rsidR="002F3761">
        <w:t>supports</w:t>
      </w:r>
      <w:r w:rsidR="006865D9" w:rsidRPr="005C600C">
        <w:t xml:space="preserve"> the concept of social pain</w:t>
      </w:r>
      <w:r w:rsidR="00A16590" w:rsidRPr="005C600C">
        <w:t xml:space="preserve">, that social exclusion elicits distressing feelings </w:t>
      </w:r>
      <w:proofErr w:type="gramStart"/>
      <w:r w:rsidR="005E1162" w:rsidRPr="005C600C">
        <w:t>similar to</w:t>
      </w:r>
      <w:proofErr w:type="gramEnd"/>
      <w:r w:rsidR="005E1162" w:rsidRPr="005C600C">
        <w:t xml:space="preserve"> enduring physical harm</w:t>
      </w:r>
      <w:r w:rsidR="00367DEC">
        <w:t xml:space="preserve"> </w:t>
      </w:r>
      <w:r w:rsidR="00427720">
        <w:t>(</w:t>
      </w:r>
      <w:r w:rsidR="00427720" w:rsidRPr="00427720">
        <w:t>MacDonald &amp; Leary, 200</w:t>
      </w:r>
      <w:r w:rsidR="00427720">
        <w:t>5)</w:t>
      </w:r>
      <w:r w:rsidR="004519E7" w:rsidRPr="005C600C">
        <w:t xml:space="preserve">. </w:t>
      </w:r>
    </w:p>
    <w:p w14:paraId="6259C3F2" w14:textId="421BFC5A" w:rsidR="00367DEC" w:rsidRPr="00BF0AD7" w:rsidRDefault="00B82D6A" w:rsidP="00BF0AD7">
      <w:pPr>
        <w:spacing w:line="360" w:lineRule="auto"/>
        <w:ind w:firstLine="720"/>
        <w:rPr>
          <w:color w:val="FF0000"/>
        </w:rPr>
      </w:pPr>
      <w:r w:rsidRPr="00B82D6A">
        <w:t xml:space="preserve">Chronic expectations of exclusion may arise in individuals who experience prolonged periods of social isolation or exclusion. This persistent sense of anticipation regarding future exclusion can have </w:t>
      </w:r>
      <w:r w:rsidR="00314B91" w:rsidRPr="00B82D6A">
        <w:t>damaging</w:t>
      </w:r>
      <w:r w:rsidRPr="00B82D6A">
        <w:t xml:space="preserve"> effects on one's mental state, leading to anxiety, depression, and decreased self-esteem</w:t>
      </w:r>
      <w:r>
        <w:t xml:space="preserve"> </w:t>
      </w:r>
      <w:r w:rsidRPr="00367DEC">
        <w:t>(Mendoza-Denton et al., 2002)</w:t>
      </w:r>
      <w:r w:rsidRPr="00B82D6A">
        <w:t xml:space="preserve">. It is imperative to address these feelings and establish healthy social connections to mitigate the negative impacts of chronic exclusion. </w:t>
      </w:r>
      <w:r w:rsidR="006C1D0A" w:rsidRPr="006C1D0A">
        <w:t>Individuals who hold high expectations of acceptance are at an increased risk for experiencing depression, low self-esteem, and negative affect compared to those who anticipate acceptance</w:t>
      </w:r>
      <w:r w:rsidR="001F595D">
        <w:t xml:space="preserve"> </w:t>
      </w:r>
      <w:r w:rsidR="004819F2" w:rsidRPr="0096282E">
        <w:t>(</w:t>
      </w:r>
      <w:r w:rsidR="00367DEC" w:rsidRPr="0096282E">
        <w:t>Mendoza-Denton et al., 2002).</w:t>
      </w:r>
      <w:r w:rsidR="00D350DA">
        <w:t xml:space="preserve"> According to </w:t>
      </w:r>
      <w:r w:rsidR="00D350DA" w:rsidRPr="004453DF">
        <w:t>Hortulanus et al.</w:t>
      </w:r>
      <w:r w:rsidR="006C03B0">
        <w:t xml:space="preserve"> (</w:t>
      </w:r>
      <w:r w:rsidR="00D350DA" w:rsidRPr="004453DF">
        <w:t>200</w:t>
      </w:r>
      <w:r w:rsidR="00D350DA">
        <w:t>6)</w:t>
      </w:r>
      <w:r w:rsidR="006C03B0">
        <w:t>,</w:t>
      </w:r>
      <w:r w:rsidR="00F4079A" w:rsidRPr="00F4079A">
        <w:t xml:space="preserve"> individuals who experience marginali</w:t>
      </w:r>
      <w:r w:rsidR="006C03B0">
        <w:t>s</w:t>
      </w:r>
      <w:r w:rsidR="00F4079A" w:rsidRPr="00F4079A">
        <w:t>ation often face significant barriers to social inclusion, leading to feelings of exclusion and isolation. As a result, these individuals may struggle with a lack of self-assurance and motivation to form new social connections, as they may feel like they do</w:t>
      </w:r>
      <w:r w:rsidR="006C03B0">
        <w:t xml:space="preserve"> not </w:t>
      </w:r>
      <w:r w:rsidR="00F4079A" w:rsidRPr="00F4079A">
        <w:t>belong. Additionally, they may also experience feelings of self-blame for their situation, which can further exacerbate their feelings of marginali</w:t>
      </w:r>
      <w:r w:rsidR="001905E6">
        <w:t>s</w:t>
      </w:r>
      <w:r w:rsidR="00F4079A" w:rsidRPr="00F4079A">
        <w:t>ation.</w:t>
      </w:r>
      <w:r w:rsidR="00F4079A" w:rsidRPr="00F4079A">
        <w:t xml:space="preserve"> </w:t>
      </w:r>
    </w:p>
    <w:p w14:paraId="51AA2DF8" w14:textId="20D79227" w:rsidR="00DD3614" w:rsidRPr="005C600C" w:rsidRDefault="0074265C" w:rsidP="005C600C">
      <w:pPr>
        <w:spacing w:line="360" w:lineRule="auto"/>
        <w:ind w:firstLine="720"/>
      </w:pPr>
      <w:r w:rsidRPr="005C600C">
        <w:t xml:space="preserve">This essay will </w:t>
      </w:r>
      <w:r w:rsidR="00295C02" w:rsidRPr="005C600C">
        <w:t xml:space="preserve">further discuss the effects of social exclusion on </w:t>
      </w:r>
      <w:r w:rsidR="00C24462" w:rsidRPr="005C600C">
        <w:t>cognition, emotion</w:t>
      </w:r>
      <w:r w:rsidR="00367DEC">
        <w:t>, and social aspects in Barbara's case study</w:t>
      </w:r>
      <w:r w:rsidR="00C84013" w:rsidRPr="005C600C">
        <w:t xml:space="preserve"> and </w:t>
      </w:r>
      <w:r w:rsidR="004E4CEF" w:rsidRPr="005C600C">
        <w:t>explore some interventions to ameliorate the negative effects.</w:t>
      </w:r>
    </w:p>
    <w:p w14:paraId="2E4493F4" w14:textId="70F5F034" w:rsidR="00B520F4" w:rsidRPr="005C600C" w:rsidRDefault="00B520F4" w:rsidP="005C600C">
      <w:pPr>
        <w:spacing w:line="360" w:lineRule="auto"/>
        <w:rPr>
          <w:b/>
          <w:bCs/>
        </w:rPr>
      </w:pPr>
      <w:r w:rsidRPr="005C600C">
        <w:rPr>
          <w:b/>
          <w:bCs/>
        </w:rPr>
        <w:t>Cognition</w:t>
      </w:r>
    </w:p>
    <w:p w14:paraId="23B305AA" w14:textId="77777777" w:rsidR="00554BCC" w:rsidRPr="005C600C" w:rsidRDefault="00FA4346" w:rsidP="005C600C">
      <w:pPr>
        <w:spacing w:line="360" w:lineRule="auto"/>
        <w:ind w:firstLine="720"/>
        <w:rPr>
          <w:rFonts w:cs="Segoe UI"/>
          <w:shd w:val="clear" w:color="auto" w:fill="F9F9FE"/>
        </w:rPr>
      </w:pPr>
      <w:r w:rsidRPr="005C600C">
        <w:rPr>
          <w:rFonts w:cs="Segoe UI"/>
          <w:shd w:val="clear" w:color="auto" w:fill="F9F9FE"/>
        </w:rPr>
        <w:t>Barbara's social cognition can be negatively impacted by social exclusion, which may hinder her ability to comprehend and interpret social cues and emotions. This, in turn, may lead to a decrease in social engagement and empathy due to reduced social interactions and connections. Barbara may find it challenging to engage in social interactions, interpret others' intentions, and maintain social relationships. As a result, her social cognitive abilities may be significantly affected.</w:t>
      </w:r>
    </w:p>
    <w:p w14:paraId="1B33D4E9" w14:textId="718F4519" w:rsidR="005C600C" w:rsidRPr="00683A8C" w:rsidRDefault="00745086" w:rsidP="00683A8C">
      <w:pPr>
        <w:spacing w:line="360" w:lineRule="auto"/>
        <w:ind w:firstLine="720"/>
      </w:pPr>
      <w:r w:rsidRPr="005C600C">
        <w:t xml:space="preserve">Baumeister et al. (2002) conducted a study to </w:t>
      </w:r>
      <w:r w:rsidR="00776D61" w:rsidRPr="005C600C">
        <w:t xml:space="preserve">assess </w:t>
      </w:r>
      <w:r w:rsidR="00395E4C" w:rsidRPr="005C600C">
        <w:t xml:space="preserve">the impact of social exclusion on cognitive abilities in participants using cognitive tasks that evaluated logic, reasoning, and problem-solving skills. They measured cognitive performance by administering IQ tests, Graduate Record Examination evaluations, and reading </w:t>
      </w:r>
      <w:r w:rsidR="00395E4C" w:rsidRPr="005C600C">
        <w:lastRenderedPageBreak/>
        <w:t xml:space="preserve">comprehension tests of varying difficulty levels. </w:t>
      </w:r>
      <w:r w:rsidR="000643C1" w:rsidRPr="005C600C">
        <w:t>According to</w:t>
      </w:r>
      <w:r w:rsidR="00683A8C">
        <w:t xml:space="preserve"> the</w:t>
      </w:r>
      <w:r w:rsidR="000643C1" w:rsidRPr="005C600C">
        <w:t xml:space="preserve"> three studies, cognitive abilities </w:t>
      </w:r>
      <w:r w:rsidR="001905B6" w:rsidRPr="005C600C">
        <w:t xml:space="preserve">might be </w:t>
      </w:r>
      <w:r w:rsidR="000643C1" w:rsidRPr="005C600C">
        <w:t xml:space="preserve">hindered by social exclusion. The impairments specifically impact tasks that involve logic and reasoning, while simple information processing remains unaffected. These findings underscore the crucial role that social </w:t>
      </w:r>
      <w:r w:rsidR="001905B6" w:rsidRPr="005C600C">
        <w:t>exclusion plays</w:t>
      </w:r>
      <w:r w:rsidR="000643C1" w:rsidRPr="005C600C">
        <w:t xml:space="preserve"> in cognitive functioning.</w:t>
      </w:r>
    </w:p>
    <w:p w14:paraId="635212EB" w14:textId="1A571E58" w:rsidR="005C600C" w:rsidRDefault="00E72A2E" w:rsidP="005C600C">
      <w:pPr>
        <w:spacing w:line="360" w:lineRule="auto"/>
        <w:rPr>
          <w:b/>
          <w:bCs/>
        </w:rPr>
      </w:pPr>
      <w:r w:rsidRPr="005C600C">
        <w:rPr>
          <w:b/>
          <w:bCs/>
        </w:rPr>
        <w:t>Emotional</w:t>
      </w:r>
    </w:p>
    <w:p w14:paraId="3C139951" w14:textId="6FA9E20D" w:rsidR="00A9775B" w:rsidRPr="005C600C" w:rsidRDefault="002B27AC" w:rsidP="005C600C">
      <w:pPr>
        <w:spacing w:line="360" w:lineRule="auto"/>
        <w:ind w:firstLine="720"/>
        <w:rPr>
          <w:rFonts w:cs="Segoe UI"/>
          <w:shd w:val="clear" w:color="auto" w:fill="F9F9FE"/>
        </w:rPr>
      </w:pPr>
      <w:r w:rsidRPr="005C600C">
        <w:rPr>
          <w:rFonts w:cs="Segoe UI"/>
          <w:shd w:val="clear" w:color="auto" w:fill="F9F9FE"/>
        </w:rPr>
        <w:t>Barbara is currently facing social exclusion in her later years due to the loss of her husband and social connections in her village. This has resulted in emotional difficulties such as loneliness, isolation, and a feeling of being left out of community life. The absence of social support, reduced interactions with others, and lack of meaningful relationships have been detrimental to her emotional well-being, causing her to experience distress, vulnerability, and a diminished sense of purpose and belonging.</w:t>
      </w:r>
    </w:p>
    <w:p w14:paraId="5BF75F91" w14:textId="77C4C381" w:rsidR="002068C1" w:rsidRPr="005C600C" w:rsidRDefault="002068C1" w:rsidP="005C600C">
      <w:pPr>
        <w:spacing w:line="360" w:lineRule="auto"/>
        <w:ind w:firstLine="720"/>
      </w:pPr>
      <w:r w:rsidRPr="005C600C">
        <w:t>Research has shown that loneliness can have adverse effects on both the quality and duration of sleep. Those who experience loneliness tend to have lower sleep efficiency, meaning they spend less time asleep, and more time awake after falling asleep compared to those who do not feel lonely. Furthermore, young adults who feel lonely may experience poor sleep quality, which can make it challenging to fall asleep and lead to daytime sleepiness and dysfunction. These effects are consistent across various age groups, underscoring the importance of social connectedness for a good night's sleep (Cacioppo et al., 2003).</w:t>
      </w:r>
      <w:r w:rsidR="008C34FE" w:rsidRPr="005C600C">
        <w:t xml:space="preserve"> Barbara has </w:t>
      </w:r>
      <w:r w:rsidR="00F83039" w:rsidRPr="005C600C">
        <w:t>disrupted sleep</w:t>
      </w:r>
      <w:r w:rsidR="009559C9" w:rsidRPr="005C600C">
        <w:t xml:space="preserve"> patterns</w:t>
      </w:r>
      <w:r w:rsidR="00D269F0" w:rsidRPr="005C600C">
        <w:t xml:space="preserve"> and feeling tired</w:t>
      </w:r>
      <w:r w:rsidR="009559C9" w:rsidRPr="005C600C">
        <w:t xml:space="preserve"> which could be an emotional effect of </w:t>
      </w:r>
      <w:r w:rsidR="00EE54C6" w:rsidRPr="005C600C">
        <w:t xml:space="preserve">loneliness. </w:t>
      </w:r>
    </w:p>
    <w:p w14:paraId="3A28DF92" w14:textId="77777777" w:rsidR="00554BCC" w:rsidRPr="005C600C" w:rsidRDefault="00554BCC" w:rsidP="005C600C">
      <w:pPr>
        <w:spacing w:line="360" w:lineRule="auto"/>
        <w:ind w:firstLine="720"/>
      </w:pPr>
      <w:r w:rsidRPr="005C600C">
        <w:t xml:space="preserve">A study conducted by Feeney and Kirkpatrick (1996) examined how attachment relationships could potentially influence our brain's response to social exclusion. Participants engaged in a computer game while their brain activity was monitored by brain imaging. The results demonstrated that individuals tend to feel more attached to specific individuals than others. When the participants experienced feelings of exclusion, their brain activity displayed changes in various regions of the brain. The study also delved into how attachment impacts brain activity, emotional responses, and attachment itself, and the findings indicated that attachment relationships could </w:t>
      </w:r>
      <w:r w:rsidRPr="005C600C">
        <w:lastRenderedPageBreak/>
        <w:t>serve as a valuable means of coping with stress and as a crucial support system when dealing with challenging situations.</w:t>
      </w:r>
    </w:p>
    <w:p w14:paraId="3EB76673" w14:textId="77777777" w:rsidR="00BF0AD7" w:rsidRDefault="00BF0AD7" w:rsidP="005C600C">
      <w:pPr>
        <w:spacing w:line="360" w:lineRule="auto"/>
        <w:rPr>
          <w:b/>
          <w:bCs/>
        </w:rPr>
      </w:pPr>
    </w:p>
    <w:p w14:paraId="619C2333" w14:textId="286ED393" w:rsidR="00E72A2E" w:rsidRPr="005C600C" w:rsidRDefault="00E72A2E" w:rsidP="005C600C">
      <w:pPr>
        <w:spacing w:line="360" w:lineRule="auto"/>
        <w:rPr>
          <w:b/>
          <w:bCs/>
        </w:rPr>
      </w:pPr>
      <w:r w:rsidRPr="005C600C">
        <w:rPr>
          <w:b/>
          <w:bCs/>
        </w:rPr>
        <w:t>Social</w:t>
      </w:r>
    </w:p>
    <w:p w14:paraId="5B29381E" w14:textId="25D774D9" w:rsidR="00B520F4" w:rsidRPr="005C600C" w:rsidRDefault="00372B30" w:rsidP="005C600C">
      <w:pPr>
        <w:spacing w:line="360" w:lineRule="auto"/>
        <w:ind w:firstLine="720"/>
        <w:rPr>
          <w:rFonts w:cs="Segoe UI"/>
          <w:shd w:val="clear" w:color="auto" w:fill="F9F9FE"/>
        </w:rPr>
      </w:pPr>
      <w:r w:rsidRPr="005C600C">
        <w:rPr>
          <w:rFonts w:cs="Segoe UI"/>
          <w:shd w:val="clear" w:color="auto" w:fill="F9F9FE"/>
        </w:rPr>
        <w:t>Barbara's mental and emotional state is negatively impacted by being excluded from social activities, which leads to several adverse effects on her social life. This situation results in a decrease in social connections, a scarcity of meaningful interactions, and feelings of loneliness, which ultimately lead to a sense of detachment from her community. The decrease in social support and engagement results in limited opportunities for social participation and connection, which affects her social well-being. These effects include reduced social integration, a decline in social networks, and a loss of community involvement, all of which contribute to a sense of alienation, loss of identity, and overall decreased social functioning.</w:t>
      </w:r>
    </w:p>
    <w:p w14:paraId="014B83E1" w14:textId="25882BA1" w:rsidR="00CA4266" w:rsidRPr="005C600C" w:rsidRDefault="00E77965" w:rsidP="005C600C">
      <w:pPr>
        <w:spacing w:line="360" w:lineRule="auto"/>
        <w:ind w:firstLine="720"/>
      </w:pPr>
      <w:r w:rsidRPr="005C600C">
        <w:t xml:space="preserve">Social Identity Theory </w:t>
      </w:r>
      <w:r w:rsidR="0076480F" w:rsidRPr="005C600C">
        <w:t>(Tajfel, 1978</w:t>
      </w:r>
      <w:r w:rsidR="00C36429">
        <w:t>;</w:t>
      </w:r>
      <w:r w:rsidR="0076480F" w:rsidRPr="005C600C">
        <w:t xml:space="preserve"> Tajfel &amp; Turner, 1979) </w:t>
      </w:r>
      <w:r w:rsidRPr="005C600C">
        <w:t xml:space="preserve">is a widely studied theory in social psychology that posits </w:t>
      </w:r>
      <w:r w:rsidR="007E7F9D" w:rsidRPr="005C600C">
        <w:t xml:space="preserve">that </w:t>
      </w:r>
      <w:r w:rsidRPr="005C600C">
        <w:t>individuals naturally categori</w:t>
      </w:r>
      <w:r w:rsidR="0076480F" w:rsidRPr="005C600C">
        <w:t>s</w:t>
      </w:r>
      <w:r w:rsidRPr="005C600C">
        <w:t>e themselves into different groups and assess the significance of these groups. Moreover, individuals compare the value of their in-group to that of out-groups to determine their personal worth. An individual's social identity is shaped by the</w:t>
      </w:r>
      <w:r w:rsidR="006823F9">
        <w:t xml:space="preserve"> way they </w:t>
      </w:r>
      <w:r w:rsidR="009060B9">
        <w:t>categorise</w:t>
      </w:r>
      <w:r w:rsidR="006823F9">
        <w:t xml:space="preserve"> themselves socially</w:t>
      </w:r>
      <w:r w:rsidRPr="005C600C">
        <w:t xml:space="preserve">, </w:t>
      </w:r>
      <w:r w:rsidR="009060B9">
        <w:t xml:space="preserve">the </w:t>
      </w:r>
      <w:r w:rsidRPr="005C600C">
        <w:t>evaluation</w:t>
      </w:r>
      <w:r w:rsidR="009060B9">
        <w:t xml:space="preserve"> of the group they belong to</w:t>
      </w:r>
      <w:r w:rsidRPr="005C600C">
        <w:t xml:space="preserve">, and the value of group memberships for their self-concept. </w:t>
      </w:r>
      <w:r w:rsidR="00E65B14" w:rsidRPr="005C600C">
        <w:t>In Barb</w:t>
      </w:r>
      <w:r w:rsidR="00331DCE" w:rsidRPr="005C600C">
        <w:t>a</w:t>
      </w:r>
      <w:r w:rsidR="00E65B14" w:rsidRPr="005C600C">
        <w:t>ra</w:t>
      </w:r>
      <w:r w:rsidR="009167CD" w:rsidRPr="005C600C">
        <w:t>’s case</w:t>
      </w:r>
      <w:r w:rsidR="008142A1" w:rsidRPr="005C600C">
        <w:t xml:space="preserve">, her </w:t>
      </w:r>
      <w:r w:rsidR="009167CD" w:rsidRPr="005C600C">
        <w:t xml:space="preserve">social identity might have been tied to her </w:t>
      </w:r>
      <w:r w:rsidR="00B7030E" w:rsidRPr="005C600C">
        <w:t>role within the community</w:t>
      </w:r>
      <w:r w:rsidR="00CD022D" w:rsidRPr="005C600C">
        <w:t xml:space="preserve">. </w:t>
      </w:r>
      <w:r w:rsidR="008142A1" w:rsidRPr="005C600C">
        <w:t xml:space="preserve">Barbara was a teacher in the past and had built a strong bond with the families of her students. However, since her retirement and the fact that the children she used to teach have grown up and moved on with their lives, she has lost touch with that group. With the arrival of new families in her village, she has not been able to make new friends. </w:t>
      </w:r>
    </w:p>
    <w:p w14:paraId="5E3FE36A" w14:textId="0E650FBB" w:rsidR="00D828C0" w:rsidRDefault="00F120EC" w:rsidP="00367DEC">
      <w:pPr>
        <w:spacing w:line="360" w:lineRule="auto"/>
        <w:ind w:firstLine="720"/>
      </w:pPr>
      <w:r w:rsidRPr="005C600C">
        <w:t xml:space="preserve">Various strategies can be implemented to mitigate the </w:t>
      </w:r>
      <w:r w:rsidR="00E75297">
        <w:t>adverse</w:t>
      </w:r>
      <w:r w:rsidRPr="005C600C">
        <w:t xml:space="preserve"> cognitive, social, and emotional effects of social exclusion, promoting cognitive well-being and building resilience among individuals who experience loneliness and social isolation in later life.</w:t>
      </w:r>
      <w:r w:rsidR="00367DEC">
        <w:t xml:space="preserve"> </w:t>
      </w:r>
      <w:r w:rsidR="007D31D7" w:rsidRPr="007D31D7">
        <w:t>Cotterell et al. (2018)</w:t>
      </w:r>
      <w:r w:rsidR="00892C77" w:rsidRPr="005C600C">
        <w:t xml:space="preserve"> </w:t>
      </w:r>
      <w:r w:rsidR="00405B33" w:rsidRPr="005C600C">
        <w:t>found that o</w:t>
      </w:r>
      <w:r w:rsidR="00892C77" w:rsidRPr="005C600C">
        <w:t>ne-to-one interventions</w:t>
      </w:r>
      <w:r w:rsidR="00405B33" w:rsidRPr="005C600C">
        <w:t xml:space="preserve"> were beneficial </w:t>
      </w:r>
      <w:r w:rsidR="008F152A" w:rsidRPr="005C600C">
        <w:t xml:space="preserve">for reducing the </w:t>
      </w:r>
      <w:r w:rsidR="009C19F8" w:rsidRPr="005C600C">
        <w:t>adverse</w:t>
      </w:r>
      <w:r w:rsidR="008F152A" w:rsidRPr="005C600C">
        <w:t xml:space="preserve"> effects of social exclusion. </w:t>
      </w:r>
      <w:r w:rsidR="009C19F8" w:rsidRPr="005C600C">
        <w:t xml:space="preserve">Regular contact between an individual and a </w:t>
      </w:r>
      <w:r w:rsidR="009C19F8" w:rsidRPr="005C600C">
        <w:lastRenderedPageBreak/>
        <w:t>professional or volunteer is achieved by implementing befriending schemes, which form new friendships between older adults and volunteers sharing common interests.</w:t>
      </w:r>
      <w:r w:rsidR="00464963" w:rsidRPr="005C600C">
        <w:t xml:space="preserve"> </w:t>
      </w:r>
      <w:r w:rsidR="002D5970" w:rsidRPr="005C600C">
        <w:t>Group interventions bring individuals together around a common interest. These interventions can take various forms including social, educational, or physical activity sessions, group discussions, or therapies. An effective group intervention should actively engage individuals, specifically target certain groups, and incorporate both educational and social aspects</w:t>
      </w:r>
      <w:r w:rsidR="00673B6B" w:rsidRPr="005C600C">
        <w:t xml:space="preserve"> (Alden et al., 2015).</w:t>
      </w:r>
      <w:r w:rsidR="005C600C" w:rsidRPr="005C600C">
        <w:t xml:space="preserve"> </w:t>
      </w:r>
      <w:r w:rsidR="003572ED" w:rsidRPr="005C600C">
        <w:t xml:space="preserve">Other interventions can include cognitive behavioural </w:t>
      </w:r>
      <w:r w:rsidR="001E51FA" w:rsidRPr="005C600C">
        <w:t xml:space="preserve">therapy </w:t>
      </w:r>
      <w:r w:rsidR="005C600C" w:rsidRPr="005C600C">
        <w:t>to reduce the effects of chronic pain and distress (</w:t>
      </w:r>
      <w:r w:rsidR="00D828C0" w:rsidRPr="005C600C">
        <w:t>Morley et al.</w:t>
      </w:r>
      <w:r w:rsidR="005C600C" w:rsidRPr="005C600C">
        <w:t>,</w:t>
      </w:r>
      <w:r w:rsidR="00D828C0" w:rsidRPr="005C600C">
        <w:t>1999)</w:t>
      </w:r>
      <w:r w:rsidR="005C600C" w:rsidRPr="005C600C">
        <w:t>.</w:t>
      </w:r>
    </w:p>
    <w:p w14:paraId="7EBA25D6" w14:textId="620F98CC" w:rsidR="00F120EC" w:rsidRDefault="00385837" w:rsidP="00BC349C">
      <w:pPr>
        <w:spacing w:line="360" w:lineRule="auto"/>
      </w:pPr>
      <w:r>
        <w:t>In conclusion,</w:t>
      </w:r>
      <w:r w:rsidRPr="00385837">
        <w:t xml:space="preserve"> Barbara's later-life social exclusion has resulted in a disturbance of her social connections, leading to withdrawn </w:t>
      </w:r>
      <w:r>
        <w:t>behaviour</w:t>
      </w:r>
      <w:r w:rsidRPr="00385837">
        <w:t xml:space="preserve"> and loneliness. These factors have had a negative impact on her social identity and overall well-being. </w:t>
      </w:r>
      <w:r w:rsidR="00FC75D3" w:rsidRPr="00FC75D3">
        <w:t>Social exclusion can have detrimental effects on both individuals and groups who are targeted. This could be attributed to</w:t>
      </w:r>
      <w:r w:rsidR="00BF61C6">
        <w:t xml:space="preserve"> the need for belonging</w:t>
      </w:r>
      <w:r w:rsidR="009E1E11">
        <w:t xml:space="preserve"> and is </w:t>
      </w:r>
      <w:r w:rsidR="00BF61C6" w:rsidRPr="00BF61C6">
        <w:t>believed to be one of the most fundamental human motivations, following basic needs such as food and shelter.</w:t>
      </w:r>
      <w:r w:rsidR="00BF61C6" w:rsidRPr="00BF61C6">
        <w:t xml:space="preserve"> </w:t>
      </w:r>
      <w:r w:rsidR="00BC349C">
        <w:t>(</w:t>
      </w:r>
      <w:r w:rsidR="00BC349C" w:rsidRPr="00BC349C">
        <w:t>Baumeister &amp; Leary, 1995</w:t>
      </w:r>
      <w:r w:rsidR="00BC349C">
        <w:t>)</w:t>
      </w:r>
      <w:r w:rsidR="00FC75D3" w:rsidRPr="00FC75D3">
        <w:t>.</w:t>
      </w:r>
      <w:r w:rsidR="00BC349C">
        <w:t xml:space="preserve"> </w:t>
      </w:r>
      <w:r w:rsidRPr="00385837">
        <w:t xml:space="preserve">To counteract these effects, interventions should focus on promoting social support, fostering community connections, and enhancing her sense of belonging. </w:t>
      </w:r>
      <w:r w:rsidR="00D7519F">
        <w:t>Acknowledging the intricate nature of social identity, sense of belonging, and self-perceptions within the context of social exclusion</w:t>
      </w:r>
      <w:r w:rsidRPr="00385837">
        <w:t xml:space="preserve"> </w:t>
      </w:r>
      <w:r w:rsidR="005D17DA">
        <w:t>can</w:t>
      </w:r>
      <w:r w:rsidRPr="00385837">
        <w:t xml:space="preserve"> cultivate inclusive communities that support individuals like Barbara and promote a sense of belonging and well-being for all.</w:t>
      </w:r>
    </w:p>
    <w:p w14:paraId="0A8BC21C" w14:textId="77777777" w:rsidR="00351B0B" w:rsidRDefault="00351B0B" w:rsidP="005C600C">
      <w:pPr>
        <w:spacing w:line="360" w:lineRule="auto"/>
        <w:ind w:firstLine="720"/>
      </w:pPr>
    </w:p>
    <w:p w14:paraId="24E9043D" w14:textId="77777777" w:rsidR="00351B0B" w:rsidRDefault="00351B0B" w:rsidP="005C600C">
      <w:pPr>
        <w:spacing w:line="360" w:lineRule="auto"/>
        <w:ind w:firstLine="720"/>
      </w:pPr>
    </w:p>
    <w:p w14:paraId="32B7D1EB" w14:textId="77777777" w:rsidR="00351B0B" w:rsidRDefault="00351B0B" w:rsidP="005C600C">
      <w:pPr>
        <w:spacing w:line="360" w:lineRule="auto"/>
        <w:ind w:firstLine="720"/>
      </w:pPr>
    </w:p>
    <w:p w14:paraId="119D92BA" w14:textId="77777777" w:rsidR="00351B0B" w:rsidRDefault="00351B0B" w:rsidP="005C600C">
      <w:pPr>
        <w:spacing w:line="360" w:lineRule="auto"/>
        <w:ind w:firstLine="720"/>
      </w:pPr>
    </w:p>
    <w:p w14:paraId="188C8B19" w14:textId="77777777" w:rsidR="00351B0B" w:rsidRDefault="00351B0B" w:rsidP="005C600C">
      <w:pPr>
        <w:spacing w:line="360" w:lineRule="auto"/>
        <w:ind w:firstLine="720"/>
      </w:pPr>
    </w:p>
    <w:p w14:paraId="238358A2" w14:textId="77777777" w:rsidR="00351B0B" w:rsidRDefault="00351B0B" w:rsidP="005C600C">
      <w:pPr>
        <w:spacing w:line="360" w:lineRule="auto"/>
        <w:ind w:firstLine="720"/>
      </w:pPr>
    </w:p>
    <w:p w14:paraId="5EBAC4F3" w14:textId="77777777" w:rsidR="00311AA2" w:rsidRDefault="00311AA2" w:rsidP="00BF0AD7">
      <w:pPr>
        <w:spacing w:line="360" w:lineRule="auto"/>
      </w:pPr>
    </w:p>
    <w:p w14:paraId="3B047500" w14:textId="38C4BBC8" w:rsidR="00351B0B" w:rsidRDefault="00351B0B" w:rsidP="00351B0B">
      <w:pPr>
        <w:spacing w:line="360" w:lineRule="auto"/>
        <w:ind w:firstLine="720"/>
        <w:jc w:val="center"/>
        <w:rPr>
          <w:b/>
          <w:bCs/>
        </w:rPr>
      </w:pPr>
      <w:r w:rsidRPr="00351B0B">
        <w:rPr>
          <w:b/>
          <w:bCs/>
        </w:rPr>
        <w:lastRenderedPageBreak/>
        <w:t>References</w:t>
      </w:r>
    </w:p>
    <w:p w14:paraId="109CDC93" w14:textId="77777777"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Alden, S., </w:t>
      </w:r>
      <w:proofErr w:type="spellStart"/>
      <w:r w:rsidRPr="007E2A26">
        <w:rPr>
          <w:rFonts w:ascii="Calibri" w:eastAsia="Times New Roman" w:hAnsi="Calibri" w:cs="Calibri"/>
          <w:lang w:eastAsia="en-GB"/>
        </w:rPr>
        <w:t>Kispéter</w:t>
      </w:r>
      <w:proofErr w:type="spellEnd"/>
      <w:r w:rsidRPr="007E2A26">
        <w:rPr>
          <w:rFonts w:ascii="Calibri" w:eastAsia="Times New Roman" w:hAnsi="Calibri" w:cs="Calibri"/>
          <w:lang w:eastAsia="en-GB"/>
        </w:rPr>
        <w:t xml:space="preserve">, E., Wigfield, A., &amp; Clarke, T. (2015). Age UK. </w:t>
      </w:r>
      <w:r w:rsidRPr="007E2A26">
        <w:rPr>
          <w:rFonts w:ascii="Calibri" w:eastAsia="Times New Roman" w:hAnsi="Calibri" w:cs="Calibri"/>
          <w:i/>
          <w:iCs/>
          <w:lang w:eastAsia="en-GB"/>
        </w:rPr>
        <w:t>Age UK’s Fit for the Future ‘Social Prescribing’ Extension Project</w:t>
      </w:r>
      <w:r w:rsidRPr="007E2A26">
        <w:rPr>
          <w:rFonts w:ascii="Calibri" w:eastAsia="Times New Roman" w:hAnsi="Calibri" w:cs="Calibri"/>
          <w:lang w:eastAsia="en-GB"/>
        </w:rPr>
        <w:t>. http://wrap.warwick.ac.uk/144747/</w:t>
      </w:r>
    </w:p>
    <w:p w14:paraId="6CC69D49" w14:textId="77777777"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Baumeister, R. F., &amp; Leary, M. R. (1995). The need to belong: Desire for interpersonal attachments as a fundamental human motivation. </w:t>
      </w:r>
      <w:r w:rsidRPr="007E2A26">
        <w:rPr>
          <w:rFonts w:ascii="Calibri" w:eastAsia="Times New Roman" w:hAnsi="Calibri" w:cs="Calibri"/>
          <w:i/>
          <w:iCs/>
          <w:lang w:eastAsia="en-GB"/>
        </w:rPr>
        <w:t>Psychological Bulletin</w:t>
      </w:r>
      <w:r w:rsidRPr="007E2A26">
        <w:rPr>
          <w:rFonts w:ascii="Calibri" w:eastAsia="Times New Roman" w:hAnsi="Calibri" w:cs="Calibri"/>
          <w:lang w:eastAsia="en-GB"/>
        </w:rPr>
        <w:t xml:space="preserve">, </w:t>
      </w:r>
      <w:r w:rsidRPr="007E2A26">
        <w:rPr>
          <w:rFonts w:ascii="Calibri" w:eastAsia="Times New Roman" w:hAnsi="Calibri" w:cs="Calibri"/>
          <w:i/>
          <w:iCs/>
          <w:lang w:eastAsia="en-GB"/>
        </w:rPr>
        <w:t>117</w:t>
      </w:r>
      <w:r w:rsidRPr="007E2A26">
        <w:rPr>
          <w:rFonts w:ascii="Calibri" w:eastAsia="Times New Roman" w:hAnsi="Calibri" w:cs="Calibri"/>
          <w:lang w:eastAsia="en-GB"/>
        </w:rPr>
        <w:t>(3), 497–529. https://doi.org/10.1037/0033-2909.117.3.497</w:t>
      </w:r>
    </w:p>
    <w:p w14:paraId="1A8CE7F7" w14:textId="77777777"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Baumeister, R. F., Twenge, J. M., &amp; Nuss, C. K. (2002). Effects of social exclusion on cognitive processes: Anticipated aloneness reduces intelligent thought. </w:t>
      </w:r>
      <w:r w:rsidRPr="007E2A26">
        <w:rPr>
          <w:rFonts w:ascii="Calibri" w:eastAsia="Times New Roman" w:hAnsi="Calibri" w:cs="Calibri"/>
          <w:i/>
          <w:iCs/>
          <w:lang w:eastAsia="en-GB"/>
        </w:rPr>
        <w:t>Journal of Personality and Social Psychology</w:t>
      </w:r>
      <w:r w:rsidRPr="007E2A26">
        <w:rPr>
          <w:rFonts w:ascii="Calibri" w:eastAsia="Times New Roman" w:hAnsi="Calibri" w:cs="Calibri"/>
          <w:lang w:eastAsia="en-GB"/>
        </w:rPr>
        <w:t xml:space="preserve">, </w:t>
      </w:r>
      <w:r w:rsidRPr="007E2A26">
        <w:rPr>
          <w:rFonts w:ascii="Calibri" w:eastAsia="Times New Roman" w:hAnsi="Calibri" w:cs="Calibri"/>
          <w:i/>
          <w:iCs/>
          <w:lang w:eastAsia="en-GB"/>
        </w:rPr>
        <w:t>83</w:t>
      </w:r>
      <w:r w:rsidRPr="007E2A26">
        <w:rPr>
          <w:rFonts w:ascii="Calibri" w:eastAsia="Times New Roman" w:hAnsi="Calibri" w:cs="Calibri"/>
          <w:lang w:eastAsia="en-GB"/>
        </w:rPr>
        <w:t>(4), 817–827. https://doi.org/10.1037/0022-3514.83.4.817</w:t>
      </w:r>
    </w:p>
    <w:p w14:paraId="2AABBEAE" w14:textId="77777777"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Bowlby, J. (1969). </w:t>
      </w:r>
      <w:r w:rsidRPr="007E2A26">
        <w:rPr>
          <w:rFonts w:ascii="Calibri" w:eastAsia="Times New Roman" w:hAnsi="Calibri" w:cs="Calibri"/>
          <w:i/>
          <w:iCs/>
          <w:lang w:eastAsia="en-GB"/>
        </w:rPr>
        <w:t>Attachment and loss</w:t>
      </w:r>
      <w:r w:rsidRPr="007E2A26">
        <w:rPr>
          <w:rFonts w:ascii="Calibri" w:eastAsia="Times New Roman" w:hAnsi="Calibri" w:cs="Calibri"/>
          <w:lang w:eastAsia="en-GB"/>
        </w:rPr>
        <w:t>.</w:t>
      </w:r>
    </w:p>
    <w:p w14:paraId="19BEEBC9" w14:textId="77777777"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Burchardt, T., Grand, J. L., &amp; Piachaud, D. (1999). Social Exclusion in Britain 1991—1995. </w:t>
      </w:r>
      <w:r w:rsidRPr="007E2A26">
        <w:rPr>
          <w:rFonts w:ascii="Calibri" w:eastAsia="Times New Roman" w:hAnsi="Calibri" w:cs="Calibri"/>
          <w:i/>
          <w:iCs/>
          <w:lang w:eastAsia="en-GB"/>
        </w:rPr>
        <w:t>Social Policy &amp; Administration/Social Policy and Administration</w:t>
      </w:r>
      <w:r w:rsidRPr="007E2A26">
        <w:rPr>
          <w:rFonts w:ascii="Calibri" w:eastAsia="Times New Roman" w:hAnsi="Calibri" w:cs="Calibri"/>
          <w:lang w:eastAsia="en-GB"/>
        </w:rPr>
        <w:t xml:space="preserve">, </w:t>
      </w:r>
      <w:r w:rsidRPr="007E2A26">
        <w:rPr>
          <w:rFonts w:ascii="Calibri" w:eastAsia="Times New Roman" w:hAnsi="Calibri" w:cs="Calibri"/>
          <w:i/>
          <w:iCs/>
          <w:lang w:eastAsia="en-GB"/>
        </w:rPr>
        <w:t>33</w:t>
      </w:r>
      <w:r w:rsidRPr="007E2A26">
        <w:rPr>
          <w:rFonts w:ascii="Calibri" w:eastAsia="Times New Roman" w:hAnsi="Calibri" w:cs="Calibri"/>
          <w:lang w:eastAsia="en-GB"/>
        </w:rPr>
        <w:t>(3), 227–244. https://doi.org/10.1111/1467-9515.00148</w:t>
      </w:r>
    </w:p>
    <w:p w14:paraId="4C6837F0" w14:textId="77777777"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Cacioppo, J. T., Hawkley, L. C., &amp; Berntson, G. G. (2003). The Anatomy of Loneliness. </w:t>
      </w:r>
      <w:r w:rsidRPr="007E2A26">
        <w:rPr>
          <w:rFonts w:ascii="Calibri" w:eastAsia="Times New Roman" w:hAnsi="Calibri" w:cs="Calibri"/>
          <w:i/>
          <w:iCs/>
          <w:lang w:eastAsia="en-GB"/>
        </w:rPr>
        <w:t>Current Directions in Psychological Science</w:t>
      </w:r>
      <w:r w:rsidRPr="007E2A26">
        <w:rPr>
          <w:rFonts w:ascii="Calibri" w:eastAsia="Times New Roman" w:hAnsi="Calibri" w:cs="Calibri"/>
          <w:lang w:eastAsia="en-GB"/>
        </w:rPr>
        <w:t xml:space="preserve">, </w:t>
      </w:r>
      <w:r w:rsidRPr="007E2A26">
        <w:rPr>
          <w:rFonts w:ascii="Calibri" w:eastAsia="Times New Roman" w:hAnsi="Calibri" w:cs="Calibri"/>
          <w:i/>
          <w:iCs/>
          <w:lang w:eastAsia="en-GB"/>
        </w:rPr>
        <w:t>12</w:t>
      </w:r>
      <w:r w:rsidRPr="007E2A26">
        <w:rPr>
          <w:rFonts w:ascii="Calibri" w:eastAsia="Times New Roman" w:hAnsi="Calibri" w:cs="Calibri"/>
          <w:lang w:eastAsia="en-GB"/>
        </w:rPr>
        <w:t>(3), 71–74. https://doi.org/10.1111/1467-8721.01232</w:t>
      </w:r>
    </w:p>
    <w:p w14:paraId="5536DBB0" w14:textId="77777777"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Cattan, M., Kime, N., &amp; Bagnall, A. (2010). The use of telephone befriending in low level support for socially isolated older people - an evaluation. </w:t>
      </w:r>
      <w:r w:rsidRPr="007E2A26">
        <w:rPr>
          <w:rFonts w:ascii="Calibri" w:eastAsia="Times New Roman" w:hAnsi="Calibri" w:cs="Calibri"/>
          <w:i/>
          <w:iCs/>
          <w:lang w:eastAsia="en-GB"/>
        </w:rPr>
        <w:t>Health &amp; Social Care in the Community</w:t>
      </w:r>
      <w:r w:rsidRPr="007E2A26">
        <w:rPr>
          <w:rFonts w:ascii="Calibri" w:eastAsia="Times New Roman" w:hAnsi="Calibri" w:cs="Calibri"/>
          <w:lang w:eastAsia="en-GB"/>
        </w:rPr>
        <w:t>, no. https://doi.org/10.1111/j.1365-2524.2010.00967.x</w:t>
      </w:r>
    </w:p>
    <w:p w14:paraId="3496BF30" w14:textId="74EE2817" w:rsid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Cotterell, N., Buffel, T., &amp; Phillipson, C. (2018). Preventing social isolation in older people. </w:t>
      </w:r>
      <w:r w:rsidRPr="007E2A26">
        <w:rPr>
          <w:rFonts w:ascii="Calibri" w:eastAsia="Times New Roman" w:hAnsi="Calibri" w:cs="Calibri"/>
          <w:i/>
          <w:iCs/>
          <w:lang w:eastAsia="en-GB"/>
        </w:rPr>
        <w:t>Maturitas</w:t>
      </w:r>
      <w:r w:rsidRPr="007E2A26">
        <w:rPr>
          <w:rFonts w:ascii="Calibri" w:eastAsia="Times New Roman" w:hAnsi="Calibri" w:cs="Calibri"/>
          <w:lang w:eastAsia="en-GB"/>
        </w:rPr>
        <w:t xml:space="preserve">, </w:t>
      </w:r>
      <w:r w:rsidRPr="007E2A26">
        <w:rPr>
          <w:rFonts w:ascii="Calibri" w:eastAsia="Times New Roman" w:hAnsi="Calibri" w:cs="Calibri"/>
          <w:i/>
          <w:iCs/>
          <w:lang w:eastAsia="en-GB"/>
        </w:rPr>
        <w:t>113</w:t>
      </w:r>
      <w:r w:rsidRPr="007E2A26">
        <w:rPr>
          <w:rFonts w:ascii="Calibri" w:eastAsia="Times New Roman" w:hAnsi="Calibri" w:cs="Calibri"/>
          <w:lang w:eastAsia="en-GB"/>
        </w:rPr>
        <w:t xml:space="preserve">, 80–84. </w:t>
      </w:r>
      <w:hyperlink r:id="rId5" w:history="1">
        <w:r w:rsidR="009A0201" w:rsidRPr="000102D4">
          <w:rPr>
            <w:rStyle w:val="Hyperlink"/>
            <w:rFonts w:ascii="Calibri" w:eastAsia="Times New Roman" w:hAnsi="Calibri" w:cs="Calibri"/>
            <w:lang w:eastAsia="en-GB"/>
          </w:rPr>
          <w:t>https://doi.org/10.1016/j.maturitas.2018.04.014</w:t>
        </w:r>
      </w:hyperlink>
    </w:p>
    <w:p w14:paraId="16315C85" w14:textId="77777777" w:rsidR="007E2A26" w:rsidRPr="007E2A26" w:rsidRDefault="007E2A26" w:rsidP="009E1E11">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Eisenberger, N. I., Lieberman, M. D., &amp; Williams, K. D. (2003). Does rejection hurt? An FMRI study of social exclusion. </w:t>
      </w:r>
      <w:r w:rsidRPr="007E2A26">
        <w:rPr>
          <w:rFonts w:ascii="Calibri" w:eastAsia="Times New Roman" w:hAnsi="Calibri" w:cs="Calibri"/>
          <w:i/>
          <w:iCs/>
          <w:lang w:eastAsia="en-GB"/>
        </w:rPr>
        <w:t>Science</w:t>
      </w:r>
      <w:r w:rsidRPr="007E2A26">
        <w:rPr>
          <w:rFonts w:ascii="Calibri" w:eastAsia="Times New Roman" w:hAnsi="Calibri" w:cs="Calibri"/>
          <w:lang w:eastAsia="en-GB"/>
        </w:rPr>
        <w:t xml:space="preserve">, </w:t>
      </w:r>
      <w:r w:rsidRPr="007E2A26">
        <w:rPr>
          <w:rFonts w:ascii="Calibri" w:eastAsia="Times New Roman" w:hAnsi="Calibri" w:cs="Calibri"/>
          <w:i/>
          <w:iCs/>
          <w:lang w:eastAsia="en-GB"/>
        </w:rPr>
        <w:t>302</w:t>
      </w:r>
      <w:r w:rsidRPr="007E2A26">
        <w:rPr>
          <w:rFonts w:ascii="Calibri" w:eastAsia="Times New Roman" w:hAnsi="Calibri" w:cs="Calibri"/>
          <w:lang w:eastAsia="en-GB"/>
        </w:rPr>
        <w:t>(5643), 290–292. https://doi.org/10.1126/science.1089134</w:t>
      </w:r>
    </w:p>
    <w:p w14:paraId="7EB72A1D" w14:textId="77777777"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lastRenderedPageBreak/>
        <w:t xml:space="preserve">Feeney, B. C., &amp; Kirkpatrick, L. A. (1996). Effects of adult attachment and presence of romantic partners on physiological responses to stress. </w:t>
      </w:r>
      <w:r w:rsidRPr="007E2A26">
        <w:rPr>
          <w:rFonts w:ascii="Calibri" w:eastAsia="Times New Roman" w:hAnsi="Calibri" w:cs="Calibri"/>
          <w:i/>
          <w:iCs/>
          <w:lang w:eastAsia="en-GB"/>
        </w:rPr>
        <w:t>Journal of Personality and Social Psychology</w:t>
      </w:r>
      <w:r w:rsidRPr="007E2A26">
        <w:rPr>
          <w:rFonts w:ascii="Calibri" w:eastAsia="Times New Roman" w:hAnsi="Calibri" w:cs="Calibri"/>
          <w:lang w:eastAsia="en-GB"/>
        </w:rPr>
        <w:t xml:space="preserve">, </w:t>
      </w:r>
      <w:r w:rsidRPr="007E2A26">
        <w:rPr>
          <w:rFonts w:ascii="Calibri" w:eastAsia="Times New Roman" w:hAnsi="Calibri" w:cs="Calibri"/>
          <w:i/>
          <w:iCs/>
          <w:lang w:eastAsia="en-GB"/>
        </w:rPr>
        <w:t>70</w:t>
      </w:r>
      <w:r w:rsidRPr="007E2A26">
        <w:rPr>
          <w:rFonts w:ascii="Calibri" w:eastAsia="Times New Roman" w:hAnsi="Calibri" w:cs="Calibri"/>
          <w:lang w:eastAsia="en-GB"/>
        </w:rPr>
        <w:t>(2), 255–270. https://doi.org/10.1037/0022-3514.70.2.255</w:t>
      </w:r>
    </w:p>
    <w:p w14:paraId="53D78588" w14:textId="361017F2"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Hazan, C., &amp; Shaver, P. R. (1987). Romantic love conceptuali</w:t>
      </w:r>
      <w:r w:rsidR="009258AC">
        <w:rPr>
          <w:rFonts w:ascii="Calibri" w:eastAsia="Times New Roman" w:hAnsi="Calibri" w:cs="Calibri"/>
          <w:lang w:eastAsia="en-GB"/>
        </w:rPr>
        <w:t>s</w:t>
      </w:r>
      <w:r w:rsidRPr="007E2A26">
        <w:rPr>
          <w:rFonts w:ascii="Calibri" w:eastAsia="Times New Roman" w:hAnsi="Calibri" w:cs="Calibri"/>
          <w:lang w:eastAsia="en-GB"/>
        </w:rPr>
        <w:t xml:space="preserve">ed as an attachment process. </w:t>
      </w:r>
      <w:r w:rsidRPr="007E2A26">
        <w:rPr>
          <w:rFonts w:ascii="Calibri" w:eastAsia="Times New Roman" w:hAnsi="Calibri" w:cs="Calibri"/>
          <w:i/>
          <w:iCs/>
          <w:lang w:eastAsia="en-GB"/>
        </w:rPr>
        <w:t>Journal of Personality and Social Psychology</w:t>
      </w:r>
      <w:r w:rsidRPr="007E2A26">
        <w:rPr>
          <w:rFonts w:ascii="Calibri" w:eastAsia="Times New Roman" w:hAnsi="Calibri" w:cs="Calibri"/>
          <w:lang w:eastAsia="en-GB"/>
        </w:rPr>
        <w:t xml:space="preserve">, </w:t>
      </w:r>
      <w:r w:rsidRPr="007E2A26">
        <w:rPr>
          <w:rFonts w:ascii="Calibri" w:eastAsia="Times New Roman" w:hAnsi="Calibri" w:cs="Calibri"/>
          <w:i/>
          <w:iCs/>
          <w:lang w:eastAsia="en-GB"/>
        </w:rPr>
        <w:t>52</w:t>
      </w:r>
      <w:r w:rsidRPr="007E2A26">
        <w:rPr>
          <w:rFonts w:ascii="Calibri" w:eastAsia="Times New Roman" w:hAnsi="Calibri" w:cs="Calibri"/>
          <w:lang w:eastAsia="en-GB"/>
        </w:rPr>
        <w:t>(3), 511–524. https://doi.org/10.1037/0022-3514.52.3.511</w:t>
      </w:r>
    </w:p>
    <w:p w14:paraId="0E2A9AEF" w14:textId="77777777" w:rsid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Jost, J. T., &amp; </w:t>
      </w:r>
      <w:proofErr w:type="spellStart"/>
      <w:r w:rsidRPr="007E2A26">
        <w:rPr>
          <w:rFonts w:ascii="Calibri" w:eastAsia="Times New Roman" w:hAnsi="Calibri" w:cs="Calibri"/>
          <w:lang w:eastAsia="en-GB"/>
        </w:rPr>
        <w:t>Sidanius</w:t>
      </w:r>
      <w:proofErr w:type="spellEnd"/>
      <w:r w:rsidRPr="007E2A26">
        <w:rPr>
          <w:rFonts w:ascii="Calibri" w:eastAsia="Times New Roman" w:hAnsi="Calibri" w:cs="Calibri"/>
          <w:lang w:eastAsia="en-GB"/>
        </w:rPr>
        <w:t xml:space="preserve">, J. (2004). </w:t>
      </w:r>
      <w:r w:rsidRPr="007E2A26">
        <w:rPr>
          <w:rFonts w:ascii="Calibri" w:eastAsia="Times New Roman" w:hAnsi="Calibri" w:cs="Calibri"/>
          <w:i/>
          <w:iCs/>
          <w:lang w:eastAsia="en-GB"/>
        </w:rPr>
        <w:t>Political psychology: Key Readings</w:t>
      </w:r>
      <w:r w:rsidRPr="007E2A26">
        <w:rPr>
          <w:rFonts w:ascii="Calibri" w:eastAsia="Times New Roman" w:hAnsi="Calibri" w:cs="Calibri"/>
          <w:lang w:eastAsia="en-GB"/>
        </w:rPr>
        <w:t>.</w:t>
      </w:r>
    </w:p>
    <w:p w14:paraId="42517841" w14:textId="3B1BCE4D" w:rsidR="000B540B" w:rsidRPr="007E2A26" w:rsidRDefault="000B540B" w:rsidP="007E2A26">
      <w:pPr>
        <w:spacing w:after="0" w:line="480" w:lineRule="auto"/>
        <w:ind w:hanging="720"/>
        <w:rPr>
          <w:rFonts w:ascii="Calibri" w:eastAsia="Times New Roman" w:hAnsi="Calibri" w:cs="Calibri"/>
          <w:lang w:eastAsia="en-GB"/>
        </w:rPr>
      </w:pPr>
      <w:r w:rsidRPr="000B540B">
        <w:rPr>
          <w:rFonts w:ascii="Calibri" w:eastAsia="Times New Roman" w:hAnsi="Calibri" w:cs="Calibri"/>
          <w:lang w:eastAsia="en-GB"/>
        </w:rPr>
        <w:t>MacDonald, G. &amp; Leary M.R. (2005). Why does social exclusion hurt? The relationship between</w:t>
      </w:r>
      <w:r w:rsidRPr="000B540B">
        <w:rPr>
          <w:rFonts w:ascii="Calibri" w:eastAsia="Times New Roman" w:hAnsi="Calibri" w:cs="Calibri"/>
          <w:lang w:eastAsia="en-GB"/>
        </w:rPr>
        <w:br/>
        <w:t>social and physical pain. Psychological Bulletin, 131, 202–223</w:t>
      </w:r>
    </w:p>
    <w:p w14:paraId="13868537" w14:textId="3A297D3F" w:rsid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Markiewicz, D., Lawford, H. L., Doyle, A., &amp; Haggart, N. (2006). Developmental Differences in Adolescents’ and Young Adults’ Use of Mothers, Fathers, Best Friends, and Romantic Partners to </w:t>
      </w:r>
      <w:proofErr w:type="spellStart"/>
      <w:r w:rsidRPr="007E2A26">
        <w:rPr>
          <w:rFonts w:ascii="Calibri" w:eastAsia="Times New Roman" w:hAnsi="Calibri" w:cs="Calibri"/>
          <w:lang w:eastAsia="en-GB"/>
        </w:rPr>
        <w:t>Fulfill</w:t>
      </w:r>
      <w:proofErr w:type="spellEnd"/>
      <w:r w:rsidRPr="007E2A26">
        <w:rPr>
          <w:rFonts w:ascii="Calibri" w:eastAsia="Times New Roman" w:hAnsi="Calibri" w:cs="Calibri"/>
          <w:lang w:eastAsia="en-GB"/>
        </w:rPr>
        <w:t xml:space="preserve"> Attachment Needs. </w:t>
      </w:r>
      <w:r w:rsidRPr="007E2A26">
        <w:rPr>
          <w:rFonts w:ascii="Calibri" w:eastAsia="Times New Roman" w:hAnsi="Calibri" w:cs="Calibri"/>
          <w:i/>
          <w:iCs/>
          <w:lang w:eastAsia="en-GB"/>
        </w:rPr>
        <w:t>Journal of Youth and Adolescence</w:t>
      </w:r>
      <w:r w:rsidRPr="007E2A26">
        <w:rPr>
          <w:rFonts w:ascii="Calibri" w:eastAsia="Times New Roman" w:hAnsi="Calibri" w:cs="Calibri"/>
          <w:lang w:eastAsia="en-GB"/>
        </w:rPr>
        <w:t xml:space="preserve">, </w:t>
      </w:r>
      <w:r w:rsidRPr="007E2A26">
        <w:rPr>
          <w:rFonts w:ascii="Calibri" w:eastAsia="Times New Roman" w:hAnsi="Calibri" w:cs="Calibri"/>
          <w:i/>
          <w:iCs/>
          <w:lang w:eastAsia="en-GB"/>
        </w:rPr>
        <w:t>35</w:t>
      </w:r>
      <w:r w:rsidRPr="007E2A26">
        <w:rPr>
          <w:rFonts w:ascii="Calibri" w:eastAsia="Times New Roman" w:hAnsi="Calibri" w:cs="Calibri"/>
          <w:lang w:eastAsia="en-GB"/>
        </w:rPr>
        <w:t xml:space="preserve">(1), 121–134. </w:t>
      </w:r>
      <w:hyperlink r:id="rId6" w:history="1">
        <w:r w:rsidR="0086070C" w:rsidRPr="000102D4">
          <w:rPr>
            <w:rStyle w:val="Hyperlink"/>
            <w:rFonts w:ascii="Calibri" w:eastAsia="Times New Roman" w:hAnsi="Calibri" w:cs="Calibri"/>
            <w:lang w:eastAsia="en-GB"/>
          </w:rPr>
          <w:t>https://doi.org/10.1007/s10964-005-9014-5</w:t>
        </w:r>
      </w:hyperlink>
    </w:p>
    <w:p w14:paraId="1A66D933" w14:textId="00E407E9" w:rsidR="0086070C" w:rsidRPr="007E2A26" w:rsidRDefault="0086070C" w:rsidP="007E2A26">
      <w:pPr>
        <w:spacing w:after="0" w:line="480" w:lineRule="auto"/>
        <w:ind w:hanging="720"/>
        <w:rPr>
          <w:rFonts w:ascii="Calibri" w:eastAsia="Times New Roman" w:hAnsi="Calibri" w:cs="Calibri"/>
          <w:lang w:eastAsia="en-GB"/>
        </w:rPr>
      </w:pPr>
      <w:r w:rsidRPr="0086070C">
        <w:rPr>
          <w:rFonts w:ascii="Calibri" w:eastAsia="Times New Roman" w:hAnsi="Calibri" w:cs="Calibri"/>
          <w:lang w:eastAsia="en-GB"/>
        </w:rPr>
        <w:t xml:space="preserve">Mendoza-Denton, R., Purdie, V., Downey, G. &amp; Davis, A. (2002). Sensitivity to status-based </w:t>
      </w:r>
      <w:proofErr w:type="spellStart"/>
      <w:r w:rsidRPr="0086070C">
        <w:rPr>
          <w:rFonts w:ascii="Calibri" w:eastAsia="Times New Roman" w:hAnsi="Calibri" w:cs="Calibri"/>
          <w:lang w:eastAsia="en-GB"/>
        </w:rPr>
        <w:t>rejec</w:t>
      </w:r>
      <w:proofErr w:type="spellEnd"/>
      <w:r w:rsidRPr="0086070C">
        <w:rPr>
          <w:rFonts w:ascii="Calibri" w:eastAsia="Times New Roman" w:hAnsi="Calibri" w:cs="Calibri"/>
          <w:lang w:eastAsia="en-GB"/>
        </w:rPr>
        <w:t>-</w:t>
      </w:r>
      <w:r w:rsidRPr="0086070C">
        <w:rPr>
          <w:rFonts w:ascii="Calibri" w:eastAsia="Times New Roman" w:hAnsi="Calibri" w:cs="Calibri"/>
          <w:lang w:eastAsia="en-GB"/>
        </w:rPr>
        <w:br/>
      </w:r>
      <w:proofErr w:type="spellStart"/>
      <w:r w:rsidRPr="0086070C">
        <w:rPr>
          <w:rFonts w:ascii="Calibri" w:eastAsia="Times New Roman" w:hAnsi="Calibri" w:cs="Calibri"/>
          <w:lang w:eastAsia="en-GB"/>
        </w:rPr>
        <w:t>tion</w:t>
      </w:r>
      <w:proofErr w:type="spellEnd"/>
      <w:r w:rsidRPr="0086070C">
        <w:rPr>
          <w:rFonts w:ascii="Calibri" w:eastAsia="Times New Roman" w:hAnsi="Calibri" w:cs="Calibri"/>
          <w:lang w:eastAsia="en-GB"/>
        </w:rPr>
        <w:t xml:space="preserve">: implications for </w:t>
      </w:r>
      <w:proofErr w:type="gramStart"/>
      <w:r w:rsidRPr="0086070C">
        <w:rPr>
          <w:rFonts w:ascii="Calibri" w:eastAsia="Times New Roman" w:hAnsi="Calibri" w:cs="Calibri"/>
          <w:lang w:eastAsia="en-GB"/>
        </w:rPr>
        <w:t>African-American</w:t>
      </w:r>
      <w:proofErr w:type="gramEnd"/>
      <w:r w:rsidRPr="0086070C">
        <w:rPr>
          <w:rFonts w:ascii="Calibri" w:eastAsia="Times New Roman" w:hAnsi="Calibri" w:cs="Calibri"/>
          <w:lang w:eastAsia="en-GB"/>
        </w:rPr>
        <w:t xml:space="preserve"> students’ college experience</w:t>
      </w:r>
      <w:r w:rsidRPr="0086070C">
        <w:rPr>
          <w:rFonts w:ascii="Calibri" w:eastAsia="Times New Roman" w:hAnsi="Calibri" w:cs="Calibri"/>
          <w:i/>
          <w:iCs/>
          <w:lang w:eastAsia="en-GB"/>
        </w:rPr>
        <w:t>. Journal of Personality</w:t>
      </w:r>
      <w:r w:rsidRPr="0086070C">
        <w:rPr>
          <w:rFonts w:ascii="Calibri" w:eastAsia="Times New Roman" w:hAnsi="Calibri" w:cs="Calibri"/>
          <w:i/>
          <w:iCs/>
          <w:lang w:eastAsia="en-GB"/>
        </w:rPr>
        <w:br/>
        <w:t>and Social Psychology</w:t>
      </w:r>
      <w:r w:rsidRPr="0086070C">
        <w:rPr>
          <w:rFonts w:ascii="Calibri" w:eastAsia="Times New Roman" w:hAnsi="Calibri" w:cs="Calibri"/>
          <w:lang w:eastAsia="en-GB"/>
        </w:rPr>
        <w:t>, 83, 896–918.</w:t>
      </w:r>
    </w:p>
    <w:p w14:paraId="2AB13FE9" w14:textId="77777777"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Moffatt, S., &amp; Glasgow, N. (2009). How Useful is the Concept of Social Exclusion When Applied to Rural Older People in the United Kingdom and the United States? </w:t>
      </w:r>
      <w:r w:rsidRPr="007E2A26">
        <w:rPr>
          <w:rFonts w:ascii="Calibri" w:eastAsia="Times New Roman" w:hAnsi="Calibri" w:cs="Calibri"/>
          <w:i/>
          <w:iCs/>
          <w:lang w:eastAsia="en-GB"/>
        </w:rPr>
        <w:t>Regional Studies</w:t>
      </w:r>
      <w:r w:rsidRPr="007E2A26">
        <w:rPr>
          <w:rFonts w:ascii="Calibri" w:eastAsia="Times New Roman" w:hAnsi="Calibri" w:cs="Calibri"/>
          <w:lang w:eastAsia="en-GB"/>
        </w:rPr>
        <w:t xml:space="preserve">, </w:t>
      </w:r>
      <w:r w:rsidRPr="007E2A26">
        <w:rPr>
          <w:rFonts w:ascii="Calibri" w:eastAsia="Times New Roman" w:hAnsi="Calibri" w:cs="Calibri"/>
          <w:i/>
          <w:iCs/>
          <w:lang w:eastAsia="en-GB"/>
        </w:rPr>
        <w:t>43</w:t>
      </w:r>
      <w:r w:rsidRPr="007E2A26">
        <w:rPr>
          <w:rFonts w:ascii="Calibri" w:eastAsia="Times New Roman" w:hAnsi="Calibri" w:cs="Calibri"/>
          <w:lang w:eastAsia="en-GB"/>
        </w:rPr>
        <w:t>(10), 1291–1303. https://doi.org/10.1080/00343400903002697</w:t>
      </w:r>
    </w:p>
    <w:p w14:paraId="6CED9892" w14:textId="5094E2DE"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Morley, S., Eccleston, C., &amp; De C Williams, A. C. (1999). Systematic review and meta-analysis of </w:t>
      </w:r>
      <w:r w:rsidR="00A42E08">
        <w:rPr>
          <w:rFonts w:ascii="Calibri" w:eastAsia="Times New Roman" w:hAnsi="Calibri" w:cs="Calibri"/>
          <w:lang w:eastAsia="en-GB"/>
        </w:rPr>
        <w:t>randomised</w:t>
      </w:r>
      <w:r w:rsidRPr="007E2A26">
        <w:rPr>
          <w:rFonts w:ascii="Calibri" w:eastAsia="Times New Roman" w:hAnsi="Calibri" w:cs="Calibri"/>
          <w:lang w:eastAsia="en-GB"/>
        </w:rPr>
        <w:t xml:space="preserve"> controlled trials of cognitive behaviour therapy and behaviour therapy for chronic pain in adults, excluding headache. </w:t>
      </w:r>
      <w:r w:rsidRPr="007E2A26">
        <w:rPr>
          <w:rFonts w:ascii="Calibri" w:eastAsia="Times New Roman" w:hAnsi="Calibri" w:cs="Calibri"/>
          <w:i/>
          <w:iCs/>
          <w:lang w:eastAsia="en-GB"/>
        </w:rPr>
        <w:t>Pain</w:t>
      </w:r>
      <w:r w:rsidRPr="007E2A26">
        <w:rPr>
          <w:rFonts w:ascii="Calibri" w:eastAsia="Times New Roman" w:hAnsi="Calibri" w:cs="Calibri"/>
          <w:lang w:eastAsia="en-GB"/>
        </w:rPr>
        <w:t xml:space="preserve">, </w:t>
      </w:r>
      <w:r w:rsidRPr="007E2A26">
        <w:rPr>
          <w:rFonts w:ascii="Calibri" w:eastAsia="Times New Roman" w:hAnsi="Calibri" w:cs="Calibri"/>
          <w:i/>
          <w:iCs/>
          <w:lang w:eastAsia="en-GB"/>
        </w:rPr>
        <w:t>80</w:t>
      </w:r>
      <w:r w:rsidRPr="007E2A26">
        <w:rPr>
          <w:rFonts w:ascii="Calibri" w:eastAsia="Times New Roman" w:hAnsi="Calibri" w:cs="Calibri"/>
          <w:lang w:eastAsia="en-GB"/>
        </w:rPr>
        <w:t>(1), 1–13. https://doi.org/10.1016/s0304-3959(98)00255-3</w:t>
      </w:r>
    </w:p>
    <w:p w14:paraId="72030B74" w14:textId="77777777"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lastRenderedPageBreak/>
        <w:t xml:space="preserve">Papalia, D. E., &amp; Bielby, D. D. (1974). Cognitive functioning in middle and old age adults. </w:t>
      </w:r>
      <w:r w:rsidRPr="007E2A26">
        <w:rPr>
          <w:rFonts w:ascii="Calibri" w:eastAsia="Times New Roman" w:hAnsi="Calibri" w:cs="Calibri"/>
          <w:i/>
          <w:iCs/>
          <w:lang w:eastAsia="en-GB"/>
        </w:rPr>
        <w:t>Human Development</w:t>
      </w:r>
      <w:r w:rsidRPr="007E2A26">
        <w:rPr>
          <w:rFonts w:ascii="Calibri" w:eastAsia="Times New Roman" w:hAnsi="Calibri" w:cs="Calibri"/>
          <w:lang w:eastAsia="en-GB"/>
        </w:rPr>
        <w:t xml:space="preserve">, </w:t>
      </w:r>
      <w:r w:rsidRPr="007E2A26">
        <w:rPr>
          <w:rFonts w:ascii="Calibri" w:eastAsia="Times New Roman" w:hAnsi="Calibri" w:cs="Calibri"/>
          <w:i/>
          <w:iCs/>
          <w:lang w:eastAsia="en-GB"/>
        </w:rPr>
        <w:t>17</w:t>
      </w:r>
      <w:r w:rsidRPr="007E2A26">
        <w:rPr>
          <w:rFonts w:ascii="Calibri" w:eastAsia="Times New Roman" w:hAnsi="Calibri" w:cs="Calibri"/>
          <w:lang w:eastAsia="en-GB"/>
        </w:rPr>
        <w:t>(6), 424–443. https://doi.org/10.1159/000271384</w:t>
      </w:r>
    </w:p>
    <w:p w14:paraId="79DB4910" w14:textId="77777777"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Piaget, J. (1964). Part I: Cognitive development in children: Piaget development and learning. </w:t>
      </w:r>
      <w:r w:rsidRPr="007E2A26">
        <w:rPr>
          <w:rFonts w:ascii="Calibri" w:eastAsia="Times New Roman" w:hAnsi="Calibri" w:cs="Calibri"/>
          <w:i/>
          <w:iCs/>
          <w:lang w:eastAsia="en-GB"/>
        </w:rPr>
        <w:t>Journal of Research in Science Teaching</w:t>
      </w:r>
      <w:r w:rsidRPr="007E2A26">
        <w:rPr>
          <w:rFonts w:ascii="Calibri" w:eastAsia="Times New Roman" w:hAnsi="Calibri" w:cs="Calibri"/>
          <w:lang w:eastAsia="en-GB"/>
        </w:rPr>
        <w:t xml:space="preserve">, </w:t>
      </w:r>
      <w:r w:rsidRPr="007E2A26">
        <w:rPr>
          <w:rFonts w:ascii="Calibri" w:eastAsia="Times New Roman" w:hAnsi="Calibri" w:cs="Calibri"/>
          <w:i/>
          <w:iCs/>
          <w:lang w:eastAsia="en-GB"/>
        </w:rPr>
        <w:t>2</w:t>
      </w:r>
      <w:r w:rsidRPr="007E2A26">
        <w:rPr>
          <w:rFonts w:ascii="Calibri" w:eastAsia="Times New Roman" w:hAnsi="Calibri" w:cs="Calibri"/>
          <w:lang w:eastAsia="en-GB"/>
        </w:rPr>
        <w:t>(3), 176–186. https://doi.org/10.1002/tea.3660020306</w:t>
      </w:r>
    </w:p>
    <w:p w14:paraId="6C8EE89D" w14:textId="77777777"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Riva, P., &amp; Eck, J. (2016). </w:t>
      </w:r>
      <w:r w:rsidRPr="007E2A26">
        <w:rPr>
          <w:rFonts w:ascii="Calibri" w:eastAsia="Times New Roman" w:hAnsi="Calibri" w:cs="Calibri"/>
          <w:i/>
          <w:iCs/>
          <w:lang w:eastAsia="en-GB"/>
        </w:rPr>
        <w:t>Social exclusion: Psychological Approaches to Understanding and Reducing Its Impact</w:t>
      </w:r>
      <w:r w:rsidRPr="007E2A26">
        <w:rPr>
          <w:rFonts w:ascii="Calibri" w:eastAsia="Times New Roman" w:hAnsi="Calibri" w:cs="Calibri"/>
          <w:lang w:eastAsia="en-GB"/>
        </w:rPr>
        <w:t>. Springer.</w:t>
      </w:r>
    </w:p>
    <w:p w14:paraId="417ECE57" w14:textId="77777777" w:rsidR="007E2A26" w:rsidRPr="007E2A26" w:rsidRDefault="007E2A26" w:rsidP="007E2A26">
      <w:pPr>
        <w:spacing w:after="0" w:line="480" w:lineRule="auto"/>
        <w:ind w:hanging="720"/>
        <w:rPr>
          <w:rFonts w:ascii="Calibri" w:eastAsia="Times New Roman" w:hAnsi="Calibri" w:cs="Calibri"/>
          <w:lang w:eastAsia="en-GB"/>
        </w:rPr>
      </w:pPr>
      <w:r w:rsidRPr="007E2A26">
        <w:rPr>
          <w:rFonts w:ascii="Calibri" w:eastAsia="Times New Roman" w:hAnsi="Calibri" w:cs="Calibri"/>
          <w:lang w:eastAsia="en-GB"/>
        </w:rPr>
        <w:t xml:space="preserve">Tajfel, H. (1978). </w:t>
      </w:r>
      <w:r w:rsidRPr="007E2A26">
        <w:rPr>
          <w:rFonts w:ascii="Calibri" w:eastAsia="Times New Roman" w:hAnsi="Calibri" w:cs="Calibri"/>
          <w:i/>
          <w:iCs/>
          <w:lang w:eastAsia="en-GB"/>
        </w:rPr>
        <w:t>Differentiation between social groups: Studies in the Social Psychology of Intergroup Relations</w:t>
      </w:r>
      <w:r w:rsidRPr="007E2A26">
        <w:rPr>
          <w:rFonts w:ascii="Calibri" w:eastAsia="Times New Roman" w:hAnsi="Calibri" w:cs="Calibri"/>
          <w:lang w:eastAsia="en-GB"/>
        </w:rPr>
        <w:t>. Academic Press.</w:t>
      </w:r>
    </w:p>
    <w:p w14:paraId="45067D8D" w14:textId="5AA9C701" w:rsidR="00861EAF" w:rsidRPr="00861EAF" w:rsidRDefault="00861EAF" w:rsidP="00861EAF">
      <w:pPr>
        <w:spacing w:line="360" w:lineRule="auto"/>
        <w:ind w:left="720" w:hanging="720"/>
      </w:pPr>
      <w:r w:rsidRPr="00861EAF">
        <w:t>Rubin, K. H. (1973). Decentration skills in institutionali</w:t>
      </w:r>
      <w:r w:rsidR="00FA7411">
        <w:t>s</w:t>
      </w:r>
      <w:r w:rsidRPr="00861EAF">
        <w:t>ed and noninstitutionali</w:t>
      </w:r>
      <w:r w:rsidR="00FA7411">
        <w:t>s</w:t>
      </w:r>
      <w:r w:rsidRPr="00861EAF">
        <w:t>ed elderly. </w:t>
      </w:r>
      <w:r w:rsidRPr="00861EAF">
        <w:rPr>
          <w:i/>
          <w:iCs/>
        </w:rPr>
        <w:t>Proceedings of the Annual Convention of the American Psychological Association,</w:t>
      </w:r>
      <w:r w:rsidRPr="00861EAF">
        <w:t> 763–764.</w:t>
      </w:r>
    </w:p>
    <w:p w14:paraId="250B5215" w14:textId="77777777" w:rsidR="00861EAF" w:rsidRPr="00861EAF" w:rsidRDefault="00861EAF" w:rsidP="00FA7411">
      <w:pPr>
        <w:spacing w:line="360" w:lineRule="auto"/>
        <w:ind w:hanging="720"/>
      </w:pPr>
      <w:r w:rsidRPr="00861EAF">
        <w:t xml:space="preserve">Tajfel, H., Turner, J. C., Austin, W. G., &amp; </w:t>
      </w:r>
      <w:proofErr w:type="spellStart"/>
      <w:r w:rsidRPr="00861EAF">
        <w:t>Worchel</w:t>
      </w:r>
      <w:proofErr w:type="spellEnd"/>
      <w:r w:rsidRPr="00861EAF">
        <w:t>, S. (1979). An integrative theory of intergroup conflict. Organizational identity: A reader, 56(65), 9780203505984-16.</w:t>
      </w:r>
    </w:p>
    <w:p w14:paraId="3E58AA86" w14:textId="77777777" w:rsidR="00861EAF" w:rsidRPr="00861EAF" w:rsidRDefault="00861EAF" w:rsidP="00FA7411">
      <w:pPr>
        <w:spacing w:line="360" w:lineRule="auto"/>
        <w:ind w:hanging="720"/>
      </w:pPr>
      <w:r w:rsidRPr="00861EAF">
        <w:t>Wigfield, A., Alden, S., &amp; Kispeter, E. (2015). Age UK’s fit for the future ‘Social.</w:t>
      </w:r>
    </w:p>
    <w:p w14:paraId="295782B5" w14:textId="77777777" w:rsidR="00351B0B" w:rsidRPr="00351B0B" w:rsidRDefault="00351B0B" w:rsidP="00351B0B">
      <w:pPr>
        <w:spacing w:line="360" w:lineRule="auto"/>
        <w:ind w:firstLine="720"/>
        <w:rPr>
          <w:b/>
          <w:bCs/>
        </w:rPr>
      </w:pPr>
    </w:p>
    <w:p w14:paraId="620C8CD0" w14:textId="77777777" w:rsidR="00806163" w:rsidRDefault="00806163" w:rsidP="005C600C">
      <w:pPr>
        <w:spacing w:line="360" w:lineRule="auto"/>
        <w:ind w:firstLine="720"/>
      </w:pPr>
    </w:p>
    <w:p w14:paraId="3B6080CA" w14:textId="77777777" w:rsidR="00806163" w:rsidRDefault="00806163" w:rsidP="005C600C">
      <w:pPr>
        <w:spacing w:line="360" w:lineRule="auto"/>
        <w:ind w:firstLine="720"/>
      </w:pPr>
    </w:p>
    <w:p w14:paraId="3E059AB9" w14:textId="77777777" w:rsidR="00806163" w:rsidRDefault="00806163" w:rsidP="005C600C">
      <w:pPr>
        <w:spacing w:line="360" w:lineRule="auto"/>
        <w:ind w:firstLine="720"/>
      </w:pPr>
    </w:p>
    <w:p w14:paraId="3A683566" w14:textId="77777777" w:rsidR="00806163" w:rsidRDefault="00806163" w:rsidP="005C600C">
      <w:pPr>
        <w:spacing w:line="360" w:lineRule="auto"/>
        <w:ind w:firstLine="720"/>
      </w:pPr>
    </w:p>
    <w:p w14:paraId="78910C69" w14:textId="77777777" w:rsidR="00806163" w:rsidRDefault="00806163" w:rsidP="005C600C">
      <w:pPr>
        <w:spacing w:line="360" w:lineRule="auto"/>
        <w:ind w:firstLine="720"/>
      </w:pPr>
    </w:p>
    <w:p w14:paraId="6B22AC3C" w14:textId="77777777" w:rsidR="00806163" w:rsidRDefault="00806163" w:rsidP="005C600C">
      <w:pPr>
        <w:spacing w:line="360" w:lineRule="auto"/>
        <w:ind w:firstLine="720"/>
      </w:pPr>
    </w:p>
    <w:p w14:paraId="3CC0141D" w14:textId="77777777" w:rsidR="00806163" w:rsidRPr="005C600C" w:rsidRDefault="00806163" w:rsidP="005C600C">
      <w:pPr>
        <w:spacing w:line="360" w:lineRule="auto"/>
        <w:ind w:firstLine="720"/>
      </w:pPr>
    </w:p>
    <w:sectPr w:rsidR="00806163" w:rsidRPr="005C600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040D45"/>
    <w:multiLevelType w:val="multilevel"/>
    <w:tmpl w:val="AA8C5C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640B38AA"/>
    <w:multiLevelType w:val="hybridMultilevel"/>
    <w:tmpl w:val="28966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9708286">
    <w:abstractNumId w:val="1"/>
  </w:num>
  <w:num w:numId="2" w16cid:durableId="170960475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C2A6E53"/>
    <w:rsid w:val="0002647D"/>
    <w:rsid w:val="000415DD"/>
    <w:rsid w:val="00047039"/>
    <w:rsid w:val="00051075"/>
    <w:rsid w:val="000643C1"/>
    <w:rsid w:val="000745AD"/>
    <w:rsid w:val="00076279"/>
    <w:rsid w:val="000A3208"/>
    <w:rsid w:val="000B540B"/>
    <w:rsid w:val="000B62DE"/>
    <w:rsid w:val="000B7D3A"/>
    <w:rsid w:val="000D3598"/>
    <w:rsid w:val="000D5CB6"/>
    <w:rsid w:val="000E3BE6"/>
    <w:rsid w:val="000F1AFC"/>
    <w:rsid w:val="0010151A"/>
    <w:rsid w:val="001017B7"/>
    <w:rsid w:val="001054BA"/>
    <w:rsid w:val="00123B2E"/>
    <w:rsid w:val="0013406E"/>
    <w:rsid w:val="00147B1C"/>
    <w:rsid w:val="00165CD3"/>
    <w:rsid w:val="00185C24"/>
    <w:rsid w:val="001905B6"/>
    <w:rsid w:val="001905E6"/>
    <w:rsid w:val="001E51FA"/>
    <w:rsid w:val="001E6B3C"/>
    <w:rsid w:val="001F595D"/>
    <w:rsid w:val="002055FC"/>
    <w:rsid w:val="002068C1"/>
    <w:rsid w:val="002127D1"/>
    <w:rsid w:val="00233CC0"/>
    <w:rsid w:val="00237590"/>
    <w:rsid w:val="00263CE5"/>
    <w:rsid w:val="00295C02"/>
    <w:rsid w:val="00296B0E"/>
    <w:rsid w:val="002B27AC"/>
    <w:rsid w:val="002D5970"/>
    <w:rsid w:val="002E2DA3"/>
    <w:rsid w:val="002F3761"/>
    <w:rsid w:val="0030554E"/>
    <w:rsid w:val="00310C9D"/>
    <w:rsid w:val="00311AA2"/>
    <w:rsid w:val="00314B91"/>
    <w:rsid w:val="00326176"/>
    <w:rsid w:val="0032679D"/>
    <w:rsid w:val="0033121A"/>
    <w:rsid w:val="00331DCE"/>
    <w:rsid w:val="00351B0B"/>
    <w:rsid w:val="003572ED"/>
    <w:rsid w:val="00360DAA"/>
    <w:rsid w:val="00367DEC"/>
    <w:rsid w:val="0037064F"/>
    <w:rsid w:val="00372B30"/>
    <w:rsid w:val="00385837"/>
    <w:rsid w:val="00395E4C"/>
    <w:rsid w:val="003A13C4"/>
    <w:rsid w:val="003B421B"/>
    <w:rsid w:val="003C709B"/>
    <w:rsid w:val="003D25F9"/>
    <w:rsid w:val="003E1F00"/>
    <w:rsid w:val="00403489"/>
    <w:rsid w:val="0040389E"/>
    <w:rsid w:val="00405B33"/>
    <w:rsid w:val="004162F2"/>
    <w:rsid w:val="00427720"/>
    <w:rsid w:val="0042774A"/>
    <w:rsid w:val="004338C2"/>
    <w:rsid w:val="004453DF"/>
    <w:rsid w:val="004519E7"/>
    <w:rsid w:val="00464963"/>
    <w:rsid w:val="00465ECA"/>
    <w:rsid w:val="0047286E"/>
    <w:rsid w:val="004819F2"/>
    <w:rsid w:val="004A0097"/>
    <w:rsid w:val="004A146D"/>
    <w:rsid w:val="004B39D3"/>
    <w:rsid w:val="004C3E73"/>
    <w:rsid w:val="004C75C7"/>
    <w:rsid w:val="004E40F6"/>
    <w:rsid w:val="004E4CEF"/>
    <w:rsid w:val="00511B1B"/>
    <w:rsid w:val="00520EE6"/>
    <w:rsid w:val="00532585"/>
    <w:rsid w:val="00554BCC"/>
    <w:rsid w:val="00584834"/>
    <w:rsid w:val="00596113"/>
    <w:rsid w:val="005B25AB"/>
    <w:rsid w:val="005C600C"/>
    <w:rsid w:val="005D17DA"/>
    <w:rsid w:val="005E1162"/>
    <w:rsid w:val="005E403E"/>
    <w:rsid w:val="005F6FE1"/>
    <w:rsid w:val="00642A49"/>
    <w:rsid w:val="00673B6B"/>
    <w:rsid w:val="006823F9"/>
    <w:rsid w:val="00683A8C"/>
    <w:rsid w:val="006854F5"/>
    <w:rsid w:val="006865D9"/>
    <w:rsid w:val="006A094C"/>
    <w:rsid w:val="006B0B05"/>
    <w:rsid w:val="006B1387"/>
    <w:rsid w:val="006C03B0"/>
    <w:rsid w:val="006C1D0A"/>
    <w:rsid w:val="006C2DC3"/>
    <w:rsid w:val="006C6249"/>
    <w:rsid w:val="006D21A6"/>
    <w:rsid w:val="006E5E5E"/>
    <w:rsid w:val="007027DA"/>
    <w:rsid w:val="0072056C"/>
    <w:rsid w:val="00730977"/>
    <w:rsid w:val="0074265C"/>
    <w:rsid w:val="00745086"/>
    <w:rsid w:val="0076480F"/>
    <w:rsid w:val="00776D61"/>
    <w:rsid w:val="007838F2"/>
    <w:rsid w:val="007A0B9C"/>
    <w:rsid w:val="007A6C35"/>
    <w:rsid w:val="007B0197"/>
    <w:rsid w:val="007C131F"/>
    <w:rsid w:val="007C3CA0"/>
    <w:rsid w:val="007D31D7"/>
    <w:rsid w:val="007E0B7C"/>
    <w:rsid w:val="007E2A26"/>
    <w:rsid w:val="007E52D6"/>
    <w:rsid w:val="007E7F9D"/>
    <w:rsid w:val="00800FF1"/>
    <w:rsid w:val="00806163"/>
    <w:rsid w:val="00813CB0"/>
    <w:rsid w:val="008142A1"/>
    <w:rsid w:val="00832CFD"/>
    <w:rsid w:val="00844CD5"/>
    <w:rsid w:val="00845DAA"/>
    <w:rsid w:val="00850CEE"/>
    <w:rsid w:val="0086070C"/>
    <w:rsid w:val="00861EAF"/>
    <w:rsid w:val="008851B3"/>
    <w:rsid w:val="00892C77"/>
    <w:rsid w:val="008A6C30"/>
    <w:rsid w:val="008B4827"/>
    <w:rsid w:val="008C34FE"/>
    <w:rsid w:val="008C4E26"/>
    <w:rsid w:val="008E4837"/>
    <w:rsid w:val="008F152A"/>
    <w:rsid w:val="0090524D"/>
    <w:rsid w:val="009060B9"/>
    <w:rsid w:val="00914604"/>
    <w:rsid w:val="009147C8"/>
    <w:rsid w:val="00915F33"/>
    <w:rsid w:val="009167CD"/>
    <w:rsid w:val="00924048"/>
    <w:rsid w:val="009258AC"/>
    <w:rsid w:val="009479A8"/>
    <w:rsid w:val="00951350"/>
    <w:rsid w:val="009559C9"/>
    <w:rsid w:val="0096282E"/>
    <w:rsid w:val="00966512"/>
    <w:rsid w:val="0096764F"/>
    <w:rsid w:val="009A0201"/>
    <w:rsid w:val="009A7043"/>
    <w:rsid w:val="009C19F8"/>
    <w:rsid w:val="009E1E11"/>
    <w:rsid w:val="009F439C"/>
    <w:rsid w:val="00A11E9F"/>
    <w:rsid w:val="00A16590"/>
    <w:rsid w:val="00A42E08"/>
    <w:rsid w:val="00A463A0"/>
    <w:rsid w:val="00A75E6C"/>
    <w:rsid w:val="00A9775B"/>
    <w:rsid w:val="00AA1F7A"/>
    <w:rsid w:val="00AB7DCA"/>
    <w:rsid w:val="00B05CA0"/>
    <w:rsid w:val="00B07839"/>
    <w:rsid w:val="00B11D8E"/>
    <w:rsid w:val="00B47836"/>
    <w:rsid w:val="00B51580"/>
    <w:rsid w:val="00B520F4"/>
    <w:rsid w:val="00B6502B"/>
    <w:rsid w:val="00B7030E"/>
    <w:rsid w:val="00B82D6A"/>
    <w:rsid w:val="00B934C7"/>
    <w:rsid w:val="00BC349C"/>
    <w:rsid w:val="00BC59C8"/>
    <w:rsid w:val="00BE5B39"/>
    <w:rsid w:val="00BF0AD7"/>
    <w:rsid w:val="00BF61C6"/>
    <w:rsid w:val="00C076A4"/>
    <w:rsid w:val="00C24462"/>
    <w:rsid w:val="00C36429"/>
    <w:rsid w:val="00C5080C"/>
    <w:rsid w:val="00C54314"/>
    <w:rsid w:val="00C64F13"/>
    <w:rsid w:val="00C77A2E"/>
    <w:rsid w:val="00C81E0F"/>
    <w:rsid w:val="00C83F72"/>
    <w:rsid w:val="00C84013"/>
    <w:rsid w:val="00CA4266"/>
    <w:rsid w:val="00CB16D8"/>
    <w:rsid w:val="00CD022D"/>
    <w:rsid w:val="00D14615"/>
    <w:rsid w:val="00D21554"/>
    <w:rsid w:val="00D269F0"/>
    <w:rsid w:val="00D350DA"/>
    <w:rsid w:val="00D504BC"/>
    <w:rsid w:val="00D7519F"/>
    <w:rsid w:val="00D828C0"/>
    <w:rsid w:val="00DC611F"/>
    <w:rsid w:val="00DD3614"/>
    <w:rsid w:val="00DD58E2"/>
    <w:rsid w:val="00DE23A4"/>
    <w:rsid w:val="00DF1B7E"/>
    <w:rsid w:val="00DF581B"/>
    <w:rsid w:val="00E0048C"/>
    <w:rsid w:val="00E01448"/>
    <w:rsid w:val="00E65B14"/>
    <w:rsid w:val="00E72A2E"/>
    <w:rsid w:val="00E75297"/>
    <w:rsid w:val="00E77965"/>
    <w:rsid w:val="00EA1516"/>
    <w:rsid w:val="00EC7912"/>
    <w:rsid w:val="00EE54C6"/>
    <w:rsid w:val="00EF39BB"/>
    <w:rsid w:val="00EF3B1F"/>
    <w:rsid w:val="00F120EC"/>
    <w:rsid w:val="00F25E2E"/>
    <w:rsid w:val="00F30375"/>
    <w:rsid w:val="00F33ADD"/>
    <w:rsid w:val="00F4079A"/>
    <w:rsid w:val="00F50690"/>
    <w:rsid w:val="00F76F3E"/>
    <w:rsid w:val="00F83039"/>
    <w:rsid w:val="00F93ABC"/>
    <w:rsid w:val="00FA4346"/>
    <w:rsid w:val="00FA7411"/>
    <w:rsid w:val="00FC1527"/>
    <w:rsid w:val="00FC75D3"/>
    <w:rsid w:val="00FE4258"/>
    <w:rsid w:val="00FE5CF8"/>
    <w:rsid w:val="00FF6BD1"/>
    <w:rsid w:val="2C2A6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2A6E53"/>
  <w15:chartTrackingRefBased/>
  <w15:docId w15:val="{7DF35C34-4B99-43D5-8480-BC7296164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rmalWeb">
    <w:name w:val="Normal (Web)"/>
    <w:basedOn w:val="Normal"/>
    <w:uiPriority w:val="99"/>
    <w:semiHidden/>
    <w:unhideWhenUsed/>
    <w:rsid w:val="0013406E"/>
    <w:rPr>
      <w:rFonts w:ascii="Times New Roman" w:hAnsi="Times New Roman" w:cs="Times New Roman"/>
    </w:rPr>
  </w:style>
  <w:style w:type="paragraph" w:styleId="ListParagraph">
    <w:name w:val="List Paragraph"/>
    <w:basedOn w:val="Normal"/>
    <w:uiPriority w:val="34"/>
    <w:qFormat/>
    <w:rsid w:val="00F33ADD"/>
    <w:pPr>
      <w:ind w:left="720"/>
      <w:contextualSpacing/>
    </w:pPr>
  </w:style>
  <w:style w:type="character" w:customStyle="1" w:styleId="rpv-coretext-layer-text">
    <w:name w:val="rpv-core__text-layer-text"/>
    <w:basedOn w:val="DefaultParagraphFont"/>
    <w:rsid w:val="00233CC0"/>
  </w:style>
  <w:style w:type="character" w:styleId="Hyperlink">
    <w:name w:val="Hyperlink"/>
    <w:basedOn w:val="DefaultParagraphFont"/>
    <w:uiPriority w:val="99"/>
    <w:unhideWhenUsed/>
    <w:rsid w:val="0086070C"/>
    <w:rPr>
      <w:color w:val="467886" w:themeColor="hyperlink"/>
      <w:u w:val="single"/>
    </w:rPr>
  </w:style>
  <w:style w:type="character" w:styleId="UnresolvedMention">
    <w:name w:val="Unresolved Mention"/>
    <w:basedOn w:val="DefaultParagraphFont"/>
    <w:uiPriority w:val="99"/>
    <w:semiHidden/>
    <w:unhideWhenUsed/>
    <w:rsid w:val="0086070C"/>
    <w:rPr>
      <w:color w:val="605E5C"/>
      <w:shd w:val="clear" w:color="auto" w:fill="E1DFDD"/>
    </w:rPr>
  </w:style>
  <w:style w:type="character" w:styleId="CommentReference">
    <w:name w:val="annotation reference"/>
    <w:basedOn w:val="DefaultParagraphFont"/>
    <w:uiPriority w:val="99"/>
    <w:semiHidden/>
    <w:unhideWhenUsed/>
    <w:rsid w:val="006B1387"/>
    <w:rPr>
      <w:sz w:val="16"/>
      <w:szCs w:val="16"/>
    </w:rPr>
  </w:style>
  <w:style w:type="paragraph" w:styleId="CommentText">
    <w:name w:val="annotation text"/>
    <w:basedOn w:val="Normal"/>
    <w:link w:val="CommentTextChar"/>
    <w:uiPriority w:val="99"/>
    <w:unhideWhenUsed/>
    <w:rsid w:val="006B1387"/>
    <w:pPr>
      <w:spacing w:line="240" w:lineRule="auto"/>
    </w:pPr>
    <w:rPr>
      <w:sz w:val="20"/>
      <w:szCs w:val="20"/>
    </w:rPr>
  </w:style>
  <w:style w:type="character" w:customStyle="1" w:styleId="CommentTextChar">
    <w:name w:val="Comment Text Char"/>
    <w:basedOn w:val="DefaultParagraphFont"/>
    <w:link w:val="CommentText"/>
    <w:uiPriority w:val="99"/>
    <w:rsid w:val="006B1387"/>
    <w:rPr>
      <w:sz w:val="20"/>
      <w:szCs w:val="20"/>
    </w:rPr>
  </w:style>
  <w:style w:type="paragraph" w:styleId="CommentSubject">
    <w:name w:val="annotation subject"/>
    <w:basedOn w:val="CommentText"/>
    <w:next w:val="CommentText"/>
    <w:link w:val="CommentSubjectChar"/>
    <w:uiPriority w:val="99"/>
    <w:semiHidden/>
    <w:unhideWhenUsed/>
    <w:rsid w:val="006B1387"/>
    <w:rPr>
      <w:b/>
      <w:bCs/>
    </w:rPr>
  </w:style>
  <w:style w:type="character" w:customStyle="1" w:styleId="CommentSubjectChar">
    <w:name w:val="Comment Subject Char"/>
    <w:basedOn w:val="CommentTextChar"/>
    <w:link w:val="CommentSubject"/>
    <w:uiPriority w:val="99"/>
    <w:semiHidden/>
    <w:rsid w:val="006B138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84106">
      <w:bodyDiv w:val="1"/>
      <w:marLeft w:val="0"/>
      <w:marRight w:val="0"/>
      <w:marTop w:val="0"/>
      <w:marBottom w:val="0"/>
      <w:divBdr>
        <w:top w:val="none" w:sz="0" w:space="0" w:color="auto"/>
        <w:left w:val="none" w:sz="0" w:space="0" w:color="auto"/>
        <w:bottom w:val="none" w:sz="0" w:space="0" w:color="auto"/>
        <w:right w:val="none" w:sz="0" w:space="0" w:color="auto"/>
      </w:divBdr>
    </w:div>
    <w:div w:id="115487200">
      <w:bodyDiv w:val="1"/>
      <w:marLeft w:val="0"/>
      <w:marRight w:val="0"/>
      <w:marTop w:val="0"/>
      <w:marBottom w:val="0"/>
      <w:divBdr>
        <w:top w:val="none" w:sz="0" w:space="0" w:color="auto"/>
        <w:left w:val="none" w:sz="0" w:space="0" w:color="auto"/>
        <w:bottom w:val="none" w:sz="0" w:space="0" w:color="auto"/>
        <w:right w:val="none" w:sz="0" w:space="0" w:color="auto"/>
      </w:divBdr>
    </w:div>
    <w:div w:id="169414916">
      <w:bodyDiv w:val="1"/>
      <w:marLeft w:val="0"/>
      <w:marRight w:val="0"/>
      <w:marTop w:val="0"/>
      <w:marBottom w:val="0"/>
      <w:divBdr>
        <w:top w:val="none" w:sz="0" w:space="0" w:color="auto"/>
        <w:left w:val="none" w:sz="0" w:space="0" w:color="auto"/>
        <w:bottom w:val="none" w:sz="0" w:space="0" w:color="auto"/>
        <w:right w:val="none" w:sz="0" w:space="0" w:color="auto"/>
      </w:divBdr>
    </w:div>
    <w:div w:id="226041741">
      <w:bodyDiv w:val="1"/>
      <w:marLeft w:val="0"/>
      <w:marRight w:val="0"/>
      <w:marTop w:val="0"/>
      <w:marBottom w:val="0"/>
      <w:divBdr>
        <w:top w:val="none" w:sz="0" w:space="0" w:color="auto"/>
        <w:left w:val="none" w:sz="0" w:space="0" w:color="auto"/>
        <w:bottom w:val="none" w:sz="0" w:space="0" w:color="auto"/>
        <w:right w:val="none" w:sz="0" w:space="0" w:color="auto"/>
      </w:divBdr>
    </w:div>
    <w:div w:id="226958869">
      <w:bodyDiv w:val="1"/>
      <w:marLeft w:val="0"/>
      <w:marRight w:val="0"/>
      <w:marTop w:val="0"/>
      <w:marBottom w:val="0"/>
      <w:divBdr>
        <w:top w:val="none" w:sz="0" w:space="0" w:color="auto"/>
        <w:left w:val="none" w:sz="0" w:space="0" w:color="auto"/>
        <w:bottom w:val="none" w:sz="0" w:space="0" w:color="auto"/>
        <w:right w:val="none" w:sz="0" w:space="0" w:color="auto"/>
      </w:divBdr>
    </w:div>
    <w:div w:id="234629530">
      <w:bodyDiv w:val="1"/>
      <w:marLeft w:val="0"/>
      <w:marRight w:val="0"/>
      <w:marTop w:val="0"/>
      <w:marBottom w:val="0"/>
      <w:divBdr>
        <w:top w:val="none" w:sz="0" w:space="0" w:color="auto"/>
        <w:left w:val="none" w:sz="0" w:space="0" w:color="auto"/>
        <w:bottom w:val="none" w:sz="0" w:space="0" w:color="auto"/>
        <w:right w:val="none" w:sz="0" w:space="0" w:color="auto"/>
      </w:divBdr>
      <w:divsChild>
        <w:div w:id="421024030">
          <w:marLeft w:val="-720"/>
          <w:marRight w:val="0"/>
          <w:marTop w:val="0"/>
          <w:marBottom w:val="0"/>
          <w:divBdr>
            <w:top w:val="none" w:sz="0" w:space="0" w:color="auto"/>
            <w:left w:val="none" w:sz="0" w:space="0" w:color="auto"/>
            <w:bottom w:val="none" w:sz="0" w:space="0" w:color="auto"/>
            <w:right w:val="none" w:sz="0" w:space="0" w:color="auto"/>
          </w:divBdr>
        </w:div>
      </w:divsChild>
    </w:div>
    <w:div w:id="239146118">
      <w:bodyDiv w:val="1"/>
      <w:marLeft w:val="0"/>
      <w:marRight w:val="0"/>
      <w:marTop w:val="0"/>
      <w:marBottom w:val="0"/>
      <w:divBdr>
        <w:top w:val="none" w:sz="0" w:space="0" w:color="auto"/>
        <w:left w:val="none" w:sz="0" w:space="0" w:color="auto"/>
        <w:bottom w:val="none" w:sz="0" w:space="0" w:color="auto"/>
        <w:right w:val="none" w:sz="0" w:space="0" w:color="auto"/>
      </w:divBdr>
    </w:div>
    <w:div w:id="247347535">
      <w:bodyDiv w:val="1"/>
      <w:marLeft w:val="0"/>
      <w:marRight w:val="0"/>
      <w:marTop w:val="0"/>
      <w:marBottom w:val="0"/>
      <w:divBdr>
        <w:top w:val="none" w:sz="0" w:space="0" w:color="auto"/>
        <w:left w:val="none" w:sz="0" w:space="0" w:color="auto"/>
        <w:bottom w:val="none" w:sz="0" w:space="0" w:color="auto"/>
        <w:right w:val="none" w:sz="0" w:space="0" w:color="auto"/>
      </w:divBdr>
    </w:div>
    <w:div w:id="286160009">
      <w:bodyDiv w:val="1"/>
      <w:marLeft w:val="0"/>
      <w:marRight w:val="0"/>
      <w:marTop w:val="0"/>
      <w:marBottom w:val="0"/>
      <w:divBdr>
        <w:top w:val="none" w:sz="0" w:space="0" w:color="auto"/>
        <w:left w:val="none" w:sz="0" w:space="0" w:color="auto"/>
        <w:bottom w:val="none" w:sz="0" w:space="0" w:color="auto"/>
        <w:right w:val="none" w:sz="0" w:space="0" w:color="auto"/>
      </w:divBdr>
    </w:div>
    <w:div w:id="343022247">
      <w:bodyDiv w:val="1"/>
      <w:marLeft w:val="0"/>
      <w:marRight w:val="0"/>
      <w:marTop w:val="0"/>
      <w:marBottom w:val="0"/>
      <w:divBdr>
        <w:top w:val="none" w:sz="0" w:space="0" w:color="auto"/>
        <w:left w:val="none" w:sz="0" w:space="0" w:color="auto"/>
        <w:bottom w:val="none" w:sz="0" w:space="0" w:color="auto"/>
        <w:right w:val="none" w:sz="0" w:space="0" w:color="auto"/>
      </w:divBdr>
    </w:div>
    <w:div w:id="362830995">
      <w:bodyDiv w:val="1"/>
      <w:marLeft w:val="0"/>
      <w:marRight w:val="0"/>
      <w:marTop w:val="0"/>
      <w:marBottom w:val="0"/>
      <w:divBdr>
        <w:top w:val="none" w:sz="0" w:space="0" w:color="auto"/>
        <w:left w:val="none" w:sz="0" w:space="0" w:color="auto"/>
        <w:bottom w:val="none" w:sz="0" w:space="0" w:color="auto"/>
        <w:right w:val="none" w:sz="0" w:space="0" w:color="auto"/>
      </w:divBdr>
    </w:div>
    <w:div w:id="425620222">
      <w:bodyDiv w:val="1"/>
      <w:marLeft w:val="0"/>
      <w:marRight w:val="0"/>
      <w:marTop w:val="0"/>
      <w:marBottom w:val="0"/>
      <w:divBdr>
        <w:top w:val="none" w:sz="0" w:space="0" w:color="auto"/>
        <w:left w:val="none" w:sz="0" w:space="0" w:color="auto"/>
        <w:bottom w:val="none" w:sz="0" w:space="0" w:color="auto"/>
        <w:right w:val="none" w:sz="0" w:space="0" w:color="auto"/>
      </w:divBdr>
    </w:div>
    <w:div w:id="443817026">
      <w:bodyDiv w:val="1"/>
      <w:marLeft w:val="0"/>
      <w:marRight w:val="0"/>
      <w:marTop w:val="0"/>
      <w:marBottom w:val="0"/>
      <w:divBdr>
        <w:top w:val="none" w:sz="0" w:space="0" w:color="auto"/>
        <w:left w:val="none" w:sz="0" w:space="0" w:color="auto"/>
        <w:bottom w:val="none" w:sz="0" w:space="0" w:color="auto"/>
        <w:right w:val="none" w:sz="0" w:space="0" w:color="auto"/>
      </w:divBdr>
    </w:div>
    <w:div w:id="479462404">
      <w:bodyDiv w:val="1"/>
      <w:marLeft w:val="0"/>
      <w:marRight w:val="0"/>
      <w:marTop w:val="0"/>
      <w:marBottom w:val="0"/>
      <w:divBdr>
        <w:top w:val="none" w:sz="0" w:space="0" w:color="auto"/>
        <w:left w:val="none" w:sz="0" w:space="0" w:color="auto"/>
        <w:bottom w:val="none" w:sz="0" w:space="0" w:color="auto"/>
        <w:right w:val="none" w:sz="0" w:space="0" w:color="auto"/>
      </w:divBdr>
    </w:div>
    <w:div w:id="592209380">
      <w:bodyDiv w:val="1"/>
      <w:marLeft w:val="0"/>
      <w:marRight w:val="0"/>
      <w:marTop w:val="0"/>
      <w:marBottom w:val="0"/>
      <w:divBdr>
        <w:top w:val="none" w:sz="0" w:space="0" w:color="auto"/>
        <w:left w:val="none" w:sz="0" w:space="0" w:color="auto"/>
        <w:bottom w:val="none" w:sz="0" w:space="0" w:color="auto"/>
        <w:right w:val="none" w:sz="0" w:space="0" w:color="auto"/>
      </w:divBdr>
    </w:div>
    <w:div w:id="595090118">
      <w:bodyDiv w:val="1"/>
      <w:marLeft w:val="0"/>
      <w:marRight w:val="0"/>
      <w:marTop w:val="0"/>
      <w:marBottom w:val="0"/>
      <w:divBdr>
        <w:top w:val="none" w:sz="0" w:space="0" w:color="auto"/>
        <w:left w:val="none" w:sz="0" w:space="0" w:color="auto"/>
        <w:bottom w:val="none" w:sz="0" w:space="0" w:color="auto"/>
        <w:right w:val="none" w:sz="0" w:space="0" w:color="auto"/>
      </w:divBdr>
    </w:div>
    <w:div w:id="633682683">
      <w:bodyDiv w:val="1"/>
      <w:marLeft w:val="0"/>
      <w:marRight w:val="0"/>
      <w:marTop w:val="0"/>
      <w:marBottom w:val="0"/>
      <w:divBdr>
        <w:top w:val="none" w:sz="0" w:space="0" w:color="auto"/>
        <w:left w:val="none" w:sz="0" w:space="0" w:color="auto"/>
        <w:bottom w:val="none" w:sz="0" w:space="0" w:color="auto"/>
        <w:right w:val="none" w:sz="0" w:space="0" w:color="auto"/>
      </w:divBdr>
    </w:div>
    <w:div w:id="644508756">
      <w:bodyDiv w:val="1"/>
      <w:marLeft w:val="0"/>
      <w:marRight w:val="0"/>
      <w:marTop w:val="0"/>
      <w:marBottom w:val="0"/>
      <w:divBdr>
        <w:top w:val="none" w:sz="0" w:space="0" w:color="auto"/>
        <w:left w:val="none" w:sz="0" w:space="0" w:color="auto"/>
        <w:bottom w:val="none" w:sz="0" w:space="0" w:color="auto"/>
        <w:right w:val="none" w:sz="0" w:space="0" w:color="auto"/>
      </w:divBdr>
    </w:div>
    <w:div w:id="722100701">
      <w:bodyDiv w:val="1"/>
      <w:marLeft w:val="0"/>
      <w:marRight w:val="0"/>
      <w:marTop w:val="0"/>
      <w:marBottom w:val="0"/>
      <w:divBdr>
        <w:top w:val="none" w:sz="0" w:space="0" w:color="auto"/>
        <w:left w:val="none" w:sz="0" w:space="0" w:color="auto"/>
        <w:bottom w:val="none" w:sz="0" w:space="0" w:color="auto"/>
        <w:right w:val="none" w:sz="0" w:space="0" w:color="auto"/>
      </w:divBdr>
    </w:div>
    <w:div w:id="831877379">
      <w:bodyDiv w:val="1"/>
      <w:marLeft w:val="0"/>
      <w:marRight w:val="0"/>
      <w:marTop w:val="0"/>
      <w:marBottom w:val="0"/>
      <w:divBdr>
        <w:top w:val="none" w:sz="0" w:space="0" w:color="auto"/>
        <w:left w:val="none" w:sz="0" w:space="0" w:color="auto"/>
        <w:bottom w:val="none" w:sz="0" w:space="0" w:color="auto"/>
        <w:right w:val="none" w:sz="0" w:space="0" w:color="auto"/>
      </w:divBdr>
    </w:div>
    <w:div w:id="858590174">
      <w:bodyDiv w:val="1"/>
      <w:marLeft w:val="0"/>
      <w:marRight w:val="0"/>
      <w:marTop w:val="0"/>
      <w:marBottom w:val="0"/>
      <w:divBdr>
        <w:top w:val="none" w:sz="0" w:space="0" w:color="auto"/>
        <w:left w:val="none" w:sz="0" w:space="0" w:color="auto"/>
        <w:bottom w:val="none" w:sz="0" w:space="0" w:color="auto"/>
        <w:right w:val="none" w:sz="0" w:space="0" w:color="auto"/>
      </w:divBdr>
    </w:div>
    <w:div w:id="876283309">
      <w:bodyDiv w:val="1"/>
      <w:marLeft w:val="0"/>
      <w:marRight w:val="0"/>
      <w:marTop w:val="0"/>
      <w:marBottom w:val="0"/>
      <w:divBdr>
        <w:top w:val="none" w:sz="0" w:space="0" w:color="auto"/>
        <w:left w:val="none" w:sz="0" w:space="0" w:color="auto"/>
        <w:bottom w:val="none" w:sz="0" w:space="0" w:color="auto"/>
        <w:right w:val="none" w:sz="0" w:space="0" w:color="auto"/>
      </w:divBdr>
    </w:div>
    <w:div w:id="1085764611">
      <w:bodyDiv w:val="1"/>
      <w:marLeft w:val="0"/>
      <w:marRight w:val="0"/>
      <w:marTop w:val="0"/>
      <w:marBottom w:val="0"/>
      <w:divBdr>
        <w:top w:val="none" w:sz="0" w:space="0" w:color="auto"/>
        <w:left w:val="none" w:sz="0" w:space="0" w:color="auto"/>
        <w:bottom w:val="none" w:sz="0" w:space="0" w:color="auto"/>
        <w:right w:val="none" w:sz="0" w:space="0" w:color="auto"/>
      </w:divBdr>
    </w:div>
    <w:div w:id="1095975126">
      <w:bodyDiv w:val="1"/>
      <w:marLeft w:val="0"/>
      <w:marRight w:val="0"/>
      <w:marTop w:val="0"/>
      <w:marBottom w:val="0"/>
      <w:divBdr>
        <w:top w:val="none" w:sz="0" w:space="0" w:color="auto"/>
        <w:left w:val="none" w:sz="0" w:space="0" w:color="auto"/>
        <w:bottom w:val="none" w:sz="0" w:space="0" w:color="auto"/>
        <w:right w:val="none" w:sz="0" w:space="0" w:color="auto"/>
      </w:divBdr>
    </w:div>
    <w:div w:id="1113398564">
      <w:bodyDiv w:val="1"/>
      <w:marLeft w:val="0"/>
      <w:marRight w:val="0"/>
      <w:marTop w:val="0"/>
      <w:marBottom w:val="0"/>
      <w:divBdr>
        <w:top w:val="none" w:sz="0" w:space="0" w:color="auto"/>
        <w:left w:val="none" w:sz="0" w:space="0" w:color="auto"/>
        <w:bottom w:val="none" w:sz="0" w:space="0" w:color="auto"/>
        <w:right w:val="none" w:sz="0" w:space="0" w:color="auto"/>
      </w:divBdr>
    </w:div>
    <w:div w:id="1129084973">
      <w:bodyDiv w:val="1"/>
      <w:marLeft w:val="0"/>
      <w:marRight w:val="0"/>
      <w:marTop w:val="0"/>
      <w:marBottom w:val="0"/>
      <w:divBdr>
        <w:top w:val="none" w:sz="0" w:space="0" w:color="auto"/>
        <w:left w:val="none" w:sz="0" w:space="0" w:color="auto"/>
        <w:bottom w:val="none" w:sz="0" w:space="0" w:color="auto"/>
        <w:right w:val="none" w:sz="0" w:space="0" w:color="auto"/>
      </w:divBdr>
    </w:div>
    <w:div w:id="1137644145">
      <w:bodyDiv w:val="1"/>
      <w:marLeft w:val="0"/>
      <w:marRight w:val="0"/>
      <w:marTop w:val="0"/>
      <w:marBottom w:val="0"/>
      <w:divBdr>
        <w:top w:val="none" w:sz="0" w:space="0" w:color="auto"/>
        <w:left w:val="none" w:sz="0" w:space="0" w:color="auto"/>
        <w:bottom w:val="none" w:sz="0" w:space="0" w:color="auto"/>
        <w:right w:val="none" w:sz="0" w:space="0" w:color="auto"/>
      </w:divBdr>
    </w:div>
    <w:div w:id="1153133883">
      <w:bodyDiv w:val="1"/>
      <w:marLeft w:val="0"/>
      <w:marRight w:val="0"/>
      <w:marTop w:val="0"/>
      <w:marBottom w:val="0"/>
      <w:divBdr>
        <w:top w:val="none" w:sz="0" w:space="0" w:color="auto"/>
        <w:left w:val="none" w:sz="0" w:space="0" w:color="auto"/>
        <w:bottom w:val="none" w:sz="0" w:space="0" w:color="auto"/>
        <w:right w:val="none" w:sz="0" w:space="0" w:color="auto"/>
      </w:divBdr>
      <w:divsChild>
        <w:div w:id="701050521">
          <w:marLeft w:val="-720"/>
          <w:marRight w:val="0"/>
          <w:marTop w:val="0"/>
          <w:marBottom w:val="0"/>
          <w:divBdr>
            <w:top w:val="none" w:sz="0" w:space="0" w:color="auto"/>
            <w:left w:val="none" w:sz="0" w:space="0" w:color="auto"/>
            <w:bottom w:val="none" w:sz="0" w:space="0" w:color="auto"/>
            <w:right w:val="none" w:sz="0" w:space="0" w:color="auto"/>
          </w:divBdr>
        </w:div>
      </w:divsChild>
    </w:div>
    <w:div w:id="1300919908">
      <w:bodyDiv w:val="1"/>
      <w:marLeft w:val="0"/>
      <w:marRight w:val="0"/>
      <w:marTop w:val="0"/>
      <w:marBottom w:val="0"/>
      <w:divBdr>
        <w:top w:val="none" w:sz="0" w:space="0" w:color="auto"/>
        <w:left w:val="none" w:sz="0" w:space="0" w:color="auto"/>
        <w:bottom w:val="none" w:sz="0" w:space="0" w:color="auto"/>
        <w:right w:val="none" w:sz="0" w:space="0" w:color="auto"/>
      </w:divBdr>
    </w:div>
    <w:div w:id="1315452148">
      <w:bodyDiv w:val="1"/>
      <w:marLeft w:val="0"/>
      <w:marRight w:val="0"/>
      <w:marTop w:val="0"/>
      <w:marBottom w:val="0"/>
      <w:divBdr>
        <w:top w:val="none" w:sz="0" w:space="0" w:color="auto"/>
        <w:left w:val="none" w:sz="0" w:space="0" w:color="auto"/>
        <w:bottom w:val="none" w:sz="0" w:space="0" w:color="auto"/>
        <w:right w:val="none" w:sz="0" w:space="0" w:color="auto"/>
      </w:divBdr>
      <w:divsChild>
        <w:div w:id="1394818334">
          <w:marLeft w:val="0"/>
          <w:marRight w:val="0"/>
          <w:marTop w:val="0"/>
          <w:marBottom w:val="0"/>
          <w:divBdr>
            <w:top w:val="none" w:sz="0" w:space="0" w:color="auto"/>
            <w:left w:val="none" w:sz="0" w:space="0" w:color="auto"/>
            <w:bottom w:val="none" w:sz="0" w:space="0" w:color="auto"/>
            <w:right w:val="none" w:sz="0" w:space="0" w:color="auto"/>
          </w:divBdr>
          <w:divsChild>
            <w:div w:id="1209338012">
              <w:marLeft w:val="0"/>
              <w:marRight w:val="0"/>
              <w:marTop w:val="0"/>
              <w:marBottom w:val="0"/>
              <w:divBdr>
                <w:top w:val="none" w:sz="0" w:space="0" w:color="auto"/>
                <w:left w:val="none" w:sz="0" w:space="0" w:color="auto"/>
                <w:bottom w:val="none" w:sz="0" w:space="0" w:color="auto"/>
                <w:right w:val="none" w:sz="0" w:space="0" w:color="auto"/>
              </w:divBdr>
              <w:divsChild>
                <w:div w:id="1839887063">
                  <w:marLeft w:val="0"/>
                  <w:marRight w:val="0"/>
                  <w:marTop w:val="0"/>
                  <w:marBottom w:val="0"/>
                  <w:divBdr>
                    <w:top w:val="none" w:sz="0" w:space="0" w:color="auto"/>
                    <w:left w:val="none" w:sz="0" w:space="0" w:color="auto"/>
                    <w:bottom w:val="none" w:sz="0" w:space="0" w:color="auto"/>
                    <w:right w:val="none" w:sz="0" w:space="0" w:color="auto"/>
                  </w:divBdr>
                  <w:divsChild>
                    <w:div w:id="518352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591348">
          <w:marLeft w:val="0"/>
          <w:marRight w:val="0"/>
          <w:marTop w:val="0"/>
          <w:marBottom w:val="0"/>
          <w:divBdr>
            <w:top w:val="none" w:sz="0" w:space="0" w:color="auto"/>
            <w:left w:val="none" w:sz="0" w:space="0" w:color="auto"/>
            <w:bottom w:val="none" w:sz="0" w:space="0" w:color="auto"/>
            <w:right w:val="none" w:sz="0" w:space="0" w:color="auto"/>
          </w:divBdr>
          <w:divsChild>
            <w:div w:id="1464422527">
              <w:marLeft w:val="0"/>
              <w:marRight w:val="0"/>
              <w:marTop w:val="0"/>
              <w:marBottom w:val="0"/>
              <w:divBdr>
                <w:top w:val="none" w:sz="0" w:space="0" w:color="auto"/>
                <w:left w:val="none" w:sz="0" w:space="0" w:color="auto"/>
                <w:bottom w:val="none" w:sz="0" w:space="0" w:color="auto"/>
                <w:right w:val="none" w:sz="0" w:space="0" w:color="auto"/>
              </w:divBdr>
              <w:divsChild>
                <w:div w:id="107899847">
                  <w:marLeft w:val="0"/>
                  <w:marRight w:val="0"/>
                  <w:marTop w:val="0"/>
                  <w:marBottom w:val="0"/>
                  <w:divBdr>
                    <w:top w:val="none" w:sz="0" w:space="0" w:color="auto"/>
                    <w:left w:val="none" w:sz="0" w:space="0" w:color="auto"/>
                    <w:bottom w:val="none" w:sz="0" w:space="0" w:color="auto"/>
                    <w:right w:val="none" w:sz="0" w:space="0" w:color="auto"/>
                  </w:divBdr>
                  <w:divsChild>
                    <w:div w:id="864947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6279179">
      <w:bodyDiv w:val="1"/>
      <w:marLeft w:val="0"/>
      <w:marRight w:val="0"/>
      <w:marTop w:val="0"/>
      <w:marBottom w:val="0"/>
      <w:divBdr>
        <w:top w:val="none" w:sz="0" w:space="0" w:color="auto"/>
        <w:left w:val="none" w:sz="0" w:space="0" w:color="auto"/>
        <w:bottom w:val="none" w:sz="0" w:space="0" w:color="auto"/>
        <w:right w:val="none" w:sz="0" w:space="0" w:color="auto"/>
      </w:divBdr>
    </w:div>
    <w:div w:id="1439177204">
      <w:bodyDiv w:val="1"/>
      <w:marLeft w:val="0"/>
      <w:marRight w:val="0"/>
      <w:marTop w:val="0"/>
      <w:marBottom w:val="0"/>
      <w:divBdr>
        <w:top w:val="none" w:sz="0" w:space="0" w:color="auto"/>
        <w:left w:val="none" w:sz="0" w:space="0" w:color="auto"/>
        <w:bottom w:val="none" w:sz="0" w:space="0" w:color="auto"/>
        <w:right w:val="none" w:sz="0" w:space="0" w:color="auto"/>
      </w:divBdr>
    </w:div>
    <w:div w:id="1532065765">
      <w:bodyDiv w:val="1"/>
      <w:marLeft w:val="0"/>
      <w:marRight w:val="0"/>
      <w:marTop w:val="0"/>
      <w:marBottom w:val="0"/>
      <w:divBdr>
        <w:top w:val="none" w:sz="0" w:space="0" w:color="auto"/>
        <w:left w:val="none" w:sz="0" w:space="0" w:color="auto"/>
        <w:bottom w:val="none" w:sz="0" w:space="0" w:color="auto"/>
        <w:right w:val="none" w:sz="0" w:space="0" w:color="auto"/>
      </w:divBdr>
    </w:div>
    <w:div w:id="1534999368">
      <w:bodyDiv w:val="1"/>
      <w:marLeft w:val="0"/>
      <w:marRight w:val="0"/>
      <w:marTop w:val="0"/>
      <w:marBottom w:val="0"/>
      <w:divBdr>
        <w:top w:val="none" w:sz="0" w:space="0" w:color="auto"/>
        <w:left w:val="none" w:sz="0" w:space="0" w:color="auto"/>
        <w:bottom w:val="none" w:sz="0" w:space="0" w:color="auto"/>
        <w:right w:val="none" w:sz="0" w:space="0" w:color="auto"/>
      </w:divBdr>
    </w:div>
    <w:div w:id="1574243289">
      <w:bodyDiv w:val="1"/>
      <w:marLeft w:val="0"/>
      <w:marRight w:val="0"/>
      <w:marTop w:val="0"/>
      <w:marBottom w:val="0"/>
      <w:divBdr>
        <w:top w:val="none" w:sz="0" w:space="0" w:color="auto"/>
        <w:left w:val="none" w:sz="0" w:space="0" w:color="auto"/>
        <w:bottom w:val="none" w:sz="0" w:space="0" w:color="auto"/>
        <w:right w:val="none" w:sz="0" w:space="0" w:color="auto"/>
      </w:divBdr>
    </w:div>
    <w:div w:id="1577402178">
      <w:bodyDiv w:val="1"/>
      <w:marLeft w:val="0"/>
      <w:marRight w:val="0"/>
      <w:marTop w:val="0"/>
      <w:marBottom w:val="0"/>
      <w:divBdr>
        <w:top w:val="none" w:sz="0" w:space="0" w:color="auto"/>
        <w:left w:val="none" w:sz="0" w:space="0" w:color="auto"/>
        <w:bottom w:val="none" w:sz="0" w:space="0" w:color="auto"/>
        <w:right w:val="none" w:sz="0" w:space="0" w:color="auto"/>
      </w:divBdr>
    </w:div>
    <w:div w:id="1698579647">
      <w:bodyDiv w:val="1"/>
      <w:marLeft w:val="0"/>
      <w:marRight w:val="0"/>
      <w:marTop w:val="0"/>
      <w:marBottom w:val="0"/>
      <w:divBdr>
        <w:top w:val="none" w:sz="0" w:space="0" w:color="auto"/>
        <w:left w:val="none" w:sz="0" w:space="0" w:color="auto"/>
        <w:bottom w:val="none" w:sz="0" w:space="0" w:color="auto"/>
        <w:right w:val="none" w:sz="0" w:space="0" w:color="auto"/>
      </w:divBdr>
    </w:div>
    <w:div w:id="1878394242">
      <w:bodyDiv w:val="1"/>
      <w:marLeft w:val="0"/>
      <w:marRight w:val="0"/>
      <w:marTop w:val="0"/>
      <w:marBottom w:val="0"/>
      <w:divBdr>
        <w:top w:val="none" w:sz="0" w:space="0" w:color="auto"/>
        <w:left w:val="none" w:sz="0" w:space="0" w:color="auto"/>
        <w:bottom w:val="none" w:sz="0" w:space="0" w:color="auto"/>
        <w:right w:val="none" w:sz="0" w:space="0" w:color="auto"/>
      </w:divBdr>
    </w:div>
    <w:div w:id="1881087498">
      <w:bodyDiv w:val="1"/>
      <w:marLeft w:val="0"/>
      <w:marRight w:val="0"/>
      <w:marTop w:val="0"/>
      <w:marBottom w:val="0"/>
      <w:divBdr>
        <w:top w:val="none" w:sz="0" w:space="0" w:color="auto"/>
        <w:left w:val="none" w:sz="0" w:space="0" w:color="auto"/>
        <w:bottom w:val="none" w:sz="0" w:space="0" w:color="auto"/>
        <w:right w:val="none" w:sz="0" w:space="0" w:color="auto"/>
      </w:divBdr>
      <w:divsChild>
        <w:div w:id="1949002138">
          <w:marLeft w:val="-720"/>
          <w:marRight w:val="0"/>
          <w:marTop w:val="0"/>
          <w:marBottom w:val="0"/>
          <w:divBdr>
            <w:top w:val="none" w:sz="0" w:space="0" w:color="auto"/>
            <w:left w:val="none" w:sz="0" w:space="0" w:color="auto"/>
            <w:bottom w:val="none" w:sz="0" w:space="0" w:color="auto"/>
            <w:right w:val="none" w:sz="0" w:space="0" w:color="auto"/>
          </w:divBdr>
        </w:div>
      </w:divsChild>
    </w:div>
    <w:div w:id="1949657825">
      <w:bodyDiv w:val="1"/>
      <w:marLeft w:val="0"/>
      <w:marRight w:val="0"/>
      <w:marTop w:val="0"/>
      <w:marBottom w:val="0"/>
      <w:divBdr>
        <w:top w:val="none" w:sz="0" w:space="0" w:color="auto"/>
        <w:left w:val="none" w:sz="0" w:space="0" w:color="auto"/>
        <w:bottom w:val="none" w:sz="0" w:space="0" w:color="auto"/>
        <w:right w:val="none" w:sz="0" w:space="0" w:color="auto"/>
      </w:divBdr>
      <w:divsChild>
        <w:div w:id="324432269">
          <w:marLeft w:val="0"/>
          <w:marRight w:val="0"/>
          <w:marTop w:val="0"/>
          <w:marBottom w:val="0"/>
          <w:divBdr>
            <w:top w:val="none" w:sz="0" w:space="0" w:color="auto"/>
            <w:left w:val="none" w:sz="0" w:space="0" w:color="auto"/>
            <w:bottom w:val="none" w:sz="0" w:space="0" w:color="auto"/>
            <w:right w:val="none" w:sz="0" w:space="0" w:color="auto"/>
          </w:divBdr>
          <w:divsChild>
            <w:div w:id="1443305864">
              <w:marLeft w:val="0"/>
              <w:marRight w:val="0"/>
              <w:marTop w:val="0"/>
              <w:marBottom w:val="0"/>
              <w:divBdr>
                <w:top w:val="none" w:sz="0" w:space="0" w:color="auto"/>
                <w:left w:val="none" w:sz="0" w:space="0" w:color="auto"/>
                <w:bottom w:val="none" w:sz="0" w:space="0" w:color="auto"/>
                <w:right w:val="none" w:sz="0" w:space="0" w:color="auto"/>
              </w:divBdr>
              <w:divsChild>
                <w:div w:id="1697121579">
                  <w:marLeft w:val="0"/>
                  <w:marRight w:val="0"/>
                  <w:marTop w:val="0"/>
                  <w:marBottom w:val="0"/>
                  <w:divBdr>
                    <w:top w:val="none" w:sz="0" w:space="0" w:color="auto"/>
                    <w:left w:val="none" w:sz="0" w:space="0" w:color="auto"/>
                    <w:bottom w:val="none" w:sz="0" w:space="0" w:color="auto"/>
                    <w:right w:val="none" w:sz="0" w:space="0" w:color="auto"/>
                  </w:divBdr>
                  <w:divsChild>
                    <w:div w:id="155041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6825123">
          <w:marLeft w:val="0"/>
          <w:marRight w:val="0"/>
          <w:marTop w:val="0"/>
          <w:marBottom w:val="0"/>
          <w:divBdr>
            <w:top w:val="none" w:sz="0" w:space="0" w:color="auto"/>
            <w:left w:val="none" w:sz="0" w:space="0" w:color="auto"/>
            <w:bottom w:val="none" w:sz="0" w:space="0" w:color="auto"/>
            <w:right w:val="none" w:sz="0" w:space="0" w:color="auto"/>
          </w:divBdr>
          <w:divsChild>
            <w:div w:id="216935739">
              <w:marLeft w:val="0"/>
              <w:marRight w:val="0"/>
              <w:marTop w:val="0"/>
              <w:marBottom w:val="0"/>
              <w:divBdr>
                <w:top w:val="none" w:sz="0" w:space="0" w:color="auto"/>
                <w:left w:val="none" w:sz="0" w:space="0" w:color="auto"/>
                <w:bottom w:val="none" w:sz="0" w:space="0" w:color="auto"/>
                <w:right w:val="none" w:sz="0" w:space="0" w:color="auto"/>
              </w:divBdr>
              <w:divsChild>
                <w:div w:id="1088424811">
                  <w:marLeft w:val="0"/>
                  <w:marRight w:val="0"/>
                  <w:marTop w:val="0"/>
                  <w:marBottom w:val="0"/>
                  <w:divBdr>
                    <w:top w:val="none" w:sz="0" w:space="0" w:color="auto"/>
                    <w:left w:val="none" w:sz="0" w:space="0" w:color="auto"/>
                    <w:bottom w:val="none" w:sz="0" w:space="0" w:color="auto"/>
                    <w:right w:val="none" w:sz="0" w:space="0" w:color="auto"/>
                  </w:divBdr>
                  <w:divsChild>
                    <w:div w:id="1620330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28946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007/s10964-005-9014-5" TargetMode="External"/><Relationship Id="rId5" Type="http://schemas.openxmlformats.org/officeDocument/2006/relationships/hyperlink" Target="https://doi.org/10.1016/j.maturitas.2018.04.014"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2152</TotalTime>
  <Pages>10</Pages>
  <Words>2623</Words>
  <Characters>15871</Characters>
  <Application>Microsoft Office Word</Application>
  <DocSecurity>0</DocSecurity>
  <Lines>268</Lines>
  <Paragraphs>44</Paragraphs>
  <ScaleCrop>false</ScaleCrop>
  <Company/>
  <LinksUpToDate>false</LinksUpToDate>
  <CharactersWithSpaces>18438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Shaheena Kenyon (2219390)</dc:creator>
  <cp:keywords/>
  <dc:description/>
  <cp:lastModifiedBy>Shaheena Kenyon</cp:lastModifiedBy>
  <cp:revision>242</cp:revision>
  <dcterms:created xsi:type="dcterms:W3CDTF">2024-04-15T11:31:00Z</dcterms:created>
  <dcterms:modified xsi:type="dcterms:W3CDTF">2024-04-30T19:07:00Z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bd2249602159e6f49c7335dbcac0051c8a931c8c6f71161cca25e5d68ff4b51f</vt:lpwstr>
  </property>
</Properties>
</file>