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38FA3" w14:textId="59764AD8" w:rsidR="00B54D12" w:rsidRPr="0009063C" w:rsidRDefault="006E766F" w:rsidP="0009063C">
      <w:pPr>
        <w:spacing w:line="480" w:lineRule="auto"/>
        <w:ind w:firstLine="720"/>
        <w:rPr>
          <w:sz w:val="24"/>
          <w:szCs w:val="24"/>
        </w:rPr>
      </w:pPr>
      <w:bookmarkStart w:id="0" w:name="_GoBack"/>
      <w:r w:rsidRPr="0009063C">
        <w:rPr>
          <w:sz w:val="24"/>
          <w:szCs w:val="24"/>
          <w:lang w:val="en-US"/>
        </w:rPr>
        <w:t>For this review, I will be reviewing the article “Blank Spaces and Secret Histories: Questions of Historiographic Epistemology in Medieval China” by Jack W. Chan.</w:t>
      </w:r>
      <w:r w:rsidR="00104FA2" w:rsidRPr="0009063C">
        <w:rPr>
          <w:rStyle w:val="FootnoteReference"/>
          <w:sz w:val="24"/>
          <w:szCs w:val="24"/>
          <w:lang w:val="en-US"/>
        </w:rPr>
        <w:footnoteReference w:id="1"/>
      </w:r>
      <w:r w:rsidRPr="0009063C">
        <w:rPr>
          <w:sz w:val="24"/>
          <w:szCs w:val="24"/>
          <w:lang w:val="en-US"/>
        </w:rPr>
        <w:t xml:space="preserve"> The article was published in 2010 in The Journal of Asian Studies. The journal has been in publication for over 75 years and focuses on “</w:t>
      </w:r>
      <w:r w:rsidRPr="0009063C">
        <w:rPr>
          <w:sz w:val="24"/>
          <w:szCs w:val="24"/>
        </w:rPr>
        <w:t>empirical and multidisciplinary work on Asia, spanning the arts, history, literature, the social sciences, and cultural studies.”</w:t>
      </w:r>
      <w:r w:rsidRPr="0009063C">
        <w:rPr>
          <w:rStyle w:val="FootnoteReference"/>
          <w:sz w:val="24"/>
          <w:szCs w:val="24"/>
        </w:rPr>
        <w:footnoteReference w:id="2"/>
      </w:r>
      <w:r w:rsidR="00C7521F" w:rsidRPr="0009063C">
        <w:rPr>
          <w:sz w:val="24"/>
          <w:szCs w:val="24"/>
        </w:rPr>
        <w:t xml:space="preserve"> The article aims to outline the </w:t>
      </w:r>
      <w:r w:rsidR="00B54D12" w:rsidRPr="0009063C">
        <w:rPr>
          <w:sz w:val="24"/>
          <w:szCs w:val="24"/>
        </w:rPr>
        <w:t>use</w:t>
      </w:r>
      <w:r w:rsidR="00C7521F" w:rsidRPr="0009063C">
        <w:rPr>
          <w:sz w:val="24"/>
          <w:szCs w:val="24"/>
        </w:rPr>
        <w:t xml:space="preserve"> of gossip and anecdote in Chinese histories and historiographies. This is accomplished in a well-developed argument in which Chan submits several examples from different sources in which anecdotes and gossip are used to differing extents</w:t>
      </w:r>
      <w:r w:rsidR="00181A72" w:rsidRPr="0009063C">
        <w:rPr>
          <w:sz w:val="24"/>
          <w:szCs w:val="24"/>
        </w:rPr>
        <w:t>. Throughout the article Chan</w:t>
      </w:r>
      <w:r w:rsidR="00C7521F" w:rsidRPr="0009063C">
        <w:rPr>
          <w:sz w:val="24"/>
          <w:szCs w:val="24"/>
        </w:rPr>
        <w:t xml:space="preserve"> uses language that </w:t>
      </w:r>
      <w:r w:rsidR="00D46231" w:rsidRPr="0009063C">
        <w:rPr>
          <w:sz w:val="24"/>
          <w:szCs w:val="24"/>
        </w:rPr>
        <w:t>a newcomer to the subject will not find off-putting</w:t>
      </w:r>
      <w:r w:rsidR="008708E7">
        <w:rPr>
          <w:sz w:val="24"/>
          <w:szCs w:val="24"/>
        </w:rPr>
        <w:t>;</w:t>
      </w:r>
      <w:r w:rsidR="00181A72" w:rsidRPr="0009063C">
        <w:rPr>
          <w:sz w:val="24"/>
          <w:szCs w:val="24"/>
        </w:rPr>
        <w:t xml:space="preserve"> and although the names and books mentioned might seem unfamiliar, Chan deals with these inclusions in a way that eases the reader into the example. Regarding the inclusion of primary and secondary material, Chan has implemented both exceedingly well, referring to modern scholars, such as Allen, Dunbar and Lee, while including references to the ancient texts such as Confucius’ </w:t>
      </w:r>
      <w:r w:rsidR="00181A72" w:rsidRPr="0009063C">
        <w:rPr>
          <w:i/>
          <w:iCs/>
          <w:sz w:val="24"/>
          <w:szCs w:val="24"/>
        </w:rPr>
        <w:t>Chunqiu</w:t>
      </w:r>
      <w:r w:rsidR="00181A72" w:rsidRPr="0009063C">
        <w:rPr>
          <w:sz w:val="24"/>
          <w:szCs w:val="24"/>
        </w:rPr>
        <w:t xml:space="preserve"> and Ouyang Xiu’s work to name a few.</w:t>
      </w:r>
      <w:r w:rsidR="00EE2B6E" w:rsidRPr="0009063C">
        <w:rPr>
          <w:sz w:val="24"/>
          <w:szCs w:val="24"/>
        </w:rPr>
        <w:t xml:space="preserve"> These primary materials are dotted throughout the material in a manner which suits the nature of the article. It should be noted however, that occasionally Chan includes entire passages from histories, such as a story from the </w:t>
      </w:r>
      <w:r w:rsidR="00EE2B6E" w:rsidRPr="0009063C">
        <w:rPr>
          <w:i/>
          <w:iCs/>
          <w:sz w:val="24"/>
          <w:szCs w:val="24"/>
        </w:rPr>
        <w:t>Xin Tang Shu</w:t>
      </w:r>
      <w:r w:rsidR="00EE2B6E" w:rsidRPr="0009063C">
        <w:rPr>
          <w:sz w:val="24"/>
          <w:szCs w:val="24"/>
        </w:rPr>
        <w:t xml:space="preserve">, which is retold over an entire page. Although the story used demonstrates Chan’s point he is making at the time, I believe it could have been implemented in a more concise manner. </w:t>
      </w:r>
      <w:r w:rsidR="006A33AC" w:rsidRPr="0009063C">
        <w:rPr>
          <w:sz w:val="24"/>
          <w:szCs w:val="24"/>
        </w:rPr>
        <w:t xml:space="preserve">Another example of this can be found in pages 1084-1086 in which Chan retells the Tang era tale of Li Yi. There is a small amount of analysis, but the bulk of the three pages is story. </w:t>
      </w:r>
    </w:p>
    <w:p w14:paraId="246F3AEA" w14:textId="05518749" w:rsidR="00C7521F" w:rsidRPr="0009063C" w:rsidRDefault="004E6BA2" w:rsidP="0009063C">
      <w:pPr>
        <w:spacing w:line="480" w:lineRule="auto"/>
        <w:ind w:firstLine="720"/>
        <w:rPr>
          <w:sz w:val="24"/>
          <w:szCs w:val="24"/>
        </w:rPr>
      </w:pPr>
      <w:r w:rsidRPr="0009063C">
        <w:rPr>
          <w:sz w:val="24"/>
          <w:szCs w:val="24"/>
        </w:rPr>
        <w:lastRenderedPageBreak/>
        <w:t xml:space="preserve">Throughout the article, Chan is quick to remember that gossip and anecdotal evidence are </w:t>
      </w:r>
      <w:r w:rsidR="00287B7B" w:rsidRPr="0009063C">
        <w:rPr>
          <w:sz w:val="24"/>
          <w:szCs w:val="24"/>
        </w:rPr>
        <w:t xml:space="preserve">difficult to incorporate into both legal documents and parliamentary records. Chan notes that both forms of communication are “abundant </w:t>
      </w:r>
      <w:r w:rsidR="0024543A" w:rsidRPr="0009063C">
        <w:rPr>
          <w:sz w:val="24"/>
          <w:szCs w:val="24"/>
        </w:rPr>
        <w:t>hearsay</w:t>
      </w:r>
      <w:r w:rsidR="00287B7B" w:rsidRPr="0009063C">
        <w:rPr>
          <w:sz w:val="24"/>
          <w:szCs w:val="24"/>
        </w:rPr>
        <w:t>”</w:t>
      </w:r>
      <w:r w:rsidR="00287B7B" w:rsidRPr="0009063C">
        <w:rPr>
          <w:rStyle w:val="FootnoteReference"/>
          <w:sz w:val="24"/>
          <w:szCs w:val="24"/>
        </w:rPr>
        <w:footnoteReference w:id="3"/>
      </w:r>
      <w:r w:rsidR="00287B7B" w:rsidRPr="0009063C">
        <w:rPr>
          <w:sz w:val="24"/>
          <w:szCs w:val="24"/>
        </w:rPr>
        <w:t xml:space="preserve"> meaning that they should not be regarded as fact. The primary problem with gossip, as stated by Chan is that “the motivations of anecdote might not be born our of a desire to tell the factual truth.”</w:t>
      </w:r>
      <w:r w:rsidR="00287B7B" w:rsidRPr="0009063C">
        <w:rPr>
          <w:rStyle w:val="FootnoteReference"/>
          <w:sz w:val="24"/>
          <w:szCs w:val="24"/>
        </w:rPr>
        <w:footnoteReference w:id="4"/>
      </w:r>
      <w:r w:rsidR="00287B7B" w:rsidRPr="0009063C">
        <w:rPr>
          <w:sz w:val="24"/>
          <w:szCs w:val="24"/>
        </w:rPr>
        <w:t xml:space="preserve"> Someone telling an anecdote might increase the importance of their role in the anecdote, or insert a fabrication that in reality did not happen</w:t>
      </w:r>
      <w:r w:rsidR="006A33AC" w:rsidRPr="0009063C">
        <w:rPr>
          <w:sz w:val="24"/>
          <w:szCs w:val="24"/>
        </w:rPr>
        <w:t xml:space="preserve">. </w:t>
      </w:r>
      <w:r w:rsidR="00287B7B" w:rsidRPr="0009063C">
        <w:rPr>
          <w:sz w:val="24"/>
          <w:szCs w:val="24"/>
        </w:rPr>
        <w:t>Chan notes that there could be the possibility of slipping into “fictionalization of personal opinion.”</w:t>
      </w:r>
      <w:r w:rsidR="00287B7B" w:rsidRPr="0009063C">
        <w:rPr>
          <w:rStyle w:val="FootnoteReference"/>
          <w:sz w:val="24"/>
          <w:szCs w:val="24"/>
        </w:rPr>
        <w:footnoteReference w:id="5"/>
      </w:r>
      <w:r w:rsidR="00287B7B" w:rsidRPr="0009063C">
        <w:rPr>
          <w:sz w:val="24"/>
          <w:szCs w:val="24"/>
        </w:rPr>
        <w:t xml:space="preserve"> To further this statement, Chan reminds us of the </w:t>
      </w:r>
      <w:r w:rsidR="00287B7B" w:rsidRPr="0009063C">
        <w:rPr>
          <w:i/>
          <w:iCs/>
          <w:sz w:val="24"/>
          <w:szCs w:val="24"/>
        </w:rPr>
        <w:t>Han Shu</w:t>
      </w:r>
      <w:r w:rsidR="00287B7B" w:rsidRPr="0009063C">
        <w:rPr>
          <w:sz w:val="24"/>
          <w:szCs w:val="24"/>
        </w:rPr>
        <w:t>, in which is written: “The scribe of the left recorded words; the scribe of the right recorded events.”</w:t>
      </w:r>
      <w:r w:rsidR="00287B7B" w:rsidRPr="0009063C">
        <w:rPr>
          <w:rStyle w:val="FootnoteReference"/>
          <w:sz w:val="24"/>
          <w:szCs w:val="24"/>
        </w:rPr>
        <w:footnoteReference w:id="6"/>
      </w:r>
      <w:r w:rsidR="00287B7B" w:rsidRPr="0009063C">
        <w:rPr>
          <w:sz w:val="24"/>
          <w:szCs w:val="24"/>
        </w:rPr>
        <w:t xml:space="preserve"> In this statement Ban Gu is referring to the King’s scribal officials. These officials were necessary to record everything as it happened, so that gossip, anecdote or </w:t>
      </w:r>
      <w:proofErr w:type="gramStart"/>
      <w:r w:rsidR="00287B7B" w:rsidRPr="0009063C">
        <w:rPr>
          <w:sz w:val="24"/>
          <w:szCs w:val="24"/>
        </w:rPr>
        <w:t>personal opinion</w:t>
      </w:r>
      <w:proofErr w:type="gramEnd"/>
      <w:r w:rsidR="00287B7B" w:rsidRPr="0009063C">
        <w:rPr>
          <w:sz w:val="24"/>
          <w:szCs w:val="24"/>
        </w:rPr>
        <w:t xml:space="preserve"> did not make it into the official records. However, by simply stating the events that occurred word for word, the resulting histories become incredibly boring. Chan identifies that sometimes it was necessary to include some meat on the bones of the facts. </w:t>
      </w:r>
    </w:p>
    <w:p w14:paraId="48A82BF6" w14:textId="46099F3E" w:rsidR="00177704" w:rsidRPr="0009063C" w:rsidRDefault="00287B7B" w:rsidP="003F1C10">
      <w:pPr>
        <w:spacing w:line="480" w:lineRule="auto"/>
        <w:ind w:firstLine="720"/>
        <w:rPr>
          <w:sz w:val="24"/>
          <w:szCs w:val="24"/>
        </w:rPr>
      </w:pPr>
      <w:r w:rsidRPr="0009063C">
        <w:rPr>
          <w:sz w:val="24"/>
          <w:szCs w:val="24"/>
        </w:rPr>
        <w:t>One of the key points of the article is that anecdote and gossip “put flesh on the bones of analytic factuality.”</w:t>
      </w:r>
      <w:r w:rsidRPr="0009063C">
        <w:rPr>
          <w:rStyle w:val="FootnoteReference"/>
          <w:sz w:val="24"/>
          <w:szCs w:val="24"/>
        </w:rPr>
        <w:footnoteReference w:id="7"/>
      </w:r>
      <w:r w:rsidRPr="0009063C">
        <w:rPr>
          <w:sz w:val="24"/>
          <w:szCs w:val="24"/>
        </w:rPr>
        <w:t xml:space="preserve"> This is the argument that flows throughout the article, and one which Chan presents a convincing argument for. One of the most significant pieces of supporting evidence that Chan utilises is the biography of the poet Meng </w:t>
      </w:r>
      <w:proofErr w:type="spellStart"/>
      <w:r w:rsidRPr="0009063C">
        <w:rPr>
          <w:sz w:val="24"/>
          <w:szCs w:val="24"/>
        </w:rPr>
        <w:t>Haoren</w:t>
      </w:r>
      <w:proofErr w:type="spellEnd"/>
      <w:r w:rsidRPr="0009063C">
        <w:rPr>
          <w:sz w:val="24"/>
          <w:szCs w:val="24"/>
        </w:rPr>
        <w:t>. He uses two books, the</w:t>
      </w:r>
      <w:r w:rsidRPr="0009063C">
        <w:rPr>
          <w:i/>
          <w:iCs/>
          <w:sz w:val="24"/>
          <w:szCs w:val="24"/>
        </w:rPr>
        <w:t xml:space="preserve"> Jiu Tang Shu </w:t>
      </w:r>
      <w:r w:rsidRPr="0009063C">
        <w:rPr>
          <w:sz w:val="24"/>
          <w:szCs w:val="24"/>
        </w:rPr>
        <w:t>–</w:t>
      </w:r>
      <w:r w:rsidRPr="0009063C">
        <w:rPr>
          <w:i/>
          <w:iCs/>
          <w:sz w:val="24"/>
          <w:szCs w:val="24"/>
        </w:rPr>
        <w:t>The Old Book of Tang</w:t>
      </w:r>
      <w:r w:rsidRPr="0009063C">
        <w:rPr>
          <w:sz w:val="24"/>
          <w:szCs w:val="24"/>
        </w:rPr>
        <w:t xml:space="preserve">, written </w:t>
      </w:r>
      <w:r w:rsidRPr="0009063C">
        <w:rPr>
          <w:i/>
          <w:iCs/>
          <w:sz w:val="24"/>
          <w:szCs w:val="24"/>
        </w:rPr>
        <w:t>circa</w:t>
      </w:r>
      <w:r w:rsidRPr="0009063C">
        <w:rPr>
          <w:sz w:val="24"/>
          <w:szCs w:val="24"/>
        </w:rPr>
        <w:t xml:space="preserve"> 945 – and the </w:t>
      </w:r>
      <w:r w:rsidRPr="0009063C">
        <w:rPr>
          <w:i/>
          <w:iCs/>
          <w:sz w:val="24"/>
          <w:szCs w:val="24"/>
        </w:rPr>
        <w:t xml:space="preserve">Xin Tang Shu – The New Book of Tang, </w:t>
      </w:r>
      <w:r w:rsidRPr="0009063C">
        <w:rPr>
          <w:sz w:val="24"/>
          <w:szCs w:val="24"/>
        </w:rPr>
        <w:t xml:space="preserve">written </w:t>
      </w:r>
      <w:r w:rsidRPr="0009063C">
        <w:rPr>
          <w:i/>
          <w:iCs/>
          <w:sz w:val="24"/>
          <w:szCs w:val="24"/>
        </w:rPr>
        <w:t>circa</w:t>
      </w:r>
      <w:r w:rsidRPr="0009063C">
        <w:rPr>
          <w:sz w:val="24"/>
          <w:szCs w:val="24"/>
        </w:rPr>
        <w:t xml:space="preserve"> 1060. In relation to Gossip, Chan uses the same </w:t>
      </w:r>
      <w:r w:rsidRPr="0009063C">
        <w:rPr>
          <w:sz w:val="24"/>
          <w:szCs w:val="24"/>
        </w:rPr>
        <w:lastRenderedPageBreak/>
        <w:t xml:space="preserve">biography which in the </w:t>
      </w:r>
      <w:r w:rsidRPr="0009063C">
        <w:rPr>
          <w:i/>
          <w:iCs/>
          <w:sz w:val="24"/>
          <w:szCs w:val="24"/>
        </w:rPr>
        <w:t>Xin Tang Shu</w:t>
      </w:r>
      <w:r w:rsidRPr="0009063C">
        <w:rPr>
          <w:sz w:val="24"/>
          <w:szCs w:val="24"/>
        </w:rPr>
        <w:t xml:space="preserve"> contains much more anecdotal and decorative information, to show that the time they were written allowed the author to include more information. Chan writes: “The Song historians … had the luxury of time and social stability.”</w:t>
      </w:r>
      <w:r w:rsidRPr="0009063C">
        <w:rPr>
          <w:rStyle w:val="FootnoteReference"/>
          <w:sz w:val="24"/>
          <w:szCs w:val="24"/>
        </w:rPr>
        <w:footnoteReference w:id="8"/>
      </w:r>
      <w:r w:rsidRPr="0009063C">
        <w:rPr>
          <w:sz w:val="24"/>
          <w:szCs w:val="24"/>
        </w:rPr>
        <w:t xml:space="preserve"> Whereas during the Five Dynasties, “There was little [anecdotes and gossip] available for them to use”</w:t>
      </w:r>
      <w:r w:rsidRPr="0009063C">
        <w:rPr>
          <w:rStyle w:val="FootnoteReference"/>
          <w:sz w:val="24"/>
          <w:szCs w:val="24"/>
        </w:rPr>
        <w:footnoteReference w:id="9"/>
      </w:r>
      <w:r w:rsidRPr="0009063C">
        <w:rPr>
          <w:sz w:val="24"/>
          <w:szCs w:val="24"/>
        </w:rPr>
        <w:t xml:space="preserve"> because the country was in turmoil. For me, this is where Chan’s argument shines. There is a time and a place for gossip and for anecdotes, as Chan states in the introduction. If you were to plot on a graph the use of anecdotes and the socio-political stability of the country, there would be a direct correlation: more stability leads to more anecdotes. </w:t>
      </w:r>
      <w:r w:rsidR="008708E7">
        <w:rPr>
          <w:sz w:val="24"/>
          <w:szCs w:val="24"/>
        </w:rPr>
        <w:t xml:space="preserve">For the Song dynasty, this stability came after a period of war, particularly the battle of </w:t>
      </w:r>
      <w:proofErr w:type="spellStart"/>
      <w:r w:rsidR="008708E7">
        <w:rPr>
          <w:sz w:val="24"/>
          <w:szCs w:val="24"/>
        </w:rPr>
        <w:t>Huangtiandang</w:t>
      </w:r>
      <w:proofErr w:type="spellEnd"/>
      <w:r w:rsidR="008708E7">
        <w:rPr>
          <w:sz w:val="24"/>
          <w:szCs w:val="24"/>
        </w:rPr>
        <w:t>. The years that followed saw an increase in agricultural improvements and an increase in production, leading to more wealth for the dynasty, which in turn allowed for the cultural development which Chan is describing.</w:t>
      </w:r>
      <w:r w:rsidR="008708E7">
        <w:rPr>
          <w:rStyle w:val="FootnoteReference"/>
          <w:sz w:val="24"/>
          <w:szCs w:val="24"/>
        </w:rPr>
        <w:footnoteReference w:id="10"/>
      </w:r>
      <w:r w:rsidR="003F1C10">
        <w:rPr>
          <w:sz w:val="24"/>
          <w:szCs w:val="24"/>
        </w:rPr>
        <w:t xml:space="preserve"> </w:t>
      </w:r>
      <w:r w:rsidRPr="0009063C">
        <w:rPr>
          <w:sz w:val="24"/>
          <w:szCs w:val="24"/>
        </w:rPr>
        <w:t xml:space="preserve">This also demonstrates Chan’s second key point of the article, that different historians from different eras have different approaches to historiography. </w:t>
      </w:r>
    </w:p>
    <w:p w14:paraId="387AEC11" w14:textId="3B16633C" w:rsidR="00287B7B" w:rsidRDefault="00EE2B6E" w:rsidP="0009063C">
      <w:pPr>
        <w:spacing w:line="480" w:lineRule="auto"/>
        <w:ind w:firstLine="720"/>
        <w:rPr>
          <w:sz w:val="24"/>
          <w:szCs w:val="24"/>
        </w:rPr>
      </w:pPr>
      <w:r w:rsidRPr="0009063C">
        <w:rPr>
          <w:sz w:val="24"/>
          <w:szCs w:val="24"/>
        </w:rPr>
        <w:t xml:space="preserve">In conclusion, Jack W. Chan has written an extremely </w:t>
      </w:r>
      <w:r w:rsidR="008708E7" w:rsidRPr="0009063C">
        <w:rPr>
          <w:sz w:val="24"/>
          <w:szCs w:val="24"/>
        </w:rPr>
        <w:t>well-done</w:t>
      </w:r>
      <w:r w:rsidRPr="0009063C">
        <w:rPr>
          <w:sz w:val="24"/>
          <w:szCs w:val="24"/>
        </w:rPr>
        <w:t xml:space="preserve"> article. The use of stories throughout demonstrate his points well and the use of secondary materials to support his statements is remarkable. The use of language is suitable for the journal and the audience which this article is aimed at, however Chan does make the article accessible by explaining key terms where necessary.</w:t>
      </w:r>
    </w:p>
    <w:bookmarkEnd w:id="0"/>
    <w:p w14:paraId="64E9BF93" w14:textId="76674EE1" w:rsidR="008708E7" w:rsidRDefault="008708E7" w:rsidP="0009063C">
      <w:pPr>
        <w:spacing w:line="480" w:lineRule="auto"/>
        <w:ind w:firstLine="720"/>
        <w:rPr>
          <w:sz w:val="24"/>
          <w:szCs w:val="24"/>
        </w:rPr>
      </w:pPr>
    </w:p>
    <w:p w14:paraId="7449FDD4" w14:textId="76AF472C" w:rsidR="008708E7" w:rsidRPr="008708E7" w:rsidRDefault="008708E7" w:rsidP="0009063C">
      <w:pPr>
        <w:spacing w:line="480" w:lineRule="auto"/>
        <w:ind w:firstLine="720"/>
        <w:rPr>
          <w:sz w:val="24"/>
          <w:szCs w:val="24"/>
          <w:u w:val="single"/>
        </w:rPr>
      </w:pPr>
      <w:r w:rsidRPr="008708E7">
        <w:rPr>
          <w:sz w:val="24"/>
          <w:szCs w:val="24"/>
          <w:u w:val="single"/>
        </w:rPr>
        <w:lastRenderedPageBreak/>
        <w:t>Bibliography</w:t>
      </w:r>
    </w:p>
    <w:p w14:paraId="4AB87A12" w14:textId="77777777" w:rsidR="008708E7" w:rsidRDefault="008708E7" w:rsidP="008708E7">
      <w:pPr>
        <w:spacing w:line="480" w:lineRule="auto"/>
        <w:rPr>
          <w:sz w:val="24"/>
          <w:szCs w:val="24"/>
        </w:rPr>
      </w:pPr>
      <w:r w:rsidRPr="008708E7">
        <w:rPr>
          <w:sz w:val="24"/>
          <w:szCs w:val="24"/>
        </w:rPr>
        <w:t>Cambridge University Press, </w:t>
      </w:r>
      <w:r w:rsidRPr="008708E7">
        <w:rPr>
          <w:i/>
          <w:iCs/>
          <w:sz w:val="24"/>
          <w:szCs w:val="24"/>
        </w:rPr>
        <w:t>The Journal of Asian Studies | Cambridge Core</w:t>
      </w:r>
      <w:r w:rsidRPr="008708E7">
        <w:rPr>
          <w:sz w:val="24"/>
          <w:szCs w:val="24"/>
        </w:rPr>
        <w:t> (2020) &lt;https://www.cambridge.org/core/journals/journal-of-asian-studies&gt; [accessed 27 March 2020].</w:t>
      </w:r>
    </w:p>
    <w:p w14:paraId="222FEEA4" w14:textId="77777777" w:rsidR="008708E7" w:rsidRDefault="008708E7" w:rsidP="008708E7">
      <w:pPr>
        <w:spacing w:line="480" w:lineRule="auto"/>
        <w:rPr>
          <w:sz w:val="24"/>
          <w:szCs w:val="24"/>
        </w:rPr>
      </w:pPr>
      <w:r w:rsidRPr="008708E7">
        <w:rPr>
          <w:sz w:val="24"/>
          <w:szCs w:val="24"/>
        </w:rPr>
        <w:br/>
        <w:t>Chan,</w:t>
      </w:r>
      <w:r>
        <w:rPr>
          <w:sz w:val="24"/>
          <w:szCs w:val="24"/>
        </w:rPr>
        <w:t xml:space="preserve"> </w:t>
      </w:r>
      <w:r w:rsidRPr="008708E7">
        <w:rPr>
          <w:sz w:val="24"/>
          <w:szCs w:val="24"/>
        </w:rPr>
        <w:t>Jack W.</w:t>
      </w:r>
      <w:r>
        <w:rPr>
          <w:sz w:val="24"/>
          <w:szCs w:val="24"/>
        </w:rPr>
        <w:t>,</w:t>
      </w:r>
      <w:r w:rsidRPr="008708E7">
        <w:rPr>
          <w:sz w:val="24"/>
          <w:szCs w:val="24"/>
        </w:rPr>
        <w:t xml:space="preserve"> 'Blank Spaces and Secret Histories: Questions of Historiographic Epistemology in Medieval China', </w:t>
      </w:r>
      <w:r w:rsidRPr="008708E7">
        <w:rPr>
          <w:i/>
          <w:iCs/>
          <w:sz w:val="24"/>
          <w:szCs w:val="24"/>
        </w:rPr>
        <w:t>The Journal of Asian Studies</w:t>
      </w:r>
      <w:r w:rsidRPr="008708E7">
        <w:rPr>
          <w:sz w:val="24"/>
          <w:szCs w:val="24"/>
        </w:rPr>
        <w:t>, 69.4, (2010), 1071-1091.</w:t>
      </w:r>
      <w:r w:rsidRPr="008708E7">
        <w:rPr>
          <w:sz w:val="24"/>
          <w:szCs w:val="24"/>
        </w:rPr>
        <w:br/>
      </w:r>
    </w:p>
    <w:p w14:paraId="23E2C4D9" w14:textId="77777777" w:rsidR="008708E7" w:rsidRPr="0009063C" w:rsidRDefault="008708E7" w:rsidP="008708E7">
      <w:pPr>
        <w:spacing w:line="480" w:lineRule="auto"/>
        <w:rPr>
          <w:sz w:val="24"/>
          <w:szCs w:val="24"/>
        </w:rPr>
      </w:pPr>
      <w:r w:rsidRPr="008708E7">
        <w:rPr>
          <w:sz w:val="24"/>
          <w:szCs w:val="24"/>
        </w:rPr>
        <w:t>Wang,</w:t>
      </w:r>
      <w:r>
        <w:rPr>
          <w:sz w:val="24"/>
          <w:szCs w:val="24"/>
        </w:rPr>
        <w:t xml:space="preserve"> </w:t>
      </w:r>
      <w:r w:rsidRPr="008708E7">
        <w:rPr>
          <w:sz w:val="24"/>
          <w:szCs w:val="24"/>
        </w:rPr>
        <w:t>Yuan-</w:t>
      </w:r>
      <w:proofErr w:type="spellStart"/>
      <w:r w:rsidRPr="008708E7">
        <w:rPr>
          <w:sz w:val="24"/>
          <w:szCs w:val="24"/>
        </w:rPr>
        <w:t>kang</w:t>
      </w:r>
      <w:proofErr w:type="spellEnd"/>
      <w:r>
        <w:rPr>
          <w:sz w:val="24"/>
          <w:szCs w:val="24"/>
        </w:rPr>
        <w:t>,</w:t>
      </w:r>
      <w:r w:rsidRPr="008708E7">
        <w:rPr>
          <w:sz w:val="24"/>
          <w:szCs w:val="24"/>
        </w:rPr>
        <w:t> </w:t>
      </w:r>
      <w:r w:rsidRPr="008708E7">
        <w:rPr>
          <w:i/>
          <w:iCs/>
          <w:sz w:val="24"/>
          <w:szCs w:val="24"/>
        </w:rPr>
        <w:t>Harmony and War: Confucian Culture and Chinese Power Politics</w:t>
      </w:r>
      <w:r w:rsidRPr="008708E7">
        <w:rPr>
          <w:sz w:val="24"/>
          <w:szCs w:val="24"/>
        </w:rPr>
        <w:t> (Columbia, USA: Columbia University Press, 2011)</w:t>
      </w:r>
      <w:r>
        <w:rPr>
          <w:sz w:val="24"/>
          <w:szCs w:val="24"/>
        </w:rPr>
        <w:t>.</w:t>
      </w:r>
    </w:p>
    <w:sectPr w:rsidR="008708E7" w:rsidRPr="00090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7D02A" w14:textId="77777777" w:rsidR="00BC2FE0" w:rsidRDefault="00BC2FE0" w:rsidP="006E766F">
      <w:pPr>
        <w:spacing w:after="0" w:line="240" w:lineRule="auto"/>
      </w:pPr>
      <w:r>
        <w:separator/>
      </w:r>
    </w:p>
  </w:endnote>
  <w:endnote w:type="continuationSeparator" w:id="0">
    <w:p w14:paraId="5903D237" w14:textId="77777777" w:rsidR="00BC2FE0" w:rsidRDefault="00BC2FE0" w:rsidP="006E7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C1060" w14:textId="77777777" w:rsidR="00BC2FE0" w:rsidRDefault="00BC2FE0" w:rsidP="006E766F">
      <w:pPr>
        <w:spacing w:after="0" w:line="240" w:lineRule="auto"/>
      </w:pPr>
      <w:r>
        <w:separator/>
      </w:r>
    </w:p>
  </w:footnote>
  <w:footnote w:type="continuationSeparator" w:id="0">
    <w:p w14:paraId="4111F9A3" w14:textId="77777777" w:rsidR="00BC2FE0" w:rsidRDefault="00BC2FE0" w:rsidP="006E766F">
      <w:pPr>
        <w:spacing w:after="0" w:line="240" w:lineRule="auto"/>
      </w:pPr>
      <w:r>
        <w:continuationSeparator/>
      </w:r>
    </w:p>
  </w:footnote>
  <w:footnote w:id="1">
    <w:p w14:paraId="293188AA" w14:textId="5D6ED038" w:rsidR="0009063C" w:rsidRPr="00104FA2" w:rsidRDefault="0009063C">
      <w:pPr>
        <w:pStyle w:val="FootnoteText"/>
      </w:pPr>
      <w:r>
        <w:rPr>
          <w:rStyle w:val="FootnoteReference"/>
        </w:rPr>
        <w:footnoteRef/>
      </w:r>
      <w:r>
        <w:t xml:space="preserve"> </w:t>
      </w:r>
      <w:r w:rsidRPr="00104FA2">
        <w:t>Jack W. Chan, 'Blank Spaces and Secret Histories: Questions of Historiographic Epistemology in Medieval China', </w:t>
      </w:r>
      <w:r w:rsidRPr="00104FA2">
        <w:rPr>
          <w:i/>
          <w:iCs/>
        </w:rPr>
        <w:t>The Journal of Asian Studies</w:t>
      </w:r>
      <w:r w:rsidRPr="00104FA2">
        <w:t>, 69.4, (2010), 1071-1091.</w:t>
      </w:r>
    </w:p>
  </w:footnote>
  <w:footnote w:id="2">
    <w:p w14:paraId="079884BE" w14:textId="57986DB0" w:rsidR="0009063C" w:rsidRPr="006E766F" w:rsidRDefault="0009063C">
      <w:pPr>
        <w:pStyle w:val="FootnoteText"/>
      </w:pPr>
      <w:r>
        <w:rPr>
          <w:rStyle w:val="FootnoteReference"/>
        </w:rPr>
        <w:footnoteRef/>
      </w:r>
      <w:r>
        <w:t xml:space="preserve"> </w:t>
      </w:r>
      <w:r w:rsidRPr="006E766F">
        <w:t>Cambridge University Press, </w:t>
      </w:r>
      <w:r w:rsidRPr="006E766F">
        <w:rPr>
          <w:i/>
          <w:iCs/>
        </w:rPr>
        <w:t>The Journal of Asian Studies | Cambridge Core</w:t>
      </w:r>
      <w:r w:rsidRPr="006E766F">
        <w:t> (2020) &lt;https://www.cambridge.org/core/journals/journal-of-asian-studies&gt; [accessed 27 March 2020].</w:t>
      </w:r>
    </w:p>
  </w:footnote>
  <w:footnote w:id="3">
    <w:p w14:paraId="31EB7993" w14:textId="73BCA524" w:rsidR="0009063C" w:rsidRPr="00287B7B" w:rsidRDefault="0009063C">
      <w:pPr>
        <w:pStyle w:val="FootnoteText"/>
        <w:rPr>
          <w:lang w:val="en-US"/>
        </w:rPr>
      </w:pPr>
      <w:r>
        <w:rPr>
          <w:rStyle w:val="FootnoteReference"/>
        </w:rPr>
        <w:footnoteRef/>
      </w:r>
      <w:r>
        <w:t xml:space="preserve"> Ibid, p. 1075.</w:t>
      </w:r>
    </w:p>
  </w:footnote>
  <w:footnote w:id="4">
    <w:p w14:paraId="5FD1C021" w14:textId="12F7E3F4" w:rsidR="0009063C" w:rsidRPr="00287B7B" w:rsidRDefault="0009063C">
      <w:pPr>
        <w:pStyle w:val="FootnoteText"/>
        <w:rPr>
          <w:lang w:val="en-US"/>
        </w:rPr>
      </w:pPr>
      <w:r>
        <w:rPr>
          <w:rStyle w:val="FootnoteReference"/>
        </w:rPr>
        <w:footnoteRef/>
      </w:r>
      <w:r>
        <w:t xml:space="preserve"> </w:t>
      </w:r>
      <w:r>
        <w:rPr>
          <w:lang w:val="en-US"/>
        </w:rPr>
        <w:t>Chan, ‘Blank Spaces and Secret Histories’, p. 1073.</w:t>
      </w:r>
    </w:p>
  </w:footnote>
  <w:footnote w:id="5">
    <w:p w14:paraId="1BD2ADBE" w14:textId="5D331D32" w:rsidR="0009063C" w:rsidRPr="00287B7B" w:rsidRDefault="0009063C">
      <w:pPr>
        <w:pStyle w:val="FootnoteText"/>
        <w:rPr>
          <w:lang w:val="en-US"/>
        </w:rPr>
      </w:pPr>
      <w:r>
        <w:rPr>
          <w:rStyle w:val="FootnoteReference"/>
        </w:rPr>
        <w:footnoteRef/>
      </w:r>
      <w:r>
        <w:t xml:space="preserve"> </w:t>
      </w:r>
      <w:r>
        <w:rPr>
          <w:lang w:val="en-US"/>
        </w:rPr>
        <w:t>Ibid, p. 1077.</w:t>
      </w:r>
    </w:p>
  </w:footnote>
  <w:footnote w:id="6">
    <w:p w14:paraId="0F0564CB" w14:textId="1CB9989D" w:rsidR="0009063C" w:rsidRPr="00287B7B" w:rsidRDefault="0009063C">
      <w:pPr>
        <w:pStyle w:val="FootnoteText"/>
        <w:rPr>
          <w:lang w:val="en-US"/>
        </w:rPr>
      </w:pPr>
      <w:r>
        <w:rPr>
          <w:rStyle w:val="FootnoteReference"/>
        </w:rPr>
        <w:footnoteRef/>
      </w:r>
      <w:r>
        <w:t xml:space="preserve"> </w:t>
      </w:r>
      <w:r>
        <w:rPr>
          <w:lang w:val="en-US"/>
        </w:rPr>
        <w:t>Ibid, p. 1075.</w:t>
      </w:r>
    </w:p>
  </w:footnote>
  <w:footnote w:id="7">
    <w:p w14:paraId="6307C1F6" w14:textId="754A0BEE" w:rsidR="0009063C" w:rsidRPr="006A480D" w:rsidRDefault="0009063C" w:rsidP="00287B7B">
      <w:pPr>
        <w:pStyle w:val="FootnoteText"/>
        <w:rPr>
          <w:lang w:val="en-US"/>
        </w:rPr>
      </w:pPr>
      <w:r>
        <w:rPr>
          <w:rStyle w:val="FootnoteReference"/>
        </w:rPr>
        <w:footnoteRef/>
      </w:r>
      <w:r>
        <w:t xml:space="preserve"> </w:t>
      </w:r>
      <w:r>
        <w:rPr>
          <w:lang w:val="en-US"/>
        </w:rPr>
        <w:t xml:space="preserve">Ibid, pp. 1087-1088.  </w:t>
      </w:r>
    </w:p>
  </w:footnote>
  <w:footnote w:id="8">
    <w:p w14:paraId="3BA8F866" w14:textId="62084CEE" w:rsidR="0009063C" w:rsidRPr="00667984" w:rsidRDefault="0009063C" w:rsidP="00287B7B">
      <w:pPr>
        <w:pStyle w:val="FootnoteText"/>
        <w:rPr>
          <w:lang w:val="en-US"/>
        </w:rPr>
      </w:pPr>
      <w:r>
        <w:rPr>
          <w:rStyle w:val="FootnoteReference"/>
        </w:rPr>
        <w:footnoteRef/>
      </w:r>
      <w:r>
        <w:t xml:space="preserve"> </w:t>
      </w:r>
      <w:r>
        <w:rPr>
          <w:lang w:val="en-US"/>
        </w:rPr>
        <w:t>Chan, ‘Blank Spaces and Secret Histories’, p. 1079.</w:t>
      </w:r>
    </w:p>
  </w:footnote>
  <w:footnote w:id="9">
    <w:p w14:paraId="5C4E2876" w14:textId="77777777" w:rsidR="0009063C" w:rsidRPr="00667984" w:rsidRDefault="0009063C" w:rsidP="00287B7B">
      <w:pPr>
        <w:pStyle w:val="FootnoteText"/>
        <w:rPr>
          <w:lang w:val="en-US"/>
        </w:rPr>
      </w:pPr>
      <w:r>
        <w:rPr>
          <w:rStyle w:val="FootnoteReference"/>
        </w:rPr>
        <w:footnoteRef/>
      </w:r>
      <w:r>
        <w:t xml:space="preserve"> </w:t>
      </w:r>
      <w:r>
        <w:rPr>
          <w:lang w:val="en-US"/>
        </w:rPr>
        <w:t>Ibid.</w:t>
      </w:r>
    </w:p>
  </w:footnote>
  <w:footnote w:id="10">
    <w:p w14:paraId="3256FE6E" w14:textId="426F18C7" w:rsidR="008708E7" w:rsidRPr="008708E7" w:rsidRDefault="008708E7">
      <w:pPr>
        <w:pStyle w:val="FootnoteText"/>
      </w:pPr>
      <w:r>
        <w:rPr>
          <w:rStyle w:val="FootnoteReference"/>
        </w:rPr>
        <w:footnoteRef/>
      </w:r>
      <w:r>
        <w:t xml:space="preserve"> </w:t>
      </w:r>
      <w:r w:rsidRPr="008708E7">
        <w:t>Yuan-</w:t>
      </w:r>
      <w:proofErr w:type="spellStart"/>
      <w:r w:rsidRPr="008708E7">
        <w:t>kang</w:t>
      </w:r>
      <w:proofErr w:type="spellEnd"/>
      <w:r w:rsidRPr="008708E7">
        <w:t xml:space="preserve"> Wang, </w:t>
      </w:r>
      <w:r w:rsidRPr="008708E7">
        <w:rPr>
          <w:i/>
          <w:iCs/>
        </w:rPr>
        <w:t>Harmony and War: Confucian Culture and Chinese Power Politics</w:t>
      </w:r>
      <w:r w:rsidRPr="008708E7">
        <w:t> (Columbia, USA: Columbia University Press, 2011), p. 81.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66F"/>
    <w:rsid w:val="0009063C"/>
    <w:rsid w:val="000E009C"/>
    <w:rsid w:val="00104FA2"/>
    <w:rsid w:val="00177704"/>
    <w:rsid w:val="00181A72"/>
    <w:rsid w:val="001F508B"/>
    <w:rsid w:val="001F5713"/>
    <w:rsid w:val="0024543A"/>
    <w:rsid w:val="00287B7B"/>
    <w:rsid w:val="003F1C10"/>
    <w:rsid w:val="004E6BA2"/>
    <w:rsid w:val="005E3DAD"/>
    <w:rsid w:val="00667984"/>
    <w:rsid w:val="006A33AC"/>
    <w:rsid w:val="006A480D"/>
    <w:rsid w:val="006E766F"/>
    <w:rsid w:val="007317DE"/>
    <w:rsid w:val="007D7175"/>
    <w:rsid w:val="008708E7"/>
    <w:rsid w:val="008F4922"/>
    <w:rsid w:val="00A40DCD"/>
    <w:rsid w:val="00A6470D"/>
    <w:rsid w:val="00AE2B2E"/>
    <w:rsid w:val="00B02012"/>
    <w:rsid w:val="00B54D12"/>
    <w:rsid w:val="00BC2FE0"/>
    <w:rsid w:val="00C7521F"/>
    <w:rsid w:val="00C8283A"/>
    <w:rsid w:val="00D46231"/>
    <w:rsid w:val="00EE2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77B49"/>
  <w15:chartTrackingRefBased/>
  <w15:docId w15:val="{6BD0098E-7320-4244-9797-ABE2993C8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E76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766F"/>
    <w:rPr>
      <w:sz w:val="20"/>
      <w:szCs w:val="20"/>
    </w:rPr>
  </w:style>
  <w:style w:type="character" w:styleId="FootnoteReference">
    <w:name w:val="footnote reference"/>
    <w:basedOn w:val="DefaultParagraphFont"/>
    <w:uiPriority w:val="99"/>
    <w:semiHidden/>
    <w:unhideWhenUsed/>
    <w:rsid w:val="006E766F"/>
    <w:rPr>
      <w:vertAlign w:val="superscript"/>
    </w:rPr>
  </w:style>
  <w:style w:type="paragraph" w:styleId="NormalWeb">
    <w:name w:val="Normal (Web)"/>
    <w:basedOn w:val="Normal"/>
    <w:uiPriority w:val="99"/>
    <w:semiHidden/>
    <w:unhideWhenUsed/>
    <w:rsid w:val="006E766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523631">
      <w:bodyDiv w:val="1"/>
      <w:marLeft w:val="0"/>
      <w:marRight w:val="0"/>
      <w:marTop w:val="0"/>
      <w:marBottom w:val="0"/>
      <w:divBdr>
        <w:top w:val="none" w:sz="0" w:space="0" w:color="auto"/>
        <w:left w:val="none" w:sz="0" w:space="0" w:color="auto"/>
        <w:bottom w:val="none" w:sz="0" w:space="0" w:color="auto"/>
        <w:right w:val="none" w:sz="0" w:space="0" w:color="auto"/>
      </w:divBdr>
      <w:divsChild>
        <w:div w:id="605625101">
          <w:marLeft w:val="0"/>
          <w:marRight w:val="0"/>
          <w:marTop w:val="0"/>
          <w:marBottom w:val="0"/>
          <w:divBdr>
            <w:top w:val="none" w:sz="0" w:space="0" w:color="auto"/>
            <w:left w:val="none" w:sz="0" w:space="0" w:color="auto"/>
            <w:bottom w:val="none" w:sz="0" w:space="0" w:color="auto"/>
            <w:right w:val="none" w:sz="0" w:space="0" w:color="auto"/>
          </w:divBdr>
          <w:divsChild>
            <w:div w:id="2099670048">
              <w:marLeft w:val="0"/>
              <w:marRight w:val="225"/>
              <w:marTop w:val="225"/>
              <w:marBottom w:val="225"/>
              <w:divBdr>
                <w:top w:val="none" w:sz="0" w:space="0" w:color="auto"/>
                <w:left w:val="none" w:sz="0" w:space="0" w:color="auto"/>
                <w:bottom w:val="none" w:sz="0" w:space="0" w:color="auto"/>
                <w:right w:val="none" w:sz="0" w:space="0" w:color="auto"/>
              </w:divBdr>
              <w:divsChild>
                <w:div w:id="1680158536">
                  <w:marLeft w:val="0"/>
                  <w:marRight w:val="0"/>
                  <w:marTop w:val="0"/>
                  <w:marBottom w:val="0"/>
                  <w:divBdr>
                    <w:top w:val="none" w:sz="0" w:space="0" w:color="auto"/>
                    <w:left w:val="none" w:sz="0" w:space="0" w:color="auto"/>
                    <w:bottom w:val="none" w:sz="0" w:space="0" w:color="auto"/>
                    <w:right w:val="none" w:sz="0" w:space="0" w:color="auto"/>
                  </w:divBdr>
                  <w:divsChild>
                    <w:div w:id="185711417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420374314">
      <w:bodyDiv w:val="1"/>
      <w:marLeft w:val="0"/>
      <w:marRight w:val="0"/>
      <w:marTop w:val="0"/>
      <w:marBottom w:val="0"/>
      <w:divBdr>
        <w:top w:val="none" w:sz="0" w:space="0" w:color="auto"/>
        <w:left w:val="none" w:sz="0" w:space="0" w:color="auto"/>
        <w:bottom w:val="none" w:sz="0" w:space="0" w:color="auto"/>
        <w:right w:val="none" w:sz="0" w:space="0" w:color="auto"/>
      </w:divBdr>
      <w:divsChild>
        <w:div w:id="1760179629">
          <w:marLeft w:val="0"/>
          <w:marRight w:val="0"/>
          <w:marTop w:val="0"/>
          <w:marBottom w:val="0"/>
          <w:divBdr>
            <w:top w:val="none" w:sz="0" w:space="0" w:color="auto"/>
            <w:left w:val="none" w:sz="0" w:space="0" w:color="auto"/>
            <w:bottom w:val="none" w:sz="0" w:space="0" w:color="auto"/>
            <w:right w:val="none" w:sz="0" w:space="0" w:color="auto"/>
          </w:divBdr>
          <w:divsChild>
            <w:div w:id="809322604">
              <w:marLeft w:val="0"/>
              <w:marRight w:val="225"/>
              <w:marTop w:val="225"/>
              <w:marBottom w:val="225"/>
              <w:divBdr>
                <w:top w:val="none" w:sz="0" w:space="0" w:color="auto"/>
                <w:left w:val="none" w:sz="0" w:space="0" w:color="auto"/>
                <w:bottom w:val="none" w:sz="0" w:space="0" w:color="auto"/>
                <w:right w:val="none" w:sz="0" w:space="0" w:color="auto"/>
              </w:divBdr>
              <w:divsChild>
                <w:div w:id="1680887975">
                  <w:marLeft w:val="0"/>
                  <w:marRight w:val="0"/>
                  <w:marTop w:val="0"/>
                  <w:marBottom w:val="0"/>
                  <w:divBdr>
                    <w:top w:val="none" w:sz="0" w:space="0" w:color="auto"/>
                    <w:left w:val="none" w:sz="0" w:space="0" w:color="auto"/>
                    <w:bottom w:val="none" w:sz="0" w:space="0" w:color="auto"/>
                    <w:right w:val="none" w:sz="0" w:space="0" w:color="auto"/>
                  </w:divBdr>
                  <w:divsChild>
                    <w:div w:id="128997480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78815783">
      <w:bodyDiv w:val="1"/>
      <w:marLeft w:val="0"/>
      <w:marRight w:val="0"/>
      <w:marTop w:val="0"/>
      <w:marBottom w:val="0"/>
      <w:divBdr>
        <w:top w:val="none" w:sz="0" w:space="0" w:color="auto"/>
        <w:left w:val="none" w:sz="0" w:space="0" w:color="auto"/>
        <w:bottom w:val="none" w:sz="0" w:space="0" w:color="auto"/>
        <w:right w:val="none" w:sz="0" w:space="0" w:color="auto"/>
      </w:divBdr>
      <w:divsChild>
        <w:div w:id="851340380">
          <w:marLeft w:val="0"/>
          <w:marRight w:val="0"/>
          <w:marTop w:val="0"/>
          <w:marBottom w:val="0"/>
          <w:divBdr>
            <w:top w:val="none" w:sz="0" w:space="0" w:color="auto"/>
            <w:left w:val="none" w:sz="0" w:space="0" w:color="auto"/>
            <w:bottom w:val="none" w:sz="0" w:space="0" w:color="auto"/>
            <w:right w:val="none" w:sz="0" w:space="0" w:color="auto"/>
          </w:divBdr>
          <w:divsChild>
            <w:div w:id="846210395">
              <w:marLeft w:val="0"/>
              <w:marRight w:val="225"/>
              <w:marTop w:val="225"/>
              <w:marBottom w:val="225"/>
              <w:divBdr>
                <w:top w:val="none" w:sz="0" w:space="0" w:color="auto"/>
                <w:left w:val="none" w:sz="0" w:space="0" w:color="auto"/>
                <w:bottom w:val="none" w:sz="0" w:space="0" w:color="auto"/>
                <w:right w:val="none" w:sz="0" w:space="0" w:color="auto"/>
              </w:divBdr>
              <w:divsChild>
                <w:div w:id="1210919156">
                  <w:marLeft w:val="0"/>
                  <w:marRight w:val="0"/>
                  <w:marTop w:val="0"/>
                  <w:marBottom w:val="0"/>
                  <w:divBdr>
                    <w:top w:val="none" w:sz="0" w:space="0" w:color="auto"/>
                    <w:left w:val="none" w:sz="0" w:space="0" w:color="auto"/>
                    <w:bottom w:val="none" w:sz="0" w:space="0" w:color="auto"/>
                    <w:right w:val="none" w:sz="0" w:space="0" w:color="auto"/>
                  </w:divBdr>
                  <w:divsChild>
                    <w:div w:id="49225540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915583300">
      <w:bodyDiv w:val="1"/>
      <w:marLeft w:val="0"/>
      <w:marRight w:val="0"/>
      <w:marTop w:val="0"/>
      <w:marBottom w:val="0"/>
      <w:divBdr>
        <w:top w:val="none" w:sz="0" w:space="0" w:color="auto"/>
        <w:left w:val="none" w:sz="0" w:space="0" w:color="auto"/>
        <w:bottom w:val="none" w:sz="0" w:space="0" w:color="auto"/>
        <w:right w:val="none" w:sz="0" w:space="0" w:color="auto"/>
      </w:divBdr>
      <w:divsChild>
        <w:div w:id="762871586">
          <w:marLeft w:val="0"/>
          <w:marRight w:val="0"/>
          <w:marTop w:val="0"/>
          <w:marBottom w:val="0"/>
          <w:divBdr>
            <w:top w:val="none" w:sz="0" w:space="0" w:color="auto"/>
            <w:left w:val="none" w:sz="0" w:space="0" w:color="auto"/>
            <w:bottom w:val="none" w:sz="0" w:space="0" w:color="auto"/>
            <w:right w:val="none" w:sz="0" w:space="0" w:color="auto"/>
          </w:divBdr>
          <w:divsChild>
            <w:div w:id="998310343">
              <w:marLeft w:val="0"/>
              <w:marRight w:val="225"/>
              <w:marTop w:val="225"/>
              <w:marBottom w:val="225"/>
              <w:divBdr>
                <w:top w:val="none" w:sz="0" w:space="0" w:color="auto"/>
                <w:left w:val="none" w:sz="0" w:space="0" w:color="auto"/>
                <w:bottom w:val="none" w:sz="0" w:space="0" w:color="auto"/>
                <w:right w:val="none" w:sz="0" w:space="0" w:color="auto"/>
              </w:divBdr>
              <w:divsChild>
                <w:div w:id="343241337">
                  <w:marLeft w:val="0"/>
                  <w:marRight w:val="0"/>
                  <w:marTop w:val="0"/>
                  <w:marBottom w:val="0"/>
                  <w:divBdr>
                    <w:top w:val="none" w:sz="0" w:space="0" w:color="auto"/>
                    <w:left w:val="none" w:sz="0" w:space="0" w:color="auto"/>
                    <w:bottom w:val="none" w:sz="0" w:space="0" w:color="auto"/>
                    <w:right w:val="none" w:sz="0" w:space="0" w:color="auto"/>
                  </w:divBdr>
                  <w:divsChild>
                    <w:div w:id="1702902732">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6A3D3-9213-4CD1-A635-81B81548C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11382</TotalTime>
  <Pages>4</Pages>
  <Words>856</Words>
  <Characters>4883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Smith (1701825)</dc:creator>
  <cp:keywords/>
  <dc:description/>
  <cp:lastModifiedBy>Sam Smith (1701825)</cp:lastModifiedBy>
  <cp:revision>23</cp:revision>
  <dcterms:created xsi:type="dcterms:W3CDTF">2020-03-27T12:58:00Z</dcterms:created>
  <dcterms:modified xsi:type="dcterms:W3CDTF">2020-04-06T11:48:00Z</dcterms:modified>
</cp:coreProperties>
</file>