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sz w:val="32"/>
          <w:szCs w:val="32"/>
        </w:rPr>
        <w:id w:val="-2121292657"/>
        <w:docPartObj>
          <w:docPartGallery w:val="Cover Pages"/>
          <w:docPartUnique/>
        </w:docPartObj>
      </w:sdtPr>
      <w:sdtEndPr>
        <w:rPr>
          <w:rFonts w:eastAsia="Times New Roman"/>
          <w:color w:val="000000"/>
          <w:kern w:val="0"/>
          <w:lang w:eastAsia="en-GB"/>
          <w14:ligatures w14:val="none"/>
        </w:rPr>
      </w:sdtEndPr>
      <w:sdtContent>
        <w:p w14:paraId="23D7B59B" w14:textId="730F738F" w:rsidR="00A03DD0" w:rsidRPr="00065EF0" w:rsidRDefault="00A03DD0">
          <w:pPr>
            <w:rPr>
              <w:rFonts w:cs="Times New Roman"/>
              <w:sz w:val="40"/>
              <w:szCs w:val="40"/>
            </w:rPr>
          </w:pPr>
          <w:r w:rsidRPr="00065EF0">
            <w:rPr>
              <w:rFonts w:cs="Times New Roman"/>
              <w:noProof/>
              <w:sz w:val="32"/>
              <w:szCs w:val="32"/>
            </w:rPr>
            <mc:AlternateContent>
              <mc:Choice Requires="wps">
                <w:drawing>
                  <wp:anchor distT="0" distB="0" distL="114300" distR="114300" simplePos="0" relativeHeight="251661312" behindDoc="0" locked="0" layoutInCell="1" allowOverlap="1" wp14:anchorId="255EBC46" wp14:editId="3E698F6A">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19606583" w14:textId="5A9F6C07" w:rsidR="00A03DD0" w:rsidRDefault="00A03DD0">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55EBC46"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19606583" w14:textId="5A9F6C07" w:rsidR="00A03DD0" w:rsidRDefault="00A03DD0">
                          <w:pPr>
                            <w:pStyle w:val="NoSpacing"/>
                            <w:rPr>
                              <w:i/>
                              <w:color w:val="262626" w:themeColor="text1" w:themeTint="D9"/>
                              <w:sz w:val="26"/>
                              <w:szCs w:val="26"/>
                            </w:rPr>
                          </w:pPr>
                        </w:p>
                      </w:txbxContent>
                    </v:textbox>
                    <w10:wrap anchorx="page" anchory="page"/>
                  </v:shape>
                </w:pict>
              </mc:Fallback>
            </mc:AlternateContent>
          </w:r>
          <w:r w:rsidRPr="00065EF0">
            <w:rPr>
              <w:rFonts w:cs="Times New Roman"/>
              <w:noProof/>
              <w:sz w:val="32"/>
              <w:szCs w:val="32"/>
            </w:rPr>
            <mc:AlternateContent>
              <mc:Choice Requires="wps">
                <w:drawing>
                  <wp:anchor distT="0" distB="0" distL="114300" distR="114300" simplePos="0" relativeHeight="251660288" behindDoc="1" locked="0" layoutInCell="1" allowOverlap="1" wp14:anchorId="72AFA202" wp14:editId="56E7120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113FFBD"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4D4B1449" w14:textId="77777777" w:rsidR="00065EF0" w:rsidRPr="00065EF0" w:rsidRDefault="00065EF0" w:rsidP="00065EF0">
          <w:pPr>
            <w:pStyle w:val="Title"/>
            <w:rPr>
              <w:rFonts w:asciiTheme="minorHAnsi" w:hAnsiTheme="minorHAnsi" w:cs="Times New Roman"/>
              <w:sz w:val="40"/>
              <w:szCs w:val="40"/>
            </w:rPr>
          </w:pPr>
          <w:r w:rsidRPr="00065EF0">
            <w:rPr>
              <w:rFonts w:asciiTheme="minorHAnsi" w:hAnsiTheme="minorHAnsi" w:cs="Times New Roman"/>
              <w:sz w:val="40"/>
              <w:szCs w:val="40"/>
            </w:rPr>
            <w:t>Children and Young People’s Health, Wellbeing and Community Engagement Portfolio</w:t>
          </w:r>
        </w:p>
        <w:p w14:paraId="54561D1E" w14:textId="2CEC44CE" w:rsidR="00065EF0" w:rsidRPr="00065EF0" w:rsidRDefault="00065EF0" w:rsidP="00065EF0">
          <w:pPr>
            <w:rPr>
              <w:rFonts w:cs="Times New Roman"/>
              <w:sz w:val="32"/>
              <w:szCs w:val="32"/>
            </w:rPr>
          </w:pPr>
          <w:r w:rsidRPr="00065EF0">
            <w:rPr>
              <w:rFonts w:cs="Times New Roman"/>
              <w:sz w:val="32"/>
              <w:szCs w:val="32"/>
            </w:rPr>
            <w:t>Student Name:</w:t>
          </w:r>
          <w:r w:rsidRPr="00065EF0">
            <w:rPr>
              <w:rFonts w:cs="Times New Roman"/>
              <w:i/>
              <w:color w:val="262626" w:themeColor="text1" w:themeTint="D9"/>
              <w:sz w:val="32"/>
              <w:szCs w:val="32"/>
            </w:rPr>
            <w:t xml:space="preserve"> </w:t>
          </w:r>
          <w:r w:rsidRPr="00065EF0">
            <w:rPr>
              <w:rFonts w:cs="Times New Roman"/>
              <w:i/>
              <w:color w:val="262626" w:themeColor="text1" w:themeTint="D9"/>
              <w:sz w:val="32"/>
              <w:szCs w:val="32"/>
            </w:rPr>
            <w:t>Ffion Richards</w:t>
          </w:r>
        </w:p>
        <w:p w14:paraId="06A7F79F" w14:textId="2D2ED04E" w:rsidR="00065EF0" w:rsidRPr="00065EF0" w:rsidRDefault="00065EF0" w:rsidP="00065EF0">
          <w:pPr>
            <w:rPr>
              <w:rFonts w:cs="Times New Roman"/>
              <w:sz w:val="32"/>
              <w:szCs w:val="32"/>
            </w:rPr>
          </w:pPr>
          <w:r w:rsidRPr="00065EF0">
            <w:rPr>
              <w:rFonts w:cs="Times New Roman"/>
              <w:sz w:val="32"/>
              <w:szCs w:val="32"/>
            </w:rPr>
            <w:t xml:space="preserve">Student ID: </w:t>
          </w:r>
          <w:r w:rsidRPr="00065EF0">
            <w:rPr>
              <w:rFonts w:cs="Times New Roman"/>
              <w:i/>
              <w:color w:val="262626" w:themeColor="text1" w:themeTint="D9"/>
              <w:sz w:val="32"/>
              <w:szCs w:val="32"/>
            </w:rPr>
            <w:t>2305370</w:t>
          </w:r>
        </w:p>
        <w:p w14:paraId="74D33B91" w14:textId="77777777" w:rsidR="00065EF0" w:rsidRPr="00065EF0" w:rsidRDefault="00065EF0" w:rsidP="00065EF0">
          <w:pPr>
            <w:rPr>
              <w:rFonts w:cs="Times New Roman"/>
              <w:sz w:val="32"/>
              <w:szCs w:val="32"/>
            </w:rPr>
          </w:pPr>
          <w:r w:rsidRPr="00065EF0">
            <w:rPr>
              <w:rFonts w:cs="Times New Roman"/>
              <w:sz w:val="32"/>
              <w:szCs w:val="32"/>
            </w:rPr>
            <w:t>Module: BMHP5018</w:t>
          </w:r>
        </w:p>
        <w:p w14:paraId="66A11B57" w14:textId="77777777" w:rsidR="00065EF0" w:rsidRPr="00065EF0" w:rsidRDefault="00065EF0" w:rsidP="00065EF0">
          <w:pPr>
            <w:rPr>
              <w:rFonts w:cs="Times New Roman"/>
              <w:sz w:val="32"/>
              <w:szCs w:val="32"/>
            </w:rPr>
          </w:pPr>
          <w:r w:rsidRPr="00065EF0">
            <w:rPr>
              <w:rFonts w:cs="Times New Roman"/>
              <w:sz w:val="32"/>
              <w:szCs w:val="32"/>
            </w:rPr>
            <w:t>Submission Date: 9th May 2025</w:t>
          </w:r>
        </w:p>
        <w:p w14:paraId="44D6EFAD" w14:textId="77777777" w:rsidR="00065EF0" w:rsidRDefault="00065EF0" w:rsidP="00065EF0">
          <w:pPr>
            <w:rPr>
              <w:rFonts w:cs="Times New Roman"/>
              <w:sz w:val="32"/>
              <w:szCs w:val="32"/>
            </w:rPr>
          </w:pPr>
        </w:p>
        <w:p w14:paraId="3EEF778D" w14:textId="1B952C73" w:rsidR="00065EF0" w:rsidRPr="00065EF0" w:rsidRDefault="00065EF0" w:rsidP="00065EF0">
          <w:pPr>
            <w:rPr>
              <w:rFonts w:cs="Times New Roman"/>
              <w:sz w:val="32"/>
              <w:szCs w:val="32"/>
            </w:rPr>
          </w:pPr>
          <w:r w:rsidRPr="00065EF0">
            <w:rPr>
              <w:rFonts w:cs="Times New Roman"/>
              <w:sz w:val="32"/>
              <w:szCs w:val="32"/>
            </w:rPr>
            <w:t>“Every child has the right to grow up in a safe and supportive environment.” – UNCRC</w:t>
          </w:r>
        </w:p>
        <w:p w14:paraId="03CA2116" w14:textId="77777777" w:rsidR="00065EF0" w:rsidRPr="00065EF0" w:rsidRDefault="00065EF0" w:rsidP="00065EF0">
          <w:pPr>
            <w:rPr>
              <w:rFonts w:cs="Times New Roman"/>
              <w:sz w:val="32"/>
              <w:szCs w:val="32"/>
            </w:rPr>
          </w:pPr>
          <w:r w:rsidRPr="00065EF0">
            <w:rPr>
              <w:rFonts w:cs="Times New Roman"/>
              <w:sz w:val="32"/>
              <w:szCs w:val="32"/>
            </w:rPr>
            <w:br w:type="page"/>
          </w:r>
        </w:p>
        <w:p w14:paraId="667A9C56" w14:textId="77777777" w:rsidR="00065EF0" w:rsidRPr="00065EF0" w:rsidRDefault="00065EF0" w:rsidP="00065EF0">
          <w:pPr>
            <w:pStyle w:val="Heading1"/>
            <w:rPr>
              <w:rFonts w:asciiTheme="minorHAnsi" w:hAnsiTheme="minorHAnsi" w:cs="Times New Roman"/>
              <w:color w:val="000000" w:themeColor="text1"/>
              <w:sz w:val="32"/>
              <w:szCs w:val="32"/>
            </w:rPr>
          </w:pPr>
          <w:r w:rsidRPr="00065EF0">
            <w:rPr>
              <w:rFonts w:asciiTheme="minorHAnsi" w:hAnsiTheme="minorHAnsi" w:cs="Times New Roman"/>
              <w:color w:val="000000" w:themeColor="text1"/>
              <w:sz w:val="32"/>
              <w:szCs w:val="32"/>
            </w:rPr>
            <w:t>Contents</w:t>
          </w:r>
        </w:p>
        <w:tbl>
          <w:tblPr>
            <w:tblW w:w="0" w:type="auto"/>
            <w:tblLook w:val="04A0" w:firstRow="1" w:lastRow="0" w:firstColumn="1" w:lastColumn="0" w:noHBand="0" w:noVBand="1"/>
          </w:tblPr>
          <w:tblGrid>
            <w:gridCol w:w="2880"/>
            <w:gridCol w:w="2880"/>
            <w:gridCol w:w="2880"/>
          </w:tblGrid>
          <w:tr w:rsidR="00065EF0" w:rsidRPr="00065EF0" w14:paraId="655E517D" w14:textId="77777777" w:rsidTr="00237C98">
            <w:tc>
              <w:tcPr>
                <w:tcW w:w="2880" w:type="dxa"/>
              </w:tcPr>
              <w:p w14:paraId="08CC80E9" w14:textId="77777777" w:rsidR="00065EF0" w:rsidRPr="00065EF0" w:rsidRDefault="00065EF0" w:rsidP="00237C98">
                <w:pPr>
                  <w:rPr>
                    <w:rFonts w:cs="Times New Roman"/>
                    <w:sz w:val="32"/>
                    <w:szCs w:val="32"/>
                  </w:rPr>
                </w:pPr>
                <w:r w:rsidRPr="00065EF0">
                  <w:rPr>
                    <w:rFonts w:cs="Times New Roman"/>
                    <w:sz w:val="32"/>
                    <w:szCs w:val="32"/>
                  </w:rPr>
                  <w:t>Section</w:t>
                </w:r>
              </w:p>
            </w:tc>
            <w:tc>
              <w:tcPr>
                <w:tcW w:w="2880" w:type="dxa"/>
              </w:tcPr>
              <w:p w14:paraId="287A332D" w14:textId="77777777" w:rsidR="00065EF0" w:rsidRPr="00065EF0" w:rsidRDefault="00065EF0" w:rsidP="00237C98">
                <w:pPr>
                  <w:rPr>
                    <w:rFonts w:cs="Times New Roman"/>
                    <w:sz w:val="32"/>
                    <w:szCs w:val="32"/>
                  </w:rPr>
                </w:pPr>
                <w:r w:rsidRPr="00065EF0">
                  <w:rPr>
                    <w:rFonts w:cs="Times New Roman"/>
                    <w:sz w:val="32"/>
                    <w:szCs w:val="32"/>
                  </w:rPr>
                  <w:t>Title</w:t>
                </w:r>
              </w:p>
            </w:tc>
            <w:tc>
              <w:tcPr>
                <w:tcW w:w="2880" w:type="dxa"/>
              </w:tcPr>
              <w:p w14:paraId="730A1897" w14:textId="77777777" w:rsidR="00065EF0" w:rsidRPr="00065EF0" w:rsidRDefault="00065EF0" w:rsidP="00237C98">
                <w:pPr>
                  <w:rPr>
                    <w:rFonts w:cs="Times New Roman"/>
                    <w:sz w:val="32"/>
                    <w:szCs w:val="32"/>
                  </w:rPr>
                </w:pPr>
                <w:r w:rsidRPr="00065EF0">
                  <w:rPr>
                    <w:rFonts w:cs="Times New Roman"/>
                    <w:sz w:val="32"/>
                    <w:szCs w:val="32"/>
                  </w:rPr>
                  <w:t>Page Number</w:t>
                </w:r>
              </w:p>
            </w:tc>
          </w:tr>
          <w:tr w:rsidR="00065EF0" w:rsidRPr="00065EF0" w14:paraId="4C1B14AD" w14:textId="77777777" w:rsidTr="00237C98">
            <w:tc>
              <w:tcPr>
                <w:tcW w:w="2880" w:type="dxa"/>
              </w:tcPr>
              <w:p w14:paraId="6E69132E" w14:textId="77777777" w:rsidR="00065EF0" w:rsidRPr="00065EF0" w:rsidRDefault="00065EF0" w:rsidP="00237C98">
                <w:pPr>
                  <w:rPr>
                    <w:rFonts w:cs="Times New Roman"/>
                    <w:sz w:val="32"/>
                    <w:szCs w:val="32"/>
                  </w:rPr>
                </w:pPr>
                <w:r w:rsidRPr="00065EF0">
                  <w:rPr>
                    <w:rFonts w:cs="Times New Roman"/>
                    <w:sz w:val="32"/>
                    <w:szCs w:val="32"/>
                  </w:rPr>
                  <w:t>1</w:t>
                </w:r>
              </w:p>
            </w:tc>
            <w:tc>
              <w:tcPr>
                <w:tcW w:w="2880" w:type="dxa"/>
              </w:tcPr>
              <w:p w14:paraId="5011C5B2" w14:textId="77777777" w:rsidR="00065EF0" w:rsidRPr="00065EF0" w:rsidRDefault="00065EF0" w:rsidP="00237C98">
                <w:pPr>
                  <w:rPr>
                    <w:rFonts w:cs="Times New Roman"/>
                    <w:sz w:val="32"/>
                    <w:szCs w:val="32"/>
                  </w:rPr>
                </w:pPr>
                <w:r w:rsidRPr="00065EF0">
                  <w:rPr>
                    <w:rFonts w:cs="Times New Roman"/>
                    <w:sz w:val="32"/>
                    <w:szCs w:val="32"/>
                  </w:rPr>
                  <w:t>CAMHS Video Critique</w:t>
                </w:r>
              </w:p>
            </w:tc>
            <w:tc>
              <w:tcPr>
                <w:tcW w:w="2880" w:type="dxa"/>
              </w:tcPr>
              <w:p w14:paraId="54DA0C6A" w14:textId="77777777" w:rsidR="00065EF0" w:rsidRPr="00065EF0" w:rsidRDefault="00065EF0" w:rsidP="00237C98">
                <w:pPr>
                  <w:rPr>
                    <w:rFonts w:cs="Times New Roman"/>
                    <w:sz w:val="32"/>
                    <w:szCs w:val="32"/>
                  </w:rPr>
                </w:pPr>
                <w:r w:rsidRPr="00065EF0">
                  <w:rPr>
                    <w:rFonts w:cs="Times New Roman"/>
                    <w:sz w:val="32"/>
                    <w:szCs w:val="32"/>
                  </w:rPr>
                  <w:t>1</w:t>
                </w:r>
              </w:p>
            </w:tc>
          </w:tr>
          <w:tr w:rsidR="00065EF0" w:rsidRPr="00065EF0" w14:paraId="7415C546" w14:textId="77777777" w:rsidTr="00237C98">
            <w:tc>
              <w:tcPr>
                <w:tcW w:w="2880" w:type="dxa"/>
              </w:tcPr>
              <w:p w14:paraId="45F50657" w14:textId="77777777" w:rsidR="00065EF0" w:rsidRPr="00065EF0" w:rsidRDefault="00065EF0" w:rsidP="00237C98">
                <w:pPr>
                  <w:rPr>
                    <w:rFonts w:cs="Times New Roman"/>
                    <w:sz w:val="32"/>
                    <w:szCs w:val="32"/>
                  </w:rPr>
                </w:pPr>
                <w:r w:rsidRPr="00065EF0">
                  <w:rPr>
                    <w:rFonts w:cs="Times New Roman"/>
                    <w:sz w:val="32"/>
                    <w:szCs w:val="32"/>
                  </w:rPr>
                  <w:t>2</w:t>
                </w:r>
              </w:p>
            </w:tc>
            <w:tc>
              <w:tcPr>
                <w:tcW w:w="2880" w:type="dxa"/>
              </w:tcPr>
              <w:p w14:paraId="64011B1C" w14:textId="77777777" w:rsidR="00065EF0" w:rsidRPr="00065EF0" w:rsidRDefault="00065EF0" w:rsidP="00237C98">
                <w:pPr>
                  <w:rPr>
                    <w:rFonts w:cs="Times New Roman"/>
                    <w:sz w:val="32"/>
                    <w:szCs w:val="32"/>
                  </w:rPr>
                </w:pPr>
                <w:r w:rsidRPr="00065EF0">
                  <w:rPr>
                    <w:rFonts w:cs="Times New Roman"/>
                    <w:sz w:val="32"/>
                    <w:szCs w:val="32"/>
                  </w:rPr>
                  <w:t>Health and Wellbeing Poster</w:t>
                </w:r>
              </w:p>
            </w:tc>
            <w:tc>
              <w:tcPr>
                <w:tcW w:w="2880" w:type="dxa"/>
              </w:tcPr>
              <w:p w14:paraId="1979E368" w14:textId="77777777" w:rsidR="00065EF0" w:rsidRPr="00065EF0" w:rsidRDefault="00065EF0" w:rsidP="00237C98">
                <w:pPr>
                  <w:rPr>
                    <w:rFonts w:cs="Times New Roman"/>
                    <w:sz w:val="32"/>
                    <w:szCs w:val="32"/>
                  </w:rPr>
                </w:pPr>
                <w:r w:rsidRPr="00065EF0">
                  <w:rPr>
                    <w:rFonts w:cs="Times New Roman"/>
                    <w:sz w:val="32"/>
                    <w:szCs w:val="32"/>
                  </w:rPr>
                  <w:t>2</w:t>
                </w:r>
              </w:p>
            </w:tc>
          </w:tr>
          <w:tr w:rsidR="00065EF0" w:rsidRPr="00065EF0" w14:paraId="2A0FB133" w14:textId="77777777" w:rsidTr="00237C98">
            <w:tc>
              <w:tcPr>
                <w:tcW w:w="2880" w:type="dxa"/>
              </w:tcPr>
              <w:p w14:paraId="023E0CFD" w14:textId="77777777" w:rsidR="00065EF0" w:rsidRPr="00065EF0" w:rsidRDefault="00065EF0" w:rsidP="00237C98">
                <w:pPr>
                  <w:rPr>
                    <w:rFonts w:cs="Times New Roman"/>
                    <w:sz w:val="32"/>
                    <w:szCs w:val="32"/>
                  </w:rPr>
                </w:pPr>
                <w:r w:rsidRPr="00065EF0">
                  <w:rPr>
                    <w:rFonts w:cs="Times New Roman"/>
                    <w:sz w:val="32"/>
                    <w:szCs w:val="32"/>
                  </w:rPr>
                  <w:t>3</w:t>
                </w:r>
              </w:p>
            </w:tc>
            <w:tc>
              <w:tcPr>
                <w:tcW w:w="2880" w:type="dxa"/>
              </w:tcPr>
              <w:p w14:paraId="2184F172" w14:textId="77777777" w:rsidR="00065EF0" w:rsidRPr="00065EF0" w:rsidRDefault="00065EF0" w:rsidP="00237C98">
                <w:pPr>
                  <w:rPr>
                    <w:rFonts w:cs="Times New Roman"/>
                    <w:sz w:val="32"/>
                    <w:szCs w:val="32"/>
                  </w:rPr>
                </w:pPr>
                <w:r w:rsidRPr="00065EF0">
                  <w:rPr>
                    <w:rFonts w:cs="Times New Roman"/>
                    <w:sz w:val="32"/>
                    <w:szCs w:val="32"/>
                  </w:rPr>
                  <w:t>Blogs on Children’s Rights</w:t>
                </w:r>
              </w:p>
            </w:tc>
            <w:tc>
              <w:tcPr>
                <w:tcW w:w="2880" w:type="dxa"/>
              </w:tcPr>
              <w:p w14:paraId="042F6A5A" w14:textId="77777777" w:rsidR="00065EF0" w:rsidRPr="00065EF0" w:rsidRDefault="00065EF0" w:rsidP="00237C98">
                <w:pPr>
                  <w:rPr>
                    <w:rFonts w:cs="Times New Roman"/>
                    <w:sz w:val="32"/>
                    <w:szCs w:val="32"/>
                  </w:rPr>
                </w:pPr>
                <w:r w:rsidRPr="00065EF0">
                  <w:rPr>
                    <w:rFonts w:cs="Times New Roman"/>
                    <w:sz w:val="32"/>
                    <w:szCs w:val="32"/>
                  </w:rPr>
                  <w:t>3</w:t>
                </w:r>
              </w:p>
            </w:tc>
          </w:tr>
          <w:tr w:rsidR="00065EF0" w:rsidRPr="00065EF0" w14:paraId="6D2988D2" w14:textId="77777777" w:rsidTr="00237C98">
            <w:tc>
              <w:tcPr>
                <w:tcW w:w="2880" w:type="dxa"/>
              </w:tcPr>
              <w:p w14:paraId="370DB557" w14:textId="77777777" w:rsidR="00065EF0" w:rsidRPr="00065EF0" w:rsidRDefault="00065EF0" w:rsidP="00237C98">
                <w:pPr>
                  <w:rPr>
                    <w:rFonts w:cs="Times New Roman"/>
                    <w:sz w:val="32"/>
                    <w:szCs w:val="32"/>
                  </w:rPr>
                </w:pPr>
                <w:r w:rsidRPr="00065EF0">
                  <w:rPr>
                    <w:rFonts w:cs="Times New Roman"/>
                    <w:sz w:val="32"/>
                    <w:szCs w:val="32"/>
                  </w:rPr>
                  <w:t>4</w:t>
                </w:r>
              </w:p>
            </w:tc>
            <w:tc>
              <w:tcPr>
                <w:tcW w:w="2880" w:type="dxa"/>
              </w:tcPr>
              <w:p w14:paraId="23F28CD8" w14:textId="77777777" w:rsidR="00065EF0" w:rsidRPr="00065EF0" w:rsidRDefault="00065EF0" w:rsidP="00237C98">
                <w:pPr>
                  <w:rPr>
                    <w:rFonts w:cs="Times New Roman"/>
                    <w:sz w:val="32"/>
                    <w:szCs w:val="32"/>
                  </w:rPr>
                </w:pPr>
                <w:r w:rsidRPr="00065EF0">
                  <w:rPr>
                    <w:rFonts w:cs="Times New Roman"/>
                    <w:sz w:val="32"/>
                    <w:szCs w:val="32"/>
                  </w:rPr>
                  <w:t>Safeguarding Legislation Timeline</w:t>
                </w:r>
              </w:p>
            </w:tc>
            <w:tc>
              <w:tcPr>
                <w:tcW w:w="2880" w:type="dxa"/>
              </w:tcPr>
              <w:p w14:paraId="2B1203D3" w14:textId="77777777" w:rsidR="00065EF0" w:rsidRPr="00065EF0" w:rsidRDefault="00065EF0" w:rsidP="00237C98">
                <w:pPr>
                  <w:rPr>
                    <w:rFonts w:cs="Times New Roman"/>
                    <w:sz w:val="32"/>
                    <w:szCs w:val="32"/>
                  </w:rPr>
                </w:pPr>
                <w:r w:rsidRPr="00065EF0">
                  <w:rPr>
                    <w:rFonts w:cs="Times New Roman"/>
                    <w:sz w:val="32"/>
                    <w:szCs w:val="32"/>
                  </w:rPr>
                  <w:t>4</w:t>
                </w:r>
              </w:p>
            </w:tc>
          </w:tr>
          <w:tr w:rsidR="00065EF0" w:rsidRPr="00065EF0" w14:paraId="171C907D" w14:textId="77777777" w:rsidTr="00237C98">
            <w:tc>
              <w:tcPr>
                <w:tcW w:w="2880" w:type="dxa"/>
              </w:tcPr>
              <w:p w14:paraId="6D72D1F4" w14:textId="77777777" w:rsidR="00065EF0" w:rsidRPr="00065EF0" w:rsidRDefault="00065EF0" w:rsidP="00237C98">
                <w:pPr>
                  <w:rPr>
                    <w:rFonts w:cs="Times New Roman"/>
                    <w:sz w:val="32"/>
                    <w:szCs w:val="32"/>
                  </w:rPr>
                </w:pPr>
                <w:r w:rsidRPr="00065EF0">
                  <w:rPr>
                    <w:rFonts w:cs="Times New Roman"/>
                    <w:sz w:val="32"/>
                    <w:szCs w:val="32"/>
                  </w:rPr>
                  <w:t>5</w:t>
                </w:r>
              </w:p>
            </w:tc>
            <w:tc>
              <w:tcPr>
                <w:tcW w:w="2880" w:type="dxa"/>
              </w:tcPr>
              <w:p w14:paraId="68ED6C9B" w14:textId="77777777" w:rsidR="00065EF0" w:rsidRPr="00065EF0" w:rsidRDefault="00065EF0" w:rsidP="00237C98">
                <w:pPr>
                  <w:rPr>
                    <w:rFonts w:cs="Times New Roman"/>
                    <w:sz w:val="32"/>
                    <w:szCs w:val="32"/>
                  </w:rPr>
                </w:pPr>
                <w:r w:rsidRPr="00065EF0">
                  <w:rPr>
                    <w:rFonts w:cs="Times New Roman"/>
                    <w:sz w:val="32"/>
                    <w:szCs w:val="32"/>
                  </w:rPr>
                  <w:t>Reference List</w:t>
                </w:r>
              </w:p>
            </w:tc>
            <w:tc>
              <w:tcPr>
                <w:tcW w:w="2880" w:type="dxa"/>
              </w:tcPr>
              <w:p w14:paraId="776C76F5" w14:textId="77777777" w:rsidR="00065EF0" w:rsidRPr="00065EF0" w:rsidRDefault="00065EF0" w:rsidP="00237C98">
                <w:pPr>
                  <w:rPr>
                    <w:rFonts w:cs="Times New Roman"/>
                    <w:sz w:val="32"/>
                    <w:szCs w:val="32"/>
                  </w:rPr>
                </w:pPr>
                <w:r w:rsidRPr="00065EF0">
                  <w:rPr>
                    <w:rFonts w:cs="Times New Roman"/>
                    <w:sz w:val="32"/>
                    <w:szCs w:val="32"/>
                  </w:rPr>
                  <w:t>5</w:t>
                </w:r>
              </w:p>
            </w:tc>
          </w:tr>
        </w:tbl>
        <w:p w14:paraId="3DDFCC13" w14:textId="77777777" w:rsidR="00065EF0" w:rsidRPr="00065EF0" w:rsidRDefault="00065EF0" w:rsidP="00065EF0">
          <w:pPr>
            <w:rPr>
              <w:rFonts w:cs="Times New Roman"/>
              <w:sz w:val="32"/>
              <w:szCs w:val="32"/>
            </w:rPr>
          </w:pPr>
        </w:p>
        <w:p w14:paraId="26134169" w14:textId="5A090866" w:rsidR="00A03DD0" w:rsidRPr="00065EF0" w:rsidRDefault="00A03DD0">
          <w:pPr>
            <w:rPr>
              <w:rFonts w:eastAsia="Times New Roman" w:cs="Times New Roman"/>
              <w:color w:val="000000"/>
              <w:kern w:val="0"/>
              <w:sz w:val="32"/>
              <w:szCs w:val="32"/>
              <w:lang w:eastAsia="en-GB"/>
              <w14:ligatures w14:val="none"/>
            </w:rPr>
          </w:pPr>
          <w:r w:rsidRPr="00065EF0">
            <w:rPr>
              <w:rFonts w:eastAsia="Times New Roman" w:cs="Times New Roman"/>
              <w:color w:val="000000"/>
              <w:kern w:val="0"/>
              <w:sz w:val="32"/>
              <w:szCs w:val="32"/>
              <w:lang w:eastAsia="en-GB"/>
              <w14:ligatures w14:val="none"/>
            </w:rPr>
            <w:br w:type="page"/>
          </w:r>
        </w:p>
      </w:sdtContent>
    </w:sdt>
    <w:p w14:paraId="77152052" w14:textId="19A33ACB"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Introduction</w:t>
      </w:r>
    </w:p>
    <w:p w14:paraId="0085EDD1" w14:textId="66F95F41"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065EF0">
        <w:rPr>
          <w:rFonts w:ascii="Times New Roman" w:hAnsi="Times New Roman" w:cs="Times New Roman"/>
          <w:color w:val="000000"/>
        </w:rPr>
        <w:t>Child and Adolescent Mental Health Services (CAMHS) are essential in providing speciali</w:t>
      </w:r>
      <w:r w:rsidRPr="00065EF0">
        <w:rPr>
          <w:rFonts w:ascii="Times New Roman" w:hAnsi="Times New Roman" w:cs="Times New Roman"/>
          <w:color w:val="000000"/>
        </w:rPr>
        <w:t>s</w:t>
      </w:r>
      <w:r w:rsidRPr="00065EF0">
        <w:rPr>
          <w:rFonts w:ascii="Times New Roman" w:hAnsi="Times New Roman" w:cs="Times New Roman"/>
          <w:color w:val="000000"/>
        </w:rPr>
        <w:t>ed care for children and young people facing mental health challenges. As mental health issues such as anxiety, depression, and behavio</w:t>
      </w:r>
      <w:r w:rsidRPr="00065EF0">
        <w:rPr>
          <w:rFonts w:ascii="Times New Roman" w:hAnsi="Times New Roman" w:cs="Times New Roman"/>
          <w:color w:val="000000"/>
        </w:rPr>
        <w:t>u</w:t>
      </w:r>
      <w:r w:rsidRPr="00065EF0">
        <w:rPr>
          <w:rFonts w:ascii="Times New Roman" w:hAnsi="Times New Roman" w:cs="Times New Roman"/>
          <w:color w:val="000000"/>
        </w:rPr>
        <w:t>ral difficulties rise in younger populations, CAMHS plays a crucial role in offering early intervention and tailored support. The service aims to address the complex mental, emotional, and behavio</w:t>
      </w:r>
      <w:r w:rsidRPr="00065EF0">
        <w:rPr>
          <w:rFonts w:ascii="Times New Roman" w:hAnsi="Times New Roman" w:cs="Times New Roman"/>
          <w:color w:val="000000"/>
        </w:rPr>
        <w:t>u</w:t>
      </w:r>
      <w:r w:rsidRPr="00065EF0">
        <w:rPr>
          <w:rFonts w:ascii="Times New Roman" w:hAnsi="Times New Roman" w:cs="Times New Roman"/>
          <w:color w:val="000000"/>
        </w:rPr>
        <w:t>ral needs of children and adolescents, ensuring they receive the appropriate care to enhance their overall well-being.</w:t>
      </w:r>
      <w:r w:rsidRPr="00065EF0">
        <w:rPr>
          <w:rFonts w:ascii="Times New Roman" w:hAnsi="Times New Roman" w:cs="Times New Roman"/>
          <w:color w:val="000000"/>
        </w:rPr>
        <w:t xml:space="preserve"> </w:t>
      </w:r>
      <w:r w:rsidRPr="00A03DD0">
        <w:rPr>
          <w:rFonts w:ascii="Times New Roman" w:eastAsia="Times New Roman" w:hAnsi="Times New Roman" w:cs="Times New Roman"/>
          <w:color w:val="000000"/>
          <w:kern w:val="0"/>
          <w:lang w:eastAsia="en-GB"/>
          <w14:ligatures w14:val="none"/>
        </w:rPr>
        <w:t xml:space="preserve">The CAMHS video </w:t>
      </w:r>
      <w:r w:rsidRPr="00065EF0">
        <w:rPr>
          <w:rFonts w:ascii="Times New Roman" w:eastAsia="Times New Roman" w:hAnsi="Times New Roman" w:cs="Times New Roman"/>
          <w:color w:val="000000"/>
          <w:kern w:val="0"/>
          <w:lang w:eastAsia="en-GB"/>
          <w14:ligatures w14:val="none"/>
        </w:rPr>
        <w:t>visually</w:t>
      </w:r>
      <w:r w:rsidRPr="00A03DD0">
        <w:rPr>
          <w:rFonts w:ascii="Times New Roman" w:eastAsia="Times New Roman" w:hAnsi="Times New Roman" w:cs="Times New Roman"/>
          <w:color w:val="000000"/>
          <w:kern w:val="0"/>
          <w:lang w:eastAsia="en-GB"/>
          <w14:ligatures w14:val="none"/>
        </w:rPr>
        <w:t xml:space="preserve"> expla</w:t>
      </w:r>
      <w:r w:rsidRPr="00065EF0">
        <w:rPr>
          <w:rFonts w:ascii="Times New Roman" w:eastAsia="Times New Roman" w:hAnsi="Times New Roman" w:cs="Times New Roman"/>
          <w:color w:val="000000"/>
          <w:kern w:val="0"/>
          <w:lang w:eastAsia="en-GB"/>
          <w14:ligatures w14:val="none"/>
        </w:rPr>
        <w:t>ins</w:t>
      </w:r>
      <w:r w:rsidRPr="00A03DD0">
        <w:rPr>
          <w:rFonts w:ascii="Times New Roman" w:eastAsia="Times New Roman" w:hAnsi="Times New Roman" w:cs="Times New Roman"/>
          <w:color w:val="000000"/>
          <w:kern w:val="0"/>
          <w:lang w:eastAsia="en-GB"/>
          <w14:ligatures w14:val="none"/>
        </w:rPr>
        <w:t xml:space="preserve"> the referral, assessment, and intervention processes. This critique will explore the strengths and weaknesses of the video, evaluate the services described, and analyse potential implications for young people's experiences from referral to discharge. It will also consider relevant theoretical models and highlight interventions that could impact children’s health and well</w:t>
      </w:r>
      <w:r w:rsidRPr="00065EF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t>being.</w:t>
      </w:r>
    </w:p>
    <w:p w14:paraId="2D01205A" w14:textId="77777777" w:rsidR="00A03DD0" w:rsidRPr="00065EF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2DA89CC7">
          <v:rect id="_x0000_i1025" alt="" style="width:451.3pt;height:.05pt;mso-width-percent:0;mso-height-percent:0;mso-width-percent:0;mso-height-percent:0" o:hralign="center" o:hrstd="t" o:hrnoshade="t" o:hr="t" fillcolor="black" stroked="f"/>
        </w:pict>
      </w:r>
    </w:p>
    <w:p w14:paraId="76AAC96E" w14:textId="77777777" w:rsidR="00A03DD0" w:rsidRPr="00065EF0" w:rsidRDefault="00A03DD0" w:rsidP="00A03DD0">
      <w:pPr>
        <w:rPr>
          <w:rFonts w:ascii="Times New Roman" w:eastAsia="Times New Roman" w:hAnsi="Times New Roman" w:cs="Times New Roman"/>
          <w:kern w:val="0"/>
          <w:lang w:eastAsia="en-GB"/>
          <w14:ligatures w14:val="none"/>
        </w:rPr>
      </w:pPr>
    </w:p>
    <w:p w14:paraId="42996F84" w14:textId="77777777" w:rsidR="00A03DD0" w:rsidRPr="00065EF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Understanding CAMHS and Its Role in Supporting Young People</w:t>
      </w:r>
    </w:p>
    <w:p w14:paraId="6389C55F" w14:textId="55B25538"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Child and Adolescent Mental Health Services (CAMHS) provide specialist support for children and young people experiencing emotional, behavioural, or mental health difficulties</w:t>
      </w:r>
      <w:r w:rsidRPr="00065EF0">
        <w:rPr>
          <w:rFonts w:ascii="Times New Roman" w:hAnsi="Times New Roman" w:cs="Times New Roman"/>
          <w:color w:val="000000"/>
        </w:rPr>
        <w:t xml:space="preserve"> </w:t>
      </w:r>
      <w:r w:rsidRPr="00065EF0">
        <w:rPr>
          <w:rFonts w:ascii="Times New Roman" w:hAnsi="Times New Roman" w:cs="Times New Roman"/>
          <w:color w:val="000000"/>
        </w:rPr>
        <w:t>(Evans et al., 2023)</w:t>
      </w:r>
      <w:r w:rsidRPr="00A03DD0">
        <w:rPr>
          <w:rFonts w:ascii="Times New Roman" w:eastAsia="Times New Roman" w:hAnsi="Times New Roman" w:cs="Times New Roman"/>
          <w:color w:val="000000"/>
          <w:kern w:val="0"/>
          <w:lang w:eastAsia="en-GB"/>
          <w14:ligatures w14:val="none"/>
        </w:rPr>
        <w:t>. Services include assessments, diagnosis, and a range of therapeutic interventions such as cognitive behavioural therapy (CBT), family therapy, and counselling. CAMHS teams are typically made up of professionals</w:t>
      </w:r>
      <w:r w:rsidRPr="00065EF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t xml:space="preserve"> including psychiatrists, psychologists, nurses, and social workers who work together to deliver holistic care tailored to the young person’s needs</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NHS 2020)</w:t>
      </w:r>
      <w:r w:rsidRPr="00A03DD0">
        <w:rPr>
          <w:rFonts w:ascii="Times New Roman" w:eastAsia="Times New Roman" w:hAnsi="Times New Roman" w:cs="Times New Roman"/>
          <w:color w:val="000000"/>
          <w:kern w:val="0"/>
          <w:lang w:eastAsia="en-GB"/>
          <w14:ligatures w14:val="none"/>
        </w:rPr>
        <w:t>.</w:t>
      </w:r>
    </w:p>
    <w:p w14:paraId="3765B763" w14:textId="35067E44"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CAMHS operates within a biopsychosocial framework, meaning it considers biological, psychological, and social factors when assessing and treating mental health issues</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(Lowe, 2023)</w:t>
      </w:r>
      <w:r w:rsidRPr="00A03DD0">
        <w:rPr>
          <w:rFonts w:ascii="Times New Roman" w:eastAsia="Times New Roman" w:hAnsi="Times New Roman" w:cs="Times New Roman"/>
          <w:color w:val="000000"/>
          <w:kern w:val="0"/>
          <w:lang w:eastAsia="en-GB"/>
          <w14:ligatures w14:val="none"/>
        </w:rPr>
        <w:t>. For example, a young person experiencing anxiety may receive CBT alongside family support and school-based interventions to address all contributing areas of their life. Bronfenbrenner’s Ecological Systems Theory can help us understand how CAMHS fits into the broader systems around the child</w:t>
      </w:r>
      <w:r w:rsidRPr="00065EF0">
        <w:rPr>
          <w:rFonts w:ascii="Times New Roman" w:eastAsia="Times New Roman" w:hAnsi="Times New Roman" w:cs="Times New Roman"/>
          <w:color w:val="000000"/>
          <w:kern w:val="0"/>
          <w:lang w:eastAsia="en-GB"/>
          <w14:ligatures w14:val="none"/>
        </w:rPr>
        <w:t xml:space="preserve">, </w:t>
      </w:r>
      <w:r w:rsidRPr="00A03DD0">
        <w:rPr>
          <w:rFonts w:ascii="Times New Roman" w:eastAsia="Times New Roman" w:hAnsi="Times New Roman" w:cs="Times New Roman"/>
          <w:color w:val="000000"/>
          <w:kern w:val="0"/>
          <w:lang w:eastAsia="en-GB"/>
          <w14:ligatures w14:val="none"/>
        </w:rPr>
        <w:t>such as school, family, and community</w:t>
      </w:r>
      <w:r w:rsidRPr="00065EF0">
        <w:rPr>
          <w:rFonts w:ascii="Times New Roman" w:eastAsia="Times New Roman" w:hAnsi="Times New Roman" w:cs="Times New Roman"/>
          <w:color w:val="000000"/>
          <w:kern w:val="0"/>
          <w:lang w:eastAsia="en-GB"/>
          <w14:ligatures w14:val="none"/>
        </w:rPr>
        <w:t xml:space="preserve">, </w:t>
      </w:r>
      <w:r w:rsidRPr="00A03DD0">
        <w:rPr>
          <w:rFonts w:ascii="Times New Roman" w:eastAsia="Times New Roman" w:hAnsi="Times New Roman" w:cs="Times New Roman"/>
          <w:color w:val="000000"/>
          <w:kern w:val="0"/>
          <w:lang w:eastAsia="en-GB"/>
          <w14:ligatures w14:val="none"/>
        </w:rPr>
        <w:t>and how these all influence their mental wellbeing</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(Antony, 2022)</w:t>
      </w:r>
      <w:r w:rsidRPr="00A03DD0">
        <w:rPr>
          <w:rFonts w:ascii="Times New Roman" w:eastAsia="Times New Roman" w:hAnsi="Times New Roman" w:cs="Times New Roman"/>
          <w:color w:val="000000"/>
          <w:kern w:val="0"/>
          <w:lang w:eastAsia="en-GB"/>
          <w14:ligatures w14:val="none"/>
        </w:rPr>
        <w:t>. Additionally, attachment theory highlights the importance of secure relationships in a child’s emotional development. CAMHS often involves parents or carers in treatment, which can help strengthen these bonds and support recovery</w:t>
      </w:r>
      <w:r w:rsidRPr="00065EF0">
        <w:rPr>
          <w:rFonts w:ascii="Times New Roman" w:hAnsi="Times New Roman" w:cs="Times New Roman"/>
          <w:color w:val="000000"/>
        </w:rPr>
        <w:t xml:space="preserve"> </w:t>
      </w:r>
      <w:r w:rsidRPr="00065EF0">
        <w:rPr>
          <w:rFonts w:ascii="Times New Roman" w:hAnsi="Times New Roman" w:cs="Times New Roman"/>
          <w:color w:val="000000"/>
        </w:rPr>
        <w:t>(</w:t>
      </w:r>
      <w:proofErr w:type="spellStart"/>
      <w:r w:rsidRPr="00065EF0">
        <w:rPr>
          <w:rFonts w:ascii="Times New Roman" w:hAnsi="Times New Roman" w:cs="Times New Roman"/>
          <w:color w:val="000000"/>
        </w:rPr>
        <w:t>Mcleod</w:t>
      </w:r>
      <w:proofErr w:type="spellEnd"/>
      <w:r w:rsidRPr="00065EF0">
        <w:rPr>
          <w:rFonts w:ascii="Times New Roman" w:hAnsi="Times New Roman" w:cs="Times New Roman"/>
          <w:color w:val="000000"/>
        </w:rPr>
        <w:t>, 2024)</w:t>
      </w:r>
      <w:r w:rsidRPr="00A03DD0">
        <w:rPr>
          <w:rFonts w:ascii="Times New Roman" w:eastAsia="Times New Roman" w:hAnsi="Times New Roman" w:cs="Times New Roman"/>
          <w:color w:val="000000"/>
          <w:kern w:val="0"/>
          <w:lang w:eastAsia="en-GB"/>
          <w14:ligatures w14:val="none"/>
        </w:rPr>
        <w:t>.</w:t>
      </w:r>
    </w:p>
    <w:p w14:paraId="54391DB1" w14:textId="7C21ECA1"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Effective CAMHS support can improve a young person’s ability to cope, build resilience, and re-engage with school, friendships, and daily life</w:t>
      </w:r>
      <w:r w:rsidRPr="00065EF0">
        <w:rPr>
          <w:rFonts w:ascii="Times New Roman" w:eastAsia="Times New Roman" w:hAnsi="Times New Roman" w:cs="Times New Roman"/>
          <w:color w:val="000000"/>
          <w:kern w:val="0"/>
          <w:lang w:eastAsia="en-GB"/>
          <w14:ligatures w14:val="none"/>
        </w:rPr>
        <w:t>.</w:t>
      </w:r>
    </w:p>
    <w:p w14:paraId="0789B98F"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p>
    <w:p w14:paraId="0D40EA5C" w14:textId="77777777" w:rsidR="00A03DD0" w:rsidRPr="00A03DD0" w:rsidRDefault="00A03DD0" w:rsidP="00A03DD0">
      <w:pPr>
        <w:rPr>
          <w:rFonts w:ascii="Times New Roman" w:eastAsia="Times New Roman" w:hAnsi="Times New Roman" w:cs="Times New Roman"/>
          <w:kern w:val="0"/>
          <w:lang w:eastAsia="en-GB"/>
          <w14:ligatures w14:val="none"/>
        </w:rPr>
      </w:pPr>
    </w:p>
    <w:p w14:paraId="1F42E3BB"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Strengths of the CAMHS Video</w:t>
      </w:r>
    </w:p>
    <w:p w14:paraId="64274367" w14:textId="7FBAF881"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One notable strength of the video is its clear and structured explanation of the referral and treatment process. It simplifies what can often be a complicated and intimidating experience </w:t>
      </w:r>
      <w:r w:rsidRPr="00A03DD0">
        <w:rPr>
          <w:rFonts w:ascii="Times New Roman" w:eastAsia="Times New Roman" w:hAnsi="Times New Roman" w:cs="Times New Roman"/>
          <w:color w:val="000000"/>
          <w:kern w:val="0"/>
          <w:lang w:eastAsia="en-GB"/>
          <w14:ligatures w14:val="none"/>
        </w:rPr>
        <w:lastRenderedPageBreak/>
        <w:t xml:space="preserve">for young people and families </w:t>
      </w:r>
      <w:r w:rsidRPr="00065EF0">
        <w:rPr>
          <w:rFonts w:ascii="Times New Roman" w:eastAsia="Times New Roman" w:hAnsi="Times New Roman" w:cs="Times New Roman"/>
          <w:color w:val="000000"/>
          <w:kern w:val="0"/>
          <w:lang w:eastAsia="en-GB"/>
          <w14:ligatures w14:val="none"/>
        </w:rPr>
        <w:t xml:space="preserve">that may be </w:t>
      </w:r>
      <w:r w:rsidRPr="00A03DD0">
        <w:rPr>
          <w:rFonts w:ascii="Times New Roman" w:eastAsia="Times New Roman" w:hAnsi="Times New Roman" w:cs="Times New Roman"/>
          <w:color w:val="000000"/>
          <w:kern w:val="0"/>
          <w:lang w:eastAsia="en-GB"/>
          <w14:ligatures w14:val="none"/>
        </w:rPr>
        <w:t xml:space="preserve">unfamiliar with mental health services </w:t>
      </w:r>
      <w:r w:rsidRPr="00065EF0">
        <w:rPr>
          <w:rFonts w:ascii="Times New Roman" w:eastAsia="Times New Roman" w:hAnsi="Times New Roman" w:cs="Times New Roman"/>
          <w:color w:val="000000"/>
          <w:kern w:val="0"/>
          <w:lang w:eastAsia="en-GB"/>
          <w14:ligatures w14:val="none"/>
        </w:rPr>
        <w:t>and the process</w:t>
      </w:r>
      <w:r w:rsidRPr="00A03DD0">
        <w:rPr>
          <w:rFonts w:ascii="Times New Roman" w:eastAsia="Times New Roman" w:hAnsi="Times New Roman" w:cs="Times New Roman"/>
          <w:color w:val="000000"/>
          <w:kern w:val="0"/>
          <w:lang w:eastAsia="en-GB"/>
          <w14:ligatures w14:val="none"/>
        </w:rPr>
        <w:t xml:space="preserve">. The step-by-step </w:t>
      </w:r>
      <w:r w:rsidRPr="00065EF0">
        <w:rPr>
          <w:rFonts w:ascii="Times New Roman" w:eastAsia="Times New Roman" w:hAnsi="Times New Roman" w:cs="Times New Roman"/>
          <w:color w:val="000000"/>
          <w:kern w:val="0"/>
          <w:lang w:eastAsia="en-GB"/>
          <w14:ligatures w14:val="none"/>
        </w:rPr>
        <w:t xml:space="preserve">guide, </w:t>
      </w:r>
      <w:r w:rsidRPr="00A03DD0">
        <w:rPr>
          <w:rFonts w:ascii="Times New Roman" w:eastAsia="Times New Roman" w:hAnsi="Times New Roman" w:cs="Times New Roman"/>
          <w:color w:val="000000"/>
          <w:kern w:val="0"/>
          <w:lang w:eastAsia="en-GB"/>
          <w14:ligatures w14:val="none"/>
        </w:rPr>
        <w:t>from</w:t>
      </w:r>
      <w:r w:rsidRPr="00065EF0">
        <w:rPr>
          <w:rFonts w:ascii="Times New Roman" w:eastAsia="Times New Roman" w:hAnsi="Times New Roman" w:cs="Times New Roman"/>
          <w:color w:val="000000"/>
          <w:kern w:val="0"/>
          <w:lang w:eastAsia="en-GB"/>
          <w14:ligatures w14:val="none"/>
        </w:rPr>
        <w:t xml:space="preserve"> explaining the</w:t>
      </w:r>
      <w:r w:rsidRPr="00A03DD0">
        <w:rPr>
          <w:rFonts w:ascii="Times New Roman" w:eastAsia="Times New Roman" w:hAnsi="Times New Roman" w:cs="Times New Roman"/>
          <w:color w:val="000000"/>
          <w:kern w:val="0"/>
          <w:lang w:eastAsia="en-GB"/>
          <w14:ligatures w14:val="none"/>
        </w:rPr>
        <w:t xml:space="preserve"> GP referral through triage, assessment, therapy, and eventual discharge</w:t>
      </w:r>
      <w:r w:rsidRPr="00065EF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t xml:space="preserve"> offers a transparent insight into the CAMHS journey.</w:t>
      </w:r>
    </w:p>
    <w:p w14:paraId="5151AD08" w14:textId="39055D4F"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Another strength is the humanisation of the service </w:t>
      </w:r>
      <w:proofErr w:type="gramStart"/>
      <w:r w:rsidRPr="00A03DD0">
        <w:rPr>
          <w:rFonts w:ascii="Times New Roman" w:eastAsia="Times New Roman" w:hAnsi="Times New Roman" w:cs="Times New Roman"/>
          <w:color w:val="000000"/>
          <w:kern w:val="0"/>
          <w:lang w:eastAsia="en-GB"/>
          <w14:ligatures w14:val="none"/>
        </w:rPr>
        <w:t>through the use of</w:t>
      </w:r>
      <w:proofErr w:type="gramEnd"/>
      <w:r w:rsidRPr="00A03DD0">
        <w:rPr>
          <w:rFonts w:ascii="Times New Roman" w:eastAsia="Times New Roman" w:hAnsi="Times New Roman" w:cs="Times New Roman"/>
          <w:color w:val="000000"/>
          <w:kern w:val="0"/>
          <w:lang w:eastAsia="en-GB"/>
          <w14:ligatures w14:val="none"/>
        </w:rPr>
        <w:t xml:space="preserve"> animated characters and plain language. This is important because young people may feel anxious or intimidated by formal or clinical environments </w:t>
      </w:r>
      <w:r w:rsidRPr="00065EF0">
        <w:rPr>
          <w:rFonts w:ascii="Times New Roman" w:hAnsi="Times New Roman" w:cs="Times New Roman"/>
          <w:color w:val="000000"/>
        </w:rPr>
        <w:t>(</w:t>
      </w:r>
      <w:proofErr w:type="spellStart"/>
      <w:r w:rsidRPr="00065EF0">
        <w:rPr>
          <w:rFonts w:ascii="Times New Roman" w:hAnsi="Times New Roman" w:cs="Times New Roman"/>
          <w:color w:val="000000"/>
        </w:rPr>
        <w:t>Digitalcommons@lesley</w:t>
      </w:r>
      <w:proofErr w:type="spellEnd"/>
      <w:r w:rsidRPr="00065EF0">
        <w:rPr>
          <w:rFonts w:ascii="Times New Roman" w:hAnsi="Times New Roman" w:cs="Times New Roman"/>
          <w:color w:val="000000"/>
        </w:rPr>
        <w:t xml:space="preserve"> and </w:t>
      </w:r>
      <w:proofErr w:type="spellStart"/>
      <w:r w:rsidRPr="00065EF0">
        <w:rPr>
          <w:rFonts w:ascii="Times New Roman" w:hAnsi="Times New Roman" w:cs="Times New Roman"/>
          <w:color w:val="000000"/>
        </w:rPr>
        <w:t>Tabana</w:t>
      </w:r>
      <w:proofErr w:type="spellEnd"/>
      <w:r w:rsidRPr="00065EF0">
        <w:rPr>
          <w:rFonts w:ascii="Times New Roman" w:hAnsi="Times New Roman" w:cs="Times New Roman"/>
          <w:color w:val="000000"/>
        </w:rPr>
        <w:t>, 2024)</w:t>
      </w:r>
      <w:r w:rsidRPr="00A03DD0">
        <w:rPr>
          <w:rFonts w:ascii="Times New Roman" w:eastAsia="Times New Roman" w:hAnsi="Times New Roman" w:cs="Times New Roman"/>
          <w:color w:val="000000"/>
          <w:kern w:val="0"/>
          <w:lang w:eastAsia="en-GB"/>
          <w14:ligatures w14:val="none"/>
        </w:rPr>
        <w:t xml:space="preserve">. The video attempts to normalise the idea of seeking mental health support, reducing </w:t>
      </w:r>
      <w:proofErr w:type="gramStart"/>
      <w:r w:rsidRPr="00A03DD0">
        <w:rPr>
          <w:rFonts w:ascii="Times New Roman" w:eastAsia="Times New Roman" w:hAnsi="Times New Roman" w:cs="Times New Roman"/>
          <w:color w:val="000000"/>
          <w:kern w:val="0"/>
          <w:lang w:eastAsia="en-GB"/>
          <w14:ligatures w14:val="none"/>
        </w:rPr>
        <w:t>stigma</w:t>
      </w:r>
      <w:proofErr w:type="gramEnd"/>
      <w:r w:rsidRPr="00A03DD0">
        <w:rPr>
          <w:rFonts w:ascii="Times New Roman" w:eastAsia="Times New Roman" w:hAnsi="Times New Roman" w:cs="Times New Roman"/>
          <w:color w:val="000000"/>
          <w:kern w:val="0"/>
          <w:lang w:eastAsia="en-GB"/>
          <w14:ligatures w14:val="none"/>
        </w:rPr>
        <w:t xml:space="preserve"> and encouraging early intervention, which research</w:t>
      </w:r>
      <w:r w:rsidRPr="00065EF0">
        <w:rPr>
          <w:rFonts w:ascii="Times New Roman" w:hAnsi="Times New Roman" w:cs="Times New Roman"/>
          <w:color w:val="000000"/>
        </w:rPr>
        <w:t xml:space="preserve"> </w:t>
      </w:r>
      <w:r w:rsidRPr="00065EF0">
        <w:rPr>
          <w:rFonts w:ascii="Times New Roman" w:hAnsi="Times New Roman" w:cs="Times New Roman"/>
          <w:color w:val="000000"/>
        </w:rPr>
        <w:t>(Crockett et al., 2025)</w:t>
      </w:r>
      <w:r w:rsidRPr="00A03DD0">
        <w:rPr>
          <w:rFonts w:ascii="Times New Roman" w:eastAsia="Times New Roman" w:hAnsi="Times New Roman" w:cs="Times New Roman"/>
          <w:color w:val="000000"/>
          <w:kern w:val="0"/>
          <w:lang w:eastAsia="en-GB"/>
          <w14:ligatures w14:val="none"/>
        </w:rPr>
        <w:t xml:space="preserve"> has consistently shown to be a predictor of better outcomes</w:t>
      </w:r>
      <w:r w:rsidRPr="00065EF0">
        <w:rPr>
          <w:rFonts w:ascii="Times New Roman" w:eastAsia="Times New Roman" w:hAnsi="Times New Roman" w:cs="Times New Roman"/>
          <w:color w:val="000000"/>
          <w:kern w:val="0"/>
          <w:lang w:eastAsia="en-GB"/>
          <w14:ligatures w14:val="none"/>
        </w:rPr>
        <w:t>.</w:t>
      </w:r>
    </w:p>
    <w:p w14:paraId="4567EFA3" w14:textId="548A2B93"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Furthermore, the video highlights the multidisciplinary nature of CAMHS teams, mentioning psychiatrists, psychologists, nurses, and therapists. This reflects the bio</w:t>
      </w:r>
      <w:r w:rsidRPr="00065EF0">
        <w:rPr>
          <w:rFonts w:ascii="Times New Roman" w:eastAsia="Times New Roman" w:hAnsi="Times New Roman" w:cs="Times New Roman"/>
          <w:color w:val="000000"/>
          <w:kern w:val="0"/>
          <w:lang w:eastAsia="en-GB"/>
          <w14:ligatures w14:val="none"/>
        </w:rPr>
        <w:t>psycho</w:t>
      </w:r>
      <w:r w:rsidRPr="00A03DD0">
        <w:rPr>
          <w:rFonts w:ascii="Times New Roman" w:eastAsia="Times New Roman" w:hAnsi="Times New Roman" w:cs="Times New Roman"/>
          <w:color w:val="000000"/>
          <w:kern w:val="0"/>
          <w:lang w:eastAsia="en-GB"/>
          <w14:ligatures w14:val="none"/>
        </w:rPr>
        <w:t>social model of care, where mental health is viewed through a holistic lens that includes biological, psychological, and social factors</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w:t>
      </w:r>
      <w:proofErr w:type="spellStart"/>
      <w:r w:rsidRPr="00065EF0">
        <w:rPr>
          <w:rFonts w:ascii="Times New Roman" w:hAnsi="Times New Roman" w:cs="Times New Roman"/>
          <w:color w:val="000000"/>
        </w:rPr>
        <w:t>Marschall</w:t>
      </w:r>
      <w:proofErr w:type="spellEnd"/>
      <w:r w:rsidRPr="00065EF0">
        <w:rPr>
          <w:rFonts w:ascii="Times New Roman" w:hAnsi="Times New Roman" w:cs="Times New Roman"/>
          <w:color w:val="000000"/>
        </w:rPr>
        <w:t>, 2023)</w:t>
      </w:r>
      <w:r w:rsidRPr="00A03DD0">
        <w:rPr>
          <w:rFonts w:ascii="Times New Roman" w:eastAsia="Times New Roman" w:hAnsi="Times New Roman" w:cs="Times New Roman"/>
          <w:color w:val="000000"/>
          <w:kern w:val="0"/>
          <w:lang w:eastAsia="en-GB"/>
          <w14:ligatures w14:val="none"/>
        </w:rPr>
        <w:t>.</w:t>
      </w:r>
    </w:p>
    <w:p w14:paraId="35F47D83" w14:textId="7F7FEC84"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3893470D">
          <v:rect id="_x0000_i1026" alt="" style="width:451.3pt;height:.05pt;mso-width-percent:0;mso-height-percent:0;mso-width-percent:0;mso-height-percent:0" o:hralign="center" o:hrstd="t" o:hrnoshade="t" o:hr="t" fillcolor="black" stroked="f"/>
        </w:pict>
      </w:r>
    </w:p>
    <w:p w14:paraId="09D58C69"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Weaknesses and Limitations of the Video</w:t>
      </w:r>
    </w:p>
    <w:p w14:paraId="60784B18" w14:textId="2880105A"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Despite its positive aspects, the CAMHS video also has several limitations. Firstly, the journey presented appears overly linear and simplistic. </w:t>
      </w:r>
      <w:r w:rsidRPr="00065EF0">
        <w:rPr>
          <w:rFonts w:ascii="Times New Roman" w:eastAsia="Times New Roman" w:hAnsi="Times New Roman" w:cs="Times New Roman"/>
          <w:color w:val="000000"/>
          <w:kern w:val="0"/>
          <w:lang w:eastAsia="en-GB"/>
          <w14:ligatures w14:val="none"/>
        </w:rPr>
        <w:t>Children’s</w:t>
      </w:r>
      <w:r w:rsidRPr="00A03DD0">
        <w:rPr>
          <w:rFonts w:ascii="Times New Roman" w:eastAsia="Times New Roman" w:hAnsi="Times New Roman" w:cs="Times New Roman"/>
          <w:color w:val="000000"/>
          <w:kern w:val="0"/>
          <w:lang w:eastAsia="en-GB"/>
          <w14:ligatures w14:val="none"/>
        </w:rPr>
        <w:t xml:space="preserve"> mental health pathways are rarely straightforward. Many young people face significant barriers to accessing services, including long waiting times, complex eligibility criteria, and regional disparities in service provision </w:t>
      </w:r>
      <w:r w:rsidRPr="00065EF0">
        <w:rPr>
          <w:rFonts w:ascii="Times New Roman" w:hAnsi="Times New Roman" w:cs="Times New Roman"/>
          <w:color w:val="000000"/>
        </w:rPr>
        <w:t>(Valentine et al., 2024)</w:t>
      </w:r>
      <w:r w:rsidRPr="00A03DD0">
        <w:rPr>
          <w:rFonts w:ascii="Times New Roman" w:eastAsia="Times New Roman" w:hAnsi="Times New Roman" w:cs="Times New Roman"/>
          <w:color w:val="000000"/>
          <w:kern w:val="0"/>
          <w:lang w:eastAsia="en-GB"/>
          <w14:ligatures w14:val="none"/>
        </w:rPr>
        <w:t>.</w:t>
      </w:r>
    </w:p>
    <w:p w14:paraId="01E5C558"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Secondly, the video does not adequately address the emotional experience of waiting for services. According to research by </w:t>
      </w:r>
      <w:proofErr w:type="spellStart"/>
      <w:r w:rsidRPr="00A03DD0">
        <w:rPr>
          <w:rFonts w:ascii="Times New Roman" w:eastAsia="Times New Roman" w:hAnsi="Times New Roman" w:cs="Times New Roman"/>
          <w:color w:val="000000"/>
          <w:kern w:val="0"/>
          <w:lang w:eastAsia="en-GB"/>
          <w14:ligatures w14:val="none"/>
        </w:rPr>
        <w:t>Crenna</w:t>
      </w:r>
      <w:proofErr w:type="spellEnd"/>
      <w:r w:rsidRPr="00A03DD0">
        <w:rPr>
          <w:rFonts w:ascii="Times New Roman" w:eastAsia="Times New Roman" w:hAnsi="Times New Roman" w:cs="Times New Roman"/>
          <w:color w:val="000000"/>
          <w:kern w:val="0"/>
          <w:lang w:eastAsia="en-GB"/>
          <w14:ligatures w14:val="none"/>
        </w:rPr>
        <w:t>-Jennings and Hutchinson (2020), delays in accessing CAMHS support can exacerbate children’s anxiety, depression, and feelings of helplessness. Families often feel unsupported during these gaps, but the video does not acknowledge interim support options like voluntary sector organisations or school-based counselling.</w:t>
      </w:r>
    </w:p>
    <w:p w14:paraId="66D06A7A" w14:textId="231A88F1"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Moreover, the video shows little recognition of diversity. Mental health experiences differ across cultural, socioeconomic, and neurodivergent backgrounds</w:t>
      </w:r>
      <w:r w:rsidRPr="00065EF0">
        <w:rPr>
          <w:rFonts w:ascii="Times New Roman" w:hAnsi="Times New Roman" w:cs="Times New Roman"/>
          <w:color w:val="000000"/>
        </w:rPr>
        <w:t xml:space="preserve"> </w:t>
      </w:r>
      <w:r w:rsidRPr="00065EF0">
        <w:rPr>
          <w:rFonts w:ascii="Times New Roman" w:hAnsi="Times New Roman" w:cs="Times New Roman"/>
          <w:color w:val="000000"/>
        </w:rPr>
        <w:t>(</w:t>
      </w:r>
      <w:r w:rsidRPr="00065EF0">
        <w:rPr>
          <w:rFonts w:ascii="Times New Roman" w:hAnsi="Times New Roman" w:cs="Times New Roman"/>
          <w:color w:val="000000"/>
        </w:rPr>
        <w:t>D</w:t>
      </w:r>
      <w:r w:rsidRPr="00065EF0">
        <w:rPr>
          <w:rFonts w:ascii="Times New Roman" w:hAnsi="Times New Roman" w:cs="Times New Roman"/>
          <w:color w:val="000000"/>
        </w:rPr>
        <w:t>iverse in tech, 2022)</w:t>
      </w:r>
      <w:r w:rsidRPr="00A03DD0">
        <w:rPr>
          <w:rFonts w:ascii="Times New Roman" w:eastAsia="Times New Roman" w:hAnsi="Times New Roman" w:cs="Times New Roman"/>
          <w:color w:val="000000"/>
          <w:kern w:val="0"/>
          <w:lang w:eastAsia="en-GB"/>
          <w14:ligatures w14:val="none"/>
        </w:rPr>
        <w:t xml:space="preserve">. Without representing a wide range of experiences, the video risks implying that CAMHS is universally accessible and effective, when evidence shows that children from minority backgrounds often experience worse outcomes </w:t>
      </w:r>
      <w:r w:rsidRPr="00065EF0">
        <w:rPr>
          <w:rFonts w:ascii="Times New Roman" w:hAnsi="Times New Roman" w:cs="Times New Roman"/>
          <w:color w:val="000000"/>
        </w:rPr>
        <w:t>(Hoffmann et al., 2022)</w:t>
      </w:r>
      <w:r w:rsidRPr="00A03DD0">
        <w:rPr>
          <w:rFonts w:ascii="Times New Roman" w:eastAsia="Times New Roman" w:hAnsi="Times New Roman" w:cs="Times New Roman"/>
          <w:color w:val="000000"/>
          <w:kern w:val="0"/>
          <w:lang w:eastAsia="en-GB"/>
          <w14:ligatures w14:val="none"/>
        </w:rPr>
        <w:t>.</w:t>
      </w:r>
    </w:p>
    <w:p w14:paraId="6491BC49" w14:textId="06D79179"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Lastly, the role of families in the support process is minimally discussed. Family-centred approaches are recognised as best practice in child and adolescent mental health services </w:t>
      </w:r>
      <w:r w:rsidRPr="00065EF0">
        <w:rPr>
          <w:rFonts w:ascii="Times New Roman" w:hAnsi="Times New Roman" w:cs="Times New Roman"/>
          <w:color w:val="000000"/>
        </w:rPr>
        <w:t>(</w:t>
      </w:r>
      <w:proofErr w:type="spellStart"/>
      <w:r w:rsidRPr="00065EF0">
        <w:rPr>
          <w:rFonts w:ascii="Times New Roman" w:hAnsi="Times New Roman" w:cs="Times New Roman"/>
          <w:color w:val="000000"/>
        </w:rPr>
        <w:t>Skundberg-Kletthagen</w:t>
      </w:r>
      <w:proofErr w:type="spellEnd"/>
      <w:r w:rsidRPr="00065EF0">
        <w:rPr>
          <w:rFonts w:ascii="Times New Roman" w:hAnsi="Times New Roman" w:cs="Times New Roman"/>
          <w:color w:val="000000"/>
        </w:rPr>
        <w:t xml:space="preserve"> et al., 2020)</w:t>
      </w:r>
      <w:r w:rsidRPr="00A03DD0">
        <w:rPr>
          <w:rFonts w:ascii="Times New Roman" w:eastAsia="Times New Roman" w:hAnsi="Times New Roman" w:cs="Times New Roman"/>
          <w:color w:val="000000"/>
          <w:kern w:val="0"/>
          <w:lang w:eastAsia="en-GB"/>
          <w14:ligatures w14:val="none"/>
        </w:rPr>
        <w:t>, yet the video only briefly mentions parental involvement without exploring it meaningfully.</w:t>
      </w:r>
    </w:p>
    <w:p w14:paraId="45F137ED"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05197F83">
          <v:rect id="_x0000_i1027" alt="" style="width:451.3pt;height:.05pt;mso-width-percent:0;mso-height-percent:0;mso-width-percent:0;mso-height-percent:0" o:hralign="center" o:hrstd="t" o:hrnoshade="t" o:hr="t" fillcolor="black" stroked="f"/>
        </w:pict>
      </w:r>
    </w:p>
    <w:p w14:paraId="51FB5F28"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Theoretical Models and Implications</w:t>
      </w:r>
    </w:p>
    <w:p w14:paraId="337E5620" w14:textId="61BDA7B1"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lastRenderedPageBreak/>
        <w:t xml:space="preserve">Applying Bronfenbrenner’s Ecological Systems </w:t>
      </w:r>
      <w:r w:rsidRPr="00065EF0">
        <w:rPr>
          <w:rFonts w:ascii="Times New Roman" w:eastAsia="Times New Roman" w:hAnsi="Times New Roman" w:cs="Times New Roman"/>
          <w:color w:val="000000"/>
          <w:kern w:val="0"/>
          <w:lang w:eastAsia="en-GB"/>
          <w14:ligatures w14:val="none"/>
        </w:rPr>
        <w:t>Theory helps</w:t>
      </w:r>
      <w:r w:rsidRPr="00A03DD0">
        <w:rPr>
          <w:rFonts w:ascii="Times New Roman" w:eastAsia="Times New Roman" w:hAnsi="Times New Roman" w:cs="Times New Roman"/>
          <w:color w:val="000000"/>
          <w:kern w:val="0"/>
          <w:lang w:eastAsia="en-GB"/>
          <w14:ligatures w14:val="none"/>
        </w:rPr>
        <w:t xml:space="preserve"> illustrate how a child’s mental health is influenced by multiple layers, from their immediate family to broader societal structures</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(Guy-Evans, 2025)</w:t>
      </w:r>
      <w:r w:rsidRPr="00A03DD0">
        <w:rPr>
          <w:rFonts w:ascii="Times New Roman" w:eastAsia="Times New Roman" w:hAnsi="Times New Roman" w:cs="Times New Roman"/>
          <w:color w:val="000000"/>
          <w:kern w:val="0"/>
          <w:lang w:eastAsia="en-GB"/>
          <w14:ligatures w14:val="none"/>
        </w:rPr>
        <w:t xml:space="preserve">. CAMHS, as an institution, operates within the mesosystem and </w:t>
      </w:r>
      <w:r w:rsidRPr="00065EF0">
        <w:rPr>
          <w:rFonts w:ascii="Times New Roman" w:eastAsia="Times New Roman" w:hAnsi="Times New Roman" w:cs="Times New Roman"/>
          <w:color w:val="000000"/>
          <w:kern w:val="0"/>
          <w:lang w:eastAsia="en-GB"/>
          <w14:ligatures w14:val="none"/>
        </w:rPr>
        <w:t>ecosystem</w:t>
      </w:r>
      <w:r w:rsidRPr="00A03DD0">
        <w:rPr>
          <w:rFonts w:ascii="Times New Roman" w:eastAsia="Times New Roman" w:hAnsi="Times New Roman" w:cs="Times New Roman"/>
          <w:color w:val="000000"/>
          <w:kern w:val="0"/>
          <w:lang w:eastAsia="en-GB"/>
          <w14:ligatures w14:val="none"/>
        </w:rPr>
        <w:t xml:space="preserve"> of a child's life, meaning that service gaps or delays can ripple into negative outcomes across school, home, and community settings.</w:t>
      </w:r>
    </w:p>
    <w:p w14:paraId="10BAE63D" w14:textId="5DE37846"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Similarly, Attachment Theory underscores the importance of consistent, supportive relationships in promoting emotional resilience</w:t>
      </w:r>
      <w:r w:rsidRPr="00065EF0">
        <w:rPr>
          <w:rFonts w:ascii="Times New Roman" w:hAnsi="Times New Roman" w:cs="Times New Roman"/>
          <w:color w:val="000000"/>
        </w:rPr>
        <w:t xml:space="preserve"> </w:t>
      </w:r>
      <w:r w:rsidRPr="00065EF0">
        <w:rPr>
          <w:rFonts w:ascii="Times New Roman" w:hAnsi="Times New Roman" w:cs="Times New Roman"/>
          <w:color w:val="000000"/>
        </w:rPr>
        <w:t>(NSPCC, 2021)</w:t>
      </w:r>
      <w:r w:rsidRPr="00A03DD0">
        <w:rPr>
          <w:rFonts w:ascii="Times New Roman" w:eastAsia="Times New Roman" w:hAnsi="Times New Roman" w:cs="Times New Roman"/>
          <w:color w:val="000000"/>
          <w:kern w:val="0"/>
          <w:lang w:eastAsia="en-GB"/>
          <w14:ligatures w14:val="none"/>
        </w:rPr>
        <w:t>. Disruption to services for example, through long waits or sudden discharge</w:t>
      </w:r>
      <w:r w:rsidRPr="00065EF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t xml:space="preserve"> may impact a young person's sense of security and trust.</w:t>
      </w:r>
    </w:p>
    <w:p w14:paraId="6D1F791D" w14:textId="23025646"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If the process from referral to discharge is not handled sensitively, there is a risk of young people disengaging from mental health services altogether. According </w:t>
      </w:r>
      <w:proofErr w:type="gramStart"/>
      <w:r w:rsidRPr="00A03DD0">
        <w:rPr>
          <w:rFonts w:ascii="Times New Roman" w:eastAsia="Times New Roman" w:hAnsi="Times New Roman" w:cs="Times New Roman"/>
          <w:color w:val="000000"/>
          <w:kern w:val="0"/>
          <w:lang w:eastAsia="en-GB"/>
          <w14:ligatures w14:val="none"/>
        </w:rPr>
        <w:t>to</w:t>
      </w:r>
      <w:r w:rsidRPr="00065EF0">
        <w:rPr>
          <w:rFonts w:ascii="Times New Roman" w:eastAsia="Times New Roman" w:hAnsi="Times New Roman" w:cs="Times New Roman"/>
          <w:color w:val="000000"/>
          <w:kern w:val="0"/>
          <w:lang w:eastAsia="en-GB"/>
          <w14:ligatures w14:val="none"/>
        </w:rPr>
        <w:t xml:space="preserve">  Rethink</w:t>
      </w:r>
      <w:proofErr w:type="gramEnd"/>
      <w:r w:rsidRPr="00065EF0">
        <w:rPr>
          <w:rFonts w:ascii="Times New Roman" w:eastAsia="Times New Roman" w:hAnsi="Times New Roman" w:cs="Times New Roman"/>
          <w:color w:val="000000"/>
          <w:kern w:val="0"/>
          <w:lang w:eastAsia="en-GB"/>
          <w14:ligatures w14:val="none"/>
        </w:rPr>
        <w:t xml:space="preserve"> Mental Illness</w:t>
      </w:r>
      <w:r w:rsidRPr="00A03DD0">
        <w:rPr>
          <w:rFonts w:ascii="Times New Roman" w:eastAsia="Times New Roman" w:hAnsi="Times New Roman" w:cs="Times New Roman"/>
          <w:color w:val="000000"/>
          <w:kern w:val="0"/>
          <w:lang w:eastAsia="en-GB"/>
          <w14:ligatures w14:val="none"/>
        </w:rPr>
        <w:t xml:space="preserve">, </w:t>
      </w:r>
      <w:r w:rsidRPr="00065EF0">
        <w:rPr>
          <w:rFonts w:ascii="Times New Roman" w:eastAsia="Times New Roman" w:hAnsi="Times New Roman" w:cs="Times New Roman"/>
          <w:color w:val="000000"/>
          <w:kern w:val="0"/>
          <w:lang w:eastAsia="en-GB"/>
          <w14:ligatures w14:val="none"/>
        </w:rPr>
        <w:t xml:space="preserve">108 days was the standard waiting time for the 305,000 children who entered mental health treatment under CAMHS in 2022-2023; however, some would’ve waited even longer to come off the waiting lists </w:t>
      </w:r>
      <w:r w:rsidRPr="00065EF0">
        <w:rPr>
          <w:rFonts w:ascii="Times New Roman" w:hAnsi="Times New Roman" w:cs="Times New Roman"/>
          <w:color w:val="000000"/>
        </w:rPr>
        <w:t>(Rethink, 2024)</w:t>
      </w:r>
      <w:r w:rsidRPr="00065EF0">
        <w:rPr>
          <w:rFonts w:ascii="Times New Roman" w:eastAsia="Times New Roman" w:hAnsi="Times New Roman" w:cs="Times New Roman"/>
          <w:color w:val="000000"/>
          <w:kern w:val="0"/>
          <w:lang w:eastAsia="en-GB"/>
          <w14:ligatures w14:val="none"/>
        </w:rPr>
        <w:t>.</w:t>
      </w:r>
    </w:p>
    <w:p w14:paraId="6B764E42"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3E3D8A80">
          <v:rect id="_x0000_i1028" alt="" style="width:451.3pt;height:.05pt;mso-width-percent:0;mso-height-percent:0;mso-width-percent:0;mso-height-percent:0" o:hralign="center" o:hrstd="t" o:hrnoshade="t" o:hr="t" fillcolor="black" stroked="f"/>
        </w:pict>
      </w:r>
    </w:p>
    <w:p w14:paraId="34A53C6E" w14:textId="2C1A6F3D"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Interventions to Improve Health and Wellbeing Outcomes</w:t>
      </w:r>
      <w:r w:rsidRPr="00065EF0">
        <w:rPr>
          <w:rFonts w:ascii="Times New Roman" w:eastAsia="Times New Roman" w:hAnsi="Times New Roman" w:cs="Times New Roman"/>
          <w:b/>
          <w:bCs/>
          <w:color w:val="000000"/>
          <w:kern w:val="0"/>
          <w:sz w:val="27"/>
          <w:szCs w:val="27"/>
          <w:lang w:eastAsia="en-GB"/>
          <w14:ligatures w14:val="none"/>
        </w:rPr>
        <w:t xml:space="preserve"> </w:t>
      </w:r>
    </w:p>
    <w:p w14:paraId="420C0494"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Several interventions could strengthen the approach shown in the CAMHS video:</w:t>
      </w:r>
    </w:p>
    <w:p w14:paraId="62187994" w14:textId="10AA5176" w:rsidR="00A03DD0" w:rsidRPr="00A03DD0" w:rsidRDefault="00A03DD0" w:rsidP="00A03DD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Pre-Referral Support</w:t>
      </w:r>
      <w:r w:rsidRPr="00A03DD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br/>
        <w:t>Schools, youth services, and GPs could offer early-stage interventions such as guided self-help, peer support groups, and access to digital mental health platforms while waiting for CAMHS assessments</w:t>
      </w:r>
      <w:r w:rsidRPr="00065EF0">
        <w:rPr>
          <w:rFonts w:ascii="Times New Roman" w:hAnsi="Times New Roman" w:cs="Times New Roman"/>
          <w:color w:val="000000"/>
        </w:rPr>
        <w:t xml:space="preserve"> </w:t>
      </w:r>
      <w:r w:rsidRPr="00065EF0">
        <w:rPr>
          <w:rFonts w:ascii="Times New Roman" w:hAnsi="Times New Roman" w:cs="Times New Roman"/>
          <w:color w:val="000000"/>
        </w:rPr>
        <w:t>(Lepper, 2022)</w:t>
      </w:r>
      <w:r w:rsidRPr="00A03DD0">
        <w:rPr>
          <w:rFonts w:ascii="Times New Roman" w:eastAsia="Times New Roman" w:hAnsi="Times New Roman" w:cs="Times New Roman"/>
          <w:color w:val="000000"/>
          <w:kern w:val="0"/>
          <w:lang w:eastAsia="en-GB"/>
          <w14:ligatures w14:val="none"/>
        </w:rPr>
        <w:t>.</w:t>
      </w:r>
    </w:p>
    <w:p w14:paraId="5FFD1E78" w14:textId="36FB33F3" w:rsidR="00A03DD0" w:rsidRPr="00A03DD0" w:rsidRDefault="00A03DD0" w:rsidP="00A03DD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Family-Inclusive Practice</w:t>
      </w:r>
      <w:r w:rsidRPr="00A03DD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br/>
        <w:t xml:space="preserve">Services should involve families actively throughout the assessment and treatment processes, recognising parents and carers as key partners in promoting wellbeing </w:t>
      </w:r>
      <w:r w:rsidRPr="00065EF0">
        <w:rPr>
          <w:rFonts w:ascii="Times New Roman" w:hAnsi="Times New Roman" w:cs="Times New Roman"/>
          <w:color w:val="000000"/>
        </w:rPr>
        <w:t>(Headspace, 2023)</w:t>
      </w:r>
    </w:p>
    <w:p w14:paraId="0C86DD87" w14:textId="1781274A" w:rsidR="00A03DD0" w:rsidRPr="00A03DD0" w:rsidRDefault="00A03DD0" w:rsidP="00A03DD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Cultural Competency Training</w:t>
      </w:r>
      <w:r w:rsidRPr="00A03DD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br/>
        <w:t xml:space="preserve">CAMHS staff should be trained to understand and work effectively with diverse cultural perspectives on mental </w:t>
      </w:r>
      <w:r w:rsidRPr="00065EF0">
        <w:rPr>
          <w:rFonts w:ascii="Times New Roman" w:eastAsia="Times New Roman" w:hAnsi="Times New Roman" w:cs="Times New Roman"/>
          <w:color w:val="000000"/>
          <w:kern w:val="0"/>
          <w:lang w:eastAsia="en-GB"/>
          <w14:ligatures w14:val="none"/>
        </w:rPr>
        <w:t>health</w:t>
      </w:r>
      <w:r w:rsidRPr="00065EF0">
        <w:rPr>
          <w:rFonts w:ascii="Times New Roman" w:hAnsi="Times New Roman" w:cs="Times New Roman"/>
          <w:color w:val="000000"/>
        </w:rPr>
        <w:t xml:space="preserve"> </w:t>
      </w:r>
      <w:r w:rsidRPr="00065EF0">
        <w:rPr>
          <w:rFonts w:ascii="Times New Roman" w:hAnsi="Times New Roman" w:cs="Times New Roman"/>
          <w:color w:val="000000"/>
        </w:rPr>
        <w:t xml:space="preserve">(NIHR Clinical Research Network </w:t>
      </w:r>
      <w:r w:rsidR="00065EF0" w:rsidRPr="00065EF0">
        <w:rPr>
          <w:rFonts w:ascii="Times New Roman" w:hAnsi="Times New Roman" w:cs="Times New Roman"/>
          <w:color w:val="000000"/>
        </w:rPr>
        <w:t>Southwest</w:t>
      </w:r>
      <w:r w:rsidRPr="00065EF0">
        <w:rPr>
          <w:rFonts w:ascii="Times New Roman" w:hAnsi="Times New Roman" w:cs="Times New Roman"/>
          <w:color w:val="000000"/>
        </w:rPr>
        <w:t xml:space="preserve"> and the NIHR Mental Health Programme, 2022)</w:t>
      </w:r>
      <w:r w:rsidRPr="00065EF0">
        <w:rPr>
          <w:rFonts w:ascii="Times New Roman" w:eastAsia="Times New Roman" w:hAnsi="Times New Roman" w:cs="Times New Roman"/>
          <w:color w:val="000000"/>
          <w:kern w:val="0"/>
          <w:lang w:eastAsia="en-GB"/>
          <w14:ligatures w14:val="none"/>
        </w:rPr>
        <w:t>.</w:t>
      </w:r>
    </w:p>
    <w:p w14:paraId="2CED4827" w14:textId="77777777" w:rsidR="00A03DD0" w:rsidRPr="00A03DD0" w:rsidRDefault="00A03DD0" w:rsidP="00A03DD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Post-Discharge Support Plans</w:t>
      </w:r>
      <w:r w:rsidRPr="00A03DD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br/>
        <w:t>Clear, collaborative discharge plans including information about community services, self-management tools, and relapse prevention strategies can reduce the risk of readmission.</w:t>
      </w:r>
    </w:p>
    <w:p w14:paraId="25F5DE48"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59F71608">
          <v:rect id="_x0000_i1029" alt="" style="width:451.3pt;height:.05pt;mso-width-percent:0;mso-height-percent:0;mso-width-percent:0;mso-height-percent:0" o:hralign="center" o:hrstd="t" o:hrnoshade="t" o:hr="t" fillcolor="black" stroked="f"/>
        </w:pict>
      </w:r>
    </w:p>
    <w:p w14:paraId="645D2906"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Conclusion</w:t>
      </w:r>
    </w:p>
    <w:p w14:paraId="0FA4A4BE"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Overall, the CAMHS video serves as a valuable introduction to the mental health services available for children and young people. It succeeds in presenting the process of accessing support in a way that is approachable and less intimidating, which is essential for reducing stigma and encouraging help-seeking behaviours. By featuring relatable characters and a clear narrative, the video simplifies complex processes and offers reassurance to those </w:t>
      </w:r>
      <w:r w:rsidRPr="00A03DD0">
        <w:rPr>
          <w:rFonts w:ascii="Times New Roman" w:eastAsia="Times New Roman" w:hAnsi="Times New Roman" w:cs="Times New Roman"/>
          <w:color w:val="000000"/>
          <w:kern w:val="0"/>
          <w:lang w:eastAsia="en-GB"/>
          <w14:ligatures w14:val="none"/>
        </w:rPr>
        <w:lastRenderedPageBreak/>
        <w:t>unfamiliar with CAMHS. However, despite its strengths, the video presents an overly simplistic view of the referral pathways. It does not fully reflect the systemic barriers that young people and families often face when seeking mental health support, such as long waiting times, regional inequalities, and the need for persistent advocacy by parents or professionals.</w:t>
      </w:r>
    </w:p>
    <w:p w14:paraId="3A50BAF5" w14:textId="526D2D2F"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Additionally, the video lacks visible diversity in terms of ethnicity, disability, and family structure. </w:t>
      </w:r>
      <w:proofErr w:type="gramStart"/>
      <w:r w:rsidRPr="00A03DD0">
        <w:rPr>
          <w:rFonts w:ascii="Times New Roman" w:eastAsia="Times New Roman" w:hAnsi="Times New Roman" w:cs="Times New Roman"/>
          <w:color w:val="000000"/>
          <w:kern w:val="0"/>
          <w:lang w:eastAsia="en-GB"/>
          <w14:ligatures w14:val="none"/>
        </w:rPr>
        <w:t>This risks</w:t>
      </w:r>
      <w:proofErr w:type="gramEnd"/>
      <w:r w:rsidRPr="00A03DD0">
        <w:rPr>
          <w:rFonts w:ascii="Times New Roman" w:eastAsia="Times New Roman" w:hAnsi="Times New Roman" w:cs="Times New Roman"/>
          <w:color w:val="000000"/>
          <w:kern w:val="0"/>
          <w:lang w:eastAsia="en-GB"/>
          <w14:ligatures w14:val="none"/>
        </w:rPr>
        <w:t xml:space="preserve"> alienating some viewers who may not feel represented, which can hinder engagement and trust. The minimal focus on family involvement is another limitation, especially given the significance of relationships and home environments in shaping mental wellbeing. Applying ecological systems theory and attachment theory emphasises the importance of a holistic, multi-layered approach to supporting children and young people. These frameworks suggest that mental health interventions should consider the influence of families, schools, communities, and wider societal factors.</w:t>
      </w:r>
    </w:p>
    <w:p w14:paraId="462109BE"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To improve its effectiveness, the video could include clearer guidance about pre-referral support, demonstrate a more culturally competent service approach, and highlight what happens after discharge. Emphasising the role of caregivers, community resources, and aftercare planning would better reflect the realities of mental health care. Addressing these gaps would not only provide a more accurate portrayal of CAMHS but also help safeguard children’s and young people’s wellbeing by promoting informed expectations and stronger support systems.</w:t>
      </w:r>
    </w:p>
    <w:p w14:paraId="089385EA" w14:textId="77777777" w:rsidR="00A03DD0" w:rsidRPr="00065EF0" w:rsidRDefault="00A03DD0" w:rsidP="00A03DD0">
      <w:pPr>
        <w:spacing w:before="100" w:beforeAutospacing="1" w:after="100" w:afterAutospacing="1"/>
        <w:rPr>
          <w:rFonts w:ascii="Times New Roman" w:eastAsia="Times New Roman" w:hAnsi="Times New Roman" w:cs="Times New Roman"/>
          <w:b/>
          <w:bCs/>
          <w:color w:val="000000"/>
          <w:kern w:val="0"/>
          <w:u w:val="single"/>
          <w:lang w:eastAsia="en-GB"/>
          <w14:ligatures w14:val="none"/>
        </w:rPr>
      </w:pPr>
    </w:p>
    <w:p w14:paraId="78764D2E" w14:textId="2893642E"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43705204" w14:textId="4B7C35F7" w:rsidR="00A03DD0" w:rsidRPr="00065EF0" w:rsidRDefault="00065EF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noProof/>
          <w:color w:val="000000"/>
          <w:kern w:val="0"/>
          <w:lang w:eastAsia="en-GB"/>
        </w:rPr>
        <mc:AlternateContent>
          <mc:Choice Requires="wps">
            <w:drawing>
              <wp:anchor distT="0" distB="0" distL="114300" distR="114300" simplePos="0" relativeHeight="251662336" behindDoc="0" locked="0" layoutInCell="1" allowOverlap="1" wp14:anchorId="772F1BDE" wp14:editId="4469E7D7">
                <wp:simplePos x="0" y="0"/>
                <wp:positionH relativeFrom="column">
                  <wp:posOffset>-341459</wp:posOffset>
                </wp:positionH>
                <wp:positionV relativeFrom="paragraph">
                  <wp:posOffset>-803507</wp:posOffset>
                </wp:positionV>
                <wp:extent cx="6497444" cy="698268"/>
                <wp:effectExtent l="0" t="0" r="17780" b="13335"/>
                <wp:wrapNone/>
                <wp:docPr id="1869837533" name="Text Box 2"/>
                <wp:cNvGraphicFramePr/>
                <a:graphic xmlns:a="http://schemas.openxmlformats.org/drawingml/2006/main">
                  <a:graphicData uri="http://schemas.microsoft.com/office/word/2010/wordprocessingShape">
                    <wps:wsp>
                      <wps:cNvSpPr txBox="1"/>
                      <wps:spPr>
                        <a:xfrm>
                          <a:off x="0" y="0"/>
                          <a:ext cx="6497444" cy="698268"/>
                        </a:xfrm>
                        <a:prstGeom prst="rect">
                          <a:avLst/>
                        </a:prstGeom>
                        <a:solidFill>
                          <a:schemeClr val="lt1"/>
                        </a:solidFill>
                        <a:ln w="6350">
                          <a:solidFill>
                            <a:prstClr val="black"/>
                          </a:solidFill>
                        </a:ln>
                      </wps:spPr>
                      <wps:txbx>
                        <w:txbxContent>
                          <w:sdt>
                            <w:sdtPr>
                              <w:rPr>
                                <w:rFonts w:ascii="Times New Roman" w:hAnsi="Times New Roman" w:cs="Times New Roman"/>
                                <w:b/>
                                <w:bCs/>
                                <w:color w:val="000000"/>
                                <w:sz w:val="32"/>
                                <w:szCs w:val="32"/>
                                <w:u w:val="single"/>
                              </w:rPr>
                              <w:alias w:val="Title"/>
                              <w:tag w:val=""/>
                              <w:id w:val="1895466473"/>
                              <w:dataBinding w:prefixMappings="xmlns:ns0='http://purl.org/dc/elements/1.1/' xmlns:ns1='http://schemas.openxmlformats.org/package/2006/metadata/core-properties' " w:xpath="/ns1:coreProperties[1]/ns0:title[1]" w:storeItemID="{6C3C8BC8-F283-45AE-878A-BAB7291924A1}"/>
                              <w15:appearance w15:val="hidden"/>
                              <w:text/>
                            </w:sdtPr>
                            <w:sdtContent>
                              <w:p w14:paraId="438FD295" w14:textId="182AB9F9" w:rsidR="00065EF0" w:rsidRDefault="00065EF0" w:rsidP="00065EF0">
                                <w:pPr>
                                  <w:pStyle w:val="NoSpacing"/>
                                  <w:spacing w:after="900"/>
                                  <w:rPr>
                                    <w:rFonts w:asciiTheme="majorHAnsi" w:hAnsiTheme="majorHAnsi"/>
                                    <w:i/>
                                    <w:caps/>
                                    <w:color w:val="262626" w:themeColor="text1" w:themeTint="D9"/>
                                    <w:sz w:val="120"/>
                                    <w:szCs w:val="120"/>
                                  </w:rPr>
                                </w:pPr>
                                <w:r w:rsidRPr="00065EF0">
                                  <w:rPr>
                                    <w:rFonts w:ascii="Times New Roman" w:hAnsi="Times New Roman" w:cs="Times New Roman"/>
                                    <w:b/>
                                    <w:bCs/>
                                    <w:color w:val="000000"/>
                                    <w:sz w:val="32"/>
                                    <w:szCs w:val="32"/>
                                    <w:u w:val="single"/>
                                  </w:rPr>
                                  <w:t xml:space="preserve">Health and wellbeing for children, young people and </w:t>
                                </w:r>
                                <w:proofErr w:type="gramStart"/>
                                <w:r w:rsidRPr="00065EF0">
                                  <w:rPr>
                                    <w:rFonts w:ascii="Times New Roman" w:hAnsi="Times New Roman" w:cs="Times New Roman"/>
                                    <w:b/>
                                    <w:bCs/>
                                    <w:color w:val="000000"/>
                                    <w:sz w:val="32"/>
                                    <w:szCs w:val="32"/>
                                    <w:u w:val="single"/>
                                  </w:rPr>
                                  <w:t>families</w:t>
                                </w:r>
                                <w:proofErr w:type="gramEnd"/>
                                <w:r>
                                  <w:rPr>
                                    <w:rFonts w:ascii="Times New Roman" w:hAnsi="Times New Roman" w:cs="Times New Roman"/>
                                    <w:b/>
                                    <w:bCs/>
                                    <w:color w:val="000000"/>
                                    <w:sz w:val="32"/>
                                    <w:szCs w:val="32"/>
                                    <w:u w:val="single"/>
                                  </w:rPr>
                                  <w:t xml:space="preserve"> poster</w:t>
                                </w:r>
                                <w:r w:rsidRPr="00065EF0">
                                  <w:rPr>
                                    <w:rFonts w:ascii="Times New Roman" w:hAnsi="Times New Roman" w:cs="Times New Roman"/>
                                    <w:b/>
                                    <w:bCs/>
                                    <w:color w:val="000000"/>
                                    <w:sz w:val="32"/>
                                    <w:szCs w:val="32"/>
                                    <w:u w:val="single"/>
                                  </w:rPr>
                                  <w:t xml:space="preserve"> </w:t>
                                </w:r>
                              </w:p>
                            </w:sdtContent>
                          </w:sdt>
                          <w:p w14:paraId="0D959D28" w14:textId="77777777" w:rsidR="00065EF0" w:rsidRDefault="00065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F1BDE" id="Text Box 2" o:spid="_x0000_s1027" type="#_x0000_t202" style="position:absolute;margin-left:-26.9pt;margin-top:-63.25pt;width:511.6pt;height: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" fillcolor="white [3201]" strokeweight=".5pt">
                <v:textbox>
                  <w:txbxContent>
                    <w:sdt>
                      <w:sdtPr>
                        <w:rPr>
                          <w:rFonts w:ascii="Times New Roman" w:hAnsi="Times New Roman" w:cs="Times New Roman"/>
                          <w:b/>
                          <w:bCs/>
                          <w:color w:val="000000"/>
                          <w:sz w:val="32"/>
                          <w:szCs w:val="32"/>
                          <w:u w:val="single"/>
                        </w:rPr>
                        <w:alias w:val="Title"/>
                        <w:tag w:val=""/>
                        <w:id w:val="1895466473"/>
                        <w:dataBinding w:prefixMappings="xmlns:ns0='http://purl.org/dc/elements/1.1/' xmlns:ns1='http://schemas.openxmlformats.org/package/2006/metadata/core-properties' " w:xpath="/ns1:coreProperties[1]/ns0:title[1]" w:storeItemID="{6C3C8BC8-F283-45AE-878A-BAB7291924A1}"/>
                        <w15:appearance w15:val="hidden"/>
                        <w:text/>
                      </w:sdtPr>
                      <w:sdtContent>
                        <w:p w14:paraId="438FD295" w14:textId="182AB9F9" w:rsidR="00065EF0" w:rsidRDefault="00065EF0" w:rsidP="00065EF0">
                          <w:pPr>
                            <w:pStyle w:val="NoSpacing"/>
                            <w:spacing w:after="900"/>
                            <w:rPr>
                              <w:rFonts w:asciiTheme="majorHAnsi" w:hAnsiTheme="majorHAnsi"/>
                              <w:i/>
                              <w:caps/>
                              <w:color w:val="262626" w:themeColor="text1" w:themeTint="D9"/>
                              <w:sz w:val="120"/>
                              <w:szCs w:val="120"/>
                            </w:rPr>
                          </w:pPr>
                          <w:r w:rsidRPr="00065EF0">
                            <w:rPr>
                              <w:rFonts w:ascii="Times New Roman" w:hAnsi="Times New Roman" w:cs="Times New Roman"/>
                              <w:b/>
                              <w:bCs/>
                              <w:color w:val="000000"/>
                              <w:sz w:val="32"/>
                              <w:szCs w:val="32"/>
                              <w:u w:val="single"/>
                            </w:rPr>
                            <w:t xml:space="preserve">Health and wellbeing for children, young people and </w:t>
                          </w:r>
                          <w:proofErr w:type="gramStart"/>
                          <w:r w:rsidRPr="00065EF0">
                            <w:rPr>
                              <w:rFonts w:ascii="Times New Roman" w:hAnsi="Times New Roman" w:cs="Times New Roman"/>
                              <w:b/>
                              <w:bCs/>
                              <w:color w:val="000000"/>
                              <w:sz w:val="32"/>
                              <w:szCs w:val="32"/>
                              <w:u w:val="single"/>
                            </w:rPr>
                            <w:t>families</w:t>
                          </w:r>
                          <w:proofErr w:type="gramEnd"/>
                          <w:r>
                            <w:rPr>
                              <w:rFonts w:ascii="Times New Roman" w:hAnsi="Times New Roman" w:cs="Times New Roman"/>
                              <w:b/>
                              <w:bCs/>
                              <w:color w:val="000000"/>
                              <w:sz w:val="32"/>
                              <w:szCs w:val="32"/>
                              <w:u w:val="single"/>
                            </w:rPr>
                            <w:t xml:space="preserve"> poster</w:t>
                          </w:r>
                          <w:r w:rsidRPr="00065EF0">
                            <w:rPr>
                              <w:rFonts w:ascii="Times New Roman" w:hAnsi="Times New Roman" w:cs="Times New Roman"/>
                              <w:b/>
                              <w:bCs/>
                              <w:color w:val="000000"/>
                              <w:sz w:val="32"/>
                              <w:szCs w:val="32"/>
                              <w:u w:val="single"/>
                            </w:rPr>
                            <w:t xml:space="preserve"> </w:t>
                          </w:r>
                        </w:p>
                      </w:sdtContent>
                    </w:sdt>
                    <w:p w14:paraId="0D959D28" w14:textId="77777777" w:rsidR="00065EF0" w:rsidRDefault="00065EF0"/>
                  </w:txbxContent>
                </v:textbox>
              </v:shape>
            </w:pict>
          </mc:Fallback>
        </mc:AlternateContent>
      </w:r>
      <w:r w:rsidR="00A03DD0" w:rsidRPr="00065EF0">
        <w:rPr>
          <w:rFonts w:ascii="Times New Roman" w:eastAsia="Times New Roman" w:hAnsi="Times New Roman" w:cs="Times New Roman"/>
          <w:noProof/>
          <w:color w:val="000000"/>
          <w:kern w:val="0"/>
          <w:lang w:eastAsia="en-GB"/>
        </w:rPr>
        <w:drawing>
          <wp:inline distT="0" distB="0" distL="0" distR="0" wp14:anchorId="24559711" wp14:editId="317AE1A8">
            <wp:extent cx="6162469" cy="8720036"/>
            <wp:effectExtent l="0" t="0" r="0" b="5080"/>
            <wp:docPr id="960437902" name="Picture 1" descr="A poster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37902" name="Picture 1" descr="A poster with cartoon charact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04289" cy="8920714"/>
                    </a:xfrm>
                    <a:prstGeom prst="rect">
                      <a:avLst/>
                    </a:prstGeom>
                  </pic:spPr>
                </pic:pic>
              </a:graphicData>
            </a:graphic>
          </wp:inline>
        </w:drawing>
      </w:r>
    </w:p>
    <w:p w14:paraId="7D3CE71A"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16C5C081"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56412B2A"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02068882" w14:textId="77777777" w:rsidR="00065EF0" w:rsidRPr="00065EF0" w:rsidRDefault="00065EF0" w:rsidP="00A03DD0">
      <w:pPr>
        <w:spacing w:before="100" w:beforeAutospacing="1" w:after="100" w:afterAutospacing="1"/>
        <w:outlineLvl w:val="2"/>
        <w:rPr>
          <w:rFonts w:ascii="Times New Roman" w:eastAsia="Times New Roman" w:hAnsi="Times New Roman" w:cs="Times New Roman"/>
          <w:color w:val="000000"/>
          <w:kern w:val="0"/>
          <w:lang w:eastAsia="en-GB"/>
          <w14:ligatures w14:val="none"/>
        </w:rPr>
      </w:pPr>
    </w:p>
    <w:p w14:paraId="6F82BFA8" w14:textId="0A553608" w:rsidR="00A03DD0" w:rsidRPr="00065EF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Blog 1: The Right to Be Heard (Article 12)</w:t>
      </w:r>
    </w:p>
    <w:p w14:paraId="191C2F8A" w14:textId="24B2A375"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Children have the right to express their views freely in all matters affecting them, and for those views to be taken seriously. This right is essential because it empowers children, supports their development, and ensures their opinions are valued in decisions that impact their lives</w:t>
      </w:r>
      <w:r w:rsidRPr="00065EF0">
        <w:rPr>
          <w:rFonts w:ascii="Times New Roman" w:eastAsia="Times New Roman" w:hAnsi="Times New Roman" w:cs="Times New Roman"/>
          <w:color w:val="000000"/>
          <w:kern w:val="0"/>
          <w:lang w:eastAsia="en-GB"/>
          <w14:ligatures w14:val="none"/>
        </w:rPr>
        <w:t xml:space="preserve">, </w:t>
      </w:r>
      <w:r w:rsidRPr="00A03DD0">
        <w:rPr>
          <w:rFonts w:ascii="Times New Roman" w:eastAsia="Times New Roman" w:hAnsi="Times New Roman" w:cs="Times New Roman"/>
          <w:color w:val="000000"/>
          <w:kern w:val="0"/>
          <w:lang w:eastAsia="en-GB"/>
          <w14:ligatures w14:val="none"/>
        </w:rPr>
        <w:t>such as health, education, and family matters</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(CYPCS, 2006)</w:t>
      </w:r>
      <w:r w:rsidRPr="00A03DD0">
        <w:rPr>
          <w:rFonts w:ascii="Times New Roman" w:eastAsia="Times New Roman" w:hAnsi="Times New Roman" w:cs="Times New Roman"/>
          <w:color w:val="000000"/>
          <w:kern w:val="0"/>
          <w:lang w:eastAsia="en-GB"/>
          <w14:ligatures w14:val="none"/>
        </w:rPr>
        <w:t>.</w:t>
      </w:r>
    </w:p>
    <w:p w14:paraId="69588218" w14:textId="4772F18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When children are listened to, it boosts their self-esteem and emotional well</w:t>
      </w:r>
      <w:r w:rsidRPr="00065EF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t xml:space="preserve">being. It helps them feel respected and included, </w:t>
      </w:r>
      <w:r w:rsidRPr="00065EF0">
        <w:rPr>
          <w:rFonts w:ascii="Times New Roman" w:eastAsia="Times New Roman" w:hAnsi="Times New Roman" w:cs="Times New Roman"/>
          <w:color w:val="000000"/>
          <w:kern w:val="0"/>
          <w:lang w:eastAsia="en-GB"/>
          <w14:ligatures w14:val="none"/>
        </w:rPr>
        <w:t>strengthening</w:t>
      </w:r>
      <w:r w:rsidRPr="00A03DD0">
        <w:rPr>
          <w:rFonts w:ascii="Times New Roman" w:eastAsia="Times New Roman" w:hAnsi="Times New Roman" w:cs="Times New Roman"/>
          <w:color w:val="000000"/>
          <w:kern w:val="0"/>
          <w:lang w:eastAsia="en-GB"/>
          <w14:ligatures w14:val="none"/>
        </w:rPr>
        <w:t xml:space="preserve"> their trust in </w:t>
      </w:r>
      <w:r w:rsidRPr="00065EF0">
        <w:rPr>
          <w:rFonts w:ascii="Times New Roman" w:eastAsia="Times New Roman" w:hAnsi="Times New Roman" w:cs="Times New Roman"/>
          <w:color w:val="000000"/>
          <w:kern w:val="0"/>
          <w:lang w:eastAsia="en-GB"/>
          <w14:ligatures w14:val="none"/>
        </w:rPr>
        <w:t>adults,</w:t>
      </w:r>
      <w:r w:rsidRPr="00A03DD0">
        <w:rPr>
          <w:rFonts w:ascii="Times New Roman" w:eastAsia="Times New Roman" w:hAnsi="Times New Roman" w:cs="Times New Roman"/>
          <w:color w:val="000000"/>
          <w:kern w:val="0"/>
          <w:lang w:eastAsia="en-GB"/>
          <w14:ligatures w14:val="none"/>
        </w:rPr>
        <w:t xml:space="preserve"> and increas</w:t>
      </w:r>
      <w:r w:rsidRPr="00065EF0">
        <w:rPr>
          <w:rFonts w:ascii="Times New Roman" w:eastAsia="Times New Roman" w:hAnsi="Times New Roman" w:cs="Times New Roman"/>
          <w:color w:val="000000"/>
          <w:kern w:val="0"/>
          <w:lang w:eastAsia="en-GB"/>
          <w14:ligatures w14:val="none"/>
        </w:rPr>
        <w:t>ing</w:t>
      </w:r>
      <w:r w:rsidRPr="00A03DD0">
        <w:rPr>
          <w:rFonts w:ascii="Times New Roman" w:eastAsia="Times New Roman" w:hAnsi="Times New Roman" w:cs="Times New Roman"/>
          <w:color w:val="000000"/>
          <w:kern w:val="0"/>
          <w:lang w:eastAsia="en-GB"/>
          <w14:ligatures w14:val="none"/>
        </w:rPr>
        <w:t xml:space="preserve"> their willingness to communicate openly</w:t>
      </w:r>
      <w:r w:rsidRPr="00065EF0">
        <w:rPr>
          <w:rFonts w:ascii="Times New Roman" w:hAnsi="Times New Roman" w:cs="Times New Roman"/>
          <w:color w:val="000000"/>
        </w:rPr>
        <w:t xml:space="preserve"> (</w:t>
      </w:r>
      <w:proofErr w:type="spellStart"/>
      <w:r w:rsidRPr="00065EF0">
        <w:rPr>
          <w:rFonts w:ascii="Times New Roman" w:hAnsi="Times New Roman" w:cs="Times New Roman"/>
          <w:color w:val="000000"/>
        </w:rPr>
        <w:t>Cleare</w:t>
      </w:r>
      <w:proofErr w:type="spellEnd"/>
      <w:r w:rsidRPr="00065EF0">
        <w:rPr>
          <w:rFonts w:ascii="Times New Roman" w:hAnsi="Times New Roman" w:cs="Times New Roman"/>
          <w:color w:val="000000"/>
        </w:rPr>
        <w:t xml:space="preserve"> 2024)</w:t>
      </w:r>
      <w:r w:rsidRPr="00A03DD0">
        <w:rPr>
          <w:rFonts w:ascii="Times New Roman" w:eastAsia="Times New Roman" w:hAnsi="Times New Roman" w:cs="Times New Roman"/>
          <w:color w:val="000000"/>
          <w:kern w:val="0"/>
          <w:lang w:eastAsia="en-GB"/>
          <w14:ligatures w14:val="none"/>
        </w:rPr>
        <w:t>. This is particularly important in situations such as medical appointments, social work meetings, or court decisions, where the outcome can deeply affect the child’s life.</w:t>
      </w:r>
    </w:p>
    <w:p w14:paraId="0383BF12"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Being heard also protects children from harm. If children feel confident and safe to speak up, they are more likely to report abuse, neglect, bullying, or unsafe situations. Early intervention is often possible when children are encouraged to share their experiences, feelings, and concerns.</w:t>
      </w:r>
    </w:p>
    <w:p w14:paraId="7045BBAD" w14:textId="1E973910"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Respecting this right means creating environments where children feel comfortable </w:t>
      </w:r>
      <w:r w:rsidRPr="00065EF0">
        <w:rPr>
          <w:rFonts w:ascii="Times New Roman" w:eastAsia="Times New Roman" w:hAnsi="Times New Roman" w:cs="Times New Roman"/>
          <w:color w:val="000000"/>
          <w:kern w:val="0"/>
          <w:lang w:eastAsia="en-GB"/>
          <w14:ligatures w14:val="none"/>
        </w:rPr>
        <w:t>speaking</w:t>
      </w:r>
      <w:r w:rsidRPr="00A03DD0">
        <w:rPr>
          <w:rFonts w:ascii="Times New Roman" w:eastAsia="Times New Roman" w:hAnsi="Times New Roman" w:cs="Times New Roman"/>
          <w:color w:val="000000"/>
          <w:kern w:val="0"/>
          <w:lang w:eastAsia="en-GB"/>
          <w14:ligatures w14:val="none"/>
        </w:rPr>
        <w:t xml:space="preserve"> and know they will be listened to without judgment. It is not enough to simply ask for a child’s opinion; adults must also show that the child's views are influencing outcomes whenever appropriate.</w:t>
      </w:r>
    </w:p>
    <w:p w14:paraId="3E3DC725"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Promoting this right across health, education, and social care ensures that children are not passive recipients of support but active participants in shaping their own lives and futures. It is a foundation for respectful, child-centred practice.</w:t>
      </w:r>
    </w:p>
    <w:p w14:paraId="47841DA8"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p>
    <w:p w14:paraId="30FB4198"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4C0781F7">
          <v:rect id="_x0000_i1035" alt="" style="width:451.3pt;height:.05pt;mso-width-percent:0;mso-height-percent:0;mso-width-percent:0;mso-height-percent:0" o:hralign="center" o:hrstd="t" o:hrnoshade="t" o:hr="t" fillcolor="black" stroked="f"/>
        </w:pict>
      </w:r>
    </w:p>
    <w:p w14:paraId="4DA75129" w14:textId="77777777" w:rsidR="00A03DD0" w:rsidRPr="00065EF0" w:rsidRDefault="00A03DD0" w:rsidP="00A03DD0">
      <w:pPr>
        <w:spacing w:before="100" w:beforeAutospacing="1" w:after="100" w:afterAutospacing="1"/>
        <w:rPr>
          <w:rFonts w:ascii="Times New Roman" w:hAnsi="Times New Roman" w:cs="Times New Roman"/>
          <w:color w:val="000000"/>
        </w:rPr>
      </w:pPr>
      <w:r w:rsidRPr="00A03DD0">
        <w:rPr>
          <w:rFonts w:ascii="Times New Roman" w:eastAsia="Times New Roman" w:hAnsi="Times New Roman" w:cs="Times New Roman"/>
          <w:b/>
          <w:bCs/>
          <w:color w:val="000000"/>
          <w:kern w:val="0"/>
          <w:sz w:val="27"/>
          <w:szCs w:val="27"/>
          <w:lang w:eastAsia="en-GB"/>
          <w14:ligatures w14:val="none"/>
        </w:rPr>
        <w:t>Blog 2: The Right to Health (Article 24)</w:t>
      </w:r>
      <w:r w:rsidRPr="00065EF0">
        <w:rPr>
          <w:rFonts w:ascii="Times New Roman" w:hAnsi="Times New Roman" w:cs="Times New Roman"/>
          <w:color w:val="000000"/>
        </w:rPr>
        <w:t xml:space="preserve"> </w:t>
      </w:r>
    </w:p>
    <w:p w14:paraId="67EBDBFC" w14:textId="40AABAD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Every child has the right to the best possible health. This includes access to quality healthcare services, clean water, nutritious food, safe housing, and a clean environment. It also covers mental health support, vaccinations, and education about staying healthy. Health is not just about avoiding illness—it’s about supporting a child’s full physical, mental, and emotional well</w:t>
      </w:r>
      <w:r w:rsidRPr="00065EF0">
        <w:rPr>
          <w:rFonts w:ascii="Times New Roman" w:eastAsia="Times New Roman" w:hAnsi="Times New Roman" w:cs="Times New Roman"/>
          <w:color w:val="000000"/>
          <w:kern w:val="0"/>
          <w:lang w:eastAsia="en-GB"/>
          <w14:ligatures w14:val="none"/>
        </w:rPr>
        <w:t>-</w:t>
      </w:r>
      <w:r w:rsidRPr="00065EF0">
        <w:rPr>
          <w:rFonts w:ascii="Times New Roman" w:eastAsia="Times New Roman" w:hAnsi="Times New Roman" w:cs="Times New Roman"/>
          <w:color w:val="000000"/>
          <w:kern w:val="0"/>
          <w:lang w:eastAsia="en-GB"/>
          <w14:ligatures w14:val="none"/>
        </w:rPr>
        <w:t>being</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(UNCRC, 2023)</w:t>
      </w:r>
      <w:r w:rsidRPr="00065EF0">
        <w:rPr>
          <w:rFonts w:ascii="Times New Roman" w:eastAsia="Times New Roman" w:hAnsi="Times New Roman" w:cs="Times New Roman"/>
          <w:color w:val="000000"/>
          <w:kern w:val="0"/>
          <w:lang w:eastAsia="en-GB"/>
          <w14:ligatures w14:val="none"/>
        </w:rPr>
        <w:t>.</w:t>
      </w:r>
    </w:p>
    <w:p w14:paraId="5E6346FC" w14:textId="12E7F919"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When children are healthy, they are better able to learn, form relationships, and enjoy their lives. They are more likely to reach their potential and participate fully in school and community activities. Good health lays the foundation for future opportunities and success</w:t>
      </w:r>
      <w:r w:rsidRPr="00065EF0">
        <w:rPr>
          <w:rFonts w:ascii="Times New Roman" w:hAnsi="Times New Roman" w:cs="Times New Roman"/>
          <w:color w:val="000000"/>
        </w:rPr>
        <w:t xml:space="preserve"> </w:t>
      </w:r>
      <w:r w:rsidRPr="00065EF0">
        <w:rPr>
          <w:rFonts w:ascii="Times New Roman" w:hAnsi="Times New Roman" w:cs="Times New Roman"/>
          <w:color w:val="000000"/>
        </w:rPr>
        <w:t>(American Psychological Association, 2023)</w:t>
      </w:r>
      <w:r w:rsidRPr="00A03DD0">
        <w:rPr>
          <w:rFonts w:ascii="Times New Roman" w:eastAsia="Times New Roman" w:hAnsi="Times New Roman" w:cs="Times New Roman"/>
          <w:color w:val="000000"/>
          <w:kern w:val="0"/>
          <w:lang w:eastAsia="en-GB"/>
          <w14:ligatures w14:val="none"/>
        </w:rPr>
        <w:t>.</w:t>
      </w:r>
    </w:p>
    <w:p w14:paraId="21A715BA"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However, not all children have equal access to these resources. Some face barriers because of poverty, disability, discrimination, or living in areas where services are limited. Children in care, migrant children, or those in unstable housing may also struggle to access the healthcare they need. This can lead to long-term inequalities in both health and education.</w:t>
      </w:r>
    </w:p>
    <w:p w14:paraId="21F954CB" w14:textId="039F341D"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Protecting this right means making health services child-friendly, inclusive, and accessible to everyone, regardless of background or ability. Early intervention is key</w:t>
      </w:r>
      <w:r w:rsidRPr="00065EF0">
        <w:rPr>
          <w:rFonts w:ascii="Times New Roman" w:eastAsia="Times New Roman" w:hAnsi="Times New Roman" w:cs="Times New Roman"/>
          <w:color w:val="000000"/>
          <w:kern w:val="0"/>
          <w:lang w:eastAsia="en-GB"/>
          <w14:ligatures w14:val="none"/>
        </w:rPr>
        <w:t xml:space="preserve">, </w:t>
      </w:r>
      <w:r w:rsidRPr="00A03DD0">
        <w:rPr>
          <w:rFonts w:ascii="Times New Roman" w:eastAsia="Times New Roman" w:hAnsi="Times New Roman" w:cs="Times New Roman"/>
          <w:color w:val="000000"/>
          <w:kern w:val="0"/>
          <w:lang w:eastAsia="en-GB"/>
          <w14:ligatures w14:val="none"/>
        </w:rPr>
        <w:t xml:space="preserve">offering support before health problems become serious. Health education in schools and communities also </w:t>
      </w:r>
      <w:r w:rsidRPr="00A03DD0">
        <w:rPr>
          <w:rFonts w:ascii="Times New Roman" w:eastAsia="Times New Roman" w:hAnsi="Times New Roman" w:cs="Times New Roman"/>
          <w:color w:val="000000"/>
          <w:kern w:val="0"/>
          <w:lang w:eastAsia="en-GB"/>
          <w14:ligatures w14:val="none"/>
        </w:rPr>
        <w:lastRenderedPageBreak/>
        <w:t>helps children learn how to take care of themselves and understand their bodies and emotions</w:t>
      </w:r>
      <w:r w:rsidRPr="00065EF0">
        <w:rPr>
          <w:rFonts w:ascii="Times New Roman" w:hAnsi="Times New Roman" w:cs="Times New Roman"/>
          <w:color w:val="000000"/>
        </w:rPr>
        <w:t xml:space="preserve"> </w:t>
      </w:r>
      <w:r w:rsidRPr="00065EF0">
        <w:rPr>
          <w:rFonts w:ascii="Times New Roman" w:hAnsi="Times New Roman" w:cs="Times New Roman"/>
          <w:color w:val="000000"/>
        </w:rPr>
        <w:t>(Department for Education, 2025)</w:t>
      </w:r>
      <w:r w:rsidRPr="00A03DD0">
        <w:rPr>
          <w:rFonts w:ascii="Times New Roman" w:eastAsia="Times New Roman" w:hAnsi="Times New Roman" w:cs="Times New Roman"/>
          <w:color w:val="000000"/>
          <w:kern w:val="0"/>
          <w:lang w:eastAsia="en-GB"/>
          <w14:ligatures w14:val="none"/>
        </w:rPr>
        <w:t>.</w:t>
      </w:r>
    </w:p>
    <w:p w14:paraId="7536A983"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Support for families is just as important. Parents and carers need the right guidance and resources to protect their children’s health. When a child’s right to health is fully realised, it benefits not only the child but the whole community.</w:t>
      </w:r>
    </w:p>
    <w:p w14:paraId="3210306C" w14:textId="4D120884"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p>
    <w:p w14:paraId="2876DBEC"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5711CF06">
          <v:rect id="_x0000_i1036" alt="" style="width:451.3pt;height:.05pt;mso-width-percent:0;mso-height-percent:0;mso-width-percent:0;mso-height-percent:0" o:hralign="center" o:hrstd="t" o:hrnoshade="t" o:hr="t" fillcolor="black" stroked="f"/>
        </w:pict>
      </w:r>
    </w:p>
    <w:p w14:paraId="72DFC298" w14:textId="77777777" w:rsidR="00A03DD0" w:rsidRPr="00065EF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Blog 3: The Right to Education (Article 28)</w:t>
      </w:r>
    </w:p>
    <w:p w14:paraId="49B3FE0C" w14:textId="185324F8"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 xml:space="preserve">All children have the right to an education. This right is vital because education equips children with the knowledge and </w:t>
      </w:r>
      <w:proofErr w:type="gramStart"/>
      <w:r w:rsidRPr="00A03DD0">
        <w:rPr>
          <w:rFonts w:ascii="Times New Roman" w:eastAsia="Times New Roman" w:hAnsi="Times New Roman" w:cs="Times New Roman"/>
          <w:color w:val="000000"/>
          <w:kern w:val="0"/>
          <w:lang w:eastAsia="en-GB"/>
          <w14:ligatures w14:val="none"/>
        </w:rPr>
        <w:t>skills</w:t>
      </w:r>
      <w:proofErr w:type="gramEnd"/>
      <w:r w:rsidRPr="00A03DD0">
        <w:rPr>
          <w:rFonts w:ascii="Times New Roman" w:eastAsia="Times New Roman" w:hAnsi="Times New Roman" w:cs="Times New Roman"/>
          <w:color w:val="000000"/>
          <w:kern w:val="0"/>
          <w:lang w:eastAsia="en-GB"/>
          <w14:ligatures w14:val="none"/>
        </w:rPr>
        <w:t xml:space="preserve"> they need to build a successful life. More than that, it helps them develop emotionally, socially, and mentally. When children attend school, they not only learn academic subjects, but also how to communicate, build friendships, and become part of their community</w:t>
      </w:r>
      <w:r w:rsidRPr="00065EF0">
        <w:rPr>
          <w:rFonts w:ascii="Times New Roman" w:hAnsi="Times New Roman" w:cs="Times New Roman"/>
          <w:color w:val="000000"/>
        </w:rPr>
        <w:t xml:space="preserve"> </w:t>
      </w:r>
      <w:r w:rsidRPr="00065EF0">
        <w:rPr>
          <w:rFonts w:ascii="Times New Roman" w:hAnsi="Times New Roman" w:cs="Times New Roman"/>
          <w:color w:val="000000"/>
        </w:rPr>
        <w:t>(UNICEF, 2022)</w:t>
      </w:r>
      <w:r w:rsidRPr="00A03DD0">
        <w:rPr>
          <w:rFonts w:ascii="Times New Roman" w:eastAsia="Times New Roman" w:hAnsi="Times New Roman" w:cs="Times New Roman"/>
          <w:color w:val="000000"/>
          <w:kern w:val="0"/>
          <w:lang w:eastAsia="en-GB"/>
          <w14:ligatures w14:val="none"/>
        </w:rPr>
        <w:t>.</w:t>
      </w:r>
    </w:p>
    <w:p w14:paraId="1925F98A" w14:textId="2A89135D"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Education also plays a huge role in safeguarding. A child who attends school regularly is more visible to professionals and more likely to receive support if needed. School offers a safe and structured environment, protecting children from harm such as neglect, abuse, or exploitation</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(Council, 2024)</w:t>
      </w:r>
      <w:r w:rsidRPr="00A03DD0">
        <w:rPr>
          <w:rFonts w:ascii="Times New Roman" w:eastAsia="Times New Roman" w:hAnsi="Times New Roman" w:cs="Times New Roman"/>
          <w:color w:val="000000"/>
          <w:kern w:val="0"/>
          <w:lang w:eastAsia="en-GB"/>
          <w14:ligatures w14:val="none"/>
        </w:rPr>
        <w:t>. It provides routines, boundaries, and trusted adults who can notice if something isn’t right.</w:t>
      </w:r>
    </w:p>
    <w:p w14:paraId="60E2DB2D" w14:textId="5CF89D4F"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Importantly, education should be inclusive and equal for all</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(Strictly Education, 2024)</w:t>
      </w:r>
      <w:r w:rsidRPr="00A03DD0">
        <w:rPr>
          <w:rFonts w:ascii="Times New Roman" w:eastAsia="Times New Roman" w:hAnsi="Times New Roman" w:cs="Times New Roman"/>
          <w:color w:val="000000"/>
          <w:kern w:val="0"/>
          <w:lang w:eastAsia="en-GB"/>
          <w14:ligatures w14:val="none"/>
        </w:rPr>
        <w:t>. Children with disabilities, learning needs, or who speak other languages may face barriers, so schools must adapt to ensure every child has the same chance to learn. This includes offering extra support, accessible classrooms, and a welcoming atmosphere.</w:t>
      </w:r>
    </w:p>
    <w:p w14:paraId="79FF4874" w14:textId="5A953F76"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Children must also feel safe and supported in school. Bullying, peer pressure, or high academic stress can seriously affect their mental health and ability to learn</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(Deng, 2022)</w:t>
      </w:r>
      <w:r w:rsidRPr="00A03DD0">
        <w:rPr>
          <w:rFonts w:ascii="Times New Roman" w:eastAsia="Times New Roman" w:hAnsi="Times New Roman" w:cs="Times New Roman"/>
          <w:color w:val="000000"/>
          <w:kern w:val="0"/>
          <w:lang w:eastAsia="en-GB"/>
          <w14:ligatures w14:val="none"/>
        </w:rPr>
        <w:t>. That’s why emotional wellbeing should be part of the school environment, with pastoral care, mental health services, and a focus on kindness and respect.</w:t>
      </w:r>
    </w:p>
    <w:p w14:paraId="518B74B0"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When children receive a good education in a supportive setting, they grow in confidence, develop independence, and are better prepared for the future.</w:t>
      </w:r>
    </w:p>
    <w:p w14:paraId="52AC8CBB"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p>
    <w:p w14:paraId="77A0A8B1"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61400167">
          <v:rect id="_x0000_i1037" alt="" style="width:451.3pt;height:.05pt;mso-width-percent:0;mso-height-percent:0;mso-width-percent:0;mso-height-percent:0" o:hralign="center" o:hrstd="t" o:hrnoshade="t" o:hr="t" fillcolor="black" stroked="f"/>
        </w:pict>
      </w:r>
    </w:p>
    <w:p w14:paraId="6974733A" w14:textId="77777777"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A03DD0">
        <w:rPr>
          <w:rFonts w:ascii="Times New Roman" w:eastAsia="Times New Roman" w:hAnsi="Times New Roman" w:cs="Times New Roman"/>
          <w:b/>
          <w:bCs/>
          <w:color w:val="000000"/>
          <w:kern w:val="0"/>
          <w:sz w:val="27"/>
          <w:szCs w:val="27"/>
          <w:lang w:eastAsia="en-GB"/>
          <w14:ligatures w14:val="none"/>
        </w:rPr>
        <w:t>Blog 4: The Right to Be Protected from Violence (Article 19)</w:t>
      </w:r>
    </w:p>
    <w:p w14:paraId="3E09D22E" w14:textId="45795FC9"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Every child has the right to be protected from all forms of violence, abuse, neglect, and exploitation. This right is fundamental to a child’s well</w:t>
      </w:r>
      <w:r w:rsidRPr="00065EF0">
        <w:rPr>
          <w:rFonts w:ascii="Times New Roman" w:eastAsia="Times New Roman" w:hAnsi="Times New Roman" w:cs="Times New Roman"/>
          <w:color w:val="000000"/>
          <w:kern w:val="0"/>
          <w:lang w:eastAsia="en-GB"/>
          <w14:ligatures w14:val="none"/>
        </w:rPr>
        <w:t>-</w:t>
      </w:r>
      <w:r w:rsidRPr="00A03DD0">
        <w:rPr>
          <w:rFonts w:ascii="Times New Roman" w:eastAsia="Times New Roman" w:hAnsi="Times New Roman" w:cs="Times New Roman"/>
          <w:color w:val="000000"/>
          <w:kern w:val="0"/>
          <w:lang w:eastAsia="en-GB"/>
          <w14:ligatures w14:val="none"/>
        </w:rPr>
        <w:t>being and development. Feeling safe is essential</w:t>
      </w:r>
      <w:r w:rsidRPr="00065EF0">
        <w:rPr>
          <w:rFonts w:ascii="Times New Roman" w:eastAsia="Times New Roman" w:hAnsi="Times New Roman" w:cs="Times New Roman"/>
          <w:color w:val="000000"/>
          <w:kern w:val="0"/>
          <w:lang w:eastAsia="en-GB"/>
          <w14:ligatures w14:val="none"/>
        </w:rPr>
        <w:t xml:space="preserve"> </w:t>
      </w:r>
      <w:r w:rsidRPr="00A03DD0">
        <w:rPr>
          <w:rFonts w:ascii="Times New Roman" w:eastAsia="Times New Roman" w:hAnsi="Times New Roman" w:cs="Times New Roman"/>
          <w:color w:val="000000"/>
          <w:kern w:val="0"/>
          <w:lang w:eastAsia="en-GB"/>
          <w14:ligatures w14:val="none"/>
        </w:rPr>
        <w:t>not only for survival but for learning, growing, and forming healthy relationships. A child who is protected can thrive emotionally, physically, and socially</w:t>
      </w:r>
      <w:r w:rsidRPr="00065EF0">
        <w:rPr>
          <w:rFonts w:ascii="Times New Roman" w:hAnsi="Times New Roman" w:cs="Times New Roman"/>
          <w:color w:val="000000"/>
        </w:rPr>
        <w:t xml:space="preserve"> </w:t>
      </w:r>
      <w:r w:rsidRPr="00065EF0">
        <w:rPr>
          <w:rFonts w:ascii="Times New Roman" w:hAnsi="Times New Roman" w:cs="Times New Roman"/>
          <w:color w:val="000000"/>
        </w:rPr>
        <w:t>(Children and Young People's Commissioner Scotland, 2021)</w:t>
      </w:r>
      <w:r w:rsidRPr="00A03DD0">
        <w:rPr>
          <w:rFonts w:ascii="Times New Roman" w:eastAsia="Times New Roman" w:hAnsi="Times New Roman" w:cs="Times New Roman"/>
          <w:color w:val="000000"/>
          <w:kern w:val="0"/>
          <w:lang w:eastAsia="en-GB"/>
          <w14:ligatures w14:val="none"/>
        </w:rPr>
        <w:t>.</w:t>
      </w:r>
    </w:p>
    <w:p w14:paraId="19D114FE" w14:textId="477566F1"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lastRenderedPageBreak/>
        <w:t>Exposure to harm can have serious consequences. Children who experience abuse or neglect may develop low self-esteem, depression, or anxiety</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 xml:space="preserve">(Lippard and </w:t>
      </w:r>
      <w:proofErr w:type="spellStart"/>
      <w:r w:rsidRPr="00065EF0">
        <w:rPr>
          <w:rFonts w:ascii="Times New Roman" w:hAnsi="Times New Roman" w:cs="Times New Roman"/>
          <w:color w:val="000000"/>
        </w:rPr>
        <w:t>Nemeroff</w:t>
      </w:r>
      <w:proofErr w:type="spellEnd"/>
      <w:r w:rsidRPr="00065EF0">
        <w:rPr>
          <w:rFonts w:ascii="Times New Roman" w:hAnsi="Times New Roman" w:cs="Times New Roman"/>
          <w:color w:val="000000"/>
        </w:rPr>
        <w:t>, 2020)</w:t>
      </w:r>
      <w:r w:rsidRPr="00A03DD0">
        <w:rPr>
          <w:rFonts w:ascii="Times New Roman" w:eastAsia="Times New Roman" w:hAnsi="Times New Roman" w:cs="Times New Roman"/>
          <w:color w:val="000000"/>
          <w:kern w:val="0"/>
          <w:lang w:eastAsia="en-GB"/>
          <w14:ligatures w14:val="none"/>
        </w:rPr>
        <w:t>. They might struggle at school, find it hard to trust others, or have difficulties forming attachments. In the worst cases, unaddressed trauma can lead to long-term mental health problems, unsafe behaviours, or repeating harmful cycles later in life.</w:t>
      </w:r>
    </w:p>
    <w:p w14:paraId="051F056E" w14:textId="49F446C7" w:rsidR="00A03DD0" w:rsidRPr="00A03DD0" w:rsidRDefault="00A03DD0" w:rsidP="00A03DD0">
      <w:pPr>
        <w:spacing w:before="100" w:beforeAutospacing="1" w:after="100" w:afterAutospacing="1"/>
        <w:rPr>
          <w:rFonts w:ascii="Times New Roman" w:hAnsi="Times New Roman" w:cs="Times New Roman"/>
          <w:color w:val="000000"/>
        </w:rPr>
      </w:pPr>
      <w:r w:rsidRPr="00A03DD0">
        <w:rPr>
          <w:rFonts w:ascii="Times New Roman" w:eastAsia="Times New Roman" w:hAnsi="Times New Roman" w:cs="Times New Roman"/>
          <w:color w:val="000000"/>
          <w:kern w:val="0"/>
          <w:lang w:eastAsia="en-GB"/>
          <w14:ligatures w14:val="none"/>
        </w:rPr>
        <w:t>To protect children, adults must be alert to the signs of harm. This includes physical injuries, changes in behaviour, withdrawal, fearfulness, or poor hygiene</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(NCVO, 2021)</w:t>
      </w:r>
      <w:r w:rsidRPr="00A03DD0">
        <w:rPr>
          <w:rFonts w:ascii="Times New Roman" w:eastAsia="Times New Roman" w:hAnsi="Times New Roman" w:cs="Times New Roman"/>
          <w:color w:val="000000"/>
          <w:kern w:val="0"/>
          <w:lang w:eastAsia="en-GB"/>
          <w14:ligatures w14:val="none"/>
        </w:rPr>
        <w:t>. Listening carefully, responding with care, and knowing how to report concerns are all crucial responsibilities for professionals and carers.</w:t>
      </w:r>
    </w:p>
    <w:p w14:paraId="1220066F"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Creating safe environments is just as important. Schools, youth centres, and homes should be places where children feel secure, respected, and able to speak up. Policies like safeguarding procedures, background checks, and staff training help reduce risks.</w:t>
      </w:r>
    </w:p>
    <w:p w14:paraId="71A39003" w14:textId="6834DC4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Empowering children is also key. Teaching them about their rights, boundaries, and where to get help gives them a sense of control and safety. When families, communities, and professionals work together, children are more likely to grow up in safe, loving environments where they can develop fully and without fear</w:t>
      </w:r>
      <w:r w:rsidRPr="00065EF0">
        <w:rPr>
          <w:rFonts w:ascii="Times New Roman" w:eastAsia="Times New Roman" w:hAnsi="Times New Roman" w:cs="Times New Roman"/>
          <w:color w:val="000000"/>
          <w:kern w:val="0"/>
          <w:lang w:eastAsia="en-GB"/>
          <w14:ligatures w14:val="none"/>
        </w:rPr>
        <w:t xml:space="preserve"> </w:t>
      </w:r>
      <w:r w:rsidRPr="00065EF0">
        <w:rPr>
          <w:rFonts w:ascii="Times New Roman" w:hAnsi="Times New Roman" w:cs="Times New Roman"/>
          <w:color w:val="000000"/>
        </w:rPr>
        <w:t>(Aversano, 2022)</w:t>
      </w:r>
      <w:r w:rsidRPr="00A03DD0">
        <w:rPr>
          <w:rFonts w:ascii="Times New Roman" w:eastAsia="Times New Roman" w:hAnsi="Times New Roman" w:cs="Times New Roman"/>
          <w:color w:val="000000"/>
          <w:kern w:val="0"/>
          <w:lang w:eastAsia="en-GB"/>
          <w14:ligatures w14:val="none"/>
        </w:rPr>
        <w:t>.</w:t>
      </w:r>
    </w:p>
    <w:p w14:paraId="16420EF7"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11978CDB"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6207AF71"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172DFD05"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603EA36C" w14:textId="0B3E9539" w:rsidR="00A03DD0" w:rsidRPr="00A03DD0" w:rsidRDefault="00A03DD0" w:rsidP="00A03DD0">
      <w:pPr>
        <w:spacing w:before="100" w:beforeAutospacing="1" w:after="100" w:afterAutospacing="1"/>
        <w:outlineLvl w:val="1"/>
        <w:rPr>
          <w:rFonts w:ascii="Times New Roman" w:eastAsia="Times New Roman" w:hAnsi="Times New Roman" w:cs="Times New Roman"/>
          <w:b/>
          <w:bCs/>
          <w:color w:val="000000"/>
          <w:kern w:val="0"/>
          <w:sz w:val="36"/>
          <w:szCs w:val="36"/>
          <w:lang w:eastAsia="en-GB"/>
          <w14:ligatures w14:val="none"/>
        </w:rPr>
      </w:pPr>
      <w:r w:rsidRPr="00A03DD0">
        <w:rPr>
          <w:rFonts w:ascii="Times New Roman" w:eastAsia="Times New Roman" w:hAnsi="Times New Roman" w:cs="Times New Roman"/>
          <w:b/>
          <w:bCs/>
          <w:color w:val="000000"/>
          <w:kern w:val="0"/>
          <w:sz w:val="36"/>
          <w:szCs w:val="36"/>
          <w:lang w:eastAsia="en-GB"/>
          <w14:ligatures w14:val="none"/>
        </w:rPr>
        <w:t>Timeline of Safeguarding Legislation (19</w:t>
      </w:r>
      <w:r w:rsidRPr="00065EF0">
        <w:rPr>
          <w:rFonts w:ascii="Times New Roman" w:eastAsia="Times New Roman" w:hAnsi="Times New Roman" w:cs="Times New Roman"/>
          <w:b/>
          <w:bCs/>
          <w:color w:val="000000"/>
          <w:kern w:val="0"/>
          <w:sz w:val="36"/>
          <w:szCs w:val="36"/>
          <w:lang w:eastAsia="en-GB"/>
          <w14:ligatures w14:val="none"/>
        </w:rPr>
        <w:t>89</w:t>
      </w:r>
      <w:r w:rsidRPr="00A03DD0">
        <w:rPr>
          <w:rFonts w:ascii="Times New Roman" w:eastAsia="Times New Roman" w:hAnsi="Times New Roman" w:cs="Times New Roman"/>
          <w:b/>
          <w:bCs/>
          <w:color w:val="000000"/>
          <w:kern w:val="0"/>
          <w:sz w:val="36"/>
          <w:szCs w:val="36"/>
          <w:lang w:eastAsia="en-GB"/>
          <w14:ligatures w14:val="none"/>
        </w:rPr>
        <w:t>–Present)</w:t>
      </w:r>
    </w:p>
    <w:p w14:paraId="0E181E90"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0E4991E0">
          <v:rect id="_x0000_i1043" alt="" style="width:451.3pt;height:.05pt;mso-width-percent:0;mso-height-percent:0;mso-width-percent:0;mso-height-percent:0" o:hralign="center" o:hrstd="t" o:hrnoshade="t" o:hr="t" fillcolor="black" stroked="f"/>
        </w:pict>
      </w:r>
    </w:p>
    <w:p w14:paraId="133A5E69" w14:textId="2CA92AC8" w:rsidR="00A03DD0" w:rsidRPr="00065EF0" w:rsidRDefault="00A03DD0" w:rsidP="00A03DD0">
      <w:pPr>
        <w:pStyle w:val="NormalWeb"/>
        <w:rPr>
          <w:color w:val="000000"/>
        </w:rPr>
      </w:pPr>
      <w:r w:rsidRPr="00065EF0">
        <w:rPr>
          <w:rStyle w:val="Strong"/>
          <w:rFonts w:eastAsiaTheme="majorEastAsia"/>
          <w:color w:val="000000"/>
        </w:rPr>
        <w:t>1989: Children Act</w:t>
      </w:r>
      <w:r w:rsidRPr="00065EF0">
        <w:rPr>
          <w:color w:val="000000"/>
        </w:rPr>
        <w:br/>
        <w:t>This Act was a major turning point in how the UK approached child protection. It clearly stated that the child’s welfare should be the top priority and gave local authorities more responsibility to step in when a child might be at risk. It introduced care orders and supervision orders, aiming to support families before taking children into care. One important shift was moving away from punishing children who were struggling and instead offering support and guidance. However, the law still leaned more towards giving power to professionals rather than listening directly to children themselves. That was something later laws would try to improve. Even so, it laid the groundwork for a more child-centred system and helped shape how professionals today think about safeguarding and working with families</w:t>
      </w:r>
      <w:r w:rsidRPr="00065EF0">
        <w:rPr>
          <w:color w:val="000000"/>
        </w:rPr>
        <w:t xml:space="preserve"> </w:t>
      </w:r>
      <w:r w:rsidRPr="00065EF0">
        <w:rPr>
          <w:color w:val="000000"/>
        </w:rPr>
        <w:t>(Prendergast, 2023).</w:t>
      </w:r>
    </w:p>
    <w:p w14:paraId="41448FED" w14:textId="0FDF8E63" w:rsidR="00A03DD0" w:rsidRPr="00065EF0" w:rsidRDefault="00A03DD0" w:rsidP="00A03DD0">
      <w:pPr>
        <w:pStyle w:val="NormalWeb"/>
        <w:rPr>
          <w:color w:val="000000"/>
        </w:rPr>
      </w:pPr>
      <w:r w:rsidRPr="00065EF0">
        <w:rPr>
          <w:rStyle w:val="Strong"/>
          <w:rFonts w:eastAsiaTheme="majorEastAsia"/>
          <w:color w:val="000000"/>
        </w:rPr>
        <w:t>2002: Education Act</w:t>
      </w:r>
      <w:r w:rsidRPr="00065EF0">
        <w:rPr>
          <w:color w:val="000000"/>
        </w:rPr>
        <w:br/>
        <w:t>The Education Act 2002 made safeguarding a statutory duty for schools. It required them to put in place measures to protect pupils from harm, including appointing designated safeguarding leads and establishing protocols for working with social care services. This helped schools play a more active role in identifying and supporting children at risk. The Act also promoted early intervention, making it easier for concerns to be raised and dealt with before serious harm occurred. However, the effectiveness of this Act can be limited by underfunding and insufficient staff training. Many schools still struggle to meet safeguarding requirements consistently, particularly when resources are stretched. Despite these challenges, the Act remains a crucial piece of legislation in embedding a safeguarding culture within educational settings</w:t>
      </w:r>
      <w:r w:rsidRPr="00065EF0">
        <w:rPr>
          <w:color w:val="000000"/>
        </w:rPr>
        <w:t xml:space="preserve"> </w:t>
      </w:r>
      <w:r w:rsidRPr="00065EF0">
        <w:rPr>
          <w:color w:val="000000"/>
        </w:rPr>
        <w:t>(Education Act, 2002).</w:t>
      </w:r>
    </w:p>
    <w:p w14:paraId="7E525042" w14:textId="7185C2C8" w:rsidR="00A03DD0" w:rsidRPr="00065EF0" w:rsidRDefault="00A03DD0" w:rsidP="00A03DD0">
      <w:pPr>
        <w:pStyle w:val="NormalWeb"/>
        <w:rPr>
          <w:color w:val="000000"/>
        </w:rPr>
      </w:pPr>
      <w:r w:rsidRPr="00065EF0">
        <w:rPr>
          <w:rStyle w:val="Strong"/>
          <w:rFonts w:eastAsiaTheme="majorEastAsia"/>
          <w:color w:val="000000"/>
        </w:rPr>
        <w:t>2004: Children Act</w:t>
      </w:r>
      <w:r w:rsidRPr="00065EF0">
        <w:rPr>
          <w:color w:val="000000"/>
        </w:rPr>
        <w:br/>
        <w:t xml:space="preserve">The 2004 Children Act was introduced in response to the tragic death of Victoria Climbié. It reshaped how services support and safeguard children by requiring health, education, and social care to work together more effectively. This led to the creation of Local Safeguarding Children Boards (LSCBs) and </w:t>
      </w:r>
      <w:proofErr w:type="gramStart"/>
      <w:r w:rsidRPr="00065EF0">
        <w:rPr>
          <w:color w:val="000000"/>
        </w:rPr>
        <w:t>the Every</w:t>
      </w:r>
      <w:proofErr w:type="gramEnd"/>
      <w:r w:rsidRPr="00065EF0">
        <w:rPr>
          <w:color w:val="000000"/>
        </w:rPr>
        <w:t xml:space="preserve"> Child Matters framework, which aimed to ensure every child has the opportunity to be healthy, stay safe, enjoy and achieve, make a positive contribution, and achieve economic wellbeing. The Act also established the Children’s Commissioner to ensure children's voices were better heard. While the Act encouraged a more join</w:t>
      </w:r>
      <w:r w:rsidRPr="00065EF0">
        <w:rPr>
          <w:color w:val="000000"/>
        </w:rPr>
        <w:t>t</w:t>
      </w:r>
      <w:r w:rsidRPr="00065EF0">
        <w:rPr>
          <w:color w:val="000000"/>
        </w:rPr>
        <w:t xml:space="preserve"> approach, some issues</w:t>
      </w:r>
      <w:r w:rsidRPr="00065EF0">
        <w:rPr>
          <w:color w:val="000000"/>
        </w:rPr>
        <w:t>,</w:t>
      </w:r>
      <w:r w:rsidRPr="00065EF0">
        <w:rPr>
          <w:color w:val="000000"/>
        </w:rPr>
        <w:t xml:space="preserve"> like poor communication and accountability between agencies</w:t>
      </w:r>
      <w:r w:rsidRPr="00065EF0">
        <w:rPr>
          <w:color w:val="000000"/>
        </w:rPr>
        <w:t>,</w:t>
      </w:r>
      <w:r w:rsidRPr="00065EF0">
        <w:rPr>
          <w:color w:val="000000"/>
        </w:rPr>
        <w:t xml:space="preserve"> persisted. Nonetheless, it marked a significant step forward in creating a more cohesive safeguarding system</w:t>
      </w:r>
      <w:r w:rsidRPr="00065EF0">
        <w:rPr>
          <w:color w:val="000000"/>
        </w:rPr>
        <w:t xml:space="preserve"> </w:t>
      </w:r>
      <w:r w:rsidRPr="00065EF0">
        <w:rPr>
          <w:color w:val="000000"/>
        </w:rPr>
        <w:t>(Gov.uk, 2004).</w:t>
      </w:r>
    </w:p>
    <w:p w14:paraId="36DDFA06" w14:textId="0F30640E" w:rsidR="00A03DD0" w:rsidRPr="00065EF0" w:rsidRDefault="00A03DD0" w:rsidP="00A03DD0">
      <w:pPr>
        <w:pStyle w:val="NormalWeb"/>
        <w:rPr>
          <w:color w:val="000000"/>
        </w:rPr>
      </w:pPr>
      <w:r w:rsidRPr="00065EF0">
        <w:rPr>
          <w:rStyle w:val="Strong"/>
          <w:rFonts w:eastAsiaTheme="majorEastAsia"/>
          <w:color w:val="000000"/>
        </w:rPr>
        <w:t>2006: Childcare Act</w:t>
      </w:r>
      <w:r w:rsidRPr="00065EF0">
        <w:rPr>
          <w:color w:val="000000"/>
        </w:rPr>
        <w:br/>
        <w:t xml:space="preserve">The Childcare Act 2006 focused on giving every child the best start in life. It placed new duties on local authorities to improve outcomes for children under five, including health, emotional development, and learning. Services like Sure Start Children’s Centres were expanded to offer support to families and address challenges early, especially in disadvantaged areas. This preventative approach recognised that early support </w:t>
      </w:r>
      <w:proofErr w:type="gramStart"/>
      <w:r w:rsidRPr="00065EF0">
        <w:rPr>
          <w:color w:val="000000"/>
        </w:rPr>
        <w:t>can</w:t>
      </w:r>
      <w:proofErr w:type="gramEnd"/>
      <w:r w:rsidRPr="00065EF0">
        <w:rPr>
          <w:color w:val="000000"/>
        </w:rPr>
        <w:t xml:space="preserve"> reduce the risk of harm later. By supporting parents and early years practitioners, the Act indirectly safeguarded children through community-based care. However, financial cuts to children’s services have since affected the reach and consistency of these programmes. While the law set a strong foundation for early years safeguarding, its impact has been uneven due to varying local resources</w:t>
      </w:r>
      <w:r w:rsidRPr="00065EF0">
        <w:rPr>
          <w:color w:val="000000"/>
        </w:rPr>
        <w:t xml:space="preserve"> </w:t>
      </w:r>
      <w:r w:rsidRPr="00065EF0">
        <w:rPr>
          <w:color w:val="000000"/>
        </w:rPr>
        <w:t>(UK Government 2006</w:t>
      </w:r>
      <w:r w:rsidRPr="00065EF0">
        <w:rPr>
          <w:color w:val="000000"/>
        </w:rPr>
        <w:t>)</w:t>
      </w:r>
      <w:r w:rsidRPr="00065EF0">
        <w:rPr>
          <w:color w:val="000000"/>
        </w:rPr>
        <w:t>.</w:t>
      </w:r>
    </w:p>
    <w:p w14:paraId="7CCD905E" w14:textId="0D84526A" w:rsidR="00A03DD0" w:rsidRPr="00065EF0" w:rsidRDefault="00A03DD0" w:rsidP="00A03DD0">
      <w:pPr>
        <w:pStyle w:val="NormalWeb"/>
        <w:rPr>
          <w:color w:val="000000"/>
        </w:rPr>
      </w:pPr>
      <w:r w:rsidRPr="00065EF0">
        <w:rPr>
          <w:rStyle w:val="Strong"/>
          <w:rFonts w:eastAsiaTheme="majorEastAsia"/>
          <w:color w:val="000000"/>
        </w:rPr>
        <w:t>200</w:t>
      </w:r>
      <w:r w:rsidRPr="00065EF0">
        <w:rPr>
          <w:rStyle w:val="Strong"/>
          <w:rFonts w:eastAsiaTheme="majorEastAsia"/>
          <w:color w:val="000000"/>
        </w:rPr>
        <w:t>8</w:t>
      </w:r>
      <w:r w:rsidRPr="00065EF0">
        <w:rPr>
          <w:rStyle w:val="Strong"/>
          <w:rFonts w:eastAsiaTheme="majorEastAsia"/>
          <w:color w:val="000000"/>
        </w:rPr>
        <w:t>: Children and Young Persons Act</w:t>
      </w:r>
      <w:r w:rsidRPr="00065EF0">
        <w:rPr>
          <w:color w:val="000000"/>
        </w:rPr>
        <w:br/>
        <w:t xml:space="preserve">This Act strengthened the legal framework for children in care, focusing on improving their experience within the care system. It placed clearer responsibilities on local authorities to ensure looked-after children receive high-quality and stable placements. The law highlighted the importance of listening to children’s views and providing them with consistent support. Foster carers and social workers were given better training to help them meet children’s emotional and practical needs. Although the Act improved standards and accountability, challenges around placement stability and support for care leavers remain. Nonetheless, it marked progress towards recognising the long-term impact of care and the importance of nurturing, not just managing, young people in the </w:t>
      </w:r>
      <w:proofErr w:type="gramStart"/>
      <w:r w:rsidRPr="00065EF0">
        <w:rPr>
          <w:color w:val="000000"/>
        </w:rPr>
        <w:t>system(</w:t>
      </w:r>
      <w:proofErr w:type="gramEnd"/>
      <w:r w:rsidRPr="00065EF0">
        <w:rPr>
          <w:color w:val="000000"/>
        </w:rPr>
        <w:t>Department for Children, Schools and Families, 2011).</w:t>
      </w:r>
    </w:p>
    <w:p w14:paraId="1ADFD10C" w14:textId="67EE4F13" w:rsidR="00A03DD0" w:rsidRPr="00065EF0" w:rsidRDefault="00A03DD0" w:rsidP="00A03DD0">
      <w:pPr>
        <w:pStyle w:val="NormalWeb"/>
        <w:rPr>
          <w:color w:val="000000"/>
        </w:rPr>
      </w:pPr>
      <w:r w:rsidRPr="00065EF0">
        <w:rPr>
          <w:rStyle w:val="Strong"/>
          <w:rFonts w:eastAsiaTheme="majorEastAsia"/>
          <w:color w:val="000000"/>
        </w:rPr>
        <w:t>2014: Children and Families Act</w:t>
      </w:r>
      <w:r w:rsidRPr="00065EF0">
        <w:rPr>
          <w:color w:val="000000"/>
        </w:rPr>
        <w:br/>
      </w:r>
      <w:r w:rsidRPr="00065EF0">
        <w:rPr>
          <w:color w:val="000000"/>
          <w:sz w:val="27"/>
          <w:szCs w:val="27"/>
        </w:rPr>
        <w:t xml:space="preserve">The Children and Families Act 2014 brought in major changes to improve support for children, especially those with special educational needs and disabilities (SEND). It replaced previous SEN statements with Education, </w:t>
      </w:r>
      <w:proofErr w:type="gramStart"/>
      <w:r w:rsidRPr="00065EF0">
        <w:rPr>
          <w:color w:val="000000"/>
          <w:sz w:val="27"/>
          <w:szCs w:val="27"/>
        </w:rPr>
        <w:t>Health</w:t>
      </w:r>
      <w:proofErr w:type="gramEnd"/>
      <w:r w:rsidRPr="00065EF0">
        <w:rPr>
          <w:color w:val="000000"/>
          <w:sz w:val="27"/>
          <w:szCs w:val="27"/>
        </w:rPr>
        <w:t xml:space="preserve"> and Care (EHC) plans, aiming to create a more joined-up and personalised system. One of its strengths is how it encourages professionals to work together across education, health, and social care to meet a child’s needs. It also gave families more of a say in the decisions affecting their children. The Act included new rights for young carers and improved arrangements for adoption and family courts. While the law had good intentions, in practice, many families have faced delays and difficulties accessing support, often due to stretched resources. Still, it was a big step towards giving children with additional needs and their families more visibility, choice, and control over their care and education</w:t>
      </w:r>
      <w:r w:rsidRPr="00065EF0">
        <w:rPr>
          <w:color w:val="000000"/>
          <w:sz w:val="27"/>
          <w:szCs w:val="27"/>
        </w:rPr>
        <w:t xml:space="preserve"> </w:t>
      </w:r>
      <w:r w:rsidRPr="00065EF0">
        <w:rPr>
          <w:color w:val="000000"/>
        </w:rPr>
        <w:t>(legislation.gov.uk, 2014)</w:t>
      </w:r>
      <w:r w:rsidRPr="00065EF0">
        <w:rPr>
          <w:color w:val="000000"/>
          <w:sz w:val="27"/>
          <w:szCs w:val="27"/>
        </w:rPr>
        <w:t>.</w:t>
      </w:r>
    </w:p>
    <w:p w14:paraId="2DD51950" w14:textId="0804013D" w:rsidR="00A03DD0" w:rsidRPr="00065EF0" w:rsidRDefault="00A03DD0" w:rsidP="00A03DD0">
      <w:pPr>
        <w:pStyle w:val="NormalWeb"/>
        <w:rPr>
          <w:color w:val="000000"/>
        </w:rPr>
      </w:pPr>
      <w:r w:rsidRPr="00065EF0">
        <w:rPr>
          <w:rStyle w:val="Strong"/>
          <w:rFonts w:eastAsiaTheme="majorEastAsia"/>
          <w:color w:val="000000"/>
        </w:rPr>
        <w:t>2017: Children and Social Work Act</w:t>
      </w:r>
      <w:r w:rsidRPr="00065EF0">
        <w:rPr>
          <w:color w:val="000000"/>
        </w:rPr>
        <w:br/>
        <w:t>This Act aimed to improve outcomes for looked-after children and care leavers. It introduced corporate parenting principles, encouraging local authorities to treat children in care as they would their own. It also required key agencies (health, police, education) to collaborate more effectively in safeguarding arrangements, replacing LSCBs with new local safeguarding partnerships. The law supported better personal support plans for care leavers and promoted a stronger focus on their wellbeing and future opportunities. However, professionals have raised concerns about the inconsistency of implementation and lack of clear national oversight. While the intentions are progressive, outcomes rely heavily on local leadership and resources. Still, the Act reflects an ongoing commitment to protecting vulnerable children</w:t>
      </w:r>
      <w:r w:rsidRPr="00065EF0">
        <w:rPr>
          <w:color w:val="000000"/>
        </w:rPr>
        <w:t xml:space="preserve"> </w:t>
      </w:r>
      <w:r w:rsidRPr="00065EF0">
        <w:rPr>
          <w:color w:val="000000"/>
        </w:rPr>
        <w:t>(HM Government, 2017).</w:t>
      </w:r>
    </w:p>
    <w:p w14:paraId="2DD5639B" w14:textId="258C63C8" w:rsidR="00A03DD0" w:rsidRPr="00A03DD0" w:rsidRDefault="00A03DD0" w:rsidP="00A03DD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065EF0">
        <w:rPr>
          <w:rStyle w:val="Strong"/>
          <w:rFonts w:ascii="Times New Roman" w:hAnsi="Times New Roman" w:cs="Times New Roman"/>
          <w:color w:val="000000"/>
        </w:rPr>
        <w:t>2023: Working Together to Safeguard Children</w:t>
      </w:r>
      <w:r w:rsidRPr="00065EF0">
        <w:rPr>
          <w:rFonts w:ascii="Times New Roman" w:hAnsi="Times New Roman" w:cs="Times New Roman"/>
          <w:color w:val="000000"/>
        </w:rPr>
        <w:br/>
      </w:r>
      <w:r w:rsidRPr="00065EF0">
        <w:rPr>
          <w:rFonts w:ascii="Times New Roman" w:hAnsi="Times New Roman" w:cs="Times New Roman"/>
          <w:color w:val="000000"/>
          <w:sz w:val="27"/>
          <w:szCs w:val="27"/>
        </w:rPr>
        <w:t>The 2023 update to</w:t>
      </w:r>
      <w:r w:rsidRPr="00065EF0">
        <w:rPr>
          <w:rStyle w:val="apple-converted-space"/>
          <w:rFonts w:ascii="Times New Roman" w:hAnsi="Times New Roman" w:cs="Times New Roman"/>
          <w:color w:val="000000"/>
          <w:sz w:val="27"/>
          <w:szCs w:val="27"/>
        </w:rPr>
        <w:t> </w:t>
      </w:r>
      <w:r w:rsidRPr="00065EF0">
        <w:rPr>
          <w:rStyle w:val="Emphasis"/>
          <w:rFonts w:ascii="Times New Roman" w:hAnsi="Times New Roman" w:cs="Times New Roman"/>
          <w:color w:val="000000"/>
        </w:rPr>
        <w:t>Working Together to Safeguard Children</w:t>
      </w:r>
      <w:r w:rsidRPr="00065EF0">
        <w:rPr>
          <w:rStyle w:val="apple-converted-space"/>
          <w:rFonts w:ascii="Times New Roman" w:hAnsi="Times New Roman" w:cs="Times New Roman"/>
          <w:color w:val="000000"/>
          <w:sz w:val="27"/>
          <w:szCs w:val="27"/>
        </w:rPr>
        <w:t> </w:t>
      </w:r>
      <w:r w:rsidRPr="00065EF0">
        <w:rPr>
          <w:rFonts w:ascii="Times New Roman" w:hAnsi="Times New Roman" w:cs="Times New Roman"/>
          <w:color w:val="000000"/>
          <w:sz w:val="27"/>
          <w:szCs w:val="27"/>
        </w:rPr>
        <w:t>guidance strengthened how agencies work together to keep children safe. It placed greater focus on forming strong, supportive relationships with children and families, recognising the importance of listening to children's voices in decisions about their lives. One of the key changes was promoting more early help and intervention, aiming to support families before problems escalate. The update also emphasised clearer leadership roles for safeguarding partners—health, police, and local authorities—ensuring shared responsibility across services. A trauma-informed and strengths-based approach was encouraged, helping professionals understand the root causes of harm rather than just the symptoms. While the guidance improved clarity and accountability, putting it into practice relies on good communication, adequate funding, and consistent training. It continues to be a vital tool in shaping child protection systems and ensuring children's wellbeing is placed at the heart of safeguarding efforts</w:t>
      </w:r>
      <w:r w:rsidRPr="00065EF0">
        <w:rPr>
          <w:rFonts w:ascii="Times New Roman" w:hAnsi="Times New Roman" w:cs="Times New Roman"/>
          <w:color w:val="000000"/>
          <w:sz w:val="27"/>
          <w:szCs w:val="27"/>
        </w:rPr>
        <w:t xml:space="preserve"> </w:t>
      </w:r>
      <w:r w:rsidRPr="00065EF0">
        <w:rPr>
          <w:rFonts w:ascii="Times New Roman" w:hAnsi="Times New Roman" w:cs="Times New Roman"/>
          <w:color w:val="000000"/>
        </w:rPr>
        <w:t>(Department for Education, 2018)</w:t>
      </w:r>
      <w:r w:rsidRPr="00065EF0">
        <w:rPr>
          <w:rFonts w:ascii="Times New Roman" w:hAnsi="Times New Roman" w:cs="Times New Roman"/>
          <w:color w:val="000000"/>
          <w:sz w:val="27"/>
          <w:szCs w:val="27"/>
        </w:rPr>
        <w:t>.</w:t>
      </w:r>
    </w:p>
    <w:p w14:paraId="3814CD16" w14:textId="77777777" w:rsidR="00A03DD0" w:rsidRPr="00A03DD0" w:rsidRDefault="00A03DD0" w:rsidP="00A03DD0">
      <w:pPr>
        <w:rPr>
          <w:rFonts w:ascii="Times New Roman" w:eastAsia="Times New Roman" w:hAnsi="Times New Roman" w:cs="Times New Roman"/>
          <w:kern w:val="0"/>
          <w:lang w:eastAsia="en-GB"/>
          <w14:ligatures w14:val="none"/>
        </w:rPr>
      </w:pPr>
      <w:r w:rsidRPr="00065EF0">
        <w:rPr>
          <w:rFonts w:ascii="Times New Roman" w:eastAsia="Times New Roman" w:hAnsi="Times New Roman" w:cs="Times New Roman"/>
          <w:noProof/>
          <w:kern w:val="0"/>
          <w:lang w:eastAsia="en-GB"/>
          <w14:ligatures w14:val="none"/>
        </w:rPr>
      </w:r>
      <w:r w:rsidR="00A03DD0" w:rsidRPr="00065EF0">
        <w:rPr>
          <w:rFonts w:ascii="Times New Roman" w:eastAsia="Times New Roman" w:hAnsi="Times New Roman" w:cs="Times New Roman"/>
          <w:noProof/>
          <w:kern w:val="0"/>
          <w:lang w:eastAsia="en-GB"/>
          <w14:ligatures w14:val="none"/>
        </w:rPr>
        <w:pict w14:anchorId="59BDC515">
          <v:rect id="_x0000_i1041" alt="" style="width:451.3pt;height:.05pt;mso-width-percent:0;mso-height-percent:0;mso-width-percent:0;mso-height-percent:0" o:hralign="center" o:hrstd="t" o:hrnoshade="t" o:hr="t" fillcolor="black" stroked="f"/>
        </w:pict>
      </w:r>
    </w:p>
    <w:p w14:paraId="110CA282" w14:textId="77777777" w:rsidR="00A03DD0" w:rsidRPr="00A03DD0" w:rsidRDefault="00A03DD0" w:rsidP="00A03DD0">
      <w:pPr>
        <w:spacing w:before="100" w:beforeAutospacing="1" w:after="100" w:afterAutospacing="1"/>
        <w:outlineLvl w:val="1"/>
        <w:rPr>
          <w:rFonts w:ascii="Times New Roman" w:eastAsia="Times New Roman" w:hAnsi="Times New Roman" w:cs="Times New Roman"/>
          <w:b/>
          <w:bCs/>
          <w:color w:val="000000"/>
          <w:kern w:val="0"/>
          <w:sz w:val="36"/>
          <w:szCs w:val="36"/>
          <w:lang w:eastAsia="en-GB"/>
          <w14:ligatures w14:val="none"/>
        </w:rPr>
      </w:pPr>
      <w:r w:rsidRPr="00A03DD0">
        <w:rPr>
          <w:rFonts w:ascii="Times New Roman" w:eastAsia="Times New Roman" w:hAnsi="Times New Roman" w:cs="Times New Roman"/>
          <w:b/>
          <w:bCs/>
          <w:color w:val="000000"/>
          <w:kern w:val="0"/>
          <w:sz w:val="36"/>
          <w:szCs w:val="36"/>
          <w:lang w:eastAsia="en-GB"/>
          <w14:ligatures w14:val="none"/>
        </w:rPr>
        <w:t>Impact and Evaluation</w:t>
      </w:r>
    </w:p>
    <w:p w14:paraId="2CC2FCB7"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color w:val="000000"/>
          <w:kern w:val="0"/>
          <w:lang w:eastAsia="en-GB"/>
          <w14:ligatures w14:val="none"/>
        </w:rPr>
        <w:t>These pieces of legislation show a clear evolution in how the UK safeguards children and young people:</w:t>
      </w:r>
    </w:p>
    <w:p w14:paraId="4F65C7C1" w14:textId="77777777" w:rsidR="00A03DD0" w:rsidRPr="00A03DD0" w:rsidRDefault="00A03DD0" w:rsidP="00A03DD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From reactive to proactive</w:t>
      </w:r>
      <w:r w:rsidRPr="00A03DD0">
        <w:rPr>
          <w:rFonts w:ascii="Times New Roman" w:eastAsia="Times New Roman" w:hAnsi="Times New Roman" w:cs="Times New Roman"/>
          <w:color w:val="000000"/>
          <w:kern w:val="0"/>
          <w:lang w:eastAsia="en-GB"/>
          <w14:ligatures w14:val="none"/>
        </w:rPr>
        <w:t>: Early laws focused on reacting to harm, while more recent laws aim to prevent harm by supporting families and promoting wellbeing.</w:t>
      </w:r>
    </w:p>
    <w:p w14:paraId="0EAD17B3" w14:textId="15DCA8D4" w:rsidR="00A03DD0" w:rsidRPr="00A03DD0" w:rsidRDefault="00A03DD0" w:rsidP="00A03DD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The child’s voice</w:t>
      </w:r>
      <w:r w:rsidRPr="00A03DD0">
        <w:rPr>
          <w:rFonts w:ascii="Times New Roman" w:eastAsia="Times New Roman" w:hAnsi="Times New Roman" w:cs="Times New Roman"/>
          <w:color w:val="000000"/>
          <w:kern w:val="0"/>
          <w:lang w:eastAsia="en-GB"/>
          <w14:ligatures w14:val="none"/>
        </w:rPr>
        <w:t>: There’s a growing recognition of children’s rights to be heard and included in decisions affecting them.</w:t>
      </w:r>
    </w:p>
    <w:p w14:paraId="2172E6AD" w14:textId="77777777" w:rsidR="00A03DD0" w:rsidRPr="00A03DD0" w:rsidRDefault="00A03DD0" w:rsidP="00A03DD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Inter-agency working</w:t>
      </w:r>
      <w:r w:rsidRPr="00A03DD0">
        <w:rPr>
          <w:rFonts w:ascii="Times New Roman" w:eastAsia="Times New Roman" w:hAnsi="Times New Roman" w:cs="Times New Roman"/>
          <w:color w:val="000000"/>
          <w:kern w:val="0"/>
          <w:lang w:eastAsia="en-GB"/>
          <w14:ligatures w14:val="none"/>
        </w:rPr>
        <w:t>: Legislation like the Children Act 2004 promotes collaboration, though barriers like poor communication and budget constraints remain.</w:t>
      </w:r>
    </w:p>
    <w:p w14:paraId="50083A9C" w14:textId="77777777" w:rsidR="00A03DD0" w:rsidRPr="00A03DD0" w:rsidRDefault="00A03DD0" w:rsidP="00A03DD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Socioeconomic focus</w:t>
      </w:r>
      <w:r w:rsidRPr="00A03DD0">
        <w:rPr>
          <w:rFonts w:ascii="Times New Roman" w:eastAsia="Times New Roman" w:hAnsi="Times New Roman" w:cs="Times New Roman"/>
          <w:color w:val="000000"/>
          <w:kern w:val="0"/>
          <w:lang w:eastAsia="en-GB"/>
          <w14:ligatures w14:val="none"/>
        </w:rPr>
        <w:t>: Acts like the Childcare Act and Well-being of Future Generations (Wales) Act consider the broader determinants of child wellbeing, such as poverty, community, and mental health.</w:t>
      </w:r>
    </w:p>
    <w:p w14:paraId="66BD629D" w14:textId="77777777" w:rsidR="00A03DD0" w:rsidRPr="00A03DD0" w:rsidRDefault="00A03DD0" w:rsidP="00A03DD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A03DD0">
        <w:rPr>
          <w:rFonts w:ascii="Times New Roman" w:eastAsia="Times New Roman" w:hAnsi="Times New Roman" w:cs="Times New Roman"/>
          <w:b/>
          <w:bCs/>
          <w:color w:val="000000"/>
          <w:kern w:val="0"/>
          <w:lang w:eastAsia="en-GB"/>
          <w14:ligatures w14:val="none"/>
        </w:rPr>
        <w:t>Legislative gaps</w:t>
      </w:r>
      <w:r w:rsidRPr="00A03DD0">
        <w:rPr>
          <w:rFonts w:ascii="Times New Roman" w:eastAsia="Times New Roman" w:hAnsi="Times New Roman" w:cs="Times New Roman"/>
          <w:color w:val="000000"/>
          <w:kern w:val="0"/>
          <w:lang w:eastAsia="en-GB"/>
          <w14:ligatures w14:val="none"/>
        </w:rPr>
        <w:t>: Despite improvements, critics argue that more robust enforcement and funding are needed, especially in under-resourced areas.</w:t>
      </w:r>
    </w:p>
    <w:p w14:paraId="57B23DC3"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53EB1905"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50EB763C"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194F5C24"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39C81589"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2A7AB566"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1B983A75"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459DA3FA"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1A103F97"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2AF95192" w14:textId="77777777" w:rsidR="00A03DD0" w:rsidRPr="00065EF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59F04BB0" w14:textId="77777777" w:rsidR="00A03DD0" w:rsidRPr="00A03DD0" w:rsidRDefault="00A03DD0" w:rsidP="00A03DD0">
      <w:pPr>
        <w:spacing w:before="100" w:beforeAutospacing="1" w:after="100" w:afterAutospacing="1"/>
        <w:rPr>
          <w:rFonts w:ascii="Times New Roman" w:eastAsia="Times New Roman" w:hAnsi="Times New Roman" w:cs="Times New Roman"/>
          <w:color w:val="000000"/>
          <w:kern w:val="0"/>
          <w:lang w:eastAsia="en-GB"/>
          <w14:ligatures w14:val="none"/>
        </w:rPr>
      </w:pPr>
    </w:p>
    <w:p w14:paraId="36A355A7" w14:textId="77777777" w:rsidR="00065EF0" w:rsidRPr="00065EF0" w:rsidRDefault="00065EF0" w:rsidP="00065EF0">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065EF0">
        <w:rPr>
          <w:rFonts w:ascii="Times New Roman" w:eastAsia="Times New Roman" w:hAnsi="Times New Roman" w:cs="Times New Roman"/>
          <w:b/>
          <w:bCs/>
          <w:color w:val="000000"/>
          <w:kern w:val="36"/>
          <w:sz w:val="36"/>
          <w:szCs w:val="36"/>
          <w:lang w:eastAsia="en-GB"/>
          <w14:ligatures w14:val="none"/>
        </w:rPr>
        <w:t>Reference list</w:t>
      </w:r>
    </w:p>
    <w:p w14:paraId="3319B6F1"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American Psychological Association (2023). Changing Diet and Exercise for Kids. </w:t>
      </w:r>
      <w:r w:rsidRPr="00065EF0">
        <w:rPr>
          <w:rFonts w:ascii="Times New Roman" w:eastAsia="Times New Roman" w:hAnsi="Times New Roman" w:cs="Times New Roman"/>
          <w:i/>
          <w:iCs/>
          <w:color w:val="000000"/>
          <w:kern w:val="0"/>
          <w:lang w:eastAsia="en-GB"/>
          <w14:ligatures w14:val="none"/>
        </w:rPr>
        <w:t>American Psychological Association</w:t>
      </w:r>
      <w:r w:rsidRPr="00065EF0">
        <w:rPr>
          <w:rFonts w:ascii="Times New Roman" w:eastAsia="Times New Roman" w:hAnsi="Times New Roman" w:cs="Times New Roman"/>
          <w:color w:val="000000"/>
          <w:kern w:val="0"/>
          <w:lang w:eastAsia="en-GB"/>
          <w14:ligatures w14:val="none"/>
        </w:rPr>
        <w:t>. [online] Available at: https://www.apa.org/topics/children/healthy-eating.</w:t>
      </w:r>
    </w:p>
    <w:p w14:paraId="7C8C1C21"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Antony, E. (2022). Framing Childhood Resilience Through Bronfenbrenner’s Ecological Systems Theory: A Discussion Paper Framing Childhood Resilience Through Bronfenbrenner’s Eco- </w:t>
      </w:r>
      <w:proofErr w:type="gramStart"/>
      <w:r w:rsidRPr="00065EF0">
        <w:rPr>
          <w:rFonts w:ascii="Times New Roman" w:eastAsia="Times New Roman" w:hAnsi="Times New Roman" w:cs="Times New Roman"/>
          <w:color w:val="000000"/>
          <w:kern w:val="0"/>
          <w:lang w:eastAsia="en-GB"/>
          <w14:ligatures w14:val="none"/>
        </w:rPr>
        <w:t>logical</w:t>
      </w:r>
      <w:proofErr w:type="gramEnd"/>
      <w:r w:rsidRPr="00065EF0">
        <w:rPr>
          <w:rFonts w:ascii="Times New Roman" w:eastAsia="Times New Roman" w:hAnsi="Times New Roman" w:cs="Times New Roman"/>
          <w:color w:val="000000"/>
          <w:kern w:val="0"/>
          <w:lang w:eastAsia="en-GB"/>
          <w14:ligatures w14:val="none"/>
        </w:rPr>
        <w:t xml:space="preserve"> Systems Theory: A Discussion Paper. </w:t>
      </w:r>
      <w:r w:rsidRPr="00065EF0">
        <w:rPr>
          <w:rFonts w:ascii="Times New Roman" w:eastAsia="Times New Roman" w:hAnsi="Times New Roman" w:cs="Times New Roman"/>
          <w:i/>
          <w:iCs/>
          <w:color w:val="000000"/>
          <w:kern w:val="0"/>
          <w:lang w:eastAsia="en-GB"/>
          <w14:ligatures w14:val="none"/>
        </w:rPr>
        <w:t>Cambridge Educational Research e-Journal |</w:t>
      </w:r>
      <w:r w:rsidRPr="00065EF0">
        <w:rPr>
          <w:rFonts w:ascii="Times New Roman" w:eastAsia="Times New Roman" w:hAnsi="Times New Roman" w:cs="Times New Roman"/>
          <w:color w:val="000000"/>
          <w:kern w:val="0"/>
          <w:lang w:eastAsia="en-GB"/>
          <w14:ligatures w14:val="none"/>
        </w:rPr>
        <w:t xml:space="preserve">, [online] 9(9).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://doi.org/10.17863/CAM.90564</w:t>
      </w:r>
      <w:proofErr w:type="gramEnd"/>
      <w:r w:rsidRPr="00065EF0">
        <w:rPr>
          <w:rFonts w:ascii="Times New Roman" w:eastAsia="Times New Roman" w:hAnsi="Times New Roman" w:cs="Times New Roman"/>
          <w:color w:val="000000"/>
          <w:kern w:val="0"/>
          <w:lang w:eastAsia="en-GB"/>
          <w14:ligatures w14:val="none"/>
        </w:rPr>
        <w:t>.</w:t>
      </w:r>
    </w:p>
    <w:p w14:paraId="2620235D"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Aversano, K. (2022). </w:t>
      </w:r>
      <w:r w:rsidRPr="00065EF0">
        <w:rPr>
          <w:rFonts w:ascii="Times New Roman" w:eastAsia="Times New Roman" w:hAnsi="Times New Roman" w:cs="Times New Roman"/>
          <w:i/>
          <w:iCs/>
          <w:color w:val="000000"/>
          <w:kern w:val="0"/>
          <w:lang w:eastAsia="en-GB"/>
          <w14:ligatures w14:val="none"/>
        </w:rPr>
        <w:t xml:space="preserve">Empowering Children </w:t>
      </w:r>
      <w:proofErr w:type="gramStart"/>
      <w:r w:rsidRPr="00065EF0">
        <w:rPr>
          <w:rFonts w:ascii="Times New Roman" w:eastAsia="Times New Roman" w:hAnsi="Times New Roman" w:cs="Times New Roman"/>
          <w:i/>
          <w:iCs/>
          <w:color w:val="000000"/>
          <w:kern w:val="0"/>
          <w:lang w:eastAsia="en-GB"/>
          <w14:ligatures w14:val="none"/>
        </w:rPr>
        <w:t>To</w:t>
      </w:r>
      <w:proofErr w:type="gramEnd"/>
      <w:r w:rsidRPr="00065EF0">
        <w:rPr>
          <w:rFonts w:ascii="Times New Roman" w:eastAsia="Times New Roman" w:hAnsi="Times New Roman" w:cs="Times New Roman"/>
          <w:i/>
          <w:iCs/>
          <w:color w:val="000000"/>
          <w:kern w:val="0"/>
          <w:lang w:eastAsia="en-GB"/>
          <w14:ligatures w14:val="none"/>
        </w:rPr>
        <w:t xml:space="preserve"> Value Boundaries and Personal Space</w:t>
      </w:r>
      <w:r w:rsidRPr="00065EF0">
        <w:rPr>
          <w:rFonts w:ascii="Times New Roman" w:eastAsia="Times New Roman" w:hAnsi="Times New Roman" w:cs="Times New Roman"/>
          <w:color w:val="000000"/>
          <w:kern w:val="0"/>
          <w:lang w:eastAsia="en-GB"/>
          <w14:ligatures w14:val="none"/>
        </w:rPr>
        <w:t>. [online] PARENTGUIDENEWS - When it comes to parenting, there’s only one. Available at: https://parentguidenews.com/articles/child-development/youre-in-my-space-bubble/#google_vignette [Accessed 6 May 2025].</w:t>
      </w:r>
    </w:p>
    <w:p w14:paraId="39F9668D"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proofErr w:type="spellStart"/>
      <w:r w:rsidRPr="00065EF0">
        <w:rPr>
          <w:rFonts w:ascii="Times New Roman" w:eastAsia="Times New Roman" w:hAnsi="Times New Roman" w:cs="Times New Roman"/>
          <w:color w:val="000000"/>
          <w:kern w:val="0"/>
          <w:lang w:eastAsia="en-GB"/>
          <w14:ligatures w14:val="none"/>
        </w:rPr>
        <w:t>Centers</w:t>
      </w:r>
      <w:proofErr w:type="spellEnd"/>
      <w:r w:rsidRPr="00065EF0">
        <w:rPr>
          <w:rFonts w:ascii="Times New Roman" w:eastAsia="Times New Roman" w:hAnsi="Times New Roman" w:cs="Times New Roman"/>
          <w:color w:val="000000"/>
          <w:kern w:val="0"/>
          <w:lang w:eastAsia="en-GB"/>
          <w14:ligatures w14:val="none"/>
        </w:rPr>
        <w:t xml:space="preserve"> for Disease Control and Prevention (2024). </w:t>
      </w:r>
      <w:r w:rsidRPr="00065EF0">
        <w:rPr>
          <w:rFonts w:ascii="Times New Roman" w:eastAsia="Times New Roman" w:hAnsi="Times New Roman" w:cs="Times New Roman"/>
          <w:i/>
          <w:iCs/>
          <w:color w:val="000000"/>
          <w:kern w:val="0"/>
          <w:lang w:eastAsia="en-GB"/>
          <w14:ligatures w14:val="none"/>
        </w:rPr>
        <w:t>Health Benefits of Physical Activity for Children</w:t>
      </w:r>
      <w:r w:rsidRPr="00065EF0">
        <w:rPr>
          <w:rFonts w:ascii="Times New Roman" w:eastAsia="Times New Roman" w:hAnsi="Times New Roman" w:cs="Times New Roman"/>
          <w:color w:val="000000"/>
          <w:kern w:val="0"/>
          <w:lang w:eastAsia="en-GB"/>
          <w14:ligatures w14:val="none"/>
        </w:rPr>
        <w:t>. [online] Physical Activity Basics. Available at: https://www.cdc.gov/physical-activity-basics/health-benefits/children.html.</w:t>
      </w:r>
    </w:p>
    <w:p w14:paraId="2FDFF8CE"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Children and Young People's Commissioner Scotland (2021). </w:t>
      </w:r>
      <w:r w:rsidRPr="00065EF0">
        <w:rPr>
          <w:rFonts w:ascii="Times New Roman" w:eastAsia="Times New Roman" w:hAnsi="Times New Roman" w:cs="Times New Roman"/>
          <w:i/>
          <w:iCs/>
          <w:color w:val="000000"/>
          <w:kern w:val="0"/>
          <w:lang w:eastAsia="en-GB"/>
          <w14:ligatures w14:val="none"/>
        </w:rPr>
        <w:t>Article 19 - I Have the Right to Be Protected from Being Hurt or Badly Treated</w:t>
      </w:r>
      <w:r w:rsidRPr="00065EF0">
        <w:rPr>
          <w:rFonts w:ascii="Times New Roman" w:eastAsia="Times New Roman" w:hAnsi="Times New Roman" w:cs="Times New Roman"/>
          <w:color w:val="000000"/>
          <w:kern w:val="0"/>
          <w:lang w:eastAsia="en-GB"/>
          <w14:ligatures w14:val="none"/>
        </w:rPr>
        <w:t>. [online] The Children and Young People’s Commissioner Scotland. Available at: https://www.cypcs.org.uk/rights/uncrc/articles/article-19/.</w:t>
      </w:r>
    </w:p>
    <w:p w14:paraId="3E58B88C"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proofErr w:type="spellStart"/>
      <w:r w:rsidRPr="00065EF0">
        <w:rPr>
          <w:rFonts w:ascii="Times New Roman" w:eastAsia="Times New Roman" w:hAnsi="Times New Roman" w:cs="Times New Roman"/>
          <w:color w:val="000000"/>
          <w:kern w:val="0"/>
          <w:lang w:eastAsia="en-GB"/>
          <w14:ligatures w14:val="none"/>
        </w:rPr>
        <w:t>Cleare</w:t>
      </w:r>
      <w:proofErr w:type="spellEnd"/>
      <w:r w:rsidRPr="00065EF0">
        <w:rPr>
          <w:rFonts w:ascii="Times New Roman" w:eastAsia="Times New Roman" w:hAnsi="Times New Roman" w:cs="Times New Roman"/>
          <w:color w:val="000000"/>
          <w:kern w:val="0"/>
          <w:lang w:eastAsia="en-GB"/>
          <w14:ligatures w14:val="none"/>
        </w:rPr>
        <w:t>, A. (2024). </w:t>
      </w:r>
      <w:r w:rsidRPr="00065EF0">
        <w:rPr>
          <w:rFonts w:ascii="Times New Roman" w:eastAsia="Times New Roman" w:hAnsi="Times New Roman" w:cs="Times New Roman"/>
          <w:i/>
          <w:iCs/>
          <w:color w:val="000000"/>
          <w:kern w:val="0"/>
          <w:lang w:eastAsia="en-GB"/>
          <w14:ligatures w14:val="none"/>
        </w:rPr>
        <w:t xml:space="preserve">The Importance </w:t>
      </w:r>
      <w:proofErr w:type="gramStart"/>
      <w:r w:rsidRPr="00065EF0">
        <w:rPr>
          <w:rFonts w:ascii="Times New Roman" w:eastAsia="Times New Roman" w:hAnsi="Times New Roman" w:cs="Times New Roman"/>
          <w:i/>
          <w:iCs/>
          <w:color w:val="000000"/>
          <w:kern w:val="0"/>
          <w:lang w:eastAsia="en-GB"/>
          <w14:ligatures w14:val="none"/>
        </w:rPr>
        <w:t>Of</w:t>
      </w:r>
      <w:proofErr w:type="gramEnd"/>
      <w:r w:rsidRPr="00065EF0">
        <w:rPr>
          <w:rFonts w:ascii="Times New Roman" w:eastAsia="Times New Roman" w:hAnsi="Times New Roman" w:cs="Times New Roman"/>
          <w:i/>
          <w:iCs/>
          <w:color w:val="000000"/>
          <w:kern w:val="0"/>
          <w:lang w:eastAsia="en-GB"/>
          <w14:ligatures w14:val="none"/>
        </w:rPr>
        <w:t xml:space="preserve"> Listening To Children | Anita </w:t>
      </w:r>
      <w:proofErr w:type="spellStart"/>
      <w:r w:rsidRPr="00065EF0">
        <w:rPr>
          <w:rFonts w:ascii="Times New Roman" w:eastAsia="Times New Roman" w:hAnsi="Times New Roman" w:cs="Times New Roman"/>
          <w:i/>
          <w:iCs/>
          <w:color w:val="000000"/>
          <w:kern w:val="0"/>
          <w:lang w:eastAsia="en-GB"/>
          <w14:ligatures w14:val="none"/>
        </w:rPr>
        <w:t>Cleare</w:t>
      </w:r>
      <w:proofErr w:type="spellEnd"/>
      <w:r w:rsidRPr="00065EF0">
        <w:rPr>
          <w:rFonts w:ascii="Times New Roman" w:eastAsia="Times New Roman" w:hAnsi="Times New Roman" w:cs="Times New Roman"/>
          <w:color w:val="000000"/>
          <w:kern w:val="0"/>
          <w:lang w:eastAsia="en-GB"/>
          <w14:ligatures w14:val="none"/>
        </w:rPr>
        <w:t>. [online] anitacleare.co.uk. Available at: https://anitacleare.co.uk/importance-of-listening-to-children/.</w:t>
      </w:r>
    </w:p>
    <w:p w14:paraId="6CACB829"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Council, W.C. (2024). </w:t>
      </w:r>
      <w:r w:rsidRPr="00065EF0">
        <w:rPr>
          <w:rFonts w:ascii="Times New Roman" w:eastAsia="Times New Roman" w:hAnsi="Times New Roman" w:cs="Times New Roman"/>
          <w:i/>
          <w:iCs/>
          <w:color w:val="000000"/>
          <w:kern w:val="0"/>
          <w:lang w:eastAsia="en-GB"/>
          <w14:ligatures w14:val="none"/>
        </w:rPr>
        <w:t>Supporting every child to be in school and involved in education – Warwickshire County Council</w:t>
      </w:r>
      <w:r w:rsidRPr="00065EF0">
        <w:rPr>
          <w:rFonts w:ascii="Times New Roman" w:eastAsia="Times New Roman" w:hAnsi="Times New Roman" w:cs="Times New Roman"/>
          <w:color w:val="000000"/>
          <w:kern w:val="0"/>
          <w:lang w:eastAsia="en-GB"/>
          <w14:ligatures w14:val="none"/>
        </w:rPr>
        <w:t>. [online] Warwickshire County Council. Available at: https://www.warwickshire.gov.uk/news/article/6184/supporting-every-child-to-be-in-school-and-involved-in-education [Accessed 6 May 2025].</w:t>
      </w:r>
    </w:p>
    <w:p w14:paraId="3921ECEA"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proofErr w:type="spellStart"/>
      <w:r w:rsidRPr="00065EF0">
        <w:rPr>
          <w:rFonts w:ascii="Times New Roman" w:eastAsia="Times New Roman" w:hAnsi="Times New Roman" w:cs="Times New Roman"/>
          <w:color w:val="000000"/>
          <w:kern w:val="0"/>
          <w:lang w:eastAsia="en-GB"/>
          <w14:ligatures w14:val="none"/>
        </w:rPr>
        <w:t>Crenna</w:t>
      </w:r>
      <w:proofErr w:type="spellEnd"/>
      <w:r w:rsidRPr="00065EF0">
        <w:rPr>
          <w:rFonts w:ascii="Times New Roman" w:eastAsia="Times New Roman" w:hAnsi="Times New Roman" w:cs="Times New Roman"/>
          <w:color w:val="000000"/>
          <w:kern w:val="0"/>
          <w:lang w:eastAsia="en-GB"/>
          <w14:ligatures w14:val="none"/>
        </w:rPr>
        <w:t>-</w:t>
      </w:r>
      <w:proofErr w:type="gramStart"/>
      <w:r w:rsidRPr="00065EF0">
        <w:rPr>
          <w:rFonts w:ascii="Times New Roman" w:eastAsia="Times New Roman" w:hAnsi="Times New Roman" w:cs="Times New Roman"/>
          <w:color w:val="000000"/>
          <w:kern w:val="0"/>
          <w:lang w:eastAsia="en-GB"/>
          <w14:ligatures w14:val="none"/>
        </w:rPr>
        <w:t>Jennings ,</w:t>
      </w:r>
      <w:proofErr w:type="gramEnd"/>
      <w:r w:rsidRPr="00065EF0">
        <w:rPr>
          <w:rFonts w:ascii="Times New Roman" w:eastAsia="Times New Roman" w:hAnsi="Times New Roman" w:cs="Times New Roman"/>
          <w:color w:val="000000"/>
          <w:kern w:val="0"/>
          <w:lang w:eastAsia="en-GB"/>
          <w14:ligatures w14:val="none"/>
        </w:rPr>
        <w:t xml:space="preserve"> W. and Hutchinson, J. (2020). </w:t>
      </w:r>
      <w:r w:rsidRPr="00065EF0">
        <w:rPr>
          <w:rFonts w:ascii="Times New Roman" w:eastAsia="Times New Roman" w:hAnsi="Times New Roman" w:cs="Times New Roman"/>
          <w:i/>
          <w:iCs/>
          <w:color w:val="000000"/>
          <w:kern w:val="0"/>
          <w:lang w:eastAsia="en-GB"/>
          <w14:ligatures w14:val="none"/>
        </w:rPr>
        <w:t>Access to child and adolescent mental health services in 2019</w:t>
      </w:r>
      <w:r w:rsidRPr="00065EF0">
        <w:rPr>
          <w:rFonts w:ascii="Times New Roman" w:eastAsia="Times New Roman" w:hAnsi="Times New Roman" w:cs="Times New Roman"/>
          <w:color w:val="000000"/>
          <w:kern w:val="0"/>
          <w:lang w:eastAsia="en-GB"/>
          <w14:ligatures w14:val="none"/>
        </w:rPr>
        <w:t>.</w:t>
      </w:r>
    </w:p>
    <w:p w14:paraId="658A95C3"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Crockett, M.A., </w:t>
      </w:r>
      <w:proofErr w:type="spellStart"/>
      <w:r w:rsidRPr="00065EF0">
        <w:rPr>
          <w:rFonts w:ascii="Times New Roman" w:eastAsia="Times New Roman" w:hAnsi="Times New Roman" w:cs="Times New Roman"/>
          <w:color w:val="000000"/>
          <w:kern w:val="0"/>
          <w:lang w:eastAsia="en-GB"/>
          <w14:ligatures w14:val="none"/>
        </w:rPr>
        <w:t>Núñez</w:t>
      </w:r>
      <w:proofErr w:type="spellEnd"/>
      <w:r w:rsidRPr="00065EF0">
        <w:rPr>
          <w:rFonts w:ascii="Times New Roman" w:eastAsia="Times New Roman" w:hAnsi="Times New Roman" w:cs="Times New Roman"/>
          <w:color w:val="000000"/>
          <w:kern w:val="0"/>
          <w:lang w:eastAsia="en-GB"/>
          <w14:ligatures w14:val="none"/>
        </w:rPr>
        <w:t xml:space="preserve">, D., Martínez, P., </w:t>
      </w:r>
      <w:proofErr w:type="spellStart"/>
      <w:r w:rsidRPr="00065EF0">
        <w:rPr>
          <w:rFonts w:ascii="Times New Roman" w:eastAsia="Times New Roman" w:hAnsi="Times New Roman" w:cs="Times New Roman"/>
          <w:color w:val="000000"/>
          <w:kern w:val="0"/>
          <w:lang w:eastAsia="en-GB"/>
          <w14:ligatures w14:val="none"/>
        </w:rPr>
        <w:t>Borghero</w:t>
      </w:r>
      <w:proofErr w:type="spellEnd"/>
      <w:r w:rsidRPr="00065EF0">
        <w:rPr>
          <w:rFonts w:ascii="Times New Roman" w:eastAsia="Times New Roman" w:hAnsi="Times New Roman" w:cs="Times New Roman"/>
          <w:color w:val="000000"/>
          <w:kern w:val="0"/>
          <w:lang w:eastAsia="en-GB"/>
          <w14:ligatures w14:val="none"/>
        </w:rPr>
        <w:t>, F., Campos, S., Langer, Á.I., Carrasco, J. and Martínez, V. (2025). Interventions to Reduce Mental Health Stigma in Young People. </w:t>
      </w:r>
      <w:r w:rsidRPr="00065EF0">
        <w:rPr>
          <w:rFonts w:ascii="Times New Roman" w:eastAsia="Times New Roman" w:hAnsi="Times New Roman" w:cs="Times New Roman"/>
          <w:i/>
          <w:iCs/>
          <w:color w:val="000000"/>
          <w:kern w:val="0"/>
          <w:lang w:eastAsia="en-GB"/>
          <w14:ligatures w14:val="none"/>
        </w:rPr>
        <w:t>JAMA Network Open</w:t>
      </w:r>
      <w:r w:rsidRPr="00065EF0">
        <w:rPr>
          <w:rFonts w:ascii="Times New Roman" w:eastAsia="Times New Roman" w:hAnsi="Times New Roman" w:cs="Times New Roman"/>
          <w:color w:val="000000"/>
          <w:kern w:val="0"/>
          <w:lang w:eastAsia="en-GB"/>
          <w14:ligatures w14:val="none"/>
        </w:rPr>
        <w:t xml:space="preserve">, [online] 8(1), p.e2454730.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://doi.org/10.1001/jamanetworkopen.2024.54730</w:t>
      </w:r>
      <w:proofErr w:type="gramEnd"/>
      <w:r w:rsidRPr="00065EF0">
        <w:rPr>
          <w:rFonts w:ascii="Times New Roman" w:eastAsia="Times New Roman" w:hAnsi="Times New Roman" w:cs="Times New Roman"/>
          <w:color w:val="000000"/>
          <w:kern w:val="0"/>
          <w:lang w:eastAsia="en-GB"/>
          <w14:ligatures w14:val="none"/>
        </w:rPr>
        <w:t>.</w:t>
      </w:r>
    </w:p>
    <w:p w14:paraId="10A041FE"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CYPCS (2006). </w:t>
      </w:r>
      <w:r w:rsidRPr="00065EF0">
        <w:rPr>
          <w:rFonts w:ascii="Times New Roman" w:eastAsia="Times New Roman" w:hAnsi="Times New Roman" w:cs="Times New Roman"/>
          <w:i/>
          <w:iCs/>
          <w:color w:val="000000"/>
          <w:kern w:val="0"/>
          <w:lang w:eastAsia="en-GB"/>
          <w14:ligatures w14:val="none"/>
        </w:rPr>
        <w:t>Article 12 - I Have the Right to Be Listened to and Taken Seriously</w:t>
      </w:r>
      <w:r w:rsidRPr="00065EF0">
        <w:rPr>
          <w:rFonts w:ascii="Times New Roman" w:eastAsia="Times New Roman" w:hAnsi="Times New Roman" w:cs="Times New Roman"/>
          <w:color w:val="000000"/>
          <w:kern w:val="0"/>
          <w:lang w:eastAsia="en-GB"/>
          <w14:ligatures w14:val="none"/>
        </w:rPr>
        <w:t>. [online] The Children and Young People’s Commissioner Scotland. Available at: https://www.cypcs.org.uk/rights/uncrc/articles/article-12/.</w:t>
      </w:r>
    </w:p>
    <w:p w14:paraId="6F10732E"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Deng, Y. (2022). Family and Academic Stress and Their Impact on Students’ Depression Level and Academic Performance. </w:t>
      </w:r>
      <w:r w:rsidRPr="00065EF0">
        <w:rPr>
          <w:rFonts w:ascii="Times New Roman" w:eastAsia="Times New Roman" w:hAnsi="Times New Roman" w:cs="Times New Roman"/>
          <w:i/>
          <w:iCs/>
          <w:color w:val="000000"/>
          <w:kern w:val="0"/>
          <w:lang w:eastAsia="en-GB"/>
          <w14:ligatures w14:val="none"/>
        </w:rPr>
        <w:t>Frontiers in Psychiatry</w:t>
      </w:r>
      <w:r w:rsidRPr="00065EF0">
        <w:rPr>
          <w:rFonts w:ascii="Times New Roman" w:eastAsia="Times New Roman" w:hAnsi="Times New Roman" w:cs="Times New Roman"/>
          <w:color w:val="000000"/>
          <w:kern w:val="0"/>
          <w:lang w:eastAsia="en-GB"/>
          <w14:ligatures w14:val="none"/>
        </w:rPr>
        <w:t xml:space="preserve">, [online] 13(869337).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://doi.org/10.3389/fpsyt.2022.869337</w:t>
      </w:r>
      <w:proofErr w:type="gramEnd"/>
      <w:r w:rsidRPr="00065EF0">
        <w:rPr>
          <w:rFonts w:ascii="Times New Roman" w:eastAsia="Times New Roman" w:hAnsi="Times New Roman" w:cs="Times New Roman"/>
          <w:color w:val="000000"/>
          <w:kern w:val="0"/>
          <w:lang w:eastAsia="en-GB"/>
          <w14:ligatures w14:val="none"/>
        </w:rPr>
        <w:t>.</w:t>
      </w:r>
    </w:p>
    <w:p w14:paraId="651F979B"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Department for Children, </w:t>
      </w:r>
      <w:proofErr w:type="gramStart"/>
      <w:r w:rsidRPr="00065EF0">
        <w:rPr>
          <w:rFonts w:ascii="Times New Roman" w:eastAsia="Times New Roman" w:hAnsi="Times New Roman" w:cs="Times New Roman"/>
          <w:color w:val="000000"/>
          <w:kern w:val="0"/>
          <w:lang w:eastAsia="en-GB"/>
          <w14:ligatures w14:val="none"/>
        </w:rPr>
        <w:t>Schools</w:t>
      </w:r>
      <w:proofErr w:type="gramEnd"/>
      <w:r w:rsidRPr="00065EF0">
        <w:rPr>
          <w:rFonts w:ascii="Times New Roman" w:eastAsia="Times New Roman" w:hAnsi="Times New Roman" w:cs="Times New Roman"/>
          <w:color w:val="000000"/>
          <w:kern w:val="0"/>
          <w:lang w:eastAsia="en-GB"/>
          <w14:ligatures w14:val="none"/>
        </w:rPr>
        <w:t xml:space="preserve"> and Families (2011). </w:t>
      </w:r>
      <w:r w:rsidRPr="00065EF0">
        <w:rPr>
          <w:rFonts w:ascii="Times New Roman" w:eastAsia="Times New Roman" w:hAnsi="Times New Roman" w:cs="Times New Roman"/>
          <w:i/>
          <w:iCs/>
          <w:color w:val="000000"/>
          <w:kern w:val="0"/>
          <w:lang w:eastAsia="en-GB"/>
          <w14:ligatures w14:val="none"/>
        </w:rPr>
        <w:t>Children and Young Persons Act 2008 - Explanatory Notes</w:t>
      </w:r>
      <w:r w:rsidRPr="00065EF0">
        <w:rPr>
          <w:rFonts w:ascii="Times New Roman" w:eastAsia="Times New Roman" w:hAnsi="Times New Roman" w:cs="Times New Roman"/>
          <w:color w:val="000000"/>
          <w:kern w:val="0"/>
          <w:lang w:eastAsia="en-GB"/>
          <w14:ligatures w14:val="none"/>
        </w:rPr>
        <w:t>. [online] Legislation.gov.uk. Available at: https://www.legislation.gov.uk/ukpga/2008/23/notes/division/2.</w:t>
      </w:r>
    </w:p>
    <w:p w14:paraId="080804BB"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Department for Education (2018). </w:t>
      </w:r>
      <w:r w:rsidRPr="00065EF0">
        <w:rPr>
          <w:rFonts w:ascii="Times New Roman" w:eastAsia="Times New Roman" w:hAnsi="Times New Roman" w:cs="Times New Roman"/>
          <w:i/>
          <w:iCs/>
          <w:color w:val="000000"/>
          <w:kern w:val="0"/>
          <w:lang w:eastAsia="en-GB"/>
          <w14:ligatures w14:val="none"/>
        </w:rPr>
        <w:t>Working Together to Safeguard Children</w:t>
      </w:r>
      <w:r w:rsidRPr="00065EF0">
        <w:rPr>
          <w:rFonts w:ascii="Times New Roman" w:eastAsia="Times New Roman" w:hAnsi="Times New Roman" w:cs="Times New Roman"/>
          <w:color w:val="000000"/>
          <w:kern w:val="0"/>
          <w:lang w:eastAsia="en-GB"/>
          <w14:ligatures w14:val="none"/>
        </w:rPr>
        <w:t>. [online] GOV.UK. Available at: https://www.gov.uk/government/publications/working-together-to-safeguard-children--2.</w:t>
      </w:r>
    </w:p>
    <w:p w14:paraId="36AA313B"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Department for Education (2023). </w:t>
      </w:r>
      <w:r w:rsidRPr="00065EF0">
        <w:rPr>
          <w:rFonts w:ascii="Times New Roman" w:eastAsia="Times New Roman" w:hAnsi="Times New Roman" w:cs="Times New Roman"/>
          <w:i/>
          <w:iCs/>
          <w:color w:val="000000"/>
          <w:kern w:val="0"/>
          <w:lang w:eastAsia="en-GB"/>
          <w14:ligatures w14:val="none"/>
        </w:rPr>
        <w:t xml:space="preserve">Help for early years </w:t>
      </w:r>
      <w:proofErr w:type="gramStart"/>
      <w:r w:rsidRPr="00065EF0">
        <w:rPr>
          <w:rFonts w:ascii="Times New Roman" w:eastAsia="Times New Roman" w:hAnsi="Times New Roman" w:cs="Times New Roman"/>
          <w:i/>
          <w:iCs/>
          <w:color w:val="000000"/>
          <w:kern w:val="0"/>
          <w:lang w:eastAsia="en-GB"/>
          <w14:ligatures w14:val="none"/>
        </w:rPr>
        <w:t>providers :</w:t>
      </w:r>
      <w:proofErr w:type="gramEnd"/>
      <w:r w:rsidRPr="00065EF0">
        <w:rPr>
          <w:rFonts w:ascii="Times New Roman" w:eastAsia="Times New Roman" w:hAnsi="Times New Roman" w:cs="Times New Roman"/>
          <w:i/>
          <w:iCs/>
          <w:color w:val="000000"/>
          <w:kern w:val="0"/>
          <w:lang w:eastAsia="en-GB"/>
          <w14:ligatures w14:val="none"/>
        </w:rPr>
        <w:t xml:space="preserve"> Mental health for early years children</w:t>
      </w:r>
      <w:r w:rsidRPr="00065EF0">
        <w:rPr>
          <w:rFonts w:ascii="Times New Roman" w:eastAsia="Times New Roman" w:hAnsi="Times New Roman" w:cs="Times New Roman"/>
          <w:color w:val="000000"/>
          <w:kern w:val="0"/>
          <w:lang w:eastAsia="en-GB"/>
          <w14:ligatures w14:val="none"/>
        </w:rPr>
        <w:t>. [online] help-for-early-years-providers.education.gov.uk. Available at: https://help-for-early-years-providers.education.gov.uk/health-and-wellbeing/mental-health-for-early-years-children.</w:t>
      </w:r>
    </w:p>
    <w:p w14:paraId="3A2F8039"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Department for Education (2025). </w:t>
      </w:r>
      <w:r w:rsidRPr="00065EF0">
        <w:rPr>
          <w:rFonts w:ascii="Times New Roman" w:eastAsia="Times New Roman" w:hAnsi="Times New Roman" w:cs="Times New Roman"/>
          <w:i/>
          <w:iCs/>
          <w:color w:val="000000"/>
          <w:kern w:val="0"/>
          <w:lang w:eastAsia="en-GB"/>
          <w14:ligatures w14:val="none"/>
        </w:rPr>
        <w:t>Mental Health and Wellbeing Support in Schools and Colleges</w:t>
      </w:r>
      <w:r w:rsidRPr="00065EF0">
        <w:rPr>
          <w:rFonts w:ascii="Times New Roman" w:eastAsia="Times New Roman" w:hAnsi="Times New Roman" w:cs="Times New Roman"/>
          <w:color w:val="000000"/>
          <w:kern w:val="0"/>
          <w:lang w:eastAsia="en-GB"/>
          <w14:ligatures w14:val="none"/>
        </w:rPr>
        <w:t>. [online] gov.uk. Available at: https://www.gov.uk/guidance/mental-health-and-wellbeing-support-in-schools-and-colleges.</w:t>
      </w:r>
    </w:p>
    <w:p w14:paraId="4B56D1BD"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proofErr w:type="spellStart"/>
      <w:r w:rsidRPr="00065EF0">
        <w:rPr>
          <w:rFonts w:ascii="Times New Roman" w:eastAsia="Times New Roman" w:hAnsi="Times New Roman" w:cs="Times New Roman"/>
          <w:color w:val="000000"/>
          <w:kern w:val="0"/>
          <w:lang w:eastAsia="en-GB"/>
          <w14:ligatures w14:val="none"/>
        </w:rPr>
        <w:t>Digitalcommons@lesley</w:t>
      </w:r>
      <w:proofErr w:type="spellEnd"/>
      <w:r w:rsidRPr="00065EF0">
        <w:rPr>
          <w:rFonts w:ascii="Times New Roman" w:eastAsia="Times New Roman" w:hAnsi="Times New Roman" w:cs="Times New Roman"/>
          <w:color w:val="000000"/>
          <w:kern w:val="0"/>
          <w:lang w:eastAsia="en-GB"/>
          <w14:ligatures w14:val="none"/>
        </w:rPr>
        <w:t xml:space="preserve">, D. and </w:t>
      </w:r>
      <w:proofErr w:type="spellStart"/>
      <w:r w:rsidRPr="00065EF0">
        <w:rPr>
          <w:rFonts w:ascii="Times New Roman" w:eastAsia="Times New Roman" w:hAnsi="Times New Roman" w:cs="Times New Roman"/>
          <w:color w:val="000000"/>
          <w:kern w:val="0"/>
          <w:lang w:eastAsia="en-GB"/>
          <w14:ligatures w14:val="none"/>
        </w:rPr>
        <w:t>Tabana</w:t>
      </w:r>
      <w:proofErr w:type="spellEnd"/>
      <w:r w:rsidRPr="00065EF0">
        <w:rPr>
          <w:rFonts w:ascii="Times New Roman" w:eastAsia="Times New Roman" w:hAnsi="Times New Roman" w:cs="Times New Roman"/>
          <w:color w:val="000000"/>
          <w:kern w:val="0"/>
          <w:lang w:eastAsia="en-GB"/>
          <w14:ligatures w14:val="none"/>
        </w:rPr>
        <w:t>, D. (2024). </w:t>
      </w:r>
      <w:r w:rsidRPr="00065EF0">
        <w:rPr>
          <w:rFonts w:ascii="Times New Roman" w:eastAsia="Times New Roman" w:hAnsi="Times New Roman" w:cs="Times New Roman"/>
          <w:i/>
          <w:iCs/>
          <w:color w:val="000000"/>
          <w:kern w:val="0"/>
          <w:lang w:eastAsia="en-GB"/>
          <w14:ligatures w14:val="none"/>
        </w:rPr>
        <w:t>Animation as Therapy for Mental Health Treatment across Animation as Therapy for Mental Health Treatment across Diverse Populations and Contexts, a Literature Review Diverse Populations and Contexts, a Literature Review</w:t>
      </w:r>
      <w:r w:rsidRPr="00065EF0">
        <w:rPr>
          <w:rFonts w:ascii="Times New Roman" w:eastAsia="Times New Roman" w:hAnsi="Times New Roman" w:cs="Times New Roman"/>
          <w:color w:val="000000"/>
          <w:kern w:val="0"/>
          <w:lang w:eastAsia="en-GB"/>
          <w14:ligatures w14:val="none"/>
        </w:rPr>
        <w:t>. [online] Available at: https://digitalcommons.lesley.edu/cgi/viewcontent.cgi?article=1876&amp;context=expressive_theses.</w:t>
      </w:r>
    </w:p>
    <w:p w14:paraId="5CB920FE"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diverse in tech (2022). </w:t>
      </w:r>
      <w:r w:rsidRPr="00065EF0">
        <w:rPr>
          <w:rFonts w:ascii="Times New Roman" w:eastAsia="Times New Roman" w:hAnsi="Times New Roman" w:cs="Times New Roman"/>
          <w:i/>
          <w:iCs/>
          <w:color w:val="000000"/>
          <w:kern w:val="0"/>
          <w:lang w:eastAsia="en-GB"/>
          <w14:ligatures w14:val="none"/>
        </w:rPr>
        <w:t>How diversity can impact mental health</w:t>
      </w:r>
      <w:r w:rsidRPr="00065EF0">
        <w:rPr>
          <w:rFonts w:ascii="Times New Roman" w:eastAsia="Times New Roman" w:hAnsi="Times New Roman" w:cs="Times New Roman"/>
          <w:color w:val="000000"/>
          <w:kern w:val="0"/>
          <w:lang w:eastAsia="en-GB"/>
          <w14:ligatures w14:val="none"/>
        </w:rPr>
        <w:t>. [online] Diversity in Tech. Available at: https://www.diversityintech.co.uk/how-diversity-can-impact-mental-health/.</w:t>
      </w:r>
    </w:p>
    <w:p w14:paraId="4533883D"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Education Act (2002). </w:t>
      </w:r>
      <w:r w:rsidRPr="00065EF0">
        <w:rPr>
          <w:rFonts w:ascii="Times New Roman" w:eastAsia="Times New Roman" w:hAnsi="Times New Roman" w:cs="Times New Roman"/>
          <w:i/>
          <w:iCs/>
          <w:color w:val="000000"/>
          <w:kern w:val="0"/>
          <w:lang w:eastAsia="en-GB"/>
          <w14:ligatures w14:val="none"/>
        </w:rPr>
        <w:t>Education Act 2002</w:t>
      </w:r>
      <w:r w:rsidRPr="00065EF0">
        <w:rPr>
          <w:rFonts w:ascii="Times New Roman" w:eastAsia="Times New Roman" w:hAnsi="Times New Roman" w:cs="Times New Roman"/>
          <w:color w:val="000000"/>
          <w:kern w:val="0"/>
          <w:lang w:eastAsia="en-GB"/>
          <w14:ligatures w14:val="none"/>
        </w:rPr>
        <w:t>. [online] Legislation.gov.uk. Available at: https://www.legislation.gov.uk/ukpga/2002/32/contents.</w:t>
      </w:r>
    </w:p>
    <w:p w14:paraId="64FE6F70"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Evans, N., Edwards, D., Carrier, J., Elliot, M., Gillen, E., Hannigan, M., Lane, R. and Williams, L. (2023). Mental health crisis </w:t>
      </w:r>
      <w:proofErr w:type="gramStart"/>
      <w:r w:rsidRPr="00065EF0">
        <w:rPr>
          <w:rFonts w:ascii="Times New Roman" w:eastAsia="Times New Roman" w:hAnsi="Times New Roman" w:cs="Times New Roman"/>
          <w:color w:val="000000"/>
          <w:kern w:val="0"/>
          <w:lang w:eastAsia="en-GB"/>
          <w14:ligatures w14:val="none"/>
        </w:rPr>
        <w:t>care</w:t>
      </w:r>
      <w:proofErr w:type="gramEnd"/>
      <w:r w:rsidRPr="00065EF0">
        <w:rPr>
          <w:rFonts w:ascii="Times New Roman" w:eastAsia="Times New Roman" w:hAnsi="Times New Roman" w:cs="Times New Roman"/>
          <w:color w:val="000000"/>
          <w:kern w:val="0"/>
          <w:lang w:eastAsia="en-GB"/>
          <w14:ligatures w14:val="none"/>
        </w:rPr>
        <w:t xml:space="preserve"> for children and young people aged 5 to 25 years: the CAMH-Crisis evidence synthesis -ORCA. </w:t>
      </w:r>
      <w:r w:rsidRPr="00065EF0">
        <w:rPr>
          <w:rFonts w:ascii="Times New Roman" w:eastAsia="Times New Roman" w:hAnsi="Times New Roman" w:cs="Times New Roman"/>
          <w:i/>
          <w:iCs/>
          <w:color w:val="000000"/>
          <w:kern w:val="0"/>
          <w:lang w:eastAsia="en-GB"/>
          <w14:ligatures w14:val="none"/>
        </w:rPr>
        <w:t>Cardiff.ac.uk</w:t>
      </w:r>
      <w:r w:rsidRPr="00065EF0">
        <w:rPr>
          <w:rFonts w:ascii="Times New Roman" w:eastAsia="Times New Roman" w:hAnsi="Times New Roman" w:cs="Times New Roman"/>
          <w:color w:val="000000"/>
          <w:kern w:val="0"/>
          <w:lang w:eastAsia="en-GB"/>
          <w14:ligatures w14:val="none"/>
        </w:rPr>
        <w:t xml:space="preserve">. [online]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://orca.cardiff.ac.uk/id/</w:t>
      </w:r>
      <w:proofErr w:type="spellStart"/>
      <w:r w:rsidRPr="00065EF0">
        <w:rPr>
          <w:rFonts w:ascii="Times New Roman" w:eastAsia="Times New Roman" w:hAnsi="Times New Roman" w:cs="Times New Roman"/>
          <w:color w:val="000000"/>
          <w:kern w:val="0"/>
          <w:lang w:eastAsia="en-GB"/>
          <w14:ligatures w14:val="none"/>
        </w:rPr>
        <w:t>eprint</w:t>
      </w:r>
      <w:proofErr w:type="spellEnd"/>
      <w:r w:rsidRPr="00065EF0">
        <w:rPr>
          <w:rFonts w:ascii="Times New Roman" w:eastAsia="Times New Roman" w:hAnsi="Times New Roman" w:cs="Times New Roman"/>
          <w:color w:val="000000"/>
          <w:kern w:val="0"/>
          <w:lang w:eastAsia="en-GB"/>
          <w14:ligatures w14:val="none"/>
        </w:rPr>
        <w:t>/148205/8/3042259.pdf</w:t>
      </w:r>
      <w:proofErr w:type="gramEnd"/>
      <w:r w:rsidRPr="00065EF0">
        <w:rPr>
          <w:rFonts w:ascii="Times New Roman" w:eastAsia="Times New Roman" w:hAnsi="Times New Roman" w:cs="Times New Roman"/>
          <w:color w:val="000000"/>
          <w:kern w:val="0"/>
          <w:lang w:eastAsia="en-GB"/>
          <w14:ligatures w14:val="none"/>
        </w:rPr>
        <w:t>.</w:t>
      </w:r>
    </w:p>
    <w:p w14:paraId="10060F61"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Gov.uk (2004). </w:t>
      </w:r>
      <w:r w:rsidRPr="00065EF0">
        <w:rPr>
          <w:rFonts w:ascii="Times New Roman" w:eastAsia="Times New Roman" w:hAnsi="Times New Roman" w:cs="Times New Roman"/>
          <w:i/>
          <w:iCs/>
          <w:color w:val="000000"/>
          <w:kern w:val="0"/>
          <w:lang w:eastAsia="en-GB"/>
          <w14:ligatures w14:val="none"/>
        </w:rPr>
        <w:t>Children Act 2004</w:t>
      </w:r>
      <w:r w:rsidRPr="00065EF0">
        <w:rPr>
          <w:rFonts w:ascii="Times New Roman" w:eastAsia="Times New Roman" w:hAnsi="Times New Roman" w:cs="Times New Roman"/>
          <w:color w:val="000000"/>
          <w:kern w:val="0"/>
          <w:lang w:eastAsia="en-GB"/>
          <w14:ligatures w14:val="none"/>
        </w:rPr>
        <w:t>. [online] Legislation.gov.uk. Available at: https://www.legislation.gov.uk/ukpga/2004/31/contents.</w:t>
      </w:r>
    </w:p>
    <w:p w14:paraId="5388C119"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Guy-Evans, O. (2025). </w:t>
      </w:r>
      <w:r w:rsidRPr="00065EF0">
        <w:rPr>
          <w:rFonts w:ascii="Times New Roman" w:eastAsia="Times New Roman" w:hAnsi="Times New Roman" w:cs="Times New Roman"/>
          <w:i/>
          <w:iCs/>
          <w:color w:val="000000"/>
          <w:kern w:val="0"/>
          <w:lang w:eastAsia="en-GB"/>
          <w14:ligatures w14:val="none"/>
        </w:rPr>
        <w:t>Bronfenbrenner’s Ecological Systems Theory</w:t>
      </w:r>
      <w:r w:rsidRPr="00065EF0">
        <w:rPr>
          <w:rFonts w:ascii="Times New Roman" w:eastAsia="Times New Roman" w:hAnsi="Times New Roman" w:cs="Times New Roman"/>
          <w:color w:val="000000"/>
          <w:kern w:val="0"/>
          <w:lang w:eastAsia="en-GB"/>
          <w14:ligatures w14:val="none"/>
        </w:rPr>
        <w:t>. [online] Simply Psychology. Available at: https://www.simplypsychology.org/Bronfenbrenner.html.</w:t>
      </w:r>
    </w:p>
    <w:p w14:paraId="4064B326"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Headspace (2023). </w:t>
      </w:r>
      <w:r w:rsidRPr="00065EF0">
        <w:rPr>
          <w:rFonts w:ascii="Times New Roman" w:eastAsia="Times New Roman" w:hAnsi="Times New Roman" w:cs="Times New Roman"/>
          <w:i/>
          <w:iCs/>
          <w:color w:val="000000"/>
          <w:kern w:val="0"/>
          <w:lang w:eastAsia="en-GB"/>
          <w14:ligatures w14:val="none"/>
        </w:rPr>
        <w:t>family inclusive practice handbook</w:t>
      </w:r>
      <w:r w:rsidRPr="00065EF0">
        <w:rPr>
          <w:rFonts w:ascii="Times New Roman" w:eastAsia="Times New Roman" w:hAnsi="Times New Roman" w:cs="Times New Roman"/>
          <w:color w:val="000000"/>
          <w:kern w:val="0"/>
          <w:lang w:eastAsia="en-GB"/>
          <w14:ligatures w14:val="none"/>
        </w:rPr>
        <w:t>. [online] Available at: https://headspace.org.au/assets/download-cards/FamilyInclusivePracticeHandbook_Revised.pdf.</w:t>
      </w:r>
    </w:p>
    <w:p w14:paraId="72399530"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HM Government (2017). </w:t>
      </w:r>
      <w:r w:rsidRPr="00065EF0">
        <w:rPr>
          <w:rFonts w:ascii="Times New Roman" w:eastAsia="Times New Roman" w:hAnsi="Times New Roman" w:cs="Times New Roman"/>
          <w:i/>
          <w:iCs/>
          <w:color w:val="000000"/>
          <w:kern w:val="0"/>
          <w:lang w:eastAsia="en-GB"/>
          <w14:ligatures w14:val="none"/>
        </w:rPr>
        <w:t>Children and Social Work Act 2017</w:t>
      </w:r>
      <w:r w:rsidRPr="00065EF0">
        <w:rPr>
          <w:rFonts w:ascii="Times New Roman" w:eastAsia="Times New Roman" w:hAnsi="Times New Roman" w:cs="Times New Roman"/>
          <w:color w:val="000000"/>
          <w:kern w:val="0"/>
          <w:lang w:eastAsia="en-GB"/>
          <w14:ligatures w14:val="none"/>
        </w:rPr>
        <w:t>. [online] Legislation.gov.uk. Available at: https://www.legislation.gov.uk/ukpga/2017/16/contents/enacted.</w:t>
      </w:r>
    </w:p>
    <w:p w14:paraId="261D5138"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Hoffmann, J.A., </w:t>
      </w:r>
      <w:proofErr w:type="spellStart"/>
      <w:r w:rsidRPr="00065EF0">
        <w:rPr>
          <w:rFonts w:ascii="Times New Roman" w:eastAsia="Times New Roman" w:hAnsi="Times New Roman" w:cs="Times New Roman"/>
          <w:color w:val="000000"/>
          <w:kern w:val="0"/>
          <w:lang w:eastAsia="en-GB"/>
          <w14:ligatures w14:val="none"/>
        </w:rPr>
        <w:t>Alegría</w:t>
      </w:r>
      <w:proofErr w:type="spellEnd"/>
      <w:r w:rsidRPr="00065EF0">
        <w:rPr>
          <w:rFonts w:ascii="Times New Roman" w:eastAsia="Times New Roman" w:hAnsi="Times New Roman" w:cs="Times New Roman"/>
          <w:color w:val="000000"/>
          <w:kern w:val="0"/>
          <w:lang w:eastAsia="en-GB"/>
          <w14:ligatures w14:val="none"/>
        </w:rPr>
        <w:t xml:space="preserve">, M., Alvarez, K., </w:t>
      </w:r>
      <w:proofErr w:type="spellStart"/>
      <w:r w:rsidRPr="00065EF0">
        <w:rPr>
          <w:rFonts w:ascii="Times New Roman" w:eastAsia="Times New Roman" w:hAnsi="Times New Roman" w:cs="Times New Roman"/>
          <w:color w:val="000000"/>
          <w:kern w:val="0"/>
          <w:lang w:eastAsia="en-GB"/>
          <w14:ligatures w14:val="none"/>
        </w:rPr>
        <w:t>Anosike</w:t>
      </w:r>
      <w:proofErr w:type="spellEnd"/>
      <w:r w:rsidRPr="00065EF0">
        <w:rPr>
          <w:rFonts w:ascii="Times New Roman" w:eastAsia="Times New Roman" w:hAnsi="Times New Roman" w:cs="Times New Roman"/>
          <w:color w:val="000000"/>
          <w:kern w:val="0"/>
          <w:lang w:eastAsia="en-GB"/>
          <w14:ligatures w14:val="none"/>
        </w:rPr>
        <w:t xml:space="preserve">, A., Shah, P.P., Simon, K.M. and Lee, L.K. (2022). Disparities in </w:t>
      </w:r>
      <w:proofErr w:type="spellStart"/>
      <w:r w:rsidRPr="00065EF0">
        <w:rPr>
          <w:rFonts w:ascii="Times New Roman" w:eastAsia="Times New Roman" w:hAnsi="Times New Roman" w:cs="Times New Roman"/>
          <w:color w:val="000000"/>
          <w:kern w:val="0"/>
          <w:lang w:eastAsia="en-GB"/>
          <w14:ligatures w14:val="none"/>
        </w:rPr>
        <w:t>Pediatric</w:t>
      </w:r>
      <w:proofErr w:type="spellEnd"/>
      <w:r w:rsidRPr="00065EF0">
        <w:rPr>
          <w:rFonts w:ascii="Times New Roman" w:eastAsia="Times New Roman" w:hAnsi="Times New Roman" w:cs="Times New Roman"/>
          <w:color w:val="000000"/>
          <w:kern w:val="0"/>
          <w:lang w:eastAsia="en-GB"/>
          <w14:ligatures w14:val="none"/>
        </w:rPr>
        <w:t xml:space="preserve"> Mental and </w:t>
      </w:r>
      <w:proofErr w:type="spellStart"/>
      <w:r w:rsidRPr="00065EF0">
        <w:rPr>
          <w:rFonts w:ascii="Times New Roman" w:eastAsia="Times New Roman" w:hAnsi="Times New Roman" w:cs="Times New Roman"/>
          <w:color w:val="000000"/>
          <w:kern w:val="0"/>
          <w:lang w:eastAsia="en-GB"/>
          <w14:ligatures w14:val="none"/>
        </w:rPr>
        <w:t>Behavioral</w:t>
      </w:r>
      <w:proofErr w:type="spellEnd"/>
      <w:r w:rsidRPr="00065EF0">
        <w:rPr>
          <w:rFonts w:ascii="Times New Roman" w:eastAsia="Times New Roman" w:hAnsi="Times New Roman" w:cs="Times New Roman"/>
          <w:color w:val="000000"/>
          <w:kern w:val="0"/>
          <w:lang w:eastAsia="en-GB"/>
          <w14:ligatures w14:val="none"/>
        </w:rPr>
        <w:t xml:space="preserve"> Health Conditions. </w:t>
      </w:r>
      <w:proofErr w:type="spellStart"/>
      <w:r w:rsidRPr="00065EF0">
        <w:rPr>
          <w:rFonts w:ascii="Times New Roman" w:eastAsia="Times New Roman" w:hAnsi="Times New Roman" w:cs="Times New Roman"/>
          <w:i/>
          <w:iCs/>
          <w:color w:val="000000"/>
          <w:kern w:val="0"/>
          <w:lang w:eastAsia="en-GB"/>
          <w14:ligatures w14:val="none"/>
        </w:rPr>
        <w:t>Pediatrics</w:t>
      </w:r>
      <w:proofErr w:type="spellEnd"/>
      <w:r w:rsidRPr="00065EF0">
        <w:rPr>
          <w:rFonts w:ascii="Times New Roman" w:eastAsia="Times New Roman" w:hAnsi="Times New Roman" w:cs="Times New Roman"/>
          <w:color w:val="000000"/>
          <w:kern w:val="0"/>
          <w:lang w:eastAsia="en-GB"/>
          <w14:ligatures w14:val="none"/>
        </w:rPr>
        <w:t xml:space="preserve">, 150(4).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://doi.org/10.1542/peds.2022-058227</w:t>
      </w:r>
      <w:proofErr w:type="gramEnd"/>
      <w:r w:rsidRPr="00065EF0">
        <w:rPr>
          <w:rFonts w:ascii="Times New Roman" w:eastAsia="Times New Roman" w:hAnsi="Times New Roman" w:cs="Times New Roman"/>
          <w:color w:val="000000"/>
          <w:kern w:val="0"/>
          <w:lang w:eastAsia="en-GB"/>
          <w14:ligatures w14:val="none"/>
        </w:rPr>
        <w:t>.</w:t>
      </w:r>
    </w:p>
    <w:p w14:paraId="4DC191B5"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legislation.gov.uk (2014). </w:t>
      </w:r>
      <w:r w:rsidRPr="00065EF0">
        <w:rPr>
          <w:rFonts w:ascii="Times New Roman" w:eastAsia="Times New Roman" w:hAnsi="Times New Roman" w:cs="Times New Roman"/>
          <w:i/>
          <w:iCs/>
          <w:color w:val="000000"/>
          <w:kern w:val="0"/>
          <w:lang w:eastAsia="en-GB"/>
          <w14:ligatures w14:val="none"/>
        </w:rPr>
        <w:t>Children and Families Act 2014</w:t>
      </w:r>
      <w:r w:rsidRPr="00065EF0">
        <w:rPr>
          <w:rFonts w:ascii="Times New Roman" w:eastAsia="Times New Roman" w:hAnsi="Times New Roman" w:cs="Times New Roman"/>
          <w:color w:val="000000"/>
          <w:kern w:val="0"/>
          <w:lang w:eastAsia="en-GB"/>
          <w14:ligatures w14:val="none"/>
        </w:rPr>
        <w:t>. [online] www.legislation.gov.uk. Available at: https://www.legislation.gov.uk/ukpga/2014/6/contents/enacted.</w:t>
      </w:r>
    </w:p>
    <w:p w14:paraId="15FFA7B8"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Lepper, J. (2022). </w:t>
      </w:r>
      <w:r w:rsidRPr="00065EF0">
        <w:rPr>
          <w:rFonts w:ascii="Times New Roman" w:eastAsia="Times New Roman" w:hAnsi="Times New Roman" w:cs="Times New Roman"/>
          <w:i/>
          <w:iCs/>
          <w:color w:val="000000"/>
          <w:kern w:val="0"/>
          <w:lang w:eastAsia="en-GB"/>
          <w14:ligatures w14:val="none"/>
        </w:rPr>
        <w:t>Digital platform launches to support children on CAMHS waiting lists - CYP Now</w:t>
      </w:r>
      <w:r w:rsidRPr="00065EF0">
        <w:rPr>
          <w:rFonts w:ascii="Times New Roman" w:eastAsia="Times New Roman" w:hAnsi="Times New Roman" w:cs="Times New Roman"/>
          <w:color w:val="000000"/>
          <w:kern w:val="0"/>
          <w:lang w:eastAsia="en-GB"/>
          <w14:ligatures w14:val="none"/>
        </w:rPr>
        <w:t>. [online] CYP Now. Available at: https://www.cypnow.co.uk/content/news/digital-platform-launches-to-support-children-on-camhs-waiting-lists/ [Accessed 6 May 2025].</w:t>
      </w:r>
    </w:p>
    <w:p w14:paraId="0BD204F4"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Lippard, E. and </w:t>
      </w:r>
      <w:proofErr w:type="spellStart"/>
      <w:r w:rsidRPr="00065EF0">
        <w:rPr>
          <w:rFonts w:ascii="Times New Roman" w:eastAsia="Times New Roman" w:hAnsi="Times New Roman" w:cs="Times New Roman"/>
          <w:color w:val="000000"/>
          <w:kern w:val="0"/>
          <w:lang w:eastAsia="en-GB"/>
          <w14:ligatures w14:val="none"/>
        </w:rPr>
        <w:t>Nemeroff</w:t>
      </w:r>
      <w:proofErr w:type="spellEnd"/>
      <w:r w:rsidRPr="00065EF0">
        <w:rPr>
          <w:rFonts w:ascii="Times New Roman" w:eastAsia="Times New Roman" w:hAnsi="Times New Roman" w:cs="Times New Roman"/>
          <w:color w:val="000000"/>
          <w:kern w:val="0"/>
          <w:lang w:eastAsia="en-GB"/>
          <w14:ligatures w14:val="none"/>
        </w:rPr>
        <w:t>, C. (2020). The Devastating Clinical Consequences of Child Abuse and Neglect: Increased Disease Vulnerability and Poor Treatment Response in Mood Disorders. </w:t>
      </w:r>
      <w:r w:rsidRPr="00065EF0">
        <w:rPr>
          <w:rFonts w:ascii="Times New Roman" w:eastAsia="Times New Roman" w:hAnsi="Times New Roman" w:cs="Times New Roman"/>
          <w:i/>
          <w:iCs/>
          <w:color w:val="000000"/>
          <w:kern w:val="0"/>
          <w:lang w:eastAsia="en-GB"/>
          <w14:ligatures w14:val="none"/>
        </w:rPr>
        <w:t>American Journal of Psychiatry</w:t>
      </w:r>
      <w:r w:rsidRPr="00065EF0">
        <w:rPr>
          <w:rFonts w:ascii="Times New Roman" w:eastAsia="Times New Roman" w:hAnsi="Times New Roman" w:cs="Times New Roman"/>
          <w:color w:val="000000"/>
          <w:kern w:val="0"/>
          <w:lang w:eastAsia="en-GB"/>
          <w14:ligatures w14:val="none"/>
        </w:rPr>
        <w:t xml:space="preserve">, [online] 177(1), pp.20–36.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://doi.org/10.1176/appi.ajp.2019.19010020</w:t>
      </w:r>
      <w:proofErr w:type="gramEnd"/>
      <w:r w:rsidRPr="00065EF0">
        <w:rPr>
          <w:rFonts w:ascii="Times New Roman" w:eastAsia="Times New Roman" w:hAnsi="Times New Roman" w:cs="Times New Roman"/>
          <w:color w:val="000000"/>
          <w:kern w:val="0"/>
          <w:lang w:eastAsia="en-GB"/>
          <w14:ligatures w14:val="none"/>
        </w:rPr>
        <w:t>.</w:t>
      </w:r>
    </w:p>
    <w:p w14:paraId="1314C695"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Lowe, R. (2023). </w:t>
      </w:r>
      <w:r w:rsidRPr="00065EF0">
        <w:rPr>
          <w:rFonts w:ascii="Times New Roman" w:eastAsia="Times New Roman" w:hAnsi="Times New Roman" w:cs="Times New Roman"/>
          <w:i/>
          <w:iCs/>
          <w:color w:val="000000"/>
          <w:kern w:val="0"/>
          <w:lang w:eastAsia="en-GB"/>
          <w14:ligatures w14:val="none"/>
        </w:rPr>
        <w:t>Biopsychosocial Model</w:t>
      </w:r>
      <w:r w:rsidRPr="00065EF0">
        <w:rPr>
          <w:rFonts w:ascii="Times New Roman" w:eastAsia="Times New Roman" w:hAnsi="Times New Roman" w:cs="Times New Roman"/>
          <w:color w:val="000000"/>
          <w:kern w:val="0"/>
          <w:lang w:eastAsia="en-GB"/>
          <w14:ligatures w14:val="none"/>
        </w:rPr>
        <w:t xml:space="preserve">. [online] </w:t>
      </w:r>
      <w:proofErr w:type="spellStart"/>
      <w:r w:rsidRPr="00065EF0">
        <w:rPr>
          <w:rFonts w:ascii="Times New Roman" w:eastAsia="Times New Roman" w:hAnsi="Times New Roman" w:cs="Times New Roman"/>
          <w:color w:val="000000"/>
          <w:kern w:val="0"/>
          <w:lang w:eastAsia="en-GB"/>
          <w14:ligatures w14:val="none"/>
        </w:rPr>
        <w:t>Physiopedia</w:t>
      </w:r>
      <w:proofErr w:type="spellEnd"/>
      <w:r w:rsidRPr="00065EF0">
        <w:rPr>
          <w:rFonts w:ascii="Times New Roman" w:eastAsia="Times New Roman" w:hAnsi="Times New Roman" w:cs="Times New Roman"/>
          <w:color w:val="000000"/>
          <w:kern w:val="0"/>
          <w:lang w:eastAsia="en-GB"/>
          <w14:ligatures w14:val="none"/>
        </w:rPr>
        <w:t>. Available at: https://www.physio-pedia.com/Biopsychosocial_Model.</w:t>
      </w:r>
    </w:p>
    <w:p w14:paraId="1F12EF9D"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proofErr w:type="spellStart"/>
      <w:r w:rsidRPr="00065EF0">
        <w:rPr>
          <w:rFonts w:ascii="Times New Roman" w:eastAsia="Times New Roman" w:hAnsi="Times New Roman" w:cs="Times New Roman"/>
          <w:color w:val="000000"/>
          <w:kern w:val="0"/>
          <w:lang w:eastAsia="en-GB"/>
          <w14:ligatures w14:val="none"/>
        </w:rPr>
        <w:t>Marschall</w:t>
      </w:r>
      <w:proofErr w:type="spellEnd"/>
      <w:r w:rsidRPr="00065EF0">
        <w:rPr>
          <w:rFonts w:ascii="Times New Roman" w:eastAsia="Times New Roman" w:hAnsi="Times New Roman" w:cs="Times New Roman"/>
          <w:color w:val="000000"/>
          <w:kern w:val="0"/>
          <w:lang w:eastAsia="en-GB"/>
          <w14:ligatures w14:val="none"/>
        </w:rPr>
        <w:t>, A. (2023). </w:t>
      </w:r>
      <w:r w:rsidRPr="00065EF0">
        <w:rPr>
          <w:rFonts w:ascii="Times New Roman" w:eastAsia="Times New Roman" w:hAnsi="Times New Roman" w:cs="Times New Roman"/>
          <w:i/>
          <w:iCs/>
          <w:color w:val="000000"/>
          <w:kern w:val="0"/>
          <w:lang w:eastAsia="en-GB"/>
          <w14:ligatures w14:val="none"/>
        </w:rPr>
        <w:t>Understanding the Biopsychosocial Model</w:t>
      </w:r>
      <w:r w:rsidRPr="00065EF0">
        <w:rPr>
          <w:rFonts w:ascii="Times New Roman" w:eastAsia="Times New Roman" w:hAnsi="Times New Roman" w:cs="Times New Roman"/>
          <w:color w:val="000000"/>
          <w:kern w:val="0"/>
          <w:lang w:eastAsia="en-GB"/>
          <w14:ligatures w14:val="none"/>
        </w:rPr>
        <w:t xml:space="preserve">. [online] </w:t>
      </w:r>
      <w:proofErr w:type="spellStart"/>
      <w:r w:rsidRPr="00065EF0">
        <w:rPr>
          <w:rFonts w:ascii="Times New Roman" w:eastAsia="Times New Roman" w:hAnsi="Times New Roman" w:cs="Times New Roman"/>
          <w:color w:val="000000"/>
          <w:kern w:val="0"/>
          <w:lang w:eastAsia="en-GB"/>
          <w14:ligatures w14:val="none"/>
        </w:rPr>
        <w:t>Verywell</w:t>
      </w:r>
      <w:proofErr w:type="spellEnd"/>
      <w:r w:rsidRPr="00065EF0">
        <w:rPr>
          <w:rFonts w:ascii="Times New Roman" w:eastAsia="Times New Roman" w:hAnsi="Times New Roman" w:cs="Times New Roman"/>
          <w:color w:val="000000"/>
          <w:kern w:val="0"/>
          <w:lang w:eastAsia="en-GB"/>
          <w14:ligatures w14:val="none"/>
        </w:rPr>
        <w:t xml:space="preserve"> Mind. Available at: https://www.verywellmind.com/understanding-the-biopsychosocial-model-7549226.</w:t>
      </w:r>
    </w:p>
    <w:p w14:paraId="347F1754"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proofErr w:type="spellStart"/>
      <w:r w:rsidRPr="00065EF0">
        <w:rPr>
          <w:rFonts w:ascii="Times New Roman" w:eastAsia="Times New Roman" w:hAnsi="Times New Roman" w:cs="Times New Roman"/>
          <w:color w:val="000000"/>
          <w:kern w:val="0"/>
          <w:lang w:eastAsia="en-GB"/>
          <w14:ligatures w14:val="none"/>
        </w:rPr>
        <w:t>Mcleod</w:t>
      </w:r>
      <w:proofErr w:type="spellEnd"/>
      <w:r w:rsidRPr="00065EF0">
        <w:rPr>
          <w:rFonts w:ascii="Times New Roman" w:eastAsia="Times New Roman" w:hAnsi="Times New Roman" w:cs="Times New Roman"/>
          <w:color w:val="000000"/>
          <w:kern w:val="0"/>
          <w:lang w:eastAsia="en-GB"/>
          <w14:ligatures w14:val="none"/>
        </w:rPr>
        <w:t>, S. (2024). </w:t>
      </w:r>
      <w:r w:rsidRPr="00065EF0">
        <w:rPr>
          <w:rFonts w:ascii="Times New Roman" w:eastAsia="Times New Roman" w:hAnsi="Times New Roman" w:cs="Times New Roman"/>
          <w:i/>
          <w:iCs/>
          <w:color w:val="000000"/>
          <w:kern w:val="0"/>
          <w:lang w:eastAsia="en-GB"/>
          <w14:ligatures w14:val="none"/>
        </w:rPr>
        <w:t>Attachment Theory in Psychology</w:t>
      </w:r>
      <w:r w:rsidRPr="00065EF0">
        <w:rPr>
          <w:rFonts w:ascii="Times New Roman" w:eastAsia="Times New Roman" w:hAnsi="Times New Roman" w:cs="Times New Roman"/>
          <w:color w:val="000000"/>
          <w:kern w:val="0"/>
          <w:lang w:eastAsia="en-GB"/>
          <w14:ligatures w14:val="none"/>
        </w:rPr>
        <w:t>. [online] Simplypsychology.org. Available at: https://www.simplypsychology.org/attachment.html.</w:t>
      </w:r>
    </w:p>
    <w:p w14:paraId="0AAEBB53"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NCVO (2021). </w:t>
      </w:r>
      <w:r w:rsidRPr="00065EF0">
        <w:rPr>
          <w:rFonts w:ascii="Times New Roman" w:eastAsia="Times New Roman" w:hAnsi="Times New Roman" w:cs="Times New Roman"/>
          <w:i/>
          <w:iCs/>
          <w:color w:val="000000"/>
          <w:kern w:val="0"/>
          <w:lang w:eastAsia="en-GB"/>
          <w14:ligatures w14:val="none"/>
        </w:rPr>
        <w:t xml:space="preserve">Recognise, </w:t>
      </w:r>
      <w:proofErr w:type="gramStart"/>
      <w:r w:rsidRPr="00065EF0">
        <w:rPr>
          <w:rFonts w:ascii="Times New Roman" w:eastAsia="Times New Roman" w:hAnsi="Times New Roman" w:cs="Times New Roman"/>
          <w:i/>
          <w:iCs/>
          <w:color w:val="000000"/>
          <w:kern w:val="0"/>
          <w:lang w:eastAsia="en-GB"/>
          <w14:ligatures w14:val="none"/>
        </w:rPr>
        <w:t>respond</w:t>
      </w:r>
      <w:proofErr w:type="gramEnd"/>
      <w:r w:rsidRPr="00065EF0">
        <w:rPr>
          <w:rFonts w:ascii="Times New Roman" w:eastAsia="Times New Roman" w:hAnsi="Times New Roman" w:cs="Times New Roman"/>
          <w:i/>
          <w:iCs/>
          <w:color w:val="000000"/>
          <w:kern w:val="0"/>
          <w:lang w:eastAsia="en-GB"/>
          <w14:ligatures w14:val="none"/>
        </w:rPr>
        <w:t xml:space="preserve"> and report</w:t>
      </w:r>
      <w:r w:rsidRPr="00065EF0">
        <w:rPr>
          <w:rFonts w:ascii="Times New Roman" w:eastAsia="Times New Roman" w:hAnsi="Times New Roman" w:cs="Times New Roman"/>
          <w:color w:val="000000"/>
          <w:kern w:val="0"/>
          <w:lang w:eastAsia="en-GB"/>
          <w14:ligatures w14:val="none"/>
        </w:rPr>
        <w:t>. [online] NCVO. Available at: https://www.ncvo.org.uk/help-and-guidance/safeguarding/steps-safer-organisation/recognise-respond-and-report/.</w:t>
      </w:r>
    </w:p>
    <w:p w14:paraId="6C550F67"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NHS (2020). </w:t>
      </w:r>
      <w:r w:rsidRPr="00065EF0">
        <w:rPr>
          <w:rFonts w:ascii="Times New Roman" w:eastAsia="Times New Roman" w:hAnsi="Times New Roman" w:cs="Times New Roman"/>
          <w:i/>
          <w:iCs/>
          <w:color w:val="000000"/>
          <w:kern w:val="0"/>
          <w:lang w:eastAsia="en-GB"/>
          <w14:ligatures w14:val="none"/>
        </w:rPr>
        <w:t>CAMHS Dorset</w:t>
      </w:r>
      <w:r w:rsidRPr="00065EF0">
        <w:rPr>
          <w:rFonts w:ascii="Times New Roman" w:eastAsia="Times New Roman" w:hAnsi="Times New Roman" w:cs="Times New Roman"/>
          <w:color w:val="000000"/>
          <w:kern w:val="0"/>
          <w:lang w:eastAsia="en-GB"/>
          <w14:ligatures w14:val="none"/>
        </w:rPr>
        <w:t>. [online] CAMHS Dorset. Available at: https://camhsdorset.org/about-camhs/community-teams [Accessed 6 May 2025].</w:t>
      </w:r>
    </w:p>
    <w:p w14:paraId="163CE1B9"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NHS (2021). </w:t>
      </w:r>
      <w:r w:rsidRPr="00065EF0">
        <w:rPr>
          <w:rFonts w:ascii="Times New Roman" w:eastAsia="Times New Roman" w:hAnsi="Times New Roman" w:cs="Times New Roman"/>
          <w:i/>
          <w:iCs/>
          <w:color w:val="000000"/>
          <w:kern w:val="0"/>
          <w:lang w:eastAsia="en-GB"/>
          <w14:ligatures w14:val="none"/>
        </w:rPr>
        <w:t>Activities for Kids - Healthier Families</w:t>
      </w:r>
      <w:r w:rsidRPr="00065EF0">
        <w:rPr>
          <w:rFonts w:ascii="Times New Roman" w:eastAsia="Times New Roman" w:hAnsi="Times New Roman" w:cs="Times New Roman"/>
          <w:color w:val="000000"/>
          <w:kern w:val="0"/>
          <w:lang w:eastAsia="en-GB"/>
          <w14:ligatures w14:val="none"/>
        </w:rPr>
        <w:t>. [online] nhs.uk. Available at: https://www.nhs.uk/healthier-families/activities/.</w:t>
      </w:r>
    </w:p>
    <w:p w14:paraId="38AC4110"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NIHR Clinical Research Network </w:t>
      </w:r>
      <w:proofErr w:type="gramStart"/>
      <w:r w:rsidRPr="00065EF0">
        <w:rPr>
          <w:rFonts w:ascii="Times New Roman" w:eastAsia="Times New Roman" w:hAnsi="Times New Roman" w:cs="Times New Roman"/>
          <w:color w:val="000000"/>
          <w:kern w:val="0"/>
          <w:lang w:eastAsia="en-GB"/>
          <w14:ligatures w14:val="none"/>
        </w:rPr>
        <w:t>South West</w:t>
      </w:r>
      <w:proofErr w:type="gramEnd"/>
      <w:r w:rsidRPr="00065EF0">
        <w:rPr>
          <w:rFonts w:ascii="Times New Roman" w:eastAsia="Times New Roman" w:hAnsi="Times New Roman" w:cs="Times New Roman"/>
          <w:color w:val="000000"/>
          <w:kern w:val="0"/>
          <w:lang w:eastAsia="en-GB"/>
          <w14:ligatures w14:val="none"/>
        </w:rPr>
        <w:t xml:space="preserve"> and the NIHR Mental Health Programme (2022). </w:t>
      </w:r>
      <w:r w:rsidRPr="00065EF0">
        <w:rPr>
          <w:rFonts w:ascii="Times New Roman" w:eastAsia="Times New Roman" w:hAnsi="Times New Roman" w:cs="Times New Roman"/>
          <w:i/>
          <w:iCs/>
          <w:color w:val="000000"/>
          <w:kern w:val="0"/>
          <w:lang w:eastAsia="en-GB"/>
          <w14:ligatures w14:val="none"/>
        </w:rPr>
        <w:t>Are ethnic minority children and young people treated differently in CAMHS in terms of the services or treatment they receive?</w:t>
      </w:r>
      <w:r w:rsidRPr="00065EF0">
        <w:rPr>
          <w:rFonts w:ascii="Times New Roman" w:eastAsia="Times New Roman" w:hAnsi="Times New Roman" w:cs="Times New Roman"/>
          <w:color w:val="000000"/>
          <w:kern w:val="0"/>
          <w:lang w:eastAsia="en-GB"/>
          <w14:ligatures w14:val="none"/>
        </w:rPr>
        <w:t> [online] Available at: https://arc-swp.nihr.ac.uk/wp/wp-content/uploads/2023/03/rise-07-ethnic-minority-treatment-in-camhs.pdf.</w:t>
      </w:r>
    </w:p>
    <w:p w14:paraId="4348C7E6"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NSPCC (2020). </w:t>
      </w:r>
      <w:r w:rsidRPr="00065EF0">
        <w:rPr>
          <w:rFonts w:ascii="Times New Roman" w:eastAsia="Times New Roman" w:hAnsi="Times New Roman" w:cs="Times New Roman"/>
          <w:i/>
          <w:iCs/>
          <w:color w:val="000000"/>
          <w:kern w:val="0"/>
          <w:lang w:eastAsia="en-GB"/>
          <w14:ligatures w14:val="none"/>
        </w:rPr>
        <w:t>Talking about difficult topics</w:t>
      </w:r>
      <w:r w:rsidRPr="00065EF0">
        <w:rPr>
          <w:rFonts w:ascii="Times New Roman" w:eastAsia="Times New Roman" w:hAnsi="Times New Roman" w:cs="Times New Roman"/>
          <w:color w:val="000000"/>
          <w:kern w:val="0"/>
          <w:lang w:eastAsia="en-GB"/>
          <w14:ligatures w14:val="none"/>
        </w:rPr>
        <w:t>. [online] NSPCC. Available at: https://www.nspcc.org.uk/keeping-children-safe/support-for-parents/talking-about-difficult-topics/.</w:t>
      </w:r>
    </w:p>
    <w:p w14:paraId="5A298829"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NSPCC (2021). </w:t>
      </w:r>
      <w:r w:rsidRPr="00065EF0">
        <w:rPr>
          <w:rFonts w:ascii="Times New Roman" w:eastAsia="Times New Roman" w:hAnsi="Times New Roman" w:cs="Times New Roman"/>
          <w:i/>
          <w:iCs/>
          <w:color w:val="000000"/>
          <w:kern w:val="0"/>
          <w:lang w:eastAsia="en-GB"/>
          <w14:ligatures w14:val="none"/>
        </w:rPr>
        <w:t>Attachment and Child Development</w:t>
      </w:r>
      <w:r w:rsidRPr="00065EF0">
        <w:rPr>
          <w:rFonts w:ascii="Times New Roman" w:eastAsia="Times New Roman" w:hAnsi="Times New Roman" w:cs="Times New Roman"/>
          <w:color w:val="000000"/>
          <w:kern w:val="0"/>
          <w:lang w:eastAsia="en-GB"/>
          <w14:ligatures w14:val="none"/>
        </w:rPr>
        <w:t>. [online] NSPCC Learning. Available at: https://learning.nspcc.org.uk/child-health-development/attachment-early-years.</w:t>
      </w:r>
    </w:p>
    <w:p w14:paraId="06598349"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Prendergast, T. (2023). </w:t>
      </w:r>
      <w:r w:rsidRPr="00065EF0">
        <w:rPr>
          <w:rFonts w:ascii="Times New Roman" w:eastAsia="Times New Roman" w:hAnsi="Times New Roman" w:cs="Times New Roman"/>
          <w:i/>
          <w:iCs/>
          <w:color w:val="000000"/>
          <w:kern w:val="0"/>
          <w:lang w:eastAsia="en-GB"/>
          <w14:ligatures w14:val="none"/>
        </w:rPr>
        <w:t>Legislation for Safeguarding</w:t>
      </w:r>
      <w:r w:rsidRPr="00065EF0">
        <w:rPr>
          <w:rFonts w:ascii="Times New Roman" w:eastAsia="Times New Roman" w:hAnsi="Times New Roman" w:cs="Times New Roman"/>
          <w:color w:val="000000"/>
          <w:kern w:val="0"/>
          <w:lang w:eastAsia="en-GB"/>
          <w14:ligatures w14:val="none"/>
        </w:rPr>
        <w:t>. [online] Child Protection Company. Available at: https://www.childprotectioncompany.com/safeguarding-children/legislation-for-safeguarding/.</w:t>
      </w:r>
    </w:p>
    <w:p w14:paraId="330E3AB2"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Rethink (2024). </w:t>
      </w:r>
      <w:r w:rsidRPr="00065EF0">
        <w:rPr>
          <w:rFonts w:ascii="Times New Roman" w:eastAsia="Times New Roman" w:hAnsi="Times New Roman" w:cs="Times New Roman"/>
          <w:i/>
          <w:iCs/>
          <w:color w:val="000000"/>
          <w:kern w:val="0"/>
          <w:lang w:eastAsia="en-GB"/>
          <w14:ligatures w14:val="none"/>
        </w:rPr>
        <w:t>The hidden toll of CAMHS waiting lists on young people’s mental health</w:t>
      </w:r>
      <w:r w:rsidRPr="00065EF0">
        <w:rPr>
          <w:rFonts w:ascii="Times New Roman" w:eastAsia="Times New Roman" w:hAnsi="Times New Roman" w:cs="Times New Roman"/>
          <w:color w:val="000000"/>
          <w:kern w:val="0"/>
          <w:lang w:eastAsia="en-GB"/>
          <w14:ligatures w14:val="none"/>
        </w:rPr>
        <w:t xml:space="preserve">. [online] The hidden toll of CAMHS waiting lists on young people’s mental </w:t>
      </w:r>
      <w:proofErr w:type="gramStart"/>
      <w:r w:rsidRPr="00065EF0">
        <w:rPr>
          <w:rFonts w:ascii="Times New Roman" w:eastAsia="Times New Roman" w:hAnsi="Times New Roman" w:cs="Times New Roman"/>
          <w:color w:val="000000"/>
          <w:kern w:val="0"/>
          <w:lang w:eastAsia="en-GB"/>
          <w14:ligatures w14:val="none"/>
        </w:rPr>
        <w:t>health .</w:t>
      </w:r>
      <w:proofErr w:type="gramEnd"/>
      <w:r w:rsidRPr="00065EF0">
        <w:rPr>
          <w:rFonts w:ascii="Times New Roman" w:eastAsia="Times New Roman" w:hAnsi="Times New Roman" w:cs="Times New Roman"/>
          <w:color w:val="000000"/>
          <w:kern w:val="0"/>
          <w:lang w:eastAsia="en-GB"/>
          <w14:ligatures w14:val="none"/>
        </w:rPr>
        <w:t xml:space="preserve"> Available at: https://rethink.org/news-and-stories/news-and-views/2024/the-hidden-toll-of-camhs-waiting-lists-on-young-people-s-mental-health/.</w:t>
      </w:r>
    </w:p>
    <w:p w14:paraId="43EE9AD3"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proofErr w:type="spellStart"/>
      <w:r w:rsidRPr="00065EF0">
        <w:rPr>
          <w:rFonts w:ascii="Times New Roman" w:eastAsia="Times New Roman" w:hAnsi="Times New Roman" w:cs="Times New Roman"/>
          <w:color w:val="000000"/>
          <w:kern w:val="0"/>
          <w:lang w:eastAsia="en-GB"/>
          <w14:ligatures w14:val="none"/>
        </w:rPr>
        <w:t>Skundberg-Kletthagen</w:t>
      </w:r>
      <w:proofErr w:type="spellEnd"/>
      <w:r w:rsidRPr="00065EF0">
        <w:rPr>
          <w:rFonts w:ascii="Times New Roman" w:eastAsia="Times New Roman" w:hAnsi="Times New Roman" w:cs="Times New Roman"/>
          <w:color w:val="000000"/>
          <w:kern w:val="0"/>
          <w:lang w:eastAsia="en-GB"/>
          <w14:ligatures w14:val="none"/>
        </w:rPr>
        <w:t xml:space="preserve">, H., Gonzalez, M.T., </w:t>
      </w:r>
      <w:proofErr w:type="spellStart"/>
      <w:r w:rsidRPr="00065EF0">
        <w:rPr>
          <w:rFonts w:ascii="Times New Roman" w:eastAsia="Times New Roman" w:hAnsi="Times New Roman" w:cs="Times New Roman"/>
          <w:color w:val="000000"/>
          <w:kern w:val="0"/>
          <w:lang w:eastAsia="en-GB"/>
          <w14:ligatures w14:val="none"/>
        </w:rPr>
        <w:t>Schröder</w:t>
      </w:r>
      <w:proofErr w:type="spellEnd"/>
      <w:r w:rsidRPr="00065EF0">
        <w:rPr>
          <w:rFonts w:ascii="Times New Roman" w:eastAsia="Times New Roman" w:hAnsi="Times New Roman" w:cs="Times New Roman"/>
          <w:color w:val="000000"/>
          <w:kern w:val="0"/>
          <w:lang w:eastAsia="en-GB"/>
          <w14:ligatures w14:val="none"/>
        </w:rPr>
        <w:t>, A. and Moen, Ø.L. (2020). Mental Health Professionals’ Experiences with Applying a Family-Centred Care Focus in Their Clinical Work. </w:t>
      </w:r>
      <w:r w:rsidRPr="00065EF0">
        <w:rPr>
          <w:rFonts w:ascii="Times New Roman" w:eastAsia="Times New Roman" w:hAnsi="Times New Roman" w:cs="Times New Roman"/>
          <w:i/>
          <w:iCs/>
          <w:color w:val="000000"/>
          <w:kern w:val="0"/>
          <w:lang w:eastAsia="en-GB"/>
          <w14:ligatures w14:val="none"/>
        </w:rPr>
        <w:t>Issues in Mental Health Nursing</w:t>
      </w:r>
      <w:r w:rsidRPr="00065EF0">
        <w:rPr>
          <w:rFonts w:ascii="Times New Roman" w:eastAsia="Times New Roman" w:hAnsi="Times New Roman" w:cs="Times New Roman"/>
          <w:color w:val="000000"/>
          <w:kern w:val="0"/>
          <w:lang w:eastAsia="en-GB"/>
          <w14:ligatures w14:val="none"/>
        </w:rPr>
        <w:t xml:space="preserve">, 41(9), pp.1–9.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://doi.org/10.1080/01612840.2020.1731028</w:t>
      </w:r>
      <w:proofErr w:type="gramEnd"/>
      <w:r w:rsidRPr="00065EF0">
        <w:rPr>
          <w:rFonts w:ascii="Times New Roman" w:eastAsia="Times New Roman" w:hAnsi="Times New Roman" w:cs="Times New Roman"/>
          <w:color w:val="000000"/>
          <w:kern w:val="0"/>
          <w:lang w:eastAsia="en-GB"/>
          <w14:ligatures w14:val="none"/>
        </w:rPr>
        <w:t>.</w:t>
      </w:r>
    </w:p>
    <w:p w14:paraId="33B67A87"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Strictly Education (2024). </w:t>
      </w:r>
      <w:r w:rsidRPr="00065EF0">
        <w:rPr>
          <w:rFonts w:ascii="Times New Roman" w:eastAsia="Times New Roman" w:hAnsi="Times New Roman" w:cs="Times New Roman"/>
          <w:i/>
          <w:iCs/>
          <w:color w:val="000000"/>
          <w:kern w:val="0"/>
          <w:lang w:eastAsia="en-GB"/>
          <w14:ligatures w14:val="none"/>
        </w:rPr>
        <w:t>The Importance of Equality, Diversity, and Inclusion (EDI) in Schools and Multi-Academy Trusts | Strictly Education</w:t>
      </w:r>
      <w:r w:rsidRPr="00065EF0">
        <w:rPr>
          <w:rFonts w:ascii="Times New Roman" w:eastAsia="Times New Roman" w:hAnsi="Times New Roman" w:cs="Times New Roman"/>
          <w:color w:val="000000"/>
          <w:kern w:val="0"/>
          <w:lang w:eastAsia="en-GB"/>
          <w14:ligatures w14:val="none"/>
        </w:rPr>
        <w:t>. [online] www.strictlyeducation.co.uk. Available at: https://www.strictlyeducation.co.uk/news/importance-of-equality-diversity-and-inclusion-schools-academy-trusts.</w:t>
      </w:r>
    </w:p>
    <w:p w14:paraId="7A8759C4"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Thomas Fordham Institute (2021). </w:t>
      </w:r>
      <w:r w:rsidRPr="00065EF0">
        <w:rPr>
          <w:rFonts w:ascii="Times New Roman" w:eastAsia="Times New Roman" w:hAnsi="Times New Roman" w:cs="Times New Roman"/>
          <w:i/>
          <w:iCs/>
          <w:color w:val="000000"/>
          <w:kern w:val="0"/>
          <w:lang w:eastAsia="en-GB"/>
          <w14:ligatures w14:val="none"/>
        </w:rPr>
        <w:t>Children learn best when they feel safe and valued</w:t>
      </w:r>
      <w:r w:rsidRPr="00065EF0">
        <w:rPr>
          <w:rFonts w:ascii="Times New Roman" w:eastAsia="Times New Roman" w:hAnsi="Times New Roman" w:cs="Times New Roman"/>
          <w:color w:val="000000"/>
          <w:kern w:val="0"/>
          <w:lang w:eastAsia="en-GB"/>
          <w14:ligatures w14:val="none"/>
        </w:rPr>
        <w:t>. [online] The Thomas B. Fordham Institute. Available at: https://fordhaminstitute.org/national/commentary/children-learn-best-when-they-feel-safe-and-valued.</w:t>
      </w:r>
    </w:p>
    <w:p w14:paraId="358BB468"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UK Government (2006). </w:t>
      </w:r>
      <w:r w:rsidRPr="00065EF0">
        <w:rPr>
          <w:rFonts w:ascii="Times New Roman" w:eastAsia="Times New Roman" w:hAnsi="Times New Roman" w:cs="Times New Roman"/>
          <w:i/>
          <w:iCs/>
          <w:color w:val="000000"/>
          <w:kern w:val="0"/>
          <w:lang w:eastAsia="en-GB"/>
          <w14:ligatures w14:val="none"/>
        </w:rPr>
        <w:t>Safeguarding Vulnerable Groups Act 2006</w:t>
      </w:r>
      <w:r w:rsidRPr="00065EF0">
        <w:rPr>
          <w:rFonts w:ascii="Times New Roman" w:eastAsia="Times New Roman" w:hAnsi="Times New Roman" w:cs="Times New Roman"/>
          <w:color w:val="000000"/>
          <w:kern w:val="0"/>
          <w:lang w:eastAsia="en-GB"/>
          <w14:ligatures w14:val="none"/>
        </w:rPr>
        <w:t>. [online] Legislation.gov.uk. Available at: https://www.legislation.gov.uk/ukpga/2006/47/contents.</w:t>
      </w:r>
    </w:p>
    <w:p w14:paraId="4B94CB87"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UNCRC (2023). </w:t>
      </w:r>
      <w:r w:rsidRPr="00065EF0">
        <w:rPr>
          <w:rFonts w:ascii="Times New Roman" w:eastAsia="Times New Roman" w:hAnsi="Times New Roman" w:cs="Times New Roman"/>
          <w:i/>
          <w:iCs/>
          <w:color w:val="000000"/>
          <w:kern w:val="0"/>
          <w:lang w:eastAsia="en-GB"/>
          <w14:ligatures w14:val="none"/>
        </w:rPr>
        <w:t>Article 24 - I have the right to good quality health care, to clean water and good food</w:t>
      </w:r>
      <w:r w:rsidRPr="00065EF0">
        <w:rPr>
          <w:rFonts w:ascii="Times New Roman" w:eastAsia="Times New Roman" w:hAnsi="Times New Roman" w:cs="Times New Roman"/>
          <w:color w:val="000000"/>
          <w:kern w:val="0"/>
          <w:lang w:eastAsia="en-GB"/>
          <w14:ligatures w14:val="none"/>
        </w:rPr>
        <w:t>. [online] The Children and Young People’s Commissioner Scotland. Available at: https://www.cypcs.org.uk/rights/uncrc/articles/article-24/.</w:t>
      </w:r>
    </w:p>
    <w:p w14:paraId="2650DA67"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UNICEF (2022). </w:t>
      </w:r>
      <w:r w:rsidRPr="00065EF0">
        <w:rPr>
          <w:rFonts w:ascii="Times New Roman" w:eastAsia="Times New Roman" w:hAnsi="Times New Roman" w:cs="Times New Roman"/>
          <w:i/>
          <w:iCs/>
          <w:color w:val="000000"/>
          <w:kern w:val="0"/>
          <w:lang w:eastAsia="en-GB"/>
          <w14:ligatures w14:val="none"/>
        </w:rPr>
        <w:t>The Right to Education - UNICEF UK</w:t>
      </w:r>
      <w:r w:rsidRPr="00065EF0">
        <w:rPr>
          <w:rFonts w:ascii="Times New Roman" w:eastAsia="Times New Roman" w:hAnsi="Times New Roman" w:cs="Times New Roman"/>
          <w:color w:val="000000"/>
          <w:kern w:val="0"/>
          <w:lang w:eastAsia="en-GB"/>
          <w14:ligatures w14:val="none"/>
        </w:rPr>
        <w:t>. [online] UNICEF. Available at: https://www.unicef.org.uk/rights-respecting-schools/the-rrsa/the-right-to-education/.</w:t>
      </w:r>
    </w:p>
    <w:p w14:paraId="06D76B87" w14:textId="77777777" w:rsidR="00065EF0" w:rsidRPr="00065EF0" w:rsidRDefault="00065EF0" w:rsidP="00065EF0">
      <w:pPr>
        <w:spacing w:after="240" w:line="360" w:lineRule="atLeast"/>
        <w:rPr>
          <w:rFonts w:ascii="Times New Roman" w:eastAsia="Times New Roman" w:hAnsi="Times New Roman" w:cs="Times New Roman"/>
          <w:color w:val="000000"/>
          <w:kern w:val="0"/>
          <w:lang w:eastAsia="en-GB"/>
          <w14:ligatures w14:val="none"/>
        </w:rPr>
      </w:pPr>
      <w:r w:rsidRPr="00065EF0">
        <w:rPr>
          <w:rFonts w:ascii="Times New Roman" w:eastAsia="Times New Roman" w:hAnsi="Times New Roman" w:cs="Times New Roman"/>
          <w:color w:val="000000"/>
          <w:kern w:val="0"/>
          <w:lang w:eastAsia="en-GB"/>
          <w14:ligatures w14:val="none"/>
        </w:rPr>
        <w:t xml:space="preserve">Valentine, A.Z., Hall, S.S., </w:t>
      </w:r>
      <w:proofErr w:type="spellStart"/>
      <w:r w:rsidRPr="00065EF0">
        <w:rPr>
          <w:rFonts w:ascii="Times New Roman" w:eastAsia="Times New Roman" w:hAnsi="Times New Roman" w:cs="Times New Roman"/>
          <w:color w:val="000000"/>
          <w:kern w:val="0"/>
          <w:lang w:eastAsia="en-GB"/>
          <w14:ligatures w14:val="none"/>
        </w:rPr>
        <w:t>Sayal</w:t>
      </w:r>
      <w:proofErr w:type="spellEnd"/>
      <w:r w:rsidRPr="00065EF0">
        <w:rPr>
          <w:rFonts w:ascii="Times New Roman" w:eastAsia="Times New Roman" w:hAnsi="Times New Roman" w:cs="Times New Roman"/>
          <w:color w:val="000000"/>
          <w:kern w:val="0"/>
          <w:lang w:eastAsia="en-GB"/>
          <w14:ligatures w14:val="none"/>
        </w:rPr>
        <w:t xml:space="preserve">, </w:t>
      </w:r>
      <w:proofErr w:type="gramStart"/>
      <w:r w:rsidRPr="00065EF0">
        <w:rPr>
          <w:rFonts w:ascii="Times New Roman" w:eastAsia="Times New Roman" w:hAnsi="Times New Roman" w:cs="Times New Roman"/>
          <w:color w:val="000000"/>
          <w:kern w:val="0"/>
          <w:lang w:eastAsia="en-GB"/>
          <w14:ligatures w14:val="none"/>
        </w:rPr>
        <w:t>K.</w:t>
      </w:r>
      <w:proofErr w:type="gramEnd"/>
      <w:r w:rsidRPr="00065EF0">
        <w:rPr>
          <w:rFonts w:ascii="Times New Roman" w:eastAsia="Times New Roman" w:hAnsi="Times New Roman" w:cs="Times New Roman"/>
          <w:color w:val="000000"/>
          <w:kern w:val="0"/>
          <w:lang w:eastAsia="en-GB"/>
          <w14:ligatures w14:val="none"/>
        </w:rPr>
        <w:t xml:space="preserve"> and Hall, C.L. (2024). Waiting-list interventions for children and young people using child and adolescent mental health services: a systematic review. </w:t>
      </w:r>
      <w:r w:rsidRPr="00065EF0">
        <w:rPr>
          <w:rFonts w:ascii="Times New Roman" w:eastAsia="Times New Roman" w:hAnsi="Times New Roman" w:cs="Times New Roman"/>
          <w:i/>
          <w:iCs/>
          <w:color w:val="000000"/>
          <w:kern w:val="0"/>
          <w:lang w:eastAsia="en-GB"/>
          <w14:ligatures w14:val="none"/>
        </w:rPr>
        <w:t>BMJ mental health</w:t>
      </w:r>
      <w:r w:rsidRPr="00065EF0">
        <w:rPr>
          <w:rFonts w:ascii="Times New Roman" w:eastAsia="Times New Roman" w:hAnsi="Times New Roman" w:cs="Times New Roman"/>
          <w:color w:val="000000"/>
          <w:kern w:val="0"/>
          <w:lang w:eastAsia="en-GB"/>
          <w14:ligatures w14:val="none"/>
        </w:rPr>
        <w:t xml:space="preserve">, [online] 27(1), p.e300844. </w:t>
      </w:r>
      <w:proofErr w:type="spellStart"/>
      <w:proofErr w:type="gramStart"/>
      <w:r w:rsidRPr="00065EF0">
        <w:rPr>
          <w:rFonts w:ascii="Times New Roman" w:eastAsia="Times New Roman" w:hAnsi="Times New Roman" w:cs="Times New Roman"/>
          <w:color w:val="000000"/>
          <w:kern w:val="0"/>
          <w:lang w:eastAsia="en-GB"/>
          <w14:ligatures w14:val="none"/>
        </w:rPr>
        <w:t>doi:https</w:t>
      </w:r>
      <w:proofErr w:type="spellEnd"/>
      <w:r w:rsidRPr="00065EF0">
        <w:rPr>
          <w:rFonts w:ascii="Times New Roman" w:eastAsia="Times New Roman" w:hAnsi="Times New Roman" w:cs="Times New Roman"/>
          <w:color w:val="000000"/>
          <w:kern w:val="0"/>
          <w:lang w:eastAsia="en-GB"/>
          <w14:ligatures w14:val="none"/>
        </w:rPr>
        <w:t>://doi.org/10.1136/bmjment-2023-300844</w:t>
      </w:r>
      <w:proofErr w:type="gramEnd"/>
      <w:r w:rsidRPr="00065EF0">
        <w:rPr>
          <w:rFonts w:ascii="Times New Roman" w:eastAsia="Times New Roman" w:hAnsi="Times New Roman" w:cs="Times New Roman"/>
          <w:color w:val="000000"/>
          <w:kern w:val="0"/>
          <w:lang w:eastAsia="en-GB"/>
          <w14:ligatures w14:val="none"/>
        </w:rPr>
        <w:t>.</w:t>
      </w:r>
    </w:p>
    <w:p w14:paraId="5B1C7439" w14:textId="77777777" w:rsidR="009B598F" w:rsidRDefault="009B598F"/>
    <w:sectPr w:rsidR="009B598F" w:rsidSect="00A03DD0">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76A7E" w14:textId="77777777" w:rsidR="00A03DD0" w:rsidRDefault="00A03DD0" w:rsidP="00A03DD0">
      <w:r>
        <w:separator/>
      </w:r>
    </w:p>
  </w:endnote>
  <w:endnote w:type="continuationSeparator" w:id="0">
    <w:p w14:paraId="6AAE5E04" w14:textId="77777777" w:rsidR="00A03DD0" w:rsidRDefault="00A03DD0" w:rsidP="00A03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514EA" w14:textId="77777777" w:rsidR="00A03DD0" w:rsidRDefault="00A03DD0" w:rsidP="00A03DD0">
      <w:r>
        <w:separator/>
      </w:r>
    </w:p>
  </w:footnote>
  <w:footnote w:type="continuationSeparator" w:id="0">
    <w:p w14:paraId="51ED456A" w14:textId="77777777" w:rsidR="00A03DD0" w:rsidRDefault="00A03DD0" w:rsidP="00A03D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8D4C2" w14:textId="77777777" w:rsidR="00A03DD0" w:rsidRPr="00A03DD0" w:rsidRDefault="00A03DD0" w:rsidP="00A03DD0">
    <w:pPr>
      <w:spacing w:before="100" w:beforeAutospacing="1" w:after="100" w:afterAutospacing="1"/>
      <w:jc w:val="center"/>
      <w:rPr>
        <w:rFonts w:ascii="Times New Roman" w:eastAsia="Times New Roman" w:hAnsi="Times New Roman" w:cs="Times New Roman"/>
        <w:color w:val="000000"/>
        <w:kern w:val="0"/>
        <w:sz w:val="28"/>
        <w:szCs w:val="28"/>
        <w:lang w:eastAsia="en-GB"/>
        <w14:ligatures w14:val="none"/>
      </w:rPr>
    </w:pPr>
  </w:p>
  <w:p w14:paraId="1856C394" w14:textId="77777777" w:rsidR="00A03DD0" w:rsidRDefault="00A03D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E23EF"/>
    <w:multiLevelType w:val="multilevel"/>
    <w:tmpl w:val="5A32C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1E0AB8"/>
    <w:multiLevelType w:val="multilevel"/>
    <w:tmpl w:val="D7AC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299817">
    <w:abstractNumId w:val="0"/>
  </w:num>
  <w:num w:numId="2" w16cid:durableId="462113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DD0"/>
    <w:rsid w:val="00065EF0"/>
    <w:rsid w:val="002E313D"/>
    <w:rsid w:val="009B0F07"/>
    <w:rsid w:val="009B598F"/>
    <w:rsid w:val="00A03DD0"/>
    <w:rsid w:val="00C91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1648F"/>
  <w15:chartTrackingRefBased/>
  <w15:docId w15:val="{10D62347-103B-CB48-8573-A0E4078AE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EF0"/>
  </w:style>
  <w:style w:type="paragraph" w:styleId="Heading1">
    <w:name w:val="heading 1"/>
    <w:basedOn w:val="Normal"/>
    <w:next w:val="Normal"/>
    <w:link w:val="Heading1Char"/>
    <w:uiPriority w:val="9"/>
    <w:qFormat/>
    <w:rsid w:val="00A03D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D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3D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D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D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D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D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D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D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D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3D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3D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D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D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D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D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D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DD0"/>
    <w:rPr>
      <w:rFonts w:eastAsiaTheme="majorEastAsia" w:cstheme="majorBidi"/>
      <w:color w:val="272727" w:themeColor="text1" w:themeTint="D8"/>
    </w:rPr>
  </w:style>
  <w:style w:type="paragraph" w:styleId="Title">
    <w:name w:val="Title"/>
    <w:basedOn w:val="Normal"/>
    <w:next w:val="Normal"/>
    <w:link w:val="TitleChar"/>
    <w:uiPriority w:val="10"/>
    <w:qFormat/>
    <w:rsid w:val="00A03D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D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D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D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D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3DD0"/>
    <w:rPr>
      <w:i/>
      <w:iCs/>
      <w:color w:val="404040" w:themeColor="text1" w:themeTint="BF"/>
    </w:rPr>
  </w:style>
  <w:style w:type="paragraph" w:styleId="ListParagraph">
    <w:name w:val="List Paragraph"/>
    <w:basedOn w:val="Normal"/>
    <w:uiPriority w:val="34"/>
    <w:qFormat/>
    <w:rsid w:val="00A03DD0"/>
    <w:pPr>
      <w:ind w:left="720"/>
      <w:contextualSpacing/>
    </w:pPr>
  </w:style>
  <w:style w:type="character" w:styleId="IntenseEmphasis">
    <w:name w:val="Intense Emphasis"/>
    <w:basedOn w:val="DefaultParagraphFont"/>
    <w:uiPriority w:val="21"/>
    <w:qFormat/>
    <w:rsid w:val="00A03DD0"/>
    <w:rPr>
      <w:i/>
      <w:iCs/>
      <w:color w:val="0F4761" w:themeColor="accent1" w:themeShade="BF"/>
    </w:rPr>
  </w:style>
  <w:style w:type="paragraph" w:styleId="IntenseQuote">
    <w:name w:val="Intense Quote"/>
    <w:basedOn w:val="Normal"/>
    <w:next w:val="Normal"/>
    <w:link w:val="IntenseQuoteChar"/>
    <w:uiPriority w:val="30"/>
    <w:qFormat/>
    <w:rsid w:val="00A03D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DD0"/>
    <w:rPr>
      <w:i/>
      <w:iCs/>
      <w:color w:val="0F4761" w:themeColor="accent1" w:themeShade="BF"/>
    </w:rPr>
  </w:style>
  <w:style w:type="character" w:styleId="IntenseReference">
    <w:name w:val="Intense Reference"/>
    <w:basedOn w:val="DefaultParagraphFont"/>
    <w:uiPriority w:val="32"/>
    <w:qFormat/>
    <w:rsid w:val="00A03DD0"/>
    <w:rPr>
      <w:b/>
      <w:bCs/>
      <w:smallCaps/>
      <w:color w:val="0F4761" w:themeColor="accent1" w:themeShade="BF"/>
      <w:spacing w:val="5"/>
    </w:rPr>
  </w:style>
  <w:style w:type="character" w:customStyle="1" w:styleId="apple-converted-space">
    <w:name w:val="apple-converted-space"/>
    <w:basedOn w:val="DefaultParagraphFont"/>
    <w:rsid w:val="00A03DD0"/>
  </w:style>
  <w:style w:type="character" w:styleId="Strong">
    <w:name w:val="Strong"/>
    <w:basedOn w:val="DefaultParagraphFont"/>
    <w:uiPriority w:val="22"/>
    <w:qFormat/>
    <w:rsid w:val="00A03DD0"/>
    <w:rPr>
      <w:b/>
      <w:bCs/>
    </w:rPr>
  </w:style>
  <w:style w:type="paragraph" w:styleId="Revision">
    <w:name w:val="Revision"/>
    <w:hidden/>
    <w:uiPriority w:val="99"/>
    <w:semiHidden/>
    <w:rsid w:val="00A03DD0"/>
  </w:style>
  <w:style w:type="paragraph" w:styleId="NormalWeb">
    <w:name w:val="Normal (Web)"/>
    <w:basedOn w:val="Normal"/>
    <w:uiPriority w:val="99"/>
    <w:semiHidden/>
    <w:unhideWhenUsed/>
    <w:rsid w:val="00A03DD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03DD0"/>
    <w:rPr>
      <w:i/>
      <w:iCs/>
    </w:rPr>
  </w:style>
  <w:style w:type="paragraph" w:styleId="Header">
    <w:name w:val="header"/>
    <w:basedOn w:val="Normal"/>
    <w:link w:val="HeaderChar"/>
    <w:uiPriority w:val="99"/>
    <w:unhideWhenUsed/>
    <w:rsid w:val="00A03DD0"/>
    <w:pPr>
      <w:tabs>
        <w:tab w:val="center" w:pos="4513"/>
        <w:tab w:val="right" w:pos="9026"/>
      </w:tabs>
    </w:pPr>
  </w:style>
  <w:style w:type="character" w:customStyle="1" w:styleId="HeaderChar">
    <w:name w:val="Header Char"/>
    <w:basedOn w:val="DefaultParagraphFont"/>
    <w:link w:val="Header"/>
    <w:uiPriority w:val="99"/>
    <w:rsid w:val="00A03DD0"/>
  </w:style>
  <w:style w:type="paragraph" w:styleId="Footer">
    <w:name w:val="footer"/>
    <w:basedOn w:val="Normal"/>
    <w:link w:val="FooterChar"/>
    <w:uiPriority w:val="99"/>
    <w:unhideWhenUsed/>
    <w:rsid w:val="00A03DD0"/>
    <w:pPr>
      <w:tabs>
        <w:tab w:val="center" w:pos="4513"/>
        <w:tab w:val="right" w:pos="9026"/>
      </w:tabs>
    </w:pPr>
  </w:style>
  <w:style w:type="character" w:customStyle="1" w:styleId="FooterChar">
    <w:name w:val="Footer Char"/>
    <w:basedOn w:val="DefaultParagraphFont"/>
    <w:link w:val="Footer"/>
    <w:uiPriority w:val="99"/>
    <w:rsid w:val="00A03DD0"/>
  </w:style>
  <w:style w:type="paragraph" w:styleId="NoSpacing">
    <w:name w:val="No Spacing"/>
    <w:link w:val="NoSpacingChar"/>
    <w:uiPriority w:val="1"/>
    <w:qFormat/>
    <w:rsid w:val="00A03DD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03DD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37775">
      <w:bodyDiv w:val="1"/>
      <w:marLeft w:val="0"/>
      <w:marRight w:val="0"/>
      <w:marTop w:val="0"/>
      <w:marBottom w:val="0"/>
      <w:divBdr>
        <w:top w:val="none" w:sz="0" w:space="0" w:color="auto"/>
        <w:left w:val="none" w:sz="0" w:space="0" w:color="auto"/>
        <w:bottom w:val="none" w:sz="0" w:space="0" w:color="auto"/>
        <w:right w:val="none" w:sz="0" w:space="0" w:color="auto"/>
      </w:divBdr>
      <w:divsChild>
        <w:div w:id="20015635">
          <w:marLeft w:val="0"/>
          <w:marRight w:val="0"/>
          <w:marTop w:val="0"/>
          <w:marBottom w:val="0"/>
          <w:divBdr>
            <w:top w:val="none" w:sz="0" w:space="0" w:color="auto"/>
            <w:left w:val="none" w:sz="0" w:space="0" w:color="auto"/>
            <w:bottom w:val="none" w:sz="0" w:space="0" w:color="auto"/>
            <w:right w:val="none" w:sz="0" w:space="0" w:color="auto"/>
          </w:divBdr>
        </w:div>
      </w:divsChild>
    </w:div>
    <w:div w:id="126749159">
      <w:bodyDiv w:val="1"/>
      <w:marLeft w:val="0"/>
      <w:marRight w:val="0"/>
      <w:marTop w:val="0"/>
      <w:marBottom w:val="0"/>
      <w:divBdr>
        <w:top w:val="none" w:sz="0" w:space="0" w:color="auto"/>
        <w:left w:val="none" w:sz="0" w:space="0" w:color="auto"/>
        <w:bottom w:val="none" w:sz="0" w:space="0" w:color="auto"/>
        <w:right w:val="none" w:sz="0" w:space="0" w:color="auto"/>
      </w:divBdr>
    </w:div>
    <w:div w:id="157507287">
      <w:bodyDiv w:val="1"/>
      <w:marLeft w:val="0"/>
      <w:marRight w:val="0"/>
      <w:marTop w:val="0"/>
      <w:marBottom w:val="0"/>
      <w:divBdr>
        <w:top w:val="none" w:sz="0" w:space="0" w:color="auto"/>
        <w:left w:val="none" w:sz="0" w:space="0" w:color="auto"/>
        <w:bottom w:val="none" w:sz="0" w:space="0" w:color="auto"/>
        <w:right w:val="none" w:sz="0" w:space="0" w:color="auto"/>
      </w:divBdr>
    </w:div>
    <w:div w:id="285694898">
      <w:bodyDiv w:val="1"/>
      <w:marLeft w:val="0"/>
      <w:marRight w:val="0"/>
      <w:marTop w:val="0"/>
      <w:marBottom w:val="0"/>
      <w:divBdr>
        <w:top w:val="none" w:sz="0" w:space="0" w:color="auto"/>
        <w:left w:val="none" w:sz="0" w:space="0" w:color="auto"/>
        <w:bottom w:val="none" w:sz="0" w:space="0" w:color="auto"/>
        <w:right w:val="none" w:sz="0" w:space="0" w:color="auto"/>
      </w:divBdr>
    </w:div>
    <w:div w:id="557984054">
      <w:bodyDiv w:val="1"/>
      <w:marLeft w:val="0"/>
      <w:marRight w:val="0"/>
      <w:marTop w:val="0"/>
      <w:marBottom w:val="0"/>
      <w:divBdr>
        <w:top w:val="none" w:sz="0" w:space="0" w:color="auto"/>
        <w:left w:val="none" w:sz="0" w:space="0" w:color="auto"/>
        <w:bottom w:val="none" w:sz="0" w:space="0" w:color="auto"/>
        <w:right w:val="none" w:sz="0" w:space="0" w:color="auto"/>
      </w:divBdr>
    </w:div>
    <w:div w:id="584344952">
      <w:bodyDiv w:val="1"/>
      <w:marLeft w:val="0"/>
      <w:marRight w:val="0"/>
      <w:marTop w:val="0"/>
      <w:marBottom w:val="0"/>
      <w:divBdr>
        <w:top w:val="none" w:sz="0" w:space="0" w:color="auto"/>
        <w:left w:val="none" w:sz="0" w:space="0" w:color="auto"/>
        <w:bottom w:val="none" w:sz="0" w:space="0" w:color="auto"/>
        <w:right w:val="none" w:sz="0" w:space="0" w:color="auto"/>
      </w:divBdr>
    </w:div>
    <w:div w:id="615408864">
      <w:bodyDiv w:val="1"/>
      <w:marLeft w:val="0"/>
      <w:marRight w:val="0"/>
      <w:marTop w:val="0"/>
      <w:marBottom w:val="0"/>
      <w:divBdr>
        <w:top w:val="none" w:sz="0" w:space="0" w:color="auto"/>
        <w:left w:val="none" w:sz="0" w:space="0" w:color="auto"/>
        <w:bottom w:val="none" w:sz="0" w:space="0" w:color="auto"/>
        <w:right w:val="none" w:sz="0" w:space="0" w:color="auto"/>
      </w:divBdr>
    </w:div>
    <w:div w:id="663166457">
      <w:bodyDiv w:val="1"/>
      <w:marLeft w:val="0"/>
      <w:marRight w:val="0"/>
      <w:marTop w:val="0"/>
      <w:marBottom w:val="0"/>
      <w:divBdr>
        <w:top w:val="none" w:sz="0" w:space="0" w:color="auto"/>
        <w:left w:val="none" w:sz="0" w:space="0" w:color="auto"/>
        <w:bottom w:val="none" w:sz="0" w:space="0" w:color="auto"/>
        <w:right w:val="none" w:sz="0" w:space="0" w:color="auto"/>
      </w:divBdr>
    </w:div>
    <w:div w:id="705302137">
      <w:bodyDiv w:val="1"/>
      <w:marLeft w:val="0"/>
      <w:marRight w:val="0"/>
      <w:marTop w:val="0"/>
      <w:marBottom w:val="0"/>
      <w:divBdr>
        <w:top w:val="none" w:sz="0" w:space="0" w:color="auto"/>
        <w:left w:val="none" w:sz="0" w:space="0" w:color="auto"/>
        <w:bottom w:val="none" w:sz="0" w:space="0" w:color="auto"/>
        <w:right w:val="none" w:sz="0" w:space="0" w:color="auto"/>
      </w:divBdr>
    </w:div>
    <w:div w:id="978456905">
      <w:bodyDiv w:val="1"/>
      <w:marLeft w:val="0"/>
      <w:marRight w:val="0"/>
      <w:marTop w:val="0"/>
      <w:marBottom w:val="0"/>
      <w:divBdr>
        <w:top w:val="none" w:sz="0" w:space="0" w:color="auto"/>
        <w:left w:val="none" w:sz="0" w:space="0" w:color="auto"/>
        <w:bottom w:val="none" w:sz="0" w:space="0" w:color="auto"/>
        <w:right w:val="none" w:sz="0" w:space="0" w:color="auto"/>
      </w:divBdr>
    </w:div>
    <w:div w:id="1178346824">
      <w:bodyDiv w:val="1"/>
      <w:marLeft w:val="0"/>
      <w:marRight w:val="0"/>
      <w:marTop w:val="0"/>
      <w:marBottom w:val="0"/>
      <w:divBdr>
        <w:top w:val="none" w:sz="0" w:space="0" w:color="auto"/>
        <w:left w:val="none" w:sz="0" w:space="0" w:color="auto"/>
        <w:bottom w:val="none" w:sz="0" w:space="0" w:color="auto"/>
        <w:right w:val="none" w:sz="0" w:space="0" w:color="auto"/>
      </w:divBdr>
    </w:div>
    <w:div w:id="1183320486">
      <w:bodyDiv w:val="1"/>
      <w:marLeft w:val="0"/>
      <w:marRight w:val="0"/>
      <w:marTop w:val="0"/>
      <w:marBottom w:val="0"/>
      <w:divBdr>
        <w:top w:val="none" w:sz="0" w:space="0" w:color="auto"/>
        <w:left w:val="none" w:sz="0" w:space="0" w:color="auto"/>
        <w:bottom w:val="none" w:sz="0" w:space="0" w:color="auto"/>
        <w:right w:val="none" w:sz="0" w:space="0" w:color="auto"/>
      </w:divBdr>
    </w:div>
    <w:div w:id="1249269040">
      <w:bodyDiv w:val="1"/>
      <w:marLeft w:val="0"/>
      <w:marRight w:val="0"/>
      <w:marTop w:val="0"/>
      <w:marBottom w:val="0"/>
      <w:divBdr>
        <w:top w:val="none" w:sz="0" w:space="0" w:color="auto"/>
        <w:left w:val="none" w:sz="0" w:space="0" w:color="auto"/>
        <w:bottom w:val="none" w:sz="0" w:space="0" w:color="auto"/>
        <w:right w:val="none" w:sz="0" w:space="0" w:color="auto"/>
      </w:divBdr>
    </w:div>
    <w:div w:id="1570916288">
      <w:bodyDiv w:val="1"/>
      <w:marLeft w:val="0"/>
      <w:marRight w:val="0"/>
      <w:marTop w:val="0"/>
      <w:marBottom w:val="0"/>
      <w:divBdr>
        <w:top w:val="none" w:sz="0" w:space="0" w:color="auto"/>
        <w:left w:val="none" w:sz="0" w:space="0" w:color="auto"/>
        <w:bottom w:val="none" w:sz="0" w:space="0" w:color="auto"/>
        <w:right w:val="none" w:sz="0" w:space="0" w:color="auto"/>
      </w:divBdr>
      <w:divsChild>
        <w:div w:id="439837632">
          <w:marLeft w:val="0"/>
          <w:marRight w:val="0"/>
          <w:marTop w:val="0"/>
          <w:marBottom w:val="0"/>
          <w:divBdr>
            <w:top w:val="none" w:sz="0" w:space="0" w:color="auto"/>
            <w:left w:val="none" w:sz="0" w:space="0" w:color="auto"/>
            <w:bottom w:val="none" w:sz="0" w:space="0" w:color="auto"/>
            <w:right w:val="none" w:sz="0" w:space="0" w:color="auto"/>
          </w:divBdr>
        </w:div>
      </w:divsChild>
    </w:div>
    <w:div w:id="1740521213">
      <w:bodyDiv w:val="1"/>
      <w:marLeft w:val="0"/>
      <w:marRight w:val="0"/>
      <w:marTop w:val="0"/>
      <w:marBottom w:val="0"/>
      <w:divBdr>
        <w:top w:val="none" w:sz="0" w:space="0" w:color="auto"/>
        <w:left w:val="none" w:sz="0" w:space="0" w:color="auto"/>
        <w:bottom w:val="none" w:sz="0" w:space="0" w:color="auto"/>
        <w:right w:val="none" w:sz="0" w:space="0" w:color="auto"/>
      </w:divBdr>
    </w:div>
    <w:div w:id="18580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5269</Words>
  <Characters>30089</Characters>
  <Application>Microsoft Office Word</Application>
  <DocSecurity>0</DocSecurity>
  <Lines>640</Lines>
  <Paragraphs>193</Paragraphs>
  <ScaleCrop>false</ScaleCrop>
  <Company/>
  <LinksUpToDate>false</LinksUpToDate>
  <CharactersWithSpaces>35165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wellbeing for children, young people and families poster</dc:title>
  <dc:subject/>
  <dc:creator>Ffion Richards (2305370)</dc:creator>
  <cp:keywords/>
  <dc:description/>
  <cp:lastModifiedBy>Ffion Richards (2305370)</cp:lastModifiedBy>
  <cp:revision>2</cp:revision>
  <dcterms:created xsi:type="dcterms:W3CDTF">2025-05-09T18:28:00Z</dcterms:created>
  <dcterms:modified xsi:type="dcterms:W3CDTF">2025-05-09T18:28:00Z</dcterms:modified>
</cp:coreProperties>
</file>