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F88A8" w14:textId="5CCA5D69" w:rsidR="00180682" w:rsidRDefault="00180682" w:rsidP="00180682">
      <w:r w:rsidRPr="00AD54D8">
        <w:rPr>
          <w:rFonts w:ascii="Arial" w:hAnsi="Arial" w:cs="Arial"/>
          <w:noProof/>
          <w:sz w:val="22"/>
          <w:szCs w:val="22"/>
        </w:rPr>
        <w:drawing>
          <wp:inline distT="0" distB="0" distL="0" distR="0" wp14:anchorId="5A6E61C1" wp14:editId="57A9166F">
            <wp:extent cx="1809750" cy="723900"/>
            <wp:effectExtent l="0" t="0" r="0" b="0"/>
            <wp:docPr id="136009412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C1D517F" w14:textId="77777777" w:rsidR="00180682" w:rsidRPr="00EF4BB1" w:rsidRDefault="00180682" w:rsidP="00EF4BB1">
      <w:pPr>
        <w:tabs>
          <w:tab w:val="left" w:pos="6540"/>
        </w:tabs>
        <w:spacing w:line="360" w:lineRule="auto"/>
        <w:rPr>
          <w:rFonts w:ascii="Arial" w:hAnsi="Arial" w:cs="Arial"/>
          <w:sz w:val="22"/>
          <w:szCs w:val="22"/>
        </w:rPr>
      </w:pPr>
      <w:r w:rsidRPr="00EF4BB1">
        <w:rPr>
          <w:rFonts w:ascii="Arial" w:hAnsi="Arial" w:cs="Arial"/>
          <w:b/>
          <w:bCs/>
          <w:sz w:val="22"/>
          <w:szCs w:val="22"/>
        </w:rPr>
        <w:t>Student name</w:t>
      </w:r>
      <w:r w:rsidRPr="00EF4BB1">
        <w:rPr>
          <w:rFonts w:ascii="Arial" w:hAnsi="Arial" w:cs="Arial"/>
          <w:sz w:val="22"/>
          <w:szCs w:val="22"/>
        </w:rPr>
        <w:t>: Vikki Short</w:t>
      </w:r>
    </w:p>
    <w:p w14:paraId="3BCC6275" w14:textId="77777777" w:rsidR="00180682" w:rsidRPr="00EF4BB1" w:rsidRDefault="00180682" w:rsidP="00EF4BB1">
      <w:pPr>
        <w:tabs>
          <w:tab w:val="left" w:pos="6540"/>
        </w:tabs>
        <w:spacing w:line="360" w:lineRule="auto"/>
        <w:rPr>
          <w:rFonts w:ascii="Arial" w:hAnsi="Arial" w:cs="Arial"/>
          <w:sz w:val="22"/>
          <w:szCs w:val="22"/>
          <w:lang w:val="nl-NL"/>
        </w:rPr>
      </w:pPr>
      <w:r w:rsidRPr="00EF4BB1">
        <w:rPr>
          <w:rFonts w:ascii="Arial" w:hAnsi="Arial" w:cs="Arial"/>
          <w:b/>
          <w:bCs/>
          <w:sz w:val="22"/>
          <w:szCs w:val="22"/>
          <w:lang w:val="nl-NL"/>
        </w:rPr>
        <w:t>Student ID</w:t>
      </w:r>
      <w:r w:rsidRPr="00EF4BB1">
        <w:rPr>
          <w:rFonts w:ascii="Arial" w:hAnsi="Arial" w:cs="Arial"/>
          <w:sz w:val="22"/>
          <w:szCs w:val="22"/>
          <w:lang w:val="nl-NL"/>
        </w:rPr>
        <w:t>: 2508523</w:t>
      </w:r>
    </w:p>
    <w:p w14:paraId="2AE9FCF2" w14:textId="67C4A3FF" w:rsidR="00180682" w:rsidRPr="00EF4BB1" w:rsidRDefault="00180682" w:rsidP="00EF4BB1">
      <w:pPr>
        <w:tabs>
          <w:tab w:val="left" w:pos="6540"/>
        </w:tabs>
        <w:spacing w:line="360" w:lineRule="auto"/>
        <w:rPr>
          <w:rFonts w:ascii="Arial" w:hAnsi="Arial" w:cs="Arial"/>
          <w:sz w:val="22"/>
          <w:szCs w:val="22"/>
          <w:lang w:val="nl-NL"/>
        </w:rPr>
      </w:pPr>
      <w:r w:rsidRPr="00EF4BB1">
        <w:rPr>
          <w:rFonts w:ascii="Arial" w:hAnsi="Arial" w:cs="Arial"/>
          <w:b/>
          <w:bCs/>
          <w:sz w:val="22"/>
          <w:szCs w:val="22"/>
          <w:lang w:val="nl-NL"/>
        </w:rPr>
        <w:t>Module name</w:t>
      </w:r>
      <w:r w:rsidRPr="00EF4BB1">
        <w:rPr>
          <w:rFonts w:ascii="Arial" w:hAnsi="Arial" w:cs="Arial"/>
          <w:sz w:val="22"/>
          <w:szCs w:val="22"/>
          <w:lang w:val="nl-NL"/>
        </w:rPr>
        <w:t>: Introduction</w:t>
      </w:r>
      <w:r w:rsidRPr="00EF4BB1">
        <w:rPr>
          <w:rFonts w:ascii="Arial" w:hAnsi="Arial" w:cs="Arial"/>
          <w:sz w:val="22"/>
          <w:szCs w:val="22"/>
        </w:rPr>
        <w:t xml:space="preserve"> to Public Health</w:t>
      </w:r>
    </w:p>
    <w:p w14:paraId="6D998C9B" w14:textId="37222753" w:rsidR="00180682" w:rsidRPr="00EF4BB1" w:rsidRDefault="00180682" w:rsidP="00EF4BB1">
      <w:pPr>
        <w:tabs>
          <w:tab w:val="left" w:pos="6540"/>
        </w:tabs>
        <w:spacing w:line="360" w:lineRule="auto"/>
        <w:rPr>
          <w:rFonts w:ascii="Arial" w:hAnsi="Arial" w:cs="Arial"/>
          <w:sz w:val="22"/>
          <w:szCs w:val="22"/>
        </w:rPr>
      </w:pPr>
      <w:r w:rsidRPr="00EF4BB1">
        <w:rPr>
          <w:rFonts w:ascii="Arial" w:hAnsi="Arial" w:cs="Arial"/>
          <w:b/>
          <w:bCs/>
          <w:sz w:val="22"/>
          <w:szCs w:val="22"/>
        </w:rPr>
        <w:t>Module code</w:t>
      </w:r>
      <w:r w:rsidRPr="00EF4BB1">
        <w:rPr>
          <w:rFonts w:ascii="Arial" w:hAnsi="Arial" w:cs="Arial"/>
          <w:sz w:val="22"/>
          <w:szCs w:val="22"/>
        </w:rPr>
        <w:t>: LCHS4008</w:t>
      </w:r>
    </w:p>
    <w:p w14:paraId="36B3F518" w14:textId="24599814" w:rsidR="00180682" w:rsidRPr="00EF4BB1" w:rsidRDefault="00180682" w:rsidP="00EF4BB1">
      <w:pPr>
        <w:spacing w:line="360" w:lineRule="auto"/>
        <w:rPr>
          <w:rFonts w:ascii="Arial" w:hAnsi="Arial" w:cs="Arial"/>
          <w:sz w:val="22"/>
          <w:szCs w:val="22"/>
        </w:rPr>
      </w:pPr>
      <w:r w:rsidRPr="00EF4BB1">
        <w:rPr>
          <w:rFonts w:ascii="Arial" w:hAnsi="Arial" w:cs="Arial"/>
          <w:b/>
          <w:bCs/>
          <w:sz w:val="22"/>
          <w:szCs w:val="22"/>
        </w:rPr>
        <w:t xml:space="preserve">Lecturer name: </w:t>
      </w:r>
      <w:r w:rsidRPr="00EF4BB1">
        <w:rPr>
          <w:rFonts w:ascii="Arial" w:hAnsi="Arial" w:cs="Arial"/>
          <w:sz w:val="22"/>
          <w:szCs w:val="22"/>
        </w:rPr>
        <w:t>Caroline Salami</w:t>
      </w:r>
    </w:p>
    <w:p w14:paraId="1D5AAADE" w14:textId="33C55714" w:rsidR="00180682" w:rsidRPr="00C425C2" w:rsidRDefault="00E96EB1" w:rsidP="00EF4BB1">
      <w:pPr>
        <w:spacing w:line="360" w:lineRule="auto"/>
        <w:rPr>
          <w:rFonts w:ascii="Arial" w:hAnsi="Arial" w:cs="Arial"/>
          <w:sz w:val="22"/>
          <w:szCs w:val="22"/>
          <w:u w:val="single"/>
        </w:rPr>
      </w:pPr>
      <w:r w:rsidRPr="00C425C2">
        <w:rPr>
          <w:rFonts w:ascii="Arial" w:hAnsi="Arial" w:cs="Arial"/>
          <w:sz w:val="22"/>
          <w:szCs w:val="22"/>
          <w:u w:val="single"/>
        </w:rPr>
        <w:t>Dementia</w:t>
      </w:r>
    </w:p>
    <w:p w14:paraId="0C475658" w14:textId="77F94FE1"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 xml:space="preserve">Dementia is a progressive neurological </w:t>
      </w:r>
      <w:r w:rsidR="00DB15C9" w:rsidRPr="005D1848">
        <w:rPr>
          <w:rFonts w:ascii="Arial" w:hAnsi="Arial" w:cs="Arial"/>
          <w:sz w:val="22"/>
          <w:szCs w:val="22"/>
        </w:rPr>
        <w:t>disease</w:t>
      </w:r>
      <w:r w:rsidRPr="005D1848">
        <w:rPr>
          <w:rFonts w:ascii="Arial" w:hAnsi="Arial" w:cs="Arial"/>
          <w:sz w:val="22"/>
          <w:szCs w:val="22"/>
        </w:rPr>
        <w:t xml:space="preserve"> that causes a decline in cognitive abilities severe enough to </w:t>
      </w:r>
      <w:r w:rsidR="00674CF5">
        <w:rPr>
          <w:rFonts w:ascii="Arial" w:hAnsi="Arial" w:cs="Arial"/>
          <w:sz w:val="22"/>
          <w:szCs w:val="22"/>
        </w:rPr>
        <w:t>a</w:t>
      </w:r>
      <w:r w:rsidR="004F2D0B">
        <w:rPr>
          <w:rFonts w:ascii="Arial" w:hAnsi="Arial" w:cs="Arial"/>
          <w:sz w:val="22"/>
          <w:szCs w:val="22"/>
        </w:rPr>
        <w:t>ffect</w:t>
      </w:r>
      <w:r w:rsidRPr="005D1848">
        <w:rPr>
          <w:rFonts w:ascii="Arial" w:hAnsi="Arial" w:cs="Arial"/>
          <w:sz w:val="22"/>
          <w:szCs w:val="22"/>
        </w:rPr>
        <w:t xml:space="preserve"> with everyday life. Rather than being a single illness, it is an umbrella term for several conditions, including Alzheimer’s disease, vascular dementia, Lewy body dementia, and frontotemporal dementia. Each type involves different patterns of brain cell damage, which is why symptoms and progression vary between individuals (World Health Organization, 2023). Common early symptoms include memory loss, confusion, language difficulties, reduced reasoning skills, personality changes, and problems carrying out daily tasks (Alzheimer’s Society, 2024). As dementia progresses, people may also experience behavioural changes, mobility problems, and increasing dependence on others for personal care and safety.</w:t>
      </w:r>
    </w:p>
    <w:p w14:paraId="27C822DF" w14:textId="0791923D"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Community</w:t>
      </w:r>
      <w:r w:rsidRPr="005D1848">
        <w:rPr>
          <w:rFonts w:ascii="Arial" w:hAnsi="Arial" w:cs="Arial"/>
          <w:sz w:val="22"/>
          <w:szCs w:val="22"/>
        </w:rPr>
        <w:noBreakHyphen/>
        <w:t>based support is essential in helping people with dementia</w:t>
      </w:r>
      <w:r w:rsidR="000E776F">
        <w:rPr>
          <w:rFonts w:ascii="Arial" w:hAnsi="Arial" w:cs="Arial"/>
          <w:sz w:val="22"/>
          <w:szCs w:val="22"/>
        </w:rPr>
        <w:t xml:space="preserve"> to</w:t>
      </w:r>
      <w:r w:rsidRPr="005D1848">
        <w:rPr>
          <w:rFonts w:ascii="Arial" w:hAnsi="Arial" w:cs="Arial"/>
          <w:sz w:val="22"/>
          <w:szCs w:val="22"/>
        </w:rPr>
        <w:t xml:space="preserve"> maintain independence and quality of life for as long as possible. Key services include GP monitoring, memory clinics, community mental health teams, home</w:t>
      </w:r>
      <w:r w:rsidRPr="005D1848">
        <w:rPr>
          <w:rFonts w:ascii="Arial" w:hAnsi="Arial" w:cs="Arial"/>
          <w:sz w:val="22"/>
          <w:szCs w:val="22"/>
        </w:rPr>
        <w:noBreakHyphen/>
        <w:t>care support, occupational therapy, social work involvement, and voluntary</w:t>
      </w:r>
      <w:r w:rsidRPr="005D1848">
        <w:rPr>
          <w:rFonts w:ascii="Arial" w:hAnsi="Arial" w:cs="Arial"/>
          <w:sz w:val="22"/>
          <w:szCs w:val="22"/>
        </w:rPr>
        <w:noBreakHyphen/>
        <w:t>sector initiatives such as dementia cafés and carer support groups. These services reflect national priorities outlined in the NHS Long Term Plan, which emphasises early diagnosis, personalised care, and strong community support networks (NHS England, 2019). Without these services, many individuals would struggle to remain safely at home or access the help they need.</w:t>
      </w:r>
    </w:p>
    <w:p w14:paraId="43EE81A1" w14:textId="75502722"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Monitoring dementia requires a structured and ongoing approach that includes cognitive testing, functional assessment, behavioural monitoring, and medical investigation. Cognitive assessments are central to both diagnosis and ongoing review. Tools such as the Mini</w:t>
      </w:r>
      <w:r w:rsidRPr="005D1848">
        <w:rPr>
          <w:rFonts w:ascii="Arial" w:hAnsi="Arial" w:cs="Arial"/>
          <w:sz w:val="22"/>
          <w:szCs w:val="22"/>
        </w:rPr>
        <w:noBreakHyphen/>
        <w:t xml:space="preserve">Mental State Examination (MMSE) and the Montreal Cognitive Assessment (MoCA) measure memory, orientation, attention, and language, helping clinicians understand the </w:t>
      </w:r>
      <w:r w:rsidRPr="005D1848">
        <w:rPr>
          <w:rFonts w:ascii="Arial" w:hAnsi="Arial" w:cs="Arial"/>
          <w:sz w:val="22"/>
          <w:szCs w:val="22"/>
        </w:rPr>
        <w:lastRenderedPageBreak/>
        <w:t>level of cognitive impairment (Nasreddine et al., 2005). The Addenbrooke’s Cognitive Examination (ACE</w:t>
      </w:r>
      <w:r w:rsidRPr="005D1848">
        <w:rPr>
          <w:rFonts w:ascii="Arial" w:hAnsi="Arial" w:cs="Arial"/>
          <w:sz w:val="22"/>
          <w:szCs w:val="22"/>
        </w:rPr>
        <w:noBreakHyphen/>
        <w:t xml:space="preserve">III) provides a more detailed assessment and is particularly useful for identifying different dementia subtypes (Hsieh et al., 2013). Although these tools are </w:t>
      </w:r>
      <w:r w:rsidR="000F424F" w:rsidRPr="005D1848">
        <w:rPr>
          <w:rFonts w:ascii="Arial" w:hAnsi="Arial" w:cs="Arial"/>
          <w:sz w:val="22"/>
          <w:szCs w:val="22"/>
        </w:rPr>
        <w:t>significant</w:t>
      </w:r>
      <w:r w:rsidRPr="005D1848">
        <w:rPr>
          <w:rFonts w:ascii="Arial" w:hAnsi="Arial" w:cs="Arial"/>
          <w:sz w:val="22"/>
          <w:szCs w:val="22"/>
        </w:rPr>
        <w:t xml:space="preserve">, they must be </w:t>
      </w:r>
      <w:r w:rsidR="000F424F" w:rsidRPr="005D1848">
        <w:rPr>
          <w:rFonts w:ascii="Arial" w:hAnsi="Arial" w:cs="Arial"/>
          <w:sz w:val="22"/>
          <w:szCs w:val="22"/>
        </w:rPr>
        <w:t>explained</w:t>
      </w:r>
      <w:r w:rsidRPr="005D1848">
        <w:rPr>
          <w:rFonts w:ascii="Arial" w:hAnsi="Arial" w:cs="Arial"/>
          <w:sz w:val="22"/>
          <w:szCs w:val="22"/>
        </w:rPr>
        <w:t xml:space="preserve"> carefully. Factors such as education level, cultural background, language barriers, and anxiety can influence performance, so </w:t>
      </w:r>
      <w:r w:rsidR="000F424F" w:rsidRPr="005D1848">
        <w:rPr>
          <w:rFonts w:ascii="Arial" w:hAnsi="Arial" w:cs="Arial"/>
          <w:sz w:val="22"/>
          <w:szCs w:val="22"/>
        </w:rPr>
        <w:t>medical</w:t>
      </w:r>
      <w:r w:rsidRPr="005D1848">
        <w:rPr>
          <w:rFonts w:ascii="Arial" w:hAnsi="Arial" w:cs="Arial"/>
          <w:sz w:val="22"/>
          <w:szCs w:val="22"/>
        </w:rPr>
        <w:t xml:space="preserve"> judgement remains essential.</w:t>
      </w:r>
    </w:p>
    <w:p w14:paraId="2FEFD54E" w14:textId="577EC630"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Functional assessments help determine how dementia affects a person’s ability to manage daily life. Tools such as the Activities of Daily Living (ADL) and Instrumental Activities of Daily Living (IADL) scales measure skills like washing, dressing, preparing meals, managing money, and using transport. Carer</w:t>
      </w:r>
      <w:r w:rsidRPr="005D1848">
        <w:rPr>
          <w:rFonts w:ascii="Arial" w:hAnsi="Arial" w:cs="Arial"/>
          <w:sz w:val="22"/>
          <w:szCs w:val="22"/>
        </w:rPr>
        <w:noBreakHyphen/>
        <w:t>reported tools, including the Disability Assessment for Dementia (DAD), provide insight into how the person functions in real</w:t>
      </w:r>
      <w:r w:rsidRPr="005D1848">
        <w:rPr>
          <w:rFonts w:ascii="Arial" w:hAnsi="Arial" w:cs="Arial"/>
          <w:sz w:val="22"/>
          <w:szCs w:val="22"/>
        </w:rPr>
        <w:noBreakHyphen/>
        <w:t>world situations (</w:t>
      </w:r>
      <w:proofErr w:type="spellStart"/>
      <w:r w:rsidRPr="005D1848">
        <w:rPr>
          <w:rFonts w:ascii="Arial" w:hAnsi="Arial" w:cs="Arial"/>
          <w:sz w:val="22"/>
          <w:szCs w:val="22"/>
        </w:rPr>
        <w:t>Gélinas</w:t>
      </w:r>
      <w:proofErr w:type="spellEnd"/>
      <w:r w:rsidRPr="005D1848">
        <w:rPr>
          <w:rFonts w:ascii="Arial" w:hAnsi="Arial" w:cs="Arial"/>
          <w:sz w:val="22"/>
          <w:szCs w:val="22"/>
        </w:rPr>
        <w:t xml:space="preserve"> et al., 1999). These assessments are </w:t>
      </w:r>
      <w:r w:rsidR="00BD1E9B" w:rsidRPr="005D1848">
        <w:rPr>
          <w:rFonts w:ascii="Arial" w:hAnsi="Arial" w:cs="Arial"/>
          <w:sz w:val="22"/>
          <w:szCs w:val="22"/>
        </w:rPr>
        <w:t>essential</w:t>
      </w:r>
      <w:r w:rsidRPr="005D1848">
        <w:rPr>
          <w:rFonts w:ascii="Arial" w:hAnsi="Arial" w:cs="Arial"/>
          <w:sz w:val="22"/>
          <w:szCs w:val="22"/>
        </w:rPr>
        <w:t xml:space="preserve"> for planning care packages, identifying risks, and ensuring that the home environment remains safe and supportive.</w:t>
      </w:r>
    </w:p>
    <w:p w14:paraId="1ED6E6AE" w14:textId="62A41F6A"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 xml:space="preserve">Behavioural and psychological symptoms of dementia (BPSD) are extremely common and can be distressing for both the individual and their </w:t>
      </w:r>
      <w:proofErr w:type="spellStart"/>
      <w:r w:rsidRPr="005D1848">
        <w:rPr>
          <w:rFonts w:ascii="Arial" w:hAnsi="Arial" w:cs="Arial"/>
          <w:sz w:val="22"/>
          <w:szCs w:val="22"/>
        </w:rPr>
        <w:t>carers</w:t>
      </w:r>
      <w:proofErr w:type="spellEnd"/>
      <w:r w:rsidRPr="005D1848">
        <w:rPr>
          <w:rFonts w:ascii="Arial" w:hAnsi="Arial" w:cs="Arial"/>
          <w:sz w:val="22"/>
          <w:szCs w:val="22"/>
        </w:rPr>
        <w:t xml:space="preserve">. Symptoms may include agitation, hallucinations, depression, anxiety, aggression, and sleep </w:t>
      </w:r>
      <w:r w:rsidR="00157DAC" w:rsidRPr="005D1848">
        <w:rPr>
          <w:rFonts w:ascii="Arial" w:hAnsi="Arial" w:cs="Arial"/>
          <w:sz w:val="22"/>
          <w:szCs w:val="22"/>
        </w:rPr>
        <w:t>disruption</w:t>
      </w:r>
      <w:r w:rsidRPr="005D1848">
        <w:rPr>
          <w:rFonts w:ascii="Arial" w:hAnsi="Arial" w:cs="Arial"/>
          <w:sz w:val="22"/>
          <w:szCs w:val="22"/>
        </w:rPr>
        <w:t xml:space="preserve">. Tools such as the Neuropsychiatric Inventory (NPI) help clinicians identify triggers, monitor changes, and plan appropriate interventions (Cummings et al., 1994). Monitoring BPSD is </w:t>
      </w:r>
      <w:r w:rsidR="00666C1E" w:rsidRPr="005D1848">
        <w:rPr>
          <w:rFonts w:ascii="Arial" w:hAnsi="Arial" w:cs="Arial"/>
          <w:sz w:val="22"/>
          <w:szCs w:val="22"/>
        </w:rPr>
        <w:t>essential</w:t>
      </w:r>
      <w:r w:rsidRPr="005D1848">
        <w:rPr>
          <w:rFonts w:ascii="Arial" w:hAnsi="Arial" w:cs="Arial"/>
          <w:sz w:val="22"/>
          <w:szCs w:val="22"/>
        </w:rPr>
        <w:t xml:space="preserve"> because these symptoms often have the greatest impact on quality of life and are a major cause of carer stress and breakdown.</w:t>
      </w:r>
    </w:p>
    <w:p w14:paraId="355C76C8"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Medical investigations also play an important role in diagnosis and monitoring. Blood tests can identify reversible causes of cognitive decline, such as thyroid problems, vitamin B12 deficiency, or infection. Brain imaging, including CT and MRI scans, helps detect vascular damage, structural abnormalities, or hippocampal atrophy associated with Alzheimer’s disease (NICE, 2022). In specialist settings, PET scans may be used to detect amyloid or tau proteins. These investigations support accurate diagnosis and help guide treatment and care planning.</w:t>
      </w:r>
    </w:p>
    <w:p w14:paraId="37459AC4" w14:textId="02BA258D"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Once a diagnosis is made, individuals are usually monitored through regular GP reviews, memory clinic follow</w:t>
      </w:r>
      <w:r w:rsidRPr="005D1848">
        <w:rPr>
          <w:rFonts w:ascii="Arial" w:hAnsi="Arial" w:cs="Arial"/>
          <w:sz w:val="22"/>
          <w:szCs w:val="22"/>
        </w:rPr>
        <w:noBreakHyphen/>
        <w:t>up appointments, community mental health teams, and social care assessments. Voluntary</w:t>
      </w:r>
      <w:r w:rsidRPr="005D1848">
        <w:rPr>
          <w:rFonts w:ascii="Arial" w:hAnsi="Arial" w:cs="Arial"/>
          <w:sz w:val="22"/>
          <w:szCs w:val="22"/>
        </w:rPr>
        <w:noBreakHyphen/>
        <w:t>sector organisations such as the Alzheimer’s Society also provide ongoing support, advice, and check</w:t>
      </w:r>
      <w:r w:rsidRPr="005D1848">
        <w:rPr>
          <w:rFonts w:ascii="Arial" w:hAnsi="Arial" w:cs="Arial"/>
          <w:sz w:val="22"/>
          <w:szCs w:val="22"/>
        </w:rPr>
        <w:noBreakHyphen/>
        <w:t xml:space="preserve">ins. Monitoring is holistic and recognises that dementia affects physical, psychological, and social wellbeing. This </w:t>
      </w:r>
      <w:r w:rsidR="009E4A74">
        <w:rPr>
          <w:rFonts w:ascii="Arial" w:hAnsi="Arial" w:cs="Arial"/>
          <w:sz w:val="22"/>
          <w:szCs w:val="22"/>
        </w:rPr>
        <w:t>combined</w:t>
      </w:r>
      <w:r w:rsidRPr="005D1848">
        <w:rPr>
          <w:rFonts w:ascii="Arial" w:hAnsi="Arial" w:cs="Arial"/>
          <w:sz w:val="22"/>
          <w:szCs w:val="22"/>
        </w:rPr>
        <w:t xml:space="preserve"> approach helps ensure that changes are identified early and that support can be adjusted as needs </w:t>
      </w:r>
      <w:r w:rsidR="009E4A74" w:rsidRPr="005D1848">
        <w:rPr>
          <w:rFonts w:ascii="Arial" w:hAnsi="Arial" w:cs="Arial"/>
          <w:sz w:val="22"/>
          <w:szCs w:val="22"/>
        </w:rPr>
        <w:t>progress</w:t>
      </w:r>
      <w:r w:rsidRPr="005D1848">
        <w:rPr>
          <w:rFonts w:ascii="Arial" w:hAnsi="Arial" w:cs="Arial"/>
          <w:sz w:val="22"/>
          <w:szCs w:val="22"/>
        </w:rPr>
        <w:t>.</w:t>
      </w:r>
    </w:p>
    <w:p w14:paraId="044F2F51"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lastRenderedPageBreak/>
        <w:t>Although dementia cannot be cured, a range of interventions can help manage symptoms and slow progression. Pharmacological treatments aim to stabilise cognitive symptoms or manage behavioural issues. Cholinesterase inhibitors such as donepezil, rivastigmine, and galantamine are commonly used in mild to moderate Alzheimer’s disease, while memantine is prescribed in moderate to severe stages (NICE, 2022). These medications do not stop the disease, but they can improve quality of life, support daily functioning, and delay the need for more intensive care.</w:t>
      </w:r>
    </w:p>
    <w:p w14:paraId="6CD6EF4B"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Non</w:t>
      </w:r>
      <w:r w:rsidRPr="005D1848">
        <w:rPr>
          <w:rFonts w:ascii="Arial" w:hAnsi="Arial" w:cs="Arial"/>
          <w:sz w:val="22"/>
          <w:szCs w:val="22"/>
        </w:rPr>
        <w:noBreakHyphen/>
        <w:t>pharmacological interventions are equally important and are often more effective for managing behavioural symptoms. Cognitive stimulation therapy (CST) has strong evidence for improving memory, problem</w:t>
      </w:r>
      <w:r w:rsidRPr="005D1848">
        <w:rPr>
          <w:rFonts w:ascii="Arial" w:hAnsi="Arial" w:cs="Arial"/>
          <w:sz w:val="22"/>
          <w:szCs w:val="22"/>
        </w:rPr>
        <w:noBreakHyphen/>
        <w:t>solving, and social interaction (Spector et al., 2003). Reminiscence therapy uses photographs, music, and familiar objects to stimulate memory and reduce anxiety. Occupational therapy helps people maintain independence by recommending adaptive equipment and strategies for daily tasks. Physiotherapy supports mobility and reduces the risk of falls, while speech and language therapy helps with communication and swallowing difficulties.</w:t>
      </w:r>
    </w:p>
    <w:p w14:paraId="0CA70B48" w14:textId="697A1A81"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Lifestyle strategies also contribute to slowing cognitive decline. Regular physical activity, a balanced diet, social engagement, and mentally stimulating activities such as reading or puzzles all support brain health. Managing cardiovascular risk factors</w:t>
      </w:r>
      <w:r w:rsidR="00A13901">
        <w:rPr>
          <w:rFonts w:ascii="Arial" w:hAnsi="Arial" w:cs="Arial"/>
          <w:sz w:val="22"/>
          <w:szCs w:val="22"/>
        </w:rPr>
        <w:t xml:space="preserve"> </w:t>
      </w:r>
      <w:r w:rsidRPr="005D1848">
        <w:rPr>
          <w:rFonts w:ascii="Arial" w:hAnsi="Arial" w:cs="Arial"/>
          <w:sz w:val="22"/>
          <w:szCs w:val="22"/>
        </w:rPr>
        <w:t>including hypertension, diabetes, obesity, and smoking</w:t>
      </w:r>
      <w:r w:rsidR="004A6965">
        <w:rPr>
          <w:rFonts w:ascii="Arial" w:hAnsi="Arial" w:cs="Arial"/>
          <w:sz w:val="22"/>
          <w:szCs w:val="22"/>
        </w:rPr>
        <w:t xml:space="preserve"> i</w:t>
      </w:r>
      <w:r w:rsidRPr="005D1848">
        <w:rPr>
          <w:rFonts w:ascii="Arial" w:hAnsi="Arial" w:cs="Arial"/>
          <w:sz w:val="22"/>
          <w:szCs w:val="22"/>
        </w:rPr>
        <w:t xml:space="preserve">s especially important, as these factors are closely linked to vascular dementia (Livingston et al., 2020). Encouraging healthy routines can make a </w:t>
      </w:r>
      <w:r w:rsidR="004D27FD" w:rsidRPr="005D1848">
        <w:rPr>
          <w:rFonts w:ascii="Arial" w:hAnsi="Arial" w:cs="Arial"/>
          <w:sz w:val="22"/>
          <w:szCs w:val="22"/>
        </w:rPr>
        <w:t>significant</w:t>
      </w:r>
      <w:r w:rsidRPr="005D1848">
        <w:rPr>
          <w:rFonts w:ascii="Arial" w:hAnsi="Arial" w:cs="Arial"/>
          <w:sz w:val="22"/>
          <w:szCs w:val="22"/>
        </w:rPr>
        <w:t xml:space="preserve"> difference to long</w:t>
      </w:r>
      <w:r w:rsidRPr="005D1848">
        <w:rPr>
          <w:rFonts w:ascii="Arial" w:hAnsi="Arial" w:cs="Arial"/>
          <w:sz w:val="22"/>
          <w:szCs w:val="22"/>
        </w:rPr>
        <w:noBreakHyphen/>
        <w:t>term outcomes.</w:t>
      </w:r>
    </w:p>
    <w:p w14:paraId="7F688685" w14:textId="1FA02991"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Environmental adaptations can significantly improve safety and independence. Dementia</w:t>
      </w:r>
      <w:r w:rsidRPr="005D1848">
        <w:rPr>
          <w:rFonts w:ascii="Arial" w:hAnsi="Arial" w:cs="Arial"/>
          <w:sz w:val="22"/>
          <w:szCs w:val="22"/>
        </w:rPr>
        <w:noBreakHyphen/>
        <w:t xml:space="preserve">friendly environments include clear signage, good lighting, contrasting colours, and simple home layouts that reduce confusion. Memory aids such as calendars, whiteboards, and labelled cupboards help support orientation. Assistive technology, including GPS trackers, medication reminders, and fall detectors, enhances safety and provides reassurance for carers. Community </w:t>
      </w:r>
      <w:r w:rsidR="001F418B" w:rsidRPr="005D1848">
        <w:rPr>
          <w:rFonts w:ascii="Arial" w:hAnsi="Arial" w:cs="Arial"/>
          <w:sz w:val="22"/>
          <w:szCs w:val="22"/>
        </w:rPr>
        <w:t>programs</w:t>
      </w:r>
      <w:r w:rsidRPr="005D1848">
        <w:rPr>
          <w:rFonts w:ascii="Arial" w:hAnsi="Arial" w:cs="Arial"/>
          <w:sz w:val="22"/>
          <w:szCs w:val="22"/>
        </w:rPr>
        <w:t xml:space="preserve"> such as Dementia Friendly Communities aim to reduce stigma, improve accessibility, and create supportive environments for people living with dementia.</w:t>
      </w:r>
    </w:p>
    <w:p w14:paraId="67FD9373"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Health and social care professionals play a central role in delivering these interventions. GPs monitor physical health and medication; nurses provide education, support, and care coordination; occupational therapists assess home safety and recommend adaptations; social workers arrange care packages and support services; and voluntary</w:t>
      </w:r>
      <w:r w:rsidRPr="005D1848">
        <w:rPr>
          <w:rFonts w:ascii="Arial" w:hAnsi="Arial" w:cs="Arial"/>
          <w:sz w:val="22"/>
          <w:szCs w:val="22"/>
        </w:rPr>
        <w:noBreakHyphen/>
        <w:t xml:space="preserve">sector workers offer emotional support, advocacy, and opportunities for community engagement. Effective </w:t>
      </w:r>
      <w:r w:rsidRPr="005D1848">
        <w:rPr>
          <w:rFonts w:ascii="Arial" w:hAnsi="Arial" w:cs="Arial"/>
          <w:sz w:val="22"/>
          <w:szCs w:val="22"/>
        </w:rPr>
        <w:lastRenderedPageBreak/>
        <w:t>teamwork is essential to ensure that care is person</w:t>
      </w:r>
      <w:r w:rsidRPr="005D1848">
        <w:rPr>
          <w:rFonts w:ascii="Arial" w:hAnsi="Arial" w:cs="Arial"/>
          <w:sz w:val="22"/>
          <w:szCs w:val="22"/>
        </w:rPr>
        <w:noBreakHyphen/>
        <w:t>centred and responsive to changing needs.</w:t>
      </w:r>
    </w:p>
    <w:p w14:paraId="060E9BCA"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Dementia has wide</w:t>
      </w:r>
      <w:r w:rsidRPr="005D1848">
        <w:rPr>
          <w:rFonts w:ascii="Arial" w:hAnsi="Arial" w:cs="Arial"/>
          <w:sz w:val="22"/>
          <w:szCs w:val="22"/>
        </w:rPr>
        <w:noBreakHyphen/>
        <w:t>ranging consequences for individuals, families, health and social care services, and the wider community. For individuals, dementia leads to a gradual loss of independence as cognitive and functional abilities decline. Emotional distress is common, with many people experiencing anxiety, frustration, or depression as they become aware of their cognitive changes. Social isolation can develop due to communication difficulties or stigma. As the condition progresses, individuals may become increasingly vulnerable to falls, malnutrition, financial exploitation, and safeguarding concerns.</w:t>
      </w:r>
    </w:p>
    <w:p w14:paraId="797B5544" w14:textId="77777777"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Families and carers often experience significant emotional, physical, and financial strain. Caring for someone with dementia can be demanding and exhausting, leading to stress and burnout. Many carers reduce their working hours or leave employment entirely, which can create financial pressure. Role changes within families can also be challenging, especially when partners or children take on full</w:t>
      </w:r>
      <w:r w:rsidRPr="005D1848">
        <w:rPr>
          <w:rFonts w:ascii="Arial" w:hAnsi="Arial" w:cs="Arial"/>
          <w:sz w:val="22"/>
          <w:szCs w:val="22"/>
        </w:rPr>
        <w:noBreakHyphen/>
        <w:t>time caring responsibilities. Support services such as respite care, carer education programmes, and emotional support groups are essential to reduce carer burden and maintain wellbeing.</w:t>
      </w:r>
    </w:p>
    <w:p w14:paraId="0B831D73" w14:textId="4406EBDB"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 xml:space="preserve">Dementia places </w:t>
      </w:r>
      <w:r w:rsidR="001C5568">
        <w:rPr>
          <w:rFonts w:ascii="Arial" w:hAnsi="Arial" w:cs="Arial"/>
          <w:sz w:val="22"/>
          <w:szCs w:val="22"/>
        </w:rPr>
        <w:t xml:space="preserve">create </w:t>
      </w:r>
      <w:r w:rsidRPr="005D1848">
        <w:rPr>
          <w:rFonts w:ascii="Arial" w:hAnsi="Arial" w:cs="Arial"/>
          <w:sz w:val="22"/>
          <w:szCs w:val="22"/>
        </w:rPr>
        <w:t>substantial pressure</w:t>
      </w:r>
      <w:r w:rsidR="003E4C8F">
        <w:rPr>
          <w:rFonts w:ascii="Arial" w:hAnsi="Arial" w:cs="Arial"/>
          <w:sz w:val="22"/>
          <w:szCs w:val="22"/>
        </w:rPr>
        <w:t>s</w:t>
      </w:r>
      <w:r w:rsidRPr="005D1848">
        <w:rPr>
          <w:rFonts w:ascii="Arial" w:hAnsi="Arial" w:cs="Arial"/>
          <w:sz w:val="22"/>
          <w:szCs w:val="22"/>
        </w:rPr>
        <w:t xml:space="preserve"> on health and social care services. Increased demand for GP appointments, hospital admissions, community support, and long</w:t>
      </w:r>
      <w:r w:rsidRPr="005D1848">
        <w:rPr>
          <w:rFonts w:ascii="Arial" w:hAnsi="Arial" w:cs="Arial"/>
          <w:sz w:val="22"/>
          <w:szCs w:val="22"/>
        </w:rPr>
        <w:noBreakHyphen/>
        <w:t>term residential care contributes to rising costs and workforce pressures. The NHS Long Term Plan emphasises early diagnosis, personalised care, and improved community support as key strategies to reduce hospital admissions and delay the need for residential care (NHS England, 2019). Without these measures, services would struggle to meet the growing demand.</w:t>
      </w:r>
    </w:p>
    <w:p w14:paraId="400D6F1D" w14:textId="13A594B0" w:rsidR="005D1848" w:rsidRPr="005D1848" w:rsidRDefault="005D1848" w:rsidP="005D1848">
      <w:pPr>
        <w:pStyle w:val="NormalWeb"/>
        <w:spacing w:line="360" w:lineRule="auto"/>
        <w:rPr>
          <w:rFonts w:ascii="Arial" w:hAnsi="Arial" w:cs="Arial"/>
          <w:sz w:val="22"/>
          <w:szCs w:val="22"/>
        </w:rPr>
      </w:pPr>
      <w:r w:rsidRPr="005D1848">
        <w:rPr>
          <w:rFonts w:ascii="Arial" w:hAnsi="Arial" w:cs="Arial"/>
          <w:sz w:val="22"/>
          <w:szCs w:val="22"/>
        </w:rPr>
        <w:t xml:space="preserve">The wider community is also affected. </w:t>
      </w:r>
      <w:r w:rsidR="004A6965" w:rsidRPr="005D1848">
        <w:rPr>
          <w:rFonts w:ascii="Arial" w:hAnsi="Arial" w:cs="Arial"/>
          <w:sz w:val="22"/>
          <w:szCs w:val="22"/>
        </w:rPr>
        <w:t>Reduced workforce participation</w:t>
      </w:r>
      <w:r w:rsidRPr="005D1848">
        <w:rPr>
          <w:rFonts w:ascii="Arial" w:hAnsi="Arial" w:cs="Arial"/>
          <w:sz w:val="22"/>
          <w:szCs w:val="22"/>
        </w:rPr>
        <w:t xml:space="preserve"> increased public spending, and the need for dementia</w:t>
      </w:r>
      <w:r w:rsidRPr="005D1848">
        <w:rPr>
          <w:rFonts w:ascii="Arial" w:hAnsi="Arial" w:cs="Arial"/>
          <w:sz w:val="22"/>
          <w:szCs w:val="22"/>
        </w:rPr>
        <w:noBreakHyphen/>
        <w:t xml:space="preserve">friendly public spaces all contribute to </w:t>
      </w:r>
      <w:r w:rsidR="003E4C8F" w:rsidRPr="005D1848">
        <w:rPr>
          <w:rFonts w:ascii="Arial" w:hAnsi="Arial" w:cs="Arial"/>
          <w:sz w:val="22"/>
          <w:szCs w:val="22"/>
        </w:rPr>
        <w:t>social</w:t>
      </w:r>
      <w:r w:rsidRPr="005D1848">
        <w:rPr>
          <w:rFonts w:ascii="Arial" w:hAnsi="Arial" w:cs="Arial"/>
          <w:sz w:val="22"/>
          <w:szCs w:val="22"/>
        </w:rPr>
        <w:t xml:space="preserve"> impact. Public awareness campaigns play an important role in reducing stigma, encouraging early diagnosis, and promoting understanding of the condition.</w:t>
      </w:r>
    </w:p>
    <w:p w14:paraId="5E6C7710" w14:textId="77777777" w:rsidR="005D1848" w:rsidRDefault="005D1848" w:rsidP="005D1848">
      <w:pPr>
        <w:pStyle w:val="NormalWeb"/>
        <w:spacing w:line="360" w:lineRule="auto"/>
      </w:pPr>
      <w:r w:rsidRPr="005D1848">
        <w:rPr>
          <w:rFonts w:ascii="Arial" w:hAnsi="Arial" w:cs="Arial"/>
          <w:sz w:val="22"/>
          <w:szCs w:val="22"/>
        </w:rPr>
        <w:t xml:space="preserve">Dementia is a major global health challenge, affecting millions of individuals and placing significant pressure on families, communities, and health and social care systems. Worldwide, an estimated 55 million people are living with dementia, with numbers expected to rise to 139 million by 2050 (WHO, 2023). In the UK, approximately 944,000 people are living with dementia, and this figure is projected to exceed 1.6 million by 2040 (Alzheimer’s Research UK, 2023). These statistics highlight the scale and urgency of the issue. Although </w:t>
      </w:r>
      <w:r w:rsidRPr="005D1848">
        <w:rPr>
          <w:rFonts w:ascii="Arial" w:hAnsi="Arial" w:cs="Arial"/>
          <w:sz w:val="22"/>
          <w:szCs w:val="22"/>
        </w:rPr>
        <w:lastRenderedPageBreak/>
        <w:t>dementia cannot be cured, early diagnosis, effective monitoring, and coordinated health and social care support can significantly improve quality of life. A combination of medical treatment, non</w:t>
      </w:r>
      <w:r w:rsidRPr="005D1848">
        <w:rPr>
          <w:rFonts w:ascii="Arial" w:hAnsi="Arial" w:cs="Arial"/>
          <w:sz w:val="22"/>
          <w:szCs w:val="22"/>
        </w:rPr>
        <w:noBreakHyphen/>
        <w:t>pharmacological interventions, lifestyle strategies, and community</w:t>
      </w:r>
      <w:r w:rsidRPr="005D1848">
        <w:rPr>
          <w:rFonts w:ascii="Arial" w:hAnsi="Arial" w:cs="Arial"/>
          <w:sz w:val="22"/>
          <w:szCs w:val="22"/>
        </w:rPr>
        <w:noBreakHyphen/>
        <w:t>based support helps individuals maintain independence for as long as possible. Addressing dementia requires a whole</w:t>
      </w:r>
      <w:r w:rsidRPr="005D1848">
        <w:rPr>
          <w:rFonts w:ascii="Arial" w:hAnsi="Arial" w:cs="Arial"/>
          <w:sz w:val="22"/>
          <w:szCs w:val="22"/>
        </w:rPr>
        <w:noBreakHyphen/>
        <w:t>society approach that ensures individuals and carers receive compassionate, person</w:t>
      </w:r>
      <w:r w:rsidRPr="005D1848">
        <w:rPr>
          <w:rFonts w:ascii="Arial" w:hAnsi="Arial" w:cs="Arial"/>
          <w:sz w:val="22"/>
          <w:szCs w:val="22"/>
        </w:rPr>
        <w:noBreakHyphen/>
        <w:t>centred care throughout the progression of the disease</w:t>
      </w:r>
      <w:r>
        <w:t>.</w:t>
      </w:r>
    </w:p>
    <w:p w14:paraId="122CD7BD" w14:textId="77777777" w:rsidR="00180682" w:rsidRPr="00EF4BB1" w:rsidRDefault="00180682" w:rsidP="00EF4BB1">
      <w:pPr>
        <w:spacing w:line="360" w:lineRule="auto"/>
        <w:rPr>
          <w:rFonts w:ascii="Arial" w:hAnsi="Arial" w:cs="Arial"/>
          <w:sz w:val="22"/>
          <w:szCs w:val="22"/>
        </w:rPr>
      </w:pPr>
    </w:p>
    <w:p w14:paraId="5C14679F" w14:textId="77777777" w:rsidR="00180682" w:rsidRPr="00EF4BB1" w:rsidRDefault="00180682" w:rsidP="00EF4BB1">
      <w:pPr>
        <w:spacing w:line="360" w:lineRule="auto"/>
        <w:rPr>
          <w:rFonts w:ascii="Arial" w:hAnsi="Arial" w:cs="Arial"/>
          <w:sz w:val="22"/>
          <w:szCs w:val="22"/>
        </w:rPr>
      </w:pPr>
    </w:p>
    <w:p w14:paraId="21C6B47E" w14:textId="77777777" w:rsidR="00180682" w:rsidRPr="00EF4BB1" w:rsidRDefault="00180682" w:rsidP="00EF4BB1">
      <w:pPr>
        <w:spacing w:line="360" w:lineRule="auto"/>
        <w:rPr>
          <w:rFonts w:ascii="Arial" w:hAnsi="Arial" w:cs="Arial"/>
          <w:sz w:val="22"/>
          <w:szCs w:val="22"/>
        </w:rPr>
      </w:pPr>
    </w:p>
    <w:p w14:paraId="2E57A717" w14:textId="77777777" w:rsidR="00180682" w:rsidRPr="00EF4BB1" w:rsidRDefault="00180682" w:rsidP="00EF4BB1">
      <w:pPr>
        <w:spacing w:line="360" w:lineRule="auto"/>
        <w:rPr>
          <w:rFonts w:ascii="Arial" w:hAnsi="Arial" w:cs="Arial"/>
          <w:sz w:val="22"/>
          <w:szCs w:val="22"/>
        </w:rPr>
      </w:pPr>
    </w:p>
    <w:p w14:paraId="0A2EEFD4" w14:textId="77777777" w:rsidR="00180682" w:rsidRPr="00EF4BB1" w:rsidRDefault="00180682" w:rsidP="00EF4BB1">
      <w:pPr>
        <w:spacing w:line="360" w:lineRule="auto"/>
        <w:rPr>
          <w:rFonts w:ascii="Arial" w:hAnsi="Arial" w:cs="Arial"/>
          <w:sz w:val="22"/>
          <w:szCs w:val="22"/>
        </w:rPr>
      </w:pPr>
    </w:p>
    <w:p w14:paraId="08BA8597" w14:textId="77777777" w:rsidR="00180682" w:rsidRPr="00EF4BB1" w:rsidRDefault="00180682" w:rsidP="00EF4BB1">
      <w:pPr>
        <w:spacing w:line="360" w:lineRule="auto"/>
        <w:rPr>
          <w:rFonts w:ascii="Arial" w:hAnsi="Arial" w:cs="Arial"/>
          <w:sz w:val="22"/>
          <w:szCs w:val="22"/>
        </w:rPr>
      </w:pPr>
    </w:p>
    <w:p w14:paraId="7E63C70C" w14:textId="77777777" w:rsidR="00180682" w:rsidRPr="00EF4BB1" w:rsidRDefault="00180682" w:rsidP="00EF4BB1">
      <w:pPr>
        <w:spacing w:line="360" w:lineRule="auto"/>
        <w:rPr>
          <w:rFonts w:ascii="Arial" w:hAnsi="Arial" w:cs="Arial"/>
          <w:sz w:val="22"/>
          <w:szCs w:val="22"/>
        </w:rPr>
      </w:pPr>
    </w:p>
    <w:p w14:paraId="024EB294" w14:textId="77777777" w:rsidR="00180682" w:rsidRPr="00EF4BB1" w:rsidRDefault="00180682" w:rsidP="00EF4BB1">
      <w:pPr>
        <w:spacing w:line="360" w:lineRule="auto"/>
        <w:rPr>
          <w:rFonts w:ascii="Arial" w:hAnsi="Arial" w:cs="Arial"/>
          <w:sz w:val="22"/>
          <w:szCs w:val="22"/>
        </w:rPr>
      </w:pPr>
    </w:p>
    <w:p w14:paraId="5C27B204" w14:textId="77777777" w:rsidR="00180682" w:rsidRPr="00EF4BB1" w:rsidRDefault="00180682" w:rsidP="00EF4BB1">
      <w:pPr>
        <w:spacing w:line="360" w:lineRule="auto"/>
        <w:rPr>
          <w:rFonts w:ascii="Arial" w:hAnsi="Arial" w:cs="Arial"/>
          <w:sz w:val="22"/>
          <w:szCs w:val="22"/>
        </w:rPr>
      </w:pPr>
    </w:p>
    <w:p w14:paraId="1237BE65" w14:textId="77777777" w:rsidR="00EF4BB1" w:rsidRDefault="00EF4BB1" w:rsidP="00EF4BB1">
      <w:pPr>
        <w:spacing w:line="360" w:lineRule="auto"/>
        <w:rPr>
          <w:rFonts w:ascii="Arial" w:hAnsi="Arial" w:cs="Arial"/>
          <w:sz w:val="22"/>
          <w:szCs w:val="22"/>
        </w:rPr>
      </w:pPr>
    </w:p>
    <w:p w14:paraId="5B4BED14" w14:textId="77777777" w:rsidR="00C425C2" w:rsidRDefault="00C425C2" w:rsidP="00EF4BB1">
      <w:pPr>
        <w:spacing w:line="360" w:lineRule="auto"/>
        <w:rPr>
          <w:rFonts w:ascii="Arial" w:hAnsi="Arial" w:cs="Arial"/>
          <w:b/>
          <w:bCs/>
          <w:sz w:val="22"/>
          <w:szCs w:val="22"/>
        </w:rPr>
      </w:pPr>
    </w:p>
    <w:p w14:paraId="5C8745FC" w14:textId="77777777" w:rsidR="00C425C2" w:rsidRDefault="00C425C2" w:rsidP="00EF4BB1">
      <w:pPr>
        <w:spacing w:line="360" w:lineRule="auto"/>
        <w:rPr>
          <w:rFonts w:ascii="Arial" w:hAnsi="Arial" w:cs="Arial"/>
          <w:b/>
          <w:bCs/>
          <w:sz w:val="22"/>
          <w:szCs w:val="22"/>
        </w:rPr>
      </w:pPr>
    </w:p>
    <w:p w14:paraId="7FE732A4" w14:textId="77777777" w:rsidR="00C425C2" w:rsidRDefault="00C425C2" w:rsidP="00EF4BB1">
      <w:pPr>
        <w:spacing w:line="360" w:lineRule="auto"/>
        <w:rPr>
          <w:rFonts w:ascii="Arial" w:hAnsi="Arial" w:cs="Arial"/>
          <w:b/>
          <w:bCs/>
          <w:sz w:val="22"/>
          <w:szCs w:val="22"/>
        </w:rPr>
      </w:pPr>
    </w:p>
    <w:p w14:paraId="75419CEA" w14:textId="77777777" w:rsidR="00C425C2" w:rsidRDefault="00C425C2" w:rsidP="00EF4BB1">
      <w:pPr>
        <w:spacing w:line="360" w:lineRule="auto"/>
        <w:rPr>
          <w:rFonts w:ascii="Arial" w:hAnsi="Arial" w:cs="Arial"/>
          <w:b/>
          <w:bCs/>
          <w:sz w:val="22"/>
          <w:szCs w:val="22"/>
        </w:rPr>
      </w:pPr>
    </w:p>
    <w:p w14:paraId="03DD25A4" w14:textId="77777777" w:rsidR="00C425C2" w:rsidRDefault="00C425C2" w:rsidP="00EF4BB1">
      <w:pPr>
        <w:spacing w:line="360" w:lineRule="auto"/>
        <w:rPr>
          <w:rFonts w:ascii="Arial" w:hAnsi="Arial" w:cs="Arial"/>
          <w:b/>
          <w:bCs/>
          <w:sz w:val="22"/>
          <w:szCs w:val="22"/>
        </w:rPr>
      </w:pPr>
    </w:p>
    <w:p w14:paraId="6678D561" w14:textId="77777777" w:rsidR="00C425C2" w:rsidRDefault="00C425C2" w:rsidP="00EF4BB1">
      <w:pPr>
        <w:spacing w:line="360" w:lineRule="auto"/>
        <w:rPr>
          <w:rFonts w:ascii="Arial" w:hAnsi="Arial" w:cs="Arial"/>
          <w:b/>
          <w:bCs/>
          <w:sz w:val="22"/>
          <w:szCs w:val="22"/>
        </w:rPr>
      </w:pPr>
    </w:p>
    <w:p w14:paraId="1C75A6AD" w14:textId="77777777" w:rsidR="00C425C2" w:rsidRDefault="00C425C2" w:rsidP="00EF4BB1">
      <w:pPr>
        <w:spacing w:line="360" w:lineRule="auto"/>
        <w:rPr>
          <w:rFonts w:ascii="Arial" w:hAnsi="Arial" w:cs="Arial"/>
          <w:b/>
          <w:bCs/>
          <w:sz w:val="22"/>
          <w:szCs w:val="22"/>
        </w:rPr>
      </w:pPr>
    </w:p>
    <w:p w14:paraId="46B3FF70" w14:textId="77777777" w:rsidR="00C425C2" w:rsidRDefault="00C425C2" w:rsidP="00EF4BB1">
      <w:pPr>
        <w:spacing w:line="360" w:lineRule="auto"/>
        <w:rPr>
          <w:rFonts w:ascii="Arial" w:hAnsi="Arial" w:cs="Arial"/>
          <w:b/>
          <w:bCs/>
          <w:sz w:val="22"/>
          <w:szCs w:val="22"/>
        </w:rPr>
      </w:pPr>
    </w:p>
    <w:p w14:paraId="036753A2" w14:textId="77777777" w:rsidR="00C425C2" w:rsidRDefault="00C425C2" w:rsidP="00EF4BB1">
      <w:pPr>
        <w:spacing w:line="360" w:lineRule="auto"/>
        <w:rPr>
          <w:rFonts w:ascii="Arial" w:hAnsi="Arial" w:cs="Arial"/>
          <w:b/>
          <w:bCs/>
          <w:sz w:val="22"/>
          <w:szCs w:val="22"/>
        </w:rPr>
      </w:pPr>
    </w:p>
    <w:p w14:paraId="1AD9C820" w14:textId="77777777" w:rsidR="00C425C2" w:rsidRDefault="00C425C2" w:rsidP="00EF4BB1">
      <w:pPr>
        <w:spacing w:line="360" w:lineRule="auto"/>
        <w:rPr>
          <w:rFonts w:ascii="Arial" w:hAnsi="Arial" w:cs="Arial"/>
          <w:b/>
          <w:bCs/>
          <w:sz w:val="22"/>
          <w:szCs w:val="22"/>
        </w:rPr>
      </w:pPr>
    </w:p>
    <w:p w14:paraId="558F8560" w14:textId="77777777" w:rsidR="00696A8B" w:rsidRDefault="00696A8B" w:rsidP="00EF4BB1">
      <w:pPr>
        <w:spacing w:line="360" w:lineRule="auto"/>
        <w:rPr>
          <w:rFonts w:ascii="Arial" w:hAnsi="Arial" w:cs="Arial"/>
          <w:b/>
          <w:bCs/>
          <w:sz w:val="22"/>
          <w:szCs w:val="22"/>
        </w:rPr>
      </w:pPr>
    </w:p>
    <w:p w14:paraId="1049E2EE" w14:textId="2968217F" w:rsidR="00180682" w:rsidRDefault="00180682" w:rsidP="00EF4BB1">
      <w:pPr>
        <w:spacing w:line="360" w:lineRule="auto"/>
        <w:rPr>
          <w:rFonts w:ascii="Arial" w:hAnsi="Arial" w:cs="Arial"/>
          <w:b/>
          <w:bCs/>
          <w:sz w:val="22"/>
          <w:szCs w:val="22"/>
        </w:rPr>
      </w:pPr>
      <w:r w:rsidRPr="00EF4BB1">
        <w:rPr>
          <w:rFonts w:ascii="Arial" w:hAnsi="Arial" w:cs="Arial"/>
          <w:b/>
          <w:bCs/>
          <w:sz w:val="22"/>
          <w:szCs w:val="22"/>
        </w:rPr>
        <w:lastRenderedPageBreak/>
        <w:t xml:space="preserve">Reference List </w:t>
      </w:r>
    </w:p>
    <w:p w14:paraId="65192CEF" w14:textId="149D424F"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Alzheimer’s Research UK (2023) </w:t>
      </w:r>
      <w:r w:rsidRPr="00AF7C17">
        <w:rPr>
          <w:rStyle w:val="Emphasis"/>
          <w:rFonts w:ascii="Arial" w:eastAsiaTheme="majorEastAsia" w:hAnsi="Arial" w:cs="Arial"/>
          <w:sz w:val="22"/>
          <w:szCs w:val="22"/>
        </w:rPr>
        <w:t>Dementia Statistics Hub</w:t>
      </w:r>
      <w:r w:rsidRPr="00AF7C17">
        <w:rPr>
          <w:rFonts w:ascii="Arial" w:hAnsi="Arial" w:cs="Arial"/>
          <w:sz w:val="22"/>
          <w:szCs w:val="22"/>
        </w:rPr>
        <w:t xml:space="preserve">. Available at: </w:t>
      </w:r>
      <w:hyperlink r:id="rId9" w:tgtFrame="_blank" w:tooltip="www.dementiastatistics.org" w:history="1">
        <w:r w:rsidRPr="00AF7C17">
          <w:rPr>
            <w:rStyle w:val="Hyperlink"/>
            <w:rFonts w:ascii="Arial" w:eastAsiaTheme="majorEastAsia" w:hAnsi="Arial" w:cs="Arial"/>
            <w:color w:val="auto"/>
            <w:sz w:val="22"/>
            <w:szCs w:val="22"/>
          </w:rPr>
          <w:t>https://www.dementiastatistics.org</w:t>
        </w:r>
      </w:hyperlink>
      <w:r w:rsidRPr="00AF7C17">
        <w:rPr>
          <w:rFonts w:ascii="Arial" w:hAnsi="Arial" w:cs="Arial"/>
          <w:sz w:val="22"/>
          <w:szCs w:val="22"/>
        </w:rPr>
        <w:t xml:space="preserve"> (Accessed: </w:t>
      </w:r>
    </w:p>
    <w:p w14:paraId="11DDA6D1" w14:textId="1AADB248"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Alzheimer’s Society (2024) </w:t>
      </w:r>
      <w:r w:rsidRPr="00AF7C17">
        <w:rPr>
          <w:rStyle w:val="Emphasis"/>
          <w:rFonts w:ascii="Arial" w:eastAsiaTheme="majorEastAsia" w:hAnsi="Arial" w:cs="Arial"/>
          <w:sz w:val="22"/>
          <w:szCs w:val="22"/>
        </w:rPr>
        <w:t xml:space="preserve">What is </w:t>
      </w:r>
      <w:proofErr w:type="gramStart"/>
      <w:r w:rsidRPr="00AF7C17">
        <w:rPr>
          <w:rStyle w:val="Emphasis"/>
          <w:rFonts w:ascii="Arial" w:eastAsiaTheme="majorEastAsia" w:hAnsi="Arial" w:cs="Arial"/>
          <w:sz w:val="22"/>
          <w:szCs w:val="22"/>
        </w:rPr>
        <w:t>dementia?</w:t>
      </w:r>
      <w:r w:rsidRPr="00AF7C17">
        <w:rPr>
          <w:rFonts w:ascii="Arial" w:hAnsi="Arial" w:cs="Arial"/>
          <w:sz w:val="22"/>
          <w:szCs w:val="22"/>
        </w:rPr>
        <w:t>.</w:t>
      </w:r>
      <w:proofErr w:type="gramEnd"/>
      <w:r w:rsidRPr="00AF7C17">
        <w:rPr>
          <w:rFonts w:ascii="Arial" w:hAnsi="Arial" w:cs="Arial"/>
          <w:sz w:val="22"/>
          <w:szCs w:val="22"/>
        </w:rPr>
        <w:t xml:space="preserve"> Available at: </w:t>
      </w:r>
      <w:hyperlink r:id="rId10" w:tgtFrame="_blank" w:tooltip="www.alzheimers.org.uk" w:history="1">
        <w:r w:rsidRPr="00AF7C17">
          <w:rPr>
            <w:rStyle w:val="Hyperlink"/>
            <w:rFonts w:ascii="Arial" w:eastAsiaTheme="majorEastAsia" w:hAnsi="Arial" w:cs="Arial"/>
            <w:color w:val="auto"/>
            <w:sz w:val="22"/>
            <w:szCs w:val="22"/>
          </w:rPr>
          <w:t>https://www.alzheimers.org.uk</w:t>
        </w:r>
      </w:hyperlink>
      <w:r w:rsidRPr="00AF7C17">
        <w:rPr>
          <w:rFonts w:ascii="Arial" w:hAnsi="Arial" w:cs="Arial"/>
          <w:sz w:val="22"/>
          <w:szCs w:val="22"/>
        </w:rPr>
        <w:t xml:space="preserve"> </w:t>
      </w:r>
    </w:p>
    <w:p w14:paraId="7F55592B" w14:textId="77777777"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Cummings, J.L., Mega, M., Gray, K., Rosenberg</w:t>
      </w:r>
      <w:r w:rsidRPr="00AF7C17">
        <w:rPr>
          <w:rFonts w:ascii="Arial" w:hAnsi="Arial" w:cs="Arial"/>
          <w:sz w:val="22"/>
          <w:szCs w:val="22"/>
        </w:rPr>
        <w:noBreakHyphen/>
        <w:t xml:space="preserve">Thompson, S., Carusi, D. and </w:t>
      </w:r>
      <w:proofErr w:type="spellStart"/>
      <w:r w:rsidRPr="00AF7C17">
        <w:rPr>
          <w:rFonts w:ascii="Arial" w:hAnsi="Arial" w:cs="Arial"/>
          <w:sz w:val="22"/>
          <w:szCs w:val="22"/>
        </w:rPr>
        <w:t>Gornbein</w:t>
      </w:r>
      <w:proofErr w:type="spellEnd"/>
      <w:r w:rsidRPr="00AF7C17">
        <w:rPr>
          <w:rFonts w:ascii="Arial" w:hAnsi="Arial" w:cs="Arial"/>
          <w:sz w:val="22"/>
          <w:szCs w:val="22"/>
        </w:rPr>
        <w:t xml:space="preserve">, J. (1994) ‘The Neuropsychiatric Inventory: Comprehensive assessment of psychopathology in dementia’, </w:t>
      </w:r>
      <w:r w:rsidRPr="00AF7C17">
        <w:rPr>
          <w:rStyle w:val="Emphasis"/>
          <w:rFonts w:ascii="Arial" w:eastAsiaTheme="majorEastAsia" w:hAnsi="Arial" w:cs="Arial"/>
          <w:sz w:val="22"/>
          <w:szCs w:val="22"/>
        </w:rPr>
        <w:t>Neurology</w:t>
      </w:r>
      <w:r w:rsidRPr="00AF7C17">
        <w:rPr>
          <w:rFonts w:ascii="Arial" w:hAnsi="Arial" w:cs="Arial"/>
          <w:sz w:val="22"/>
          <w:szCs w:val="22"/>
        </w:rPr>
        <w:t>, 44(12), pp. 2308–2314.</w:t>
      </w:r>
    </w:p>
    <w:p w14:paraId="084ABE23" w14:textId="77777777" w:rsidR="00696A8B" w:rsidRPr="00AF7C17" w:rsidRDefault="00696A8B" w:rsidP="00696A8B">
      <w:pPr>
        <w:pStyle w:val="NormalWeb"/>
        <w:spacing w:line="360" w:lineRule="auto"/>
        <w:rPr>
          <w:rFonts w:ascii="Arial" w:hAnsi="Arial" w:cs="Arial"/>
          <w:sz w:val="22"/>
          <w:szCs w:val="22"/>
        </w:rPr>
      </w:pPr>
      <w:proofErr w:type="spellStart"/>
      <w:r w:rsidRPr="00AF7C17">
        <w:rPr>
          <w:rFonts w:ascii="Arial" w:hAnsi="Arial" w:cs="Arial"/>
          <w:sz w:val="22"/>
          <w:szCs w:val="22"/>
        </w:rPr>
        <w:t>Gélinas</w:t>
      </w:r>
      <w:proofErr w:type="spellEnd"/>
      <w:r w:rsidRPr="00AF7C17">
        <w:rPr>
          <w:rFonts w:ascii="Arial" w:hAnsi="Arial" w:cs="Arial"/>
          <w:sz w:val="22"/>
          <w:szCs w:val="22"/>
        </w:rPr>
        <w:t xml:space="preserve">, I., Gauthier, L., McIntyre, M. and Gauthier, S. (1999) ‘Development of a functional measure for persons with Alzheimer’s disease: The Disability Assessment for Dementia’, </w:t>
      </w:r>
      <w:r w:rsidRPr="00AF7C17">
        <w:rPr>
          <w:rStyle w:val="Emphasis"/>
          <w:rFonts w:ascii="Arial" w:eastAsiaTheme="majorEastAsia" w:hAnsi="Arial" w:cs="Arial"/>
          <w:sz w:val="22"/>
          <w:szCs w:val="22"/>
        </w:rPr>
        <w:t>American Journal of Occupational Therapy</w:t>
      </w:r>
      <w:r w:rsidRPr="00AF7C17">
        <w:rPr>
          <w:rFonts w:ascii="Arial" w:hAnsi="Arial" w:cs="Arial"/>
          <w:sz w:val="22"/>
          <w:szCs w:val="22"/>
        </w:rPr>
        <w:t>, 53(5), pp. 471–481.</w:t>
      </w:r>
    </w:p>
    <w:p w14:paraId="366CED67" w14:textId="77777777"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Hsieh, S., Schubert, S., Hoon, C., </w:t>
      </w:r>
      <w:proofErr w:type="spellStart"/>
      <w:r w:rsidRPr="00AF7C17">
        <w:rPr>
          <w:rFonts w:ascii="Arial" w:hAnsi="Arial" w:cs="Arial"/>
          <w:sz w:val="22"/>
          <w:szCs w:val="22"/>
        </w:rPr>
        <w:t>Mioshi</w:t>
      </w:r>
      <w:proofErr w:type="spellEnd"/>
      <w:r w:rsidRPr="00AF7C17">
        <w:rPr>
          <w:rFonts w:ascii="Arial" w:hAnsi="Arial" w:cs="Arial"/>
          <w:sz w:val="22"/>
          <w:szCs w:val="22"/>
        </w:rPr>
        <w:t xml:space="preserve">, E. and Hodges, J.R. (2013) ‘Validation of the Addenbrooke’s Cognitive Examination III in frontotemporal dementia and Alzheimer’s disease’, </w:t>
      </w:r>
      <w:r w:rsidRPr="00AF7C17">
        <w:rPr>
          <w:rStyle w:val="Emphasis"/>
          <w:rFonts w:ascii="Arial" w:eastAsiaTheme="majorEastAsia" w:hAnsi="Arial" w:cs="Arial"/>
          <w:sz w:val="22"/>
          <w:szCs w:val="22"/>
        </w:rPr>
        <w:t>Dementia and Geriatric Cognitive Disorders</w:t>
      </w:r>
      <w:r w:rsidRPr="00AF7C17">
        <w:rPr>
          <w:rFonts w:ascii="Arial" w:hAnsi="Arial" w:cs="Arial"/>
          <w:sz w:val="22"/>
          <w:szCs w:val="22"/>
        </w:rPr>
        <w:t>, 36(3–4), pp. 242–250.</w:t>
      </w:r>
    </w:p>
    <w:p w14:paraId="0BDC5419" w14:textId="77777777"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Livingston, G. et al. (2020) ‘Dementia prevention, intervention, and care: 2020 report of the Lancet Commission’, </w:t>
      </w:r>
      <w:r w:rsidRPr="00AF7C17">
        <w:rPr>
          <w:rStyle w:val="Emphasis"/>
          <w:rFonts w:ascii="Arial" w:eastAsiaTheme="majorEastAsia" w:hAnsi="Arial" w:cs="Arial"/>
          <w:sz w:val="22"/>
          <w:szCs w:val="22"/>
        </w:rPr>
        <w:t>The Lancet</w:t>
      </w:r>
      <w:r w:rsidRPr="00AF7C17">
        <w:rPr>
          <w:rFonts w:ascii="Arial" w:hAnsi="Arial" w:cs="Arial"/>
          <w:sz w:val="22"/>
          <w:szCs w:val="22"/>
        </w:rPr>
        <w:t>, 396(10248), pp. 413–446.</w:t>
      </w:r>
    </w:p>
    <w:p w14:paraId="1E930818" w14:textId="77777777"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Nasreddine, Z.S. et al. (2005) ‘The Montreal Cognitive Assessment (MoCA): A brief screening tool for mild cognitive impairment’, </w:t>
      </w:r>
      <w:r w:rsidRPr="00AF7C17">
        <w:rPr>
          <w:rStyle w:val="Emphasis"/>
          <w:rFonts w:ascii="Arial" w:eastAsiaTheme="majorEastAsia" w:hAnsi="Arial" w:cs="Arial"/>
          <w:sz w:val="22"/>
          <w:szCs w:val="22"/>
        </w:rPr>
        <w:t>Journal of the American Geriatrics Society</w:t>
      </w:r>
      <w:r w:rsidRPr="00AF7C17">
        <w:rPr>
          <w:rFonts w:ascii="Arial" w:hAnsi="Arial" w:cs="Arial"/>
          <w:sz w:val="22"/>
          <w:szCs w:val="22"/>
        </w:rPr>
        <w:t>, 53(4), pp. 695–699.</w:t>
      </w:r>
    </w:p>
    <w:p w14:paraId="09AA3F5D" w14:textId="21448626"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NHS England (2019) </w:t>
      </w:r>
      <w:r w:rsidRPr="00AF7C17">
        <w:rPr>
          <w:rStyle w:val="Emphasis"/>
          <w:rFonts w:ascii="Arial" w:eastAsiaTheme="majorEastAsia" w:hAnsi="Arial" w:cs="Arial"/>
          <w:sz w:val="22"/>
          <w:szCs w:val="22"/>
        </w:rPr>
        <w:t>The NHS Long Term Plan</w:t>
      </w:r>
      <w:r w:rsidRPr="00AF7C17">
        <w:rPr>
          <w:rFonts w:ascii="Arial" w:hAnsi="Arial" w:cs="Arial"/>
          <w:sz w:val="22"/>
          <w:szCs w:val="22"/>
        </w:rPr>
        <w:t xml:space="preserve">. Available at: </w:t>
      </w:r>
      <w:r w:rsidRPr="00AF7C17">
        <w:rPr>
          <w:rStyle w:val="HTMLCode"/>
          <w:rFonts w:ascii="Arial" w:eastAsiaTheme="majorEastAsia" w:hAnsi="Arial" w:cs="Arial"/>
          <w:sz w:val="22"/>
          <w:szCs w:val="22"/>
        </w:rPr>
        <w:t>https://www.longtermplan.nhs.uk</w:t>
      </w:r>
      <w:r w:rsidRPr="00AF7C17">
        <w:rPr>
          <w:rFonts w:ascii="Arial" w:hAnsi="Arial" w:cs="Arial"/>
          <w:sz w:val="22"/>
          <w:szCs w:val="22"/>
        </w:rPr>
        <w:t xml:space="preserve"> </w:t>
      </w:r>
      <w:hyperlink r:id="rId11" w:tgtFrame="_blank" w:tooltip="www.bing.com" w:history="1">
        <w:r w:rsidRPr="00AF7C17">
          <w:rPr>
            <w:rStyle w:val="Hyperlink"/>
            <w:rFonts w:ascii="Arial" w:eastAsiaTheme="majorEastAsia" w:hAnsi="Arial" w:cs="Arial"/>
            <w:color w:val="auto"/>
            <w:sz w:val="22"/>
            <w:szCs w:val="22"/>
          </w:rPr>
          <w:t>(longtermplan.nhs.uk in Bing)</w:t>
        </w:r>
      </w:hyperlink>
      <w:r w:rsidRPr="00AF7C17">
        <w:rPr>
          <w:rFonts w:ascii="Arial" w:hAnsi="Arial" w:cs="Arial"/>
          <w:sz w:val="22"/>
          <w:szCs w:val="22"/>
        </w:rPr>
        <w:t xml:space="preserve"> </w:t>
      </w:r>
    </w:p>
    <w:p w14:paraId="634D8091" w14:textId="5CDB1A06"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NICE (2022) </w:t>
      </w:r>
      <w:r w:rsidRPr="00AF7C17">
        <w:rPr>
          <w:rStyle w:val="Emphasis"/>
          <w:rFonts w:ascii="Arial" w:eastAsiaTheme="majorEastAsia" w:hAnsi="Arial" w:cs="Arial"/>
          <w:sz w:val="22"/>
          <w:szCs w:val="22"/>
        </w:rPr>
        <w:t>Dementia: Assessment, management and support for people living with dementia and their carers (NG97)</w:t>
      </w:r>
      <w:r w:rsidRPr="00AF7C17">
        <w:rPr>
          <w:rFonts w:ascii="Arial" w:hAnsi="Arial" w:cs="Arial"/>
          <w:sz w:val="22"/>
          <w:szCs w:val="22"/>
        </w:rPr>
        <w:t xml:space="preserve">. Available at: </w:t>
      </w:r>
      <w:hyperlink r:id="rId12" w:tgtFrame="_blank" w:tooltip="www.nice.org.uk" w:history="1">
        <w:r w:rsidRPr="00AF7C17">
          <w:rPr>
            <w:rStyle w:val="Hyperlink"/>
            <w:rFonts w:ascii="Arial" w:eastAsiaTheme="majorEastAsia" w:hAnsi="Arial" w:cs="Arial"/>
            <w:color w:val="auto"/>
            <w:sz w:val="22"/>
            <w:szCs w:val="22"/>
          </w:rPr>
          <w:t>https://www.nice.org.uk</w:t>
        </w:r>
      </w:hyperlink>
      <w:r w:rsidRPr="00AF7C17">
        <w:rPr>
          <w:rFonts w:ascii="Arial" w:hAnsi="Arial" w:cs="Arial"/>
          <w:sz w:val="22"/>
          <w:szCs w:val="22"/>
        </w:rPr>
        <w:t xml:space="preserve"> (Accessed</w:t>
      </w:r>
    </w:p>
    <w:p w14:paraId="2F4A13D7" w14:textId="77777777"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Spector, A., Thorgrimsen, L., Woods, B. and Orrell, M. (2003) ‘Making a difference: An evidence</w:t>
      </w:r>
      <w:r w:rsidRPr="00AF7C17">
        <w:rPr>
          <w:rFonts w:ascii="Arial" w:hAnsi="Arial" w:cs="Arial"/>
          <w:sz w:val="22"/>
          <w:szCs w:val="22"/>
        </w:rPr>
        <w:noBreakHyphen/>
        <w:t xml:space="preserve">based group programme to offer Cognitive Stimulation Therapy (CST) to people with dementia’, </w:t>
      </w:r>
      <w:r w:rsidRPr="00AF7C17">
        <w:rPr>
          <w:rStyle w:val="Emphasis"/>
          <w:rFonts w:ascii="Arial" w:eastAsiaTheme="majorEastAsia" w:hAnsi="Arial" w:cs="Arial"/>
          <w:sz w:val="22"/>
          <w:szCs w:val="22"/>
        </w:rPr>
        <w:t>Aging &amp; Mental Health</w:t>
      </w:r>
      <w:r w:rsidRPr="00AF7C17">
        <w:rPr>
          <w:rFonts w:ascii="Arial" w:hAnsi="Arial" w:cs="Arial"/>
          <w:sz w:val="22"/>
          <w:szCs w:val="22"/>
        </w:rPr>
        <w:t>, 7(4), pp. 266–272.</w:t>
      </w:r>
    </w:p>
    <w:p w14:paraId="47E7FECA" w14:textId="0A8C1291" w:rsidR="00696A8B" w:rsidRPr="00AF7C17" w:rsidRDefault="00696A8B" w:rsidP="00696A8B">
      <w:pPr>
        <w:pStyle w:val="NormalWeb"/>
        <w:spacing w:line="360" w:lineRule="auto"/>
        <w:rPr>
          <w:rFonts w:ascii="Arial" w:hAnsi="Arial" w:cs="Arial"/>
          <w:sz w:val="22"/>
          <w:szCs w:val="22"/>
        </w:rPr>
      </w:pPr>
      <w:r w:rsidRPr="00AF7C17">
        <w:rPr>
          <w:rFonts w:ascii="Arial" w:hAnsi="Arial" w:cs="Arial"/>
          <w:sz w:val="22"/>
          <w:szCs w:val="22"/>
        </w:rPr>
        <w:t xml:space="preserve">World Health Organization (2023) </w:t>
      </w:r>
      <w:r w:rsidRPr="00AF7C17">
        <w:rPr>
          <w:rStyle w:val="Emphasis"/>
          <w:rFonts w:ascii="Arial" w:eastAsiaTheme="majorEastAsia" w:hAnsi="Arial" w:cs="Arial"/>
          <w:sz w:val="22"/>
          <w:szCs w:val="22"/>
        </w:rPr>
        <w:t>Dementia</w:t>
      </w:r>
      <w:r w:rsidRPr="00AF7C17">
        <w:rPr>
          <w:rFonts w:ascii="Arial" w:hAnsi="Arial" w:cs="Arial"/>
          <w:sz w:val="22"/>
          <w:szCs w:val="22"/>
        </w:rPr>
        <w:t xml:space="preserve">. Available at: </w:t>
      </w:r>
      <w:hyperlink r:id="rId13" w:tgtFrame="_blank" w:tooltip="www.who.int" w:history="1">
        <w:r w:rsidRPr="00AF7C17">
          <w:rPr>
            <w:rStyle w:val="Hyperlink"/>
            <w:rFonts w:ascii="Arial" w:eastAsiaTheme="majorEastAsia" w:hAnsi="Arial" w:cs="Arial"/>
            <w:color w:val="auto"/>
            <w:sz w:val="22"/>
            <w:szCs w:val="22"/>
          </w:rPr>
          <w:t>https://www.who.int</w:t>
        </w:r>
      </w:hyperlink>
      <w:r w:rsidRPr="00AF7C17">
        <w:rPr>
          <w:rFonts w:ascii="Arial" w:hAnsi="Arial" w:cs="Arial"/>
          <w:sz w:val="22"/>
          <w:szCs w:val="22"/>
        </w:rPr>
        <w:t xml:space="preserve"> </w:t>
      </w:r>
    </w:p>
    <w:p w14:paraId="5BFDE0DA" w14:textId="77777777" w:rsidR="00696A8B" w:rsidRPr="00EF4BB1" w:rsidRDefault="00696A8B" w:rsidP="00EF4BB1">
      <w:pPr>
        <w:spacing w:line="360" w:lineRule="auto"/>
        <w:rPr>
          <w:rFonts w:ascii="Arial" w:hAnsi="Arial" w:cs="Arial"/>
          <w:b/>
          <w:bCs/>
          <w:sz w:val="22"/>
          <w:szCs w:val="22"/>
        </w:rPr>
      </w:pPr>
    </w:p>
    <w:p w14:paraId="416177EC" w14:textId="3471E042" w:rsidR="00180682" w:rsidRDefault="00180682" w:rsidP="00EF4BB1">
      <w:pPr>
        <w:spacing w:line="360" w:lineRule="auto"/>
        <w:rPr>
          <w:rFonts w:ascii="Arial" w:hAnsi="Arial" w:cs="Arial"/>
          <w:sz w:val="22"/>
          <w:szCs w:val="22"/>
        </w:rPr>
      </w:pPr>
    </w:p>
    <w:p w14:paraId="72789442" w14:textId="77777777" w:rsidR="0083266A" w:rsidRPr="0083266A" w:rsidRDefault="0083266A" w:rsidP="0083266A">
      <w:pPr>
        <w:rPr>
          <w:rFonts w:ascii="Arial" w:hAnsi="Arial" w:cs="Arial"/>
          <w:sz w:val="22"/>
          <w:szCs w:val="22"/>
        </w:rPr>
      </w:pPr>
    </w:p>
    <w:p w14:paraId="26C2E5C6" w14:textId="77777777" w:rsidR="0083266A" w:rsidRPr="0083266A" w:rsidRDefault="0083266A" w:rsidP="0083266A">
      <w:pPr>
        <w:rPr>
          <w:rFonts w:ascii="Arial" w:hAnsi="Arial" w:cs="Arial"/>
          <w:sz w:val="22"/>
          <w:szCs w:val="22"/>
        </w:rPr>
      </w:pPr>
    </w:p>
    <w:p w14:paraId="7571A0BF" w14:textId="77777777" w:rsidR="0083266A" w:rsidRPr="0083266A" w:rsidRDefault="0083266A" w:rsidP="0083266A">
      <w:pPr>
        <w:rPr>
          <w:rFonts w:ascii="Arial" w:hAnsi="Arial" w:cs="Arial"/>
          <w:sz w:val="22"/>
          <w:szCs w:val="22"/>
        </w:rPr>
      </w:pPr>
    </w:p>
    <w:p w14:paraId="1D9AD367" w14:textId="77777777" w:rsidR="0083266A" w:rsidRPr="0083266A" w:rsidRDefault="0083266A" w:rsidP="0083266A">
      <w:pPr>
        <w:rPr>
          <w:rFonts w:ascii="Arial" w:hAnsi="Arial" w:cs="Arial"/>
          <w:sz w:val="22"/>
          <w:szCs w:val="22"/>
        </w:rPr>
      </w:pPr>
    </w:p>
    <w:p w14:paraId="1F6792B6" w14:textId="77777777" w:rsidR="0083266A" w:rsidRPr="0083266A" w:rsidRDefault="0083266A" w:rsidP="0083266A">
      <w:pPr>
        <w:rPr>
          <w:rFonts w:ascii="Arial" w:hAnsi="Arial" w:cs="Arial"/>
          <w:sz w:val="22"/>
          <w:szCs w:val="22"/>
        </w:rPr>
      </w:pPr>
    </w:p>
    <w:p w14:paraId="798BD868" w14:textId="77777777" w:rsidR="0083266A" w:rsidRPr="0083266A" w:rsidRDefault="0083266A" w:rsidP="0083266A">
      <w:pPr>
        <w:rPr>
          <w:rFonts w:ascii="Arial" w:hAnsi="Arial" w:cs="Arial"/>
          <w:sz w:val="22"/>
          <w:szCs w:val="22"/>
        </w:rPr>
      </w:pPr>
    </w:p>
    <w:p w14:paraId="076A74B6" w14:textId="77777777" w:rsidR="0083266A" w:rsidRDefault="0083266A" w:rsidP="0083266A">
      <w:pPr>
        <w:rPr>
          <w:rFonts w:ascii="Arial" w:hAnsi="Arial" w:cs="Arial"/>
          <w:sz w:val="22"/>
          <w:szCs w:val="22"/>
        </w:rPr>
      </w:pPr>
    </w:p>
    <w:p w14:paraId="5BA1DB5E" w14:textId="34326F07" w:rsidR="00641683" w:rsidRDefault="0083266A" w:rsidP="0083266A">
      <w:pPr>
        <w:tabs>
          <w:tab w:val="left" w:pos="3705"/>
        </w:tabs>
        <w:rPr>
          <w:rFonts w:ascii="Arial" w:hAnsi="Arial" w:cs="Arial"/>
          <w:sz w:val="22"/>
          <w:szCs w:val="22"/>
        </w:rPr>
      </w:pPr>
      <w:r>
        <w:rPr>
          <w:rFonts w:ascii="Arial" w:hAnsi="Arial" w:cs="Arial"/>
          <w:sz w:val="22"/>
          <w:szCs w:val="22"/>
        </w:rPr>
        <w:tab/>
      </w:r>
      <w:r w:rsidR="00641683">
        <w:rPr>
          <w:rFonts w:ascii="Arial" w:hAnsi="Arial" w:cs="Arial"/>
          <w:sz w:val="22"/>
          <w:szCs w:val="22"/>
        </w:rPr>
        <w:br w:type="page"/>
      </w:r>
    </w:p>
    <w:p w14:paraId="0DDA2514" w14:textId="77777777" w:rsidR="0083266A" w:rsidRPr="0083266A" w:rsidRDefault="0083266A" w:rsidP="0083266A">
      <w:pPr>
        <w:tabs>
          <w:tab w:val="left" w:pos="3705"/>
        </w:tabs>
        <w:rPr>
          <w:rFonts w:ascii="Arial" w:hAnsi="Arial" w:cs="Arial"/>
          <w:sz w:val="22"/>
          <w:szCs w:val="22"/>
        </w:rPr>
      </w:pPr>
    </w:p>
    <w:sectPr w:rsidR="0083266A" w:rsidRPr="0083266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009F6" w14:textId="77777777" w:rsidR="00646B5E" w:rsidRDefault="00646B5E" w:rsidP="00641683">
      <w:pPr>
        <w:spacing w:after="0" w:line="240" w:lineRule="auto"/>
      </w:pPr>
      <w:r>
        <w:separator/>
      </w:r>
    </w:p>
  </w:endnote>
  <w:endnote w:type="continuationSeparator" w:id="0">
    <w:p w14:paraId="4C495C52" w14:textId="77777777" w:rsidR="00646B5E" w:rsidRDefault="00646B5E" w:rsidP="00641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70EA" w14:textId="77777777" w:rsidR="00641683" w:rsidRDefault="006416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C1BE8" w14:textId="77777777" w:rsidR="00641683" w:rsidRPr="00641683" w:rsidRDefault="00641683" w:rsidP="006416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537AC" w14:textId="77777777" w:rsidR="00641683" w:rsidRDefault="00641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5D69D" w14:textId="77777777" w:rsidR="00646B5E" w:rsidRDefault="00646B5E" w:rsidP="00641683">
      <w:pPr>
        <w:spacing w:after="0" w:line="240" w:lineRule="auto"/>
      </w:pPr>
      <w:r>
        <w:separator/>
      </w:r>
    </w:p>
  </w:footnote>
  <w:footnote w:type="continuationSeparator" w:id="0">
    <w:p w14:paraId="75F827F0" w14:textId="77777777" w:rsidR="00646B5E" w:rsidRDefault="00646B5E" w:rsidP="00641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A4A0C" w14:textId="77777777" w:rsidR="00641683" w:rsidRDefault="006416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C3693" w14:textId="77777777" w:rsidR="00641683" w:rsidRDefault="006416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7CB6D" w14:textId="77777777" w:rsidR="00641683" w:rsidRDefault="006416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82"/>
    <w:rsid w:val="000E776F"/>
    <w:rsid w:val="000F424F"/>
    <w:rsid w:val="00157DAC"/>
    <w:rsid w:val="00180682"/>
    <w:rsid w:val="001C5568"/>
    <w:rsid w:val="001D0A1E"/>
    <w:rsid w:val="001F418B"/>
    <w:rsid w:val="003E4C8F"/>
    <w:rsid w:val="004A6965"/>
    <w:rsid w:val="004D27FD"/>
    <w:rsid w:val="004F2D0B"/>
    <w:rsid w:val="005D1848"/>
    <w:rsid w:val="00641683"/>
    <w:rsid w:val="00646B5E"/>
    <w:rsid w:val="00666C1E"/>
    <w:rsid w:val="00674CF5"/>
    <w:rsid w:val="00696A8B"/>
    <w:rsid w:val="0083266A"/>
    <w:rsid w:val="009E4A74"/>
    <w:rsid w:val="009F14D6"/>
    <w:rsid w:val="009F48AB"/>
    <w:rsid w:val="00A13901"/>
    <w:rsid w:val="00A91CBE"/>
    <w:rsid w:val="00AF7C17"/>
    <w:rsid w:val="00B3645D"/>
    <w:rsid w:val="00B75BF9"/>
    <w:rsid w:val="00BD1E9B"/>
    <w:rsid w:val="00C425C2"/>
    <w:rsid w:val="00C71B40"/>
    <w:rsid w:val="00DB15C9"/>
    <w:rsid w:val="00E96EB1"/>
    <w:rsid w:val="00E9706D"/>
    <w:rsid w:val="00EF4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FF00D"/>
  <w15:chartTrackingRefBased/>
  <w15:docId w15:val="{CCFCB552-DA67-4B28-8417-51C8B50B1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6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6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6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6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682"/>
    <w:rPr>
      <w:rFonts w:eastAsiaTheme="majorEastAsia" w:cstheme="majorBidi"/>
      <w:color w:val="272727" w:themeColor="text1" w:themeTint="D8"/>
    </w:rPr>
  </w:style>
  <w:style w:type="paragraph" w:styleId="Title">
    <w:name w:val="Title"/>
    <w:basedOn w:val="Normal"/>
    <w:next w:val="Normal"/>
    <w:link w:val="TitleChar"/>
    <w:uiPriority w:val="10"/>
    <w:qFormat/>
    <w:rsid w:val="001806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682"/>
    <w:pPr>
      <w:spacing w:before="160"/>
      <w:jc w:val="center"/>
    </w:pPr>
    <w:rPr>
      <w:i/>
      <w:iCs/>
      <w:color w:val="404040" w:themeColor="text1" w:themeTint="BF"/>
    </w:rPr>
  </w:style>
  <w:style w:type="character" w:customStyle="1" w:styleId="QuoteChar">
    <w:name w:val="Quote Char"/>
    <w:basedOn w:val="DefaultParagraphFont"/>
    <w:link w:val="Quote"/>
    <w:uiPriority w:val="29"/>
    <w:rsid w:val="00180682"/>
    <w:rPr>
      <w:i/>
      <w:iCs/>
      <w:color w:val="404040" w:themeColor="text1" w:themeTint="BF"/>
    </w:rPr>
  </w:style>
  <w:style w:type="paragraph" w:styleId="ListParagraph">
    <w:name w:val="List Paragraph"/>
    <w:basedOn w:val="Normal"/>
    <w:uiPriority w:val="34"/>
    <w:qFormat/>
    <w:rsid w:val="00180682"/>
    <w:pPr>
      <w:ind w:left="720"/>
      <w:contextualSpacing/>
    </w:pPr>
  </w:style>
  <w:style w:type="character" w:styleId="IntenseEmphasis">
    <w:name w:val="Intense Emphasis"/>
    <w:basedOn w:val="DefaultParagraphFont"/>
    <w:uiPriority w:val="21"/>
    <w:qFormat/>
    <w:rsid w:val="00180682"/>
    <w:rPr>
      <w:i/>
      <w:iCs/>
      <w:color w:val="0F4761" w:themeColor="accent1" w:themeShade="BF"/>
    </w:rPr>
  </w:style>
  <w:style w:type="paragraph" w:styleId="IntenseQuote">
    <w:name w:val="Intense Quote"/>
    <w:basedOn w:val="Normal"/>
    <w:next w:val="Normal"/>
    <w:link w:val="IntenseQuoteChar"/>
    <w:uiPriority w:val="30"/>
    <w:qFormat/>
    <w:rsid w:val="00180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682"/>
    <w:rPr>
      <w:i/>
      <w:iCs/>
      <w:color w:val="0F4761" w:themeColor="accent1" w:themeShade="BF"/>
    </w:rPr>
  </w:style>
  <w:style w:type="character" w:styleId="IntenseReference">
    <w:name w:val="Intense Reference"/>
    <w:basedOn w:val="DefaultParagraphFont"/>
    <w:uiPriority w:val="32"/>
    <w:qFormat/>
    <w:rsid w:val="00180682"/>
    <w:rPr>
      <w:b/>
      <w:bCs/>
      <w:smallCaps/>
      <w:color w:val="0F4761" w:themeColor="accent1" w:themeShade="BF"/>
      <w:spacing w:val="5"/>
    </w:rPr>
  </w:style>
  <w:style w:type="paragraph" w:styleId="NormalWeb">
    <w:name w:val="Normal (Web)"/>
    <w:basedOn w:val="Normal"/>
    <w:uiPriority w:val="99"/>
    <w:semiHidden/>
    <w:unhideWhenUsed/>
    <w:rsid w:val="005D18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96A8B"/>
    <w:rPr>
      <w:i/>
      <w:iCs/>
    </w:rPr>
  </w:style>
  <w:style w:type="character" w:styleId="Hyperlink">
    <w:name w:val="Hyperlink"/>
    <w:basedOn w:val="DefaultParagraphFont"/>
    <w:uiPriority w:val="99"/>
    <w:semiHidden/>
    <w:unhideWhenUsed/>
    <w:rsid w:val="00696A8B"/>
    <w:rPr>
      <w:color w:val="0000FF"/>
      <w:u w:val="single"/>
    </w:rPr>
  </w:style>
  <w:style w:type="character" w:styleId="HTMLCode">
    <w:name w:val="HTML Code"/>
    <w:basedOn w:val="DefaultParagraphFont"/>
    <w:uiPriority w:val="99"/>
    <w:semiHidden/>
    <w:unhideWhenUsed/>
    <w:rsid w:val="00696A8B"/>
    <w:rPr>
      <w:rFonts w:ascii="Courier New" w:eastAsia="Times New Roman" w:hAnsi="Courier New" w:cs="Courier New"/>
      <w:sz w:val="20"/>
      <w:szCs w:val="20"/>
    </w:rPr>
  </w:style>
  <w:style w:type="paragraph" w:styleId="Header">
    <w:name w:val="header"/>
    <w:basedOn w:val="Normal"/>
    <w:link w:val="HeaderChar"/>
    <w:uiPriority w:val="99"/>
    <w:unhideWhenUsed/>
    <w:rsid w:val="00641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683"/>
  </w:style>
  <w:style w:type="paragraph" w:styleId="Footer">
    <w:name w:val="footer"/>
    <w:basedOn w:val="Normal"/>
    <w:link w:val="FooterChar"/>
    <w:uiPriority w:val="99"/>
    <w:unhideWhenUsed/>
    <w:rsid w:val="00641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who.int/?utm_source=copilot.com"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ice.org.uk/?utm_source=copilot.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ing.com/search?q=%22https%3A%2F%2Fwww.longtermplan.nhs.uk%2F%22&amp;utm_source=copilot.c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lzheimers.org.uk/?utm_source=copilot.co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dementiastatistics.org/?utm_source=copilo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67F73-3598-4F6E-9CE4-422C6F929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short</dc:creator>
  <cp:keywords/>
  <dc:description/>
  <cp:lastModifiedBy>vikki short</cp:lastModifiedBy>
  <cp:revision>27</cp:revision>
  <dcterms:created xsi:type="dcterms:W3CDTF">2026-04-02T10:01:00Z</dcterms:created>
  <dcterms:modified xsi:type="dcterms:W3CDTF">2026-04-15T20:49:00Z</dcterms:modified>
</cp:coreProperties>
</file>