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38888" w14:textId="6D738C56" w:rsidR="0055788C" w:rsidRDefault="0055788C" w:rsidP="0055788C">
      <w:pPr>
        <w:spacing w:line="360" w:lineRule="auto"/>
        <w:rPr>
          <w:rFonts w:ascii="Arial" w:hAnsi="Arial" w:cs="Arial"/>
          <w:sz w:val="24"/>
          <w:szCs w:val="24"/>
        </w:rPr>
      </w:pPr>
      <w:r>
        <w:rPr>
          <w:rFonts w:ascii="Arial" w:hAnsi="Arial" w:cs="Arial"/>
          <w:sz w:val="24"/>
          <w:szCs w:val="24"/>
        </w:rPr>
        <w:t xml:space="preserve">Maisie Finnemore </w:t>
      </w:r>
    </w:p>
    <w:p w14:paraId="04DBA943" w14:textId="61B7CFBC" w:rsidR="0055788C" w:rsidRDefault="0055788C" w:rsidP="0055788C">
      <w:pPr>
        <w:spacing w:line="360" w:lineRule="auto"/>
        <w:rPr>
          <w:rFonts w:ascii="Arial" w:hAnsi="Arial" w:cs="Arial"/>
          <w:sz w:val="24"/>
          <w:szCs w:val="24"/>
        </w:rPr>
      </w:pPr>
      <w:r>
        <w:rPr>
          <w:rFonts w:ascii="Arial" w:hAnsi="Arial" w:cs="Arial"/>
          <w:sz w:val="24"/>
          <w:szCs w:val="24"/>
        </w:rPr>
        <w:t>2012131</w:t>
      </w:r>
    </w:p>
    <w:p w14:paraId="7CB6FFE7" w14:textId="2491F011" w:rsidR="007750DB" w:rsidRPr="0055788C" w:rsidRDefault="00CC7365" w:rsidP="0055788C">
      <w:pPr>
        <w:spacing w:line="360" w:lineRule="auto"/>
        <w:jc w:val="center"/>
        <w:rPr>
          <w:rFonts w:ascii="Arial" w:hAnsi="Arial" w:cs="Arial"/>
          <w:sz w:val="24"/>
          <w:szCs w:val="24"/>
        </w:rPr>
      </w:pPr>
      <w:r w:rsidRPr="0055788C">
        <w:rPr>
          <w:rFonts w:ascii="Arial" w:hAnsi="Arial" w:cs="Arial"/>
          <w:sz w:val="24"/>
          <w:szCs w:val="24"/>
        </w:rPr>
        <w:t>Offences Against the Person Act 1861</w:t>
      </w:r>
    </w:p>
    <w:p w14:paraId="73B1F277" w14:textId="77777777" w:rsidR="00DC6497" w:rsidRPr="00DC6497" w:rsidRDefault="00DC6497" w:rsidP="00DC6497">
      <w:pPr>
        <w:spacing w:line="360" w:lineRule="auto"/>
        <w:rPr>
          <w:rFonts w:ascii="Arial" w:hAnsi="Arial" w:cs="Arial"/>
          <w:sz w:val="24"/>
          <w:szCs w:val="24"/>
          <w:shd w:val="clear" w:color="auto" w:fill="FFFFFF"/>
        </w:rPr>
      </w:pPr>
      <w:r w:rsidRPr="00DC6497">
        <w:rPr>
          <w:rFonts w:ascii="Arial" w:hAnsi="Arial" w:cs="Arial"/>
          <w:sz w:val="24"/>
          <w:szCs w:val="24"/>
          <w:shd w:val="clear" w:color="auto" w:fill="FFFFFF"/>
        </w:rPr>
        <w:t>The Offences Against the Person Act 1861 (OAPA) is an Act of Parliament that has been in place for over 150 years and it involves non-fatal offences against the person within the criminal justice system. Non-fatal offences are split into two groups and the first two non-fatal offences are assault and battery which are included in the common law and section 39 Criminal Justice Act 1998 (Criminal Justice Act 1998). Non-fatal offences that are included in the Offences Against the Person Act 1861 are ABH which is actual bodily harm, GBH which is grievous bodily harm, and GBH that is unlawful and malicious wounding with intent to cause harm, and other different offences that are non-fatal. ABH is displayed in section 47 in the legislation of the Offences Against the Person Act, GBH is displayed in section 20 and then in section 18 GBH with harm intent is displayed in that section (Offences Against the Person Act 1861).</w:t>
      </w:r>
    </w:p>
    <w:p w14:paraId="0CAFC6DB" w14:textId="77777777" w:rsidR="00DC6497" w:rsidRPr="00DC6497" w:rsidRDefault="00DC6497" w:rsidP="00DC6497">
      <w:pPr>
        <w:spacing w:line="360" w:lineRule="auto"/>
        <w:rPr>
          <w:rFonts w:ascii="Arial" w:hAnsi="Arial" w:cs="Arial"/>
          <w:sz w:val="24"/>
          <w:szCs w:val="24"/>
          <w:shd w:val="clear" w:color="auto" w:fill="FFFFFF"/>
        </w:rPr>
      </w:pPr>
      <w:r w:rsidRPr="00DC6497">
        <w:rPr>
          <w:rFonts w:ascii="Arial" w:hAnsi="Arial" w:cs="Arial"/>
          <w:sz w:val="24"/>
          <w:szCs w:val="24"/>
          <w:shd w:val="clear" w:color="auto" w:fill="FFFFFF"/>
        </w:rPr>
        <w:t xml:space="preserve">The Offences Against the Person Act 1861 was first created in August 1861. The Act needs a reform and is outdated, it is suggested in the literature that the Act needs to be reformed due to its outdated nature and society has evolved in the last 150 years, even crimes have evolved which then gives great difficulty comparing crimes in modern society to the Act. The Law Commission has stated that the Offences Against the Person Act needs to be updated and has been reported to form a case to reform criminal law. In 1998 a Draft Bill was produced by Home Office and it was a more modified version of the OAPA, Law Commission believes it should replace the Offences Against the Person Act 1861. </w:t>
      </w:r>
    </w:p>
    <w:p w14:paraId="4E6C6A58" w14:textId="77777777" w:rsidR="00DC6497" w:rsidRPr="00DC6497" w:rsidRDefault="00DC6497" w:rsidP="00DC6497">
      <w:pPr>
        <w:spacing w:line="360" w:lineRule="auto"/>
        <w:rPr>
          <w:rFonts w:ascii="Arial" w:hAnsi="Arial" w:cs="Arial"/>
          <w:sz w:val="24"/>
          <w:szCs w:val="24"/>
          <w:shd w:val="clear" w:color="auto" w:fill="FFFFFF"/>
        </w:rPr>
      </w:pPr>
      <w:r w:rsidRPr="00DC6497">
        <w:rPr>
          <w:rFonts w:ascii="Arial" w:hAnsi="Arial" w:cs="Arial"/>
          <w:sz w:val="24"/>
          <w:szCs w:val="24"/>
          <w:shd w:val="clear" w:color="auto" w:fill="FFFFFF"/>
        </w:rPr>
        <w:t xml:space="preserve">The Law Commission's report has declared that the OAPA is out of date and that it should be renewed. One of the criticisms is that the legislation has a flawed hierarchy, meaning that it has an unclear demonstration of the hierarchy offences which is confusing, the offences are not in order of seriousness and are not explained in a more modern way such as section 47 (ABH) and section 20 (GBH). Law Commission stated that the language of the Offences Against the Person Act is complicated and vague, they also stated that the mental elements of some offences are not clearly expressed and do not reflect on certain elements from those offences </w:t>
      </w:r>
      <w:r w:rsidRPr="00DC6497">
        <w:rPr>
          <w:rFonts w:ascii="Arial" w:hAnsi="Arial" w:cs="Arial"/>
          <w:sz w:val="24"/>
          <w:szCs w:val="24"/>
          <w:shd w:val="clear" w:color="auto" w:fill="FFFFFF"/>
        </w:rPr>
        <w:lastRenderedPageBreak/>
        <w:t xml:space="preserve">(Law Com No 361, 2015). Recommendations from the Law Commission report suggest that the Home Office Draft Bill 1998 was a great starting position for a reform for the OAPA, the draft bill is a good model to reflect from and use to produce a more modern legislation. The draft bill is recommended to be used as an outline to produce an updated and much more understandable Act, it has great proposals for the legislation and will be a good model to use to create an overdue reform in the OAPA, Law Commission would like the legislation to be repealed and more modernised for a better understanding Act. Law Commission's report was reflected on by the Honour Judge Andrew </w:t>
      </w:r>
      <w:proofErr w:type="spellStart"/>
      <w:r w:rsidRPr="00DC6497">
        <w:rPr>
          <w:rFonts w:ascii="Arial" w:hAnsi="Arial" w:cs="Arial"/>
          <w:sz w:val="24"/>
          <w:szCs w:val="24"/>
          <w:shd w:val="clear" w:color="auto" w:fill="FFFFFF"/>
        </w:rPr>
        <w:t>Goymer</w:t>
      </w:r>
      <w:proofErr w:type="spellEnd"/>
      <w:r w:rsidRPr="00DC6497">
        <w:rPr>
          <w:rFonts w:ascii="Arial" w:hAnsi="Arial" w:cs="Arial"/>
          <w:sz w:val="24"/>
          <w:szCs w:val="24"/>
          <w:shd w:val="clear" w:color="auto" w:fill="FFFFFF"/>
        </w:rPr>
        <w:t xml:space="preserve"> and was agreed that the legislation has been a struggle for judges and juries to read to deal with the problems of the current law due to the statute being over 150 years old (Law Commission, 2021).</w:t>
      </w:r>
    </w:p>
    <w:p w14:paraId="303880F2" w14:textId="77777777" w:rsidR="00DC6497" w:rsidRPr="00DC6497" w:rsidRDefault="00DC6497" w:rsidP="00DC6497">
      <w:pPr>
        <w:spacing w:line="360" w:lineRule="auto"/>
        <w:rPr>
          <w:rFonts w:ascii="Arial" w:hAnsi="Arial" w:cs="Arial"/>
          <w:sz w:val="24"/>
          <w:szCs w:val="24"/>
          <w:shd w:val="clear" w:color="auto" w:fill="FFFFFF"/>
        </w:rPr>
      </w:pPr>
      <w:r w:rsidRPr="00DC6497">
        <w:rPr>
          <w:rFonts w:ascii="Arial" w:hAnsi="Arial" w:cs="Arial"/>
          <w:sz w:val="24"/>
          <w:szCs w:val="24"/>
          <w:shd w:val="clear" w:color="auto" w:fill="FFFFFF"/>
        </w:rPr>
        <w:t>The OAPA has been noticed by individuals that the language is outdated which is making the legislation detach from modern society, it is unclear about the hierarchy of offences (</w:t>
      </w:r>
      <w:proofErr w:type="spellStart"/>
      <w:r w:rsidRPr="00DC6497">
        <w:rPr>
          <w:rFonts w:ascii="Arial" w:hAnsi="Arial" w:cs="Arial"/>
          <w:sz w:val="24"/>
          <w:szCs w:val="24"/>
          <w:shd w:val="clear" w:color="auto" w:fill="FFFFFF"/>
        </w:rPr>
        <w:t>Eugenicos</w:t>
      </w:r>
      <w:proofErr w:type="spellEnd"/>
      <w:r w:rsidRPr="00DC6497">
        <w:rPr>
          <w:rFonts w:ascii="Arial" w:hAnsi="Arial" w:cs="Arial"/>
          <w:sz w:val="24"/>
          <w:szCs w:val="24"/>
          <w:shd w:val="clear" w:color="auto" w:fill="FFFFFF"/>
        </w:rPr>
        <w:t xml:space="preserve">, 2017). The offences in the legislation are unclear and do not show the seriousness of the offences, section 20 is more serious than section 47, but both have a maximum sentence of 5 years, the offences need to be specified correctly. This presents that the OAPA needs to make changes for improvement and to become more understandable with the offences and to be able to reflect on the offences in a more up-to-date and modern way. In section 5 of the legislation, which is assault occasioning bodily harm, the wording is outdated when it refers to imprisonment as penal servitude for England and Wales. Northern Ireland has a different statement about section 5 and uses the word imprisonment instead of penal servitude, this shows that for Northern Ireland the legislation has been updated but as for England and Wales it still is detached from being more modern (Offences Against the Person Act 1861). </w:t>
      </w:r>
    </w:p>
    <w:p w14:paraId="02B788A1" w14:textId="77777777" w:rsidR="00DC6497" w:rsidRPr="00DC6497" w:rsidRDefault="00DC6497" w:rsidP="00DC6497">
      <w:pPr>
        <w:spacing w:line="360" w:lineRule="auto"/>
        <w:rPr>
          <w:rFonts w:ascii="Arial" w:hAnsi="Arial" w:cs="Arial"/>
          <w:sz w:val="24"/>
          <w:szCs w:val="24"/>
          <w:shd w:val="clear" w:color="auto" w:fill="FFFFFF"/>
        </w:rPr>
      </w:pPr>
      <w:r w:rsidRPr="00DC6497">
        <w:rPr>
          <w:rFonts w:ascii="Arial" w:hAnsi="Arial" w:cs="Arial"/>
          <w:sz w:val="24"/>
          <w:szCs w:val="24"/>
          <w:shd w:val="clear" w:color="auto" w:fill="FFFFFF"/>
        </w:rPr>
        <w:t xml:space="preserve">John Gardner reflected in his article that section 20 (ABH) should be stated as the more serious offence of section 47 (GBH), but both offences are defined quite differently regarding the seriousness of the offences. The offences should be related and described similarly as section 20 is a more serious version of section 47. Section 18, 20, and 47 are all similar offences, they all involve a situation of grievous bodily harm and are linked but one is more serious than the other, but in the legislation, they have not defined the seriousness of the sections clearly giving them a miss understanding of what the levels of severe offences they are. John Gardner also </w:t>
      </w:r>
      <w:r w:rsidRPr="00DC6497">
        <w:rPr>
          <w:rFonts w:ascii="Arial" w:hAnsi="Arial" w:cs="Arial"/>
          <w:sz w:val="24"/>
          <w:szCs w:val="24"/>
          <w:shd w:val="clear" w:color="auto" w:fill="FFFFFF"/>
        </w:rPr>
        <w:lastRenderedPageBreak/>
        <w:t>explained that section 20 has a maximum sentence of 5 years and section 18 can have a sentence up to life, this shows the different points in seriousness and that Law Commission should contain this in the new replaced offences within the hierarchy (Gardner, 1994, p. 3-4).</w:t>
      </w:r>
    </w:p>
    <w:p w14:paraId="56012B41" w14:textId="77777777" w:rsidR="00DC6497" w:rsidRPr="00DC6497" w:rsidRDefault="00DC6497" w:rsidP="00DC6497">
      <w:pPr>
        <w:spacing w:line="360" w:lineRule="auto"/>
        <w:rPr>
          <w:rFonts w:ascii="Arial" w:hAnsi="Arial" w:cs="Arial"/>
          <w:sz w:val="24"/>
          <w:szCs w:val="24"/>
          <w:shd w:val="clear" w:color="auto" w:fill="FFFFFF"/>
        </w:rPr>
      </w:pPr>
      <w:r w:rsidRPr="00DC6497">
        <w:rPr>
          <w:rFonts w:ascii="Arial" w:hAnsi="Arial" w:cs="Arial"/>
          <w:sz w:val="24"/>
          <w:szCs w:val="24"/>
          <w:shd w:val="clear" w:color="auto" w:fill="FFFFFF"/>
        </w:rPr>
        <w:t>Demetriou 2016 reviewed and assessed of Law Commissions Scoping Report paper of the Offence Against the Person Act and notices that it has said about ss 20 and ss 47 having the same maximum sentences which then confuses individuals on what the difference between the offences are on blameworthiness. If an offence has the same maximum sentence as another offence it should mean that the level of seriousness is the same but regarding ss 20 and ss 47 the offence that is the most serious out of both and has not to be characterised is ss 20. It was also mentioned that offences should be labelled precisely to be able to show society about the description and blameworthiness of the harmful prohibit. Demetriou observed that Law Commission did not pay attention to the fact that definitions of certain words were not explored and not evaluated towards the reform for the OAPA, some of the words were recklessness, intention, and consent, the argument for that statement is that the issue needs to be addressed as the definition for certain words structure an essential part of the group of non-fatal offences (Demetriou, 2016).</w:t>
      </w:r>
    </w:p>
    <w:p w14:paraId="05E54140" w14:textId="77777777" w:rsidR="00DC6497" w:rsidRPr="00DC6497" w:rsidRDefault="00DC6497" w:rsidP="00DC6497">
      <w:pPr>
        <w:spacing w:line="360" w:lineRule="auto"/>
        <w:rPr>
          <w:rFonts w:ascii="Arial" w:hAnsi="Arial" w:cs="Arial"/>
          <w:sz w:val="24"/>
          <w:szCs w:val="24"/>
          <w:shd w:val="clear" w:color="auto" w:fill="FFFFFF"/>
        </w:rPr>
      </w:pPr>
      <w:r w:rsidRPr="00DC6497">
        <w:rPr>
          <w:rFonts w:ascii="Arial" w:hAnsi="Arial" w:cs="Arial"/>
          <w:sz w:val="24"/>
          <w:szCs w:val="24"/>
          <w:shd w:val="clear" w:color="auto" w:fill="FFFFFF"/>
        </w:rPr>
        <w:t xml:space="preserve">The offences of assault and battery are crimes that are committed quite frequently in modern society, the terms for assault and battery are not defined or stated within the Offences Against the Person Act but are stated in section 39 of the Criminal Justice Act 1988. The OAPA cannot be used to charge individuals because it has not got a definition for the offences of assault and battery which is very much needed in modern society, this goes to show the OAPA needs a reform due to being outdated and for it to be used for more crimes and to be able to use it to refer to crimes such as assault and battery. It has been mentioned that maybe the assault and battery offences should either statutory or common law offences, just because the Offences Against the Person Act does not have a definition or initial response to the offences of assault and battery (Child et al. 2017, p. 216). Actual Bodily Harm (ABH) is also not defined in the OAPA, ABH is any injury that has happened towards the victim by the defendant which can be injuries that vary from bruising, swelling, grazes, to even injuries such as loss of consciousness and psychiatric injury. The hurt does not need to be permanent, but it must affect the victim (CPS, 2020). It is a maximum of 5 </w:t>
      </w:r>
      <w:r w:rsidRPr="00DC6497">
        <w:rPr>
          <w:rFonts w:ascii="Arial" w:hAnsi="Arial" w:cs="Arial"/>
          <w:sz w:val="24"/>
          <w:szCs w:val="24"/>
          <w:shd w:val="clear" w:color="auto" w:fill="FFFFFF"/>
        </w:rPr>
        <w:lastRenderedPageBreak/>
        <w:t xml:space="preserve">years sentence with actual bodily harm and that is not stated in the legislation meaning that it cannot be used to sentence an individual for ABH. </w:t>
      </w:r>
    </w:p>
    <w:p w14:paraId="4704D631" w14:textId="600FF20D" w:rsidR="00DC6497" w:rsidRPr="00DC6497" w:rsidRDefault="00DC6497" w:rsidP="00DC6497">
      <w:pPr>
        <w:spacing w:line="360" w:lineRule="auto"/>
        <w:rPr>
          <w:rFonts w:ascii="Arial" w:hAnsi="Arial" w:cs="Arial"/>
          <w:sz w:val="24"/>
          <w:szCs w:val="24"/>
          <w:shd w:val="clear" w:color="auto" w:fill="FFFFFF"/>
        </w:rPr>
      </w:pPr>
      <w:r w:rsidRPr="00DC6497">
        <w:rPr>
          <w:rFonts w:ascii="Arial" w:hAnsi="Arial" w:cs="Arial"/>
          <w:sz w:val="24"/>
          <w:szCs w:val="24"/>
          <w:shd w:val="clear" w:color="auto" w:fill="FFFFFF"/>
        </w:rPr>
        <w:t>A case was appealed in the courts and it was Regina v Burstow v Ireland 1997</w:t>
      </w:r>
      <w:r w:rsidR="00296F8C">
        <w:rPr>
          <w:rFonts w:ascii="Arial" w:hAnsi="Arial" w:cs="Arial"/>
          <w:sz w:val="24"/>
          <w:szCs w:val="24"/>
          <w:shd w:val="clear" w:color="auto" w:fill="FFFFFF"/>
        </w:rPr>
        <w:t xml:space="preserve"> (R v Ireland v Burstow 1997)</w:t>
      </w:r>
      <w:r w:rsidRPr="00DC6497">
        <w:rPr>
          <w:rFonts w:ascii="Arial" w:hAnsi="Arial" w:cs="Arial"/>
          <w:sz w:val="24"/>
          <w:szCs w:val="24"/>
          <w:shd w:val="clear" w:color="auto" w:fill="FFFFFF"/>
        </w:rPr>
        <w:t>. The case included a silent phone call that led to a psychiatric illness such as anxiety towards the victim, it was appealed in the House of Lords that the defendant was guilty and was convicted with ss 20 and not ss 18 or 47 due to the outdated wording of the OAPA. Regina v. Burstow case and Burstow was convicted with section 20 because section 18 uses the words cause any grievous bodily harm to any person in the definition which made the judges contemplate on whether the defendant convicted that offence and if it was intentional to cause psychiatric injury. This case supports the fact the literature of the Act needs to be modernised to be able to judge whether an offence applies to certain crimes that are being committed and it is creating confusion when convicting defendants for the offences that have been committed (Parliament. House of Lords, 1997).</w:t>
      </w:r>
      <w:r w:rsidR="00C076C5">
        <w:rPr>
          <w:rFonts w:ascii="Arial" w:hAnsi="Arial" w:cs="Arial"/>
          <w:sz w:val="24"/>
          <w:szCs w:val="24"/>
          <w:shd w:val="clear" w:color="auto" w:fill="FFFFFF"/>
        </w:rPr>
        <w:t xml:space="preserve"> </w:t>
      </w:r>
      <w:r w:rsidR="00054524">
        <w:rPr>
          <w:rFonts w:ascii="Arial" w:hAnsi="Arial" w:cs="Arial"/>
          <w:sz w:val="24"/>
          <w:szCs w:val="24"/>
          <w:shd w:val="clear" w:color="auto" w:fill="FFFFFF"/>
        </w:rPr>
        <w:t>The offences defined in the legislation provides difficulty on supporting the crime that has been convicted due to the lack of modern language and literature involved, cases need to be reflected and assessed over to provide a certain conviction for imprisonment</w:t>
      </w:r>
      <w:r w:rsidR="003526E5">
        <w:rPr>
          <w:rFonts w:ascii="Arial" w:hAnsi="Arial" w:cs="Arial"/>
          <w:sz w:val="24"/>
          <w:szCs w:val="24"/>
          <w:shd w:val="clear" w:color="auto" w:fill="FFFFFF"/>
        </w:rPr>
        <w:t xml:space="preserve"> and the words “inflicting” and “causing” are involved in the sections which is then making them difficult to understand when judging offences. </w:t>
      </w:r>
    </w:p>
    <w:p w14:paraId="132F6105" w14:textId="1F99FA82" w:rsidR="00DC6497" w:rsidRDefault="00DC6497" w:rsidP="00DC6497">
      <w:pPr>
        <w:spacing w:line="360" w:lineRule="auto"/>
        <w:rPr>
          <w:rFonts w:ascii="Arial" w:hAnsi="Arial" w:cs="Arial"/>
          <w:sz w:val="24"/>
          <w:szCs w:val="24"/>
          <w:shd w:val="clear" w:color="auto" w:fill="FFFFFF"/>
        </w:rPr>
      </w:pPr>
      <w:r w:rsidRPr="00DC6497">
        <w:rPr>
          <w:rFonts w:ascii="Arial" w:hAnsi="Arial" w:cs="Arial"/>
          <w:sz w:val="24"/>
          <w:szCs w:val="24"/>
          <w:shd w:val="clear" w:color="auto" w:fill="FFFFFF"/>
        </w:rPr>
        <w:t>The need for the Offences Against the Person Act 1861 to have a reform is a strong agreement to lots of individuals, it has been agreed on a few occasions that the literature of the Act needs to become more modern to suit the needs of society and the crimes that are now happening in modern times. The OAPA makes it hard to judge whether what section of the OAPA an offence is suited for, the language describing the offences is confusing and complexed. The draft bill and Law Commissions Report is a great response to a new pathway for a reform and a great direction to start, it explains the confusion between the wording of some sections of the legislation and the draft bill does the same, they reflect both reflect upon the legislation creating a more suitable model for a new reform. Some cases have been issued with the problem of the wording of the OAPA and have been appealed to be discussed such as Regina v. Burstow, comparing different cases to each other to gather a better understanding of the convictions that are issued for similar offences.</w:t>
      </w:r>
    </w:p>
    <w:p w14:paraId="6EE52A3D" w14:textId="77777777" w:rsidR="007750DB" w:rsidRPr="00735D79" w:rsidRDefault="007750DB" w:rsidP="0055788C">
      <w:pPr>
        <w:spacing w:line="360" w:lineRule="auto"/>
        <w:rPr>
          <w:rFonts w:ascii="Arial" w:hAnsi="Arial" w:cs="Arial"/>
          <w:sz w:val="24"/>
          <w:szCs w:val="24"/>
        </w:rPr>
      </w:pPr>
    </w:p>
    <w:p w14:paraId="572B9964" w14:textId="5E7E54A7" w:rsidR="0055788C" w:rsidRPr="0055788C" w:rsidRDefault="0055788C" w:rsidP="0055788C">
      <w:pPr>
        <w:spacing w:line="360" w:lineRule="auto"/>
        <w:rPr>
          <w:rFonts w:ascii="Arial" w:hAnsi="Arial" w:cs="Arial"/>
          <w:sz w:val="24"/>
          <w:szCs w:val="24"/>
        </w:rPr>
      </w:pPr>
      <w:r w:rsidRPr="0055788C">
        <w:rPr>
          <w:rFonts w:ascii="Arial" w:hAnsi="Arial" w:cs="Arial"/>
          <w:sz w:val="24"/>
          <w:szCs w:val="24"/>
        </w:rPr>
        <w:t>Reference List:</w:t>
      </w:r>
    </w:p>
    <w:p w14:paraId="7F5F0AB9" w14:textId="77777777" w:rsidR="00296F8C" w:rsidRDefault="00296F8C" w:rsidP="0071150A">
      <w:pPr>
        <w:spacing w:line="360" w:lineRule="auto"/>
        <w:rPr>
          <w:rFonts w:ascii="Arial" w:hAnsi="Arial" w:cs="Arial"/>
          <w:sz w:val="24"/>
          <w:szCs w:val="24"/>
        </w:rPr>
      </w:pPr>
      <w:r>
        <w:rPr>
          <w:rFonts w:ascii="Arial" w:hAnsi="Arial" w:cs="Arial"/>
          <w:sz w:val="24"/>
          <w:szCs w:val="24"/>
        </w:rPr>
        <w:t xml:space="preserve">Child, J. et al. (2017). </w:t>
      </w:r>
      <w:r>
        <w:rPr>
          <w:rFonts w:ascii="Arial" w:hAnsi="Arial" w:cs="Arial"/>
          <w:i/>
          <w:iCs/>
          <w:sz w:val="24"/>
          <w:szCs w:val="24"/>
        </w:rPr>
        <w:t xml:space="preserve">Smith, Hogan, and Omerod’s essentials of criminal law. </w:t>
      </w:r>
      <w:r>
        <w:rPr>
          <w:rFonts w:ascii="Arial" w:hAnsi="Arial" w:cs="Arial"/>
          <w:sz w:val="24"/>
          <w:szCs w:val="24"/>
        </w:rPr>
        <w:t>2</w:t>
      </w:r>
      <w:r w:rsidRPr="00081CAB">
        <w:rPr>
          <w:rFonts w:ascii="Arial" w:hAnsi="Arial" w:cs="Arial"/>
          <w:sz w:val="24"/>
          <w:szCs w:val="24"/>
          <w:vertAlign w:val="superscript"/>
        </w:rPr>
        <w:t>nd</w:t>
      </w:r>
      <w:r>
        <w:rPr>
          <w:rFonts w:ascii="Arial" w:hAnsi="Arial" w:cs="Arial"/>
          <w:sz w:val="24"/>
          <w:szCs w:val="24"/>
        </w:rPr>
        <w:t xml:space="preserve"> ed. Oxford: Oxford University Press. </w:t>
      </w:r>
    </w:p>
    <w:p w14:paraId="7C2B691E" w14:textId="77777777" w:rsidR="00296F8C" w:rsidRPr="003C110F" w:rsidRDefault="00296F8C" w:rsidP="0071150A">
      <w:pPr>
        <w:spacing w:line="360" w:lineRule="auto"/>
        <w:rPr>
          <w:rFonts w:ascii="Arial" w:hAnsi="Arial" w:cs="Arial"/>
          <w:sz w:val="24"/>
          <w:szCs w:val="24"/>
        </w:rPr>
      </w:pPr>
      <w:r w:rsidRPr="00EB7BD1">
        <w:rPr>
          <w:rFonts w:ascii="Arial" w:hAnsi="Arial" w:cs="Arial"/>
          <w:i/>
          <w:iCs/>
          <w:sz w:val="24"/>
          <w:szCs w:val="24"/>
        </w:rPr>
        <w:t xml:space="preserve">Criminal Justice Act 1998, </w:t>
      </w:r>
      <w:r w:rsidRPr="00EB7BD1">
        <w:rPr>
          <w:rFonts w:ascii="Arial" w:hAnsi="Arial" w:cs="Arial"/>
          <w:sz w:val="24"/>
          <w:szCs w:val="24"/>
        </w:rPr>
        <w:t xml:space="preserve">c. 33. </w:t>
      </w:r>
      <w:r>
        <w:rPr>
          <w:rFonts w:ascii="Arial" w:hAnsi="Arial" w:cs="Arial"/>
          <w:sz w:val="24"/>
          <w:szCs w:val="24"/>
        </w:rPr>
        <w:t xml:space="preserve">Available at: </w:t>
      </w:r>
      <w:hyperlink r:id="rId6" w:history="1">
        <w:r w:rsidRPr="003C110F">
          <w:rPr>
            <w:rStyle w:val="Hyperlink"/>
            <w:rFonts w:ascii="Arial" w:hAnsi="Arial" w:cs="Arial"/>
            <w:sz w:val="24"/>
            <w:szCs w:val="24"/>
          </w:rPr>
          <w:t>Criminal Justice Act 1988 (legislation.gov.uk)</w:t>
        </w:r>
      </w:hyperlink>
    </w:p>
    <w:p w14:paraId="286CA54D" w14:textId="77777777" w:rsidR="00296F8C" w:rsidRPr="006922A1" w:rsidRDefault="00296F8C" w:rsidP="0071150A">
      <w:pPr>
        <w:spacing w:line="360" w:lineRule="auto"/>
        <w:rPr>
          <w:rFonts w:ascii="Arial" w:hAnsi="Arial" w:cs="Arial"/>
          <w:sz w:val="24"/>
          <w:szCs w:val="24"/>
        </w:rPr>
      </w:pPr>
      <w:r>
        <w:rPr>
          <w:rFonts w:ascii="Arial" w:hAnsi="Arial" w:cs="Arial"/>
          <w:sz w:val="24"/>
          <w:szCs w:val="24"/>
        </w:rPr>
        <w:t xml:space="preserve">Demetriou, S. (2016). ‘The Journal of Criminal Law’, </w:t>
      </w:r>
      <w:r>
        <w:rPr>
          <w:rFonts w:ascii="Arial" w:hAnsi="Arial" w:cs="Arial"/>
          <w:i/>
          <w:iCs/>
          <w:sz w:val="24"/>
          <w:szCs w:val="24"/>
        </w:rPr>
        <w:t xml:space="preserve">Not giving up the fight: A review of the Law Commission Scoping Report on Non-fatal Offences Against the Person, </w:t>
      </w:r>
      <w:r>
        <w:rPr>
          <w:rFonts w:ascii="Arial" w:hAnsi="Arial" w:cs="Arial"/>
          <w:sz w:val="24"/>
          <w:szCs w:val="24"/>
        </w:rPr>
        <w:t xml:space="preserve">80(3), pp. 188-200. </w:t>
      </w:r>
      <w:r w:rsidRPr="006922A1">
        <w:rPr>
          <w:rFonts w:ascii="Arial" w:hAnsi="Arial" w:cs="Arial"/>
          <w:sz w:val="24"/>
          <w:szCs w:val="24"/>
        </w:rPr>
        <w:t>DOI: 10.1177/0022018316646656</w:t>
      </w:r>
    </w:p>
    <w:p w14:paraId="6B0E491F" w14:textId="77777777" w:rsidR="00296F8C" w:rsidRPr="00EB7BD1" w:rsidRDefault="00296F8C" w:rsidP="0055788C">
      <w:pPr>
        <w:spacing w:line="360" w:lineRule="auto"/>
        <w:rPr>
          <w:rFonts w:ascii="Arial" w:hAnsi="Arial" w:cs="Arial"/>
          <w:sz w:val="24"/>
          <w:szCs w:val="24"/>
        </w:rPr>
      </w:pPr>
      <w:proofErr w:type="spellStart"/>
      <w:r w:rsidRPr="00EB7BD1">
        <w:rPr>
          <w:rFonts w:ascii="Arial" w:hAnsi="Arial" w:cs="Arial"/>
          <w:sz w:val="24"/>
          <w:szCs w:val="24"/>
        </w:rPr>
        <w:t>Eugenicos</w:t>
      </w:r>
      <w:proofErr w:type="spellEnd"/>
      <w:r w:rsidRPr="00EB7BD1">
        <w:rPr>
          <w:rFonts w:ascii="Arial" w:hAnsi="Arial" w:cs="Arial"/>
          <w:sz w:val="24"/>
          <w:szCs w:val="24"/>
        </w:rPr>
        <w:t>, A.-M. (2017) ‘Should We Reform the Offences Against the Person Act 1861?’, The Journal of Criminal Law, 81(1), pp. 26–32. DOI: 10.1177/0022018316685478.</w:t>
      </w:r>
    </w:p>
    <w:p w14:paraId="1E181569" w14:textId="77777777" w:rsidR="00296F8C" w:rsidRDefault="00296F8C" w:rsidP="0071150A">
      <w:pPr>
        <w:spacing w:line="360" w:lineRule="auto"/>
        <w:rPr>
          <w:rFonts w:ascii="Arial" w:hAnsi="Arial" w:cs="Arial"/>
          <w:sz w:val="24"/>
          <w:szCs w:val="24"/>
        </w:rPr>
      </w:pPr>
      <w:r>
        <w:rPr>
          <w:rFonts w:ascii="Arial" w:hAnsi="Arial" w:cs="Arial"/>
          <w:sz w:val="24"/>
          <w:szCs w:val="24"/>
        </w:rPr>
        <w:t xml:space="preserve">Gardner, J. (1994). ‘The Rationality Argument’, </w:t>
      </w:r>
      <w:r>
        <w:rPr>
          <w:rFonts w:ascii="Arial" w:hAnsi="Arial" w:cs="Arial"/>
          <w:i/>
          <w:iCs/>
          <w:sz w:val="24"/>
          <w:szCs w:val="24"/>
        </w:rPr>
        <w:t>Rationality and the rule of law in offences against the person</w:t>
      </w:r>
      <w:r>
        <w:rPr>
          <w:rFonts w:ascii="Arial" w:hAnsi="Arial" w:cs="Arial"/>
          <w:sz w:val="24"/>
          <w:szCs w:val="24"/>
        </w:rPr>
        <w:t>, 53(3), pp.502-523. (Accessed 21</w:t>
      </w:r>
      <w:r w:rsidRPr="00600EB8">
        <w:rPr>
          <w:rFonts w:ascii="Arial" w:hAnsi="Arial" w:cs="Arial"/>
          <w:sz w:val="24"/>
          <w:szCs w:val="24"/>
          <w:vertAlign w:val="superscript"/>
        </w:rPr>
        <w:t>st</w:t>
      </w:r>
      <w:r>
        <w:rPr>
          <w:rFonts w:ascii="Arial" w:hAnsi="Arial" w:cs="Arial"/>
          <w:sz w:val="24"/>
          <w:szCs w:val="24"/>
        </w:rPr>
        <w:t xml:space="preserve"> February 2021). </w:t>
      </w:r>
    </w:p>
    <w:p w14:paraId="1CFA2D65" w14:textId="77777777" w:rsidR="00296F8C" w:rsidRDefault="00296F8C" w:rsidP="0071150A">
      <w:pPr>
        <w:spacing w:line="360" w:lineRule="auto"/>
        <w:rPr>
          <w:rFonts w:ascii="Arial" w:hAnsi="Arial" w:cs="Arial"/>
          <w:sz w:val="24"/>
          <w:szCs w:val="24"/>
        </w:rPr>
      </w:pPr>
      <w:r>
        <w:rPr>
          <w:rFonts w:ascii="Arial" w:hAnsi="Arial" w:cs="Arial"/>
          <w:sz w:val="24"/>
          <w:szCs w:val="24"/>
        </w:rPr>
        <w:t xml:space="preserve">Law Commission (2015), </w:t>
      </w:r>
      <w:r>
        <w:rPr>
          <w:rFonts w:ascii="Arial" w:hAnsi="Arial" w:cs="Arial"/>
          <w:i/>
          <w:iCs/>
          <w:sz w:val="24"/>
          <w:szCs w:val="24"/>
        </w:rPr>
        <w:t xml:space="preserve">Reform of Offences against the Person </w:t>
      </w:r>
      <w:r>
        <w:rPr>
          <w:rFonts w:ascii="Arial" w:hAnsi="Arial" w:cs="Arial"/>
          <w:sz w:val="24"/>
          <w:szCs w:val="24"/>
        </w:rPr>
        <w:t xml:space="preserve">(Law Com No 361, 2015) para 1.7. </w:t>
      </w:r>
    </w:p>
    <w:p w14:paraId="44AC43C6" w14:textId="77777777" w:rsidR="00296F8C" w:rsidRDefault="00296F8C" w:rsidP="0071150A">
      <w:pPr>
        <w:spacing w:line="360" w:lineRule="auto"/>
        <w:rPr>
          <w:rFonts w:ascii="Arial" w:hAnsi="Arial" w:cs="Arial"/>
          <w:sz w:val="24"/>
          <w:szCs w:val="24"/>
        </w:rPr>
      </w:pPr>
      <w:r>
        <w:rPr>
          <w:rFonts w:ascii="Arial" w:hAnsi="Arial" w:cs="Arial"/>
          <w:sz w:val="24"/>
          <w:szCs w:val="24"/>
        </w:rPr>
        <w:t xml:space="preserve">Law Commission (2021). </w:t>
      </w:r>
      <w:r>
        <w:rPr>
          <w:rFonts w:ascii="Arial" w:hAnsi="Arial" w:cs="Arial"/>
          <w:i/>
          <w:iCs/>
          <w:sz w:val="24"/>
          <w:szCs w:val="24"/>
        </w:rPr>
        <w:t xml:space="preserve">Offences against the Person. </w:t>
      </w:r>
      <w:r>
        <w:rPr>
          <w:rFonts w:ascii="Arial" w:hAnsi="Arial" w:cs="Arial"/>
          <w:sz w:val="24"/>
          <w:szCs w:val="24"/>
        </w:rPr>
        <w:t xml:space="preserve">Available at: </w:t>
      </w:r>
      <w:hyperlink r:id="rId7" w:history="1">
        <w:r w:rsidRPr="002B5CE6">
          <w:rPr>
            <w:rStyle w:val="Hyperlink"/>
            <w:rFonts w:ascii="Arial" w:hAnsi="Arial" w:cs="Arial"/>
            <w:sz w:val="24"/>
            <w:szCs w:val="24"/>
          </w:rPr>
          <w:t>Offences against the Person | Law Commission</w:t>
        </w:r>
      </w:hyperlink>
      <w:r>
        <w:rPr>
          <w:rFonts w:ascii="Arial" w:hAnsi="Arial" w:cs="Arial"/>
          <w:sz w:val="24"/>
          <w:szCs w:val="24"/>
        </w:rPr>
        <w:t xml:space="preserve"> (Accessed 22</w:t>
      </w:r>
      <w:r w:rsidRPr="00DD4ADF">
        <w:rPr>
          <w:rFonts w:ascii="Arial" w:hAnsi="Arial" w:cs="Arial"/>
          <w:sz w:val="24"/>
          <w:szCs w:val="24"/>
          <w:vertAlign w:val="superscript"/>
        </w:rPr>
        <w:t>nd</w:t>
      </w:r>
      <w:r>
        <w:rPr>
          <w:rFonts w:ascii="Arial" w:hAnsi="Arial" w:cs="Arial"/>
          <w:sz w:val="24"/>
          <w:szCs w:val="24"/>
        </w:rPr>
        <w:t xml:space="preserve"> February 2021).</w:t>
      </w:r>
    </w:p>
    <w:p w14:paraId="1FB0D2BB" w14:textId="77777777" w:rsidR="00296F8C" w:rsidRDefault="00296F8C" w:rsidP="0071150A">
      <w:pPr>
        <w:spacing w:line="360" w:lineRule="auto"/>
        <w:rPr>
          <w:rFonts w:ascii="Arial" w:hAnsi="Arial" w:cs="Arial"/>
          <w:sz w:val="24"/>
          <w:szCs w:val="24"/>
        </w:rPr>
      </w:pPr>
      <w:r w:rsidRPr="00EB7BD1">
        <w:rPr>
          <w:rFonts w:ascii="Arial" w:hAnsi="Arial" w:cs="Arial"/>
          <w:sz w:val="24"/>
          <w:szCs w:val="24"/>
        </w:rPr>
        <w:t xml:space="preserve">Ministry of Justice. </w:t>
      </w:r>
      <w:r>
        <w:rPr>
          <w:rFonts w:ascii="Arial" w:hAnsi="Arial" w:cs="Arial"/>
          <w:sz w:val="24"/>
          <w:szCs w:val="24"/>
        </w:rPr>
        <w:t>(</w:t>
      </w:r>
      <w:r w:rsidRPr="00EB7BD1">
        <w:rPr>
          <w:rFonts w:ascii="Arial" w:hAnsi="Arial" w:cs="Arial"/>
          <w:sz w:val="24"/>
          <w:szCs w:val="24"/>
        </w:rPr>
        <w:t>2021</w:t>
      </w:r>
      <w:r>
        <w:rPr>
          <w:rFonts w:ascii="Arial" w:hAnsi="Arial" w:cs="Arial"/>
          <w:sz w:val="24"/>
          <w:szCs w:val="24"/>
        </w:rPr>
        <w:t>)</w:t>
      </w:r>
      <w:r w:rsidRPr="00EB7BD1">
        <w:rPr>
          <w:rFonts w:ascii="Arial" w:hAnsi="Arial" w:cs="Arial"/>
          <w:sz w:val="24"/>
          <w:szCs w:val="24"/>
        </w:rPr>
        <w:t xml:space="preserve">. Manslaughter Guidance Consultation. </w:t>
      </w:r>
      <w:r w:rsidRPr="00EB7BD1">
        <w:rPr>
          <w:rFonts w:ascii="Arial" w:hAnsi="Arial" w:cs="Arial"/>
          <w:i/>
          <w:iCs/>
          <w:sz w:val="24"/>
          <w:szCs w:val="24"/>
        </w:rPr>
        <w:t xml:space="preserve">Section one: Overreaching issues and the context of the guidelines. </w:t>
      </w:r>
      <w:r w:rsidRPr="00EB7BD1">
        <w:rPr>
          <w:rFonts w:ascii="Arial" w:hAnsi="Arial" w:cs="Arial"/>
          <w:sz w:val="24"/>
          <w:szCs w:val="24"/>
        </w:rPr>
        <w:t xml:space="preserve">Available at: </w:t>
      </w:r>
      <w:hyperlink r:id="rId8" w:history="1">
        <w:r w:rsidRPr="00EB7BD1">
          <w:rPr>
            <w:rStyle w:val="Hyperlink"/>
            <w:rFonts w:ascii="Arial" w:hAnsi="Arial" w:cs="Arial"/>
            <w:sz w:val="24"/>
            <w:szCs w:val="24"/>
          </w:rPr>
          <w:t>Manslaughter Guideline Consultation (justice.gov.uk)</w:t>
        </w:r>
      </w:hyperlink>
      <w:r w:rsidRPr="00EB7BD1">
        <w:rPr>
          <w:rFonts w:ascii="Arial" w:hAnsi="Arial" w:cs="Arial"/>
          <w:sz w:val="24"/>
          <w:szCs w:val="24"/>
        </w:rPr>
        <w:t xml:space="preserve"> (Accessed 17</w:t>
      </w:r>
      <w:r w:rsidRPr="00EB7BD1">
        <w:rPr>
          <w:rFonts w:ascii="Arial" w:hAnsi="Arial" w:cs="Arial"/>
          <w:sz w:val="24"/>
          <w:szCs w:val="24"/>
          <w:vertAlign w:val="superscript"/>
        </w:rPr>
        <w:t>th</w:t>
      </w:r>
      <w:r w:rsidRPr="00EB7BD1">
        <w:rPr>
          <w:rFonts w:ascii="Arial" w:hAnsi="Arial" w:cs="Arial"/>
          <w:sz w:val="24"/>
          <w:szCs w:val="24"/>
        </w:rPr>
        <w:t xml:space="preserve"> February 2021). </w:t>
      </w:r>
    </w:p>
    <w:p w14:paraId="5D911491" w14:textId="77777777" w:rsidR="00296F8C" w:rsidRPr="003C110F" w:rsidRDefault="00296F8C" w:rsidP="0055788C">
      <w:pPr>
        <w:spacing w:line="360" w:lineRule="auto"/>
        <w:rPr>
          <w:rFonts w:ascii="Arial" w:hAnsi="Arial" w:cs="Arial"/>
          <w:sz w:val="24"/>
          <w:szCs w:val="24"/>
        </w:rPr>
      </w:pPr>
      <w:r w:rsidRPr="00EB7BD1">
        <w:rPr>
          <w:rFonts w:ascii="Arial" w:hAnsi="Arial" w:cs="Arial"/>
          <w:i/>
          <w:iCs/>
          <w:sz w:val="24"/>
          <w:szCs w:val="24"/>
        </w:rPr>
        <w:t xml:space="preserve">Offences Against the Person Act 1861, </w:t>
      </w:r>
      <w:r w:rsidRPr="00EB7BD1">
        <w:rPr>
          <w:rFonts w:ascii="Arial" w:hAnsi="Arial" w:cs="Arial"/>
          <w:sz w:val="24"/>
          <w:szCs w:val="24"/>
        </w:rPr>
        <w:t xml:space="preserve">c. 100. </w:t>
      </w:r>
      <w:r>
        <w:rPr>
          <w:rFonts w:ascii="Arial" w:hAnsi="Arial" w:cs="Arial"/>
          <w:sz w:val="24"/>
          <w:szCs w:val="24"/>
        </w:rPr>
        <w:t xml:space="preserve">Available at: </w:t>
      </w:r>
      <w:hyperlink r:id="rId9" w:history="1">
        <w:r w:rsidRPr="003C110F">
          <w:rPr>
            <w:rStyle w:val="Hyperlink"/>
            <w:rFonts w:ascii="Arial" w:hAnsi="Arial" w:cs="Arial"/>
            <w:sz w:val="24"/>
            <w:szCs w:val="24"/>
          </w:rPr>
          <w:t>Offences against the Person Act 1861 (legislation.gov.uk)</w:t>
        </w:r>
      </w:hyperlink>
    </w:p>
    <w:p w14:paraId="21CEE734" w14:textId="77777777" w:rsidR="00296F8C" w:rsidRDefault="00296F8C" w:rsidP="0071150A">
      <w:pPr>
        <w:spacing w:line="360" w:lineRule="auto"/>
        <w:rPr>
          <w:rFonts w:ascii="Arial" w:hAnsi="Arial" w:cs="Arial"/>
          <w:sz w:val="24"/>
          <w:szCs w:val="24"/>
        </w:rPr>
      </w:pPr>
      <w:r>
        <w:rPr>
          <w:rFonts w:ascii="Arial" w:hAnsi="Arial" w:cs="Arial"/>
          <w:sz w:val="24"/>
          <w:szCs w:val="24"/>
        </w:rPr>
        <w:t xml:space="preserve">Parliament. House of Lords (1997). </w:t>
      </w:r>
      <w:r>
        <w:rPr>
          <w:rFonts w:ascii="Arial" w:hAnsi="Arial" w:cs="Arial"/>
          <w:i/>
          <w:iCs/>
          <w:sz w:val="24"/>
          <w:szCs w:val="24"/>
        </w:rPr>
        <w:t xml:space="preserve">Judgements- Regina v. Burstow Regina v. Ireland. </w:t>
      </w:r>
      <w:r>
        <w:rPr>
          <w:rFonts w:ascii="Arial" w:hAnsi="Arial" w:cs="Arial"/>
          <w:sz w:val="24"/>
          <w:szCs w:val="24"/>
        </w:rPr>
        <w:t xml:space="preserve">Available at: </w:t>
      </w:r>
      <w:hyperlink r:id="rId10" w:anchor="end" w:history="1">
        <w:r w:rsidRPr="0077368F">
          <w:rPr>
            <w:rStyle w:val="Hyperlink"/>
            <w:rFonts w:ascii="Arial" w:hAnsi="Arial" w:cs="Arial"/>
            <w:sz w:val="24"/>
            <w:szCs w:val="24"/>
          </w:rPr>
          <w:t>House of Lords - Regina v. Burstow Regina v. Ireland (parliament.uk)</w:t>
        </w:r>
      </w:hyperlink>
      <w:r>
        <w:rPr>
          <w:rFonts w:ascii="Arial" w:hAnsi="Arial" w:cs="Arial"/>
          <w:sz w:val="24"/>
          <w:szCs w:val="24"/>
        </w:rPr>
        <w:t xml:space="preserve"> (Accessed 1</w:t>
      </w:r>
      <w:r w:rsidRPr="0077368F">
        <w:rPr>
          <w:rFonts w:ascii="Arial" w:hAnsi="Arial" w:cs="Arial"/>
          <w:sz w:val="24"/>
          <w:szCs w:val="24"/>
          <w:vertAlign w:val="superscript"/>
        </w:rPr>
        <w:t>st</w:t>
      </w:r>
      <w:r>
        <w:rPr>
          <w:rFonts w:ascii="Arial" w:hAnsi="Arial" w:cs="Arial"/>
          <w:sz w:val="24"/>
          <w:szCs w:val="24"/>
        </w:rPr>
        <w:t xml:space="preserve"> March 2021).</w:t>
      </w:r>
    </w:p>
    <w:p w14:paraId="19887848" w14:textId="77777777" w:rsidR="00296F8C" w:rsidRPr="0077368F" w:rsidRDefault="00296F8C" w:rsidP="0071150A">
      <w:pPr>
        <w:spacing w:line="360" w:lineRule="auto"/>
        <w:rPr>
          <w:rFonts w:ascii="Arial" w:hAnsi="Arial" w:cs="Arial"/>
          <w:sz w:val="24"/>
          <w:szCs w:val="24"/>
        </w:rPr>
      </w:pPr>
      <w:r w:rsidRPr="00296F8C">
        <w:rPr>
          <w:rFonts w:ascii="Arial" w:hAnsi="Arial" w:cs="Arial"/>
          <w:i/>
          <w:iCs/>
          <w:sz w:val="24"/>
          <w:szCs w:val="24"/>
        </w:rPr>
        <w:t>R v Ireland V Burstow</w:t>
      </w:r>
      <w:r>
        <w:rPr>
          <w:rFonts w:ascii="Arial" w:hAnsi="Arial" w:cs="Arial"/>
          <w:sz w:val="24"/>
          <w:szCs w:val="24"/>
        </w:rPr>
        <w:t xml:space="preserve"> (1997)</w:t>
      </w:r>
    </w:p>
    <w:p w14:paraId="237B1316" w14:textId="77777777" w:rsidR="00296F8C" w:rsidRDefault="00296F8C" w:rsidP="0071150A">
      <w:pPr>
        <w:spacing w:line="360" w:lineRule="auto"/>
        <w:rPr>
          <w:rFonts w:ascii="Arial" w:hAnsi="Arial" w:cs="Arial"/>
          <w:sz w:val="24"/>
          <w:szCs w:val="24"/>
        </w:rPr>
      </w:pPr>
      <w:r w:rsidRPr="002E32CA">
        <w:rPr>
          <w:rFonts w:ascii="Arial" w:hAnsi="Arial" w:cs="Arial"/>
          <w:sz w:val="24"/>
          <w:szCs w:val="24"/>
        </w:rPr>
        <w:t xml:space="preserve">The Crown Prosecution Service. (2020). Offences against the Person, incorporating the Charging Standard. </w:t>
      </w:r>
      <w:r w:rsidRPr="002E32CA">
        <w:rPr>
          <w:rFonts w:ascii="Arial" w:hAnsi="Arial" w:cs="Arial"/>
          <w:i/>
          <w:iCs/>
          <w:sz w:val="24"/>
          <w:szCs w:val="24"/>
        </w:rPr>
        <w:t>Legal Guidance, Violent Crime.</w:t>
      </w:r>
      <w:r w:rsidRPr="002E32CA">
        <w:rPr>
          <w:rFonts w:ascii="Arial" w:hAnsi="Arial" w:cs="Arial"/>
          <w:sz w:val="24"/>
          <w:szCs w:val="24"/>
        </w:rPr>
        <w:t xml:space="preserve"> Available at: </w:t>
      </w:r>
      <w:hyperlink r:id="rId11" w:history="1">
        <w:r w:rsidRPr="002E32CA">
          <w:rPr>
            <w:rStyle w:val="Hyperlink"/>
            <w:rFonts w:ascii="Arial" w:hAnsi="Arial" w:cs="Arial"/>
            <w:sz w:val="24"/>
            <w:szCs w:val="24"/>
          </w:rPr>
          <w:t xml:space="preserve">Offences </w:t>
        </w:r>
        <w:r w:rsidRPr="002E32CA">
          <w:rPr>
            <w:rStyle w:val="Hyperlink"/>
            <w:rFonts w:ascii="Arial" w:hAnsi="Arial" w:cs="Arial"/>
            <w:sz w:val="24"/>
            <w:szCs w:val="24"/>
          </w:rPr>
          <w:lastRenderedPageBreak/>
          <w:t>against the Person, incorporating the Charging Standard | The Crown Prosecution Service (cps.gov.uk)</w:t>
        </w:r>
      </w:hyperlink>
      <w:r w:rsidRPr="002E32CA">
        <w:rPr>
          <w:rFonts w:ascii="Arial" w:hAnsi="Arial" w:cs="Arial"/>
          <w:sz w:val="24"/>
          <w:szCs w:val="24"/>
        </w:rPr>
        <w:t xml:space="preserve"> (Accessed 21</w:t>
      </w:r>
      <w:r w:rsidRPr="002E32CA">
        <w:rPr>
          <w:rFonts w:ascii="Arial" w:hAnsi="Arial" w:cs="Arial"/>
          <w:sz w:val="24"/>
          <w:szCs w:val="24"/>
          <w:vertAlign w:val="superscript"/>
        </w:rPr>
        <w:t>st</w:t>
      </w:r>
      <w:r w:rsidRPr="002E32CA">
        <w:rPr>
          <w:rFonts w:ascii="Arial" w:hAnsi="Arial" w:cs="Arial"/>
          <w:sz w:val="24"/>
          <w:szCs w:val="24"/>
        </w:rPr>
        <w:t xml:space="preserve"> February</w:t>
      </w:r>
      <w:r>
        <w:rPr>
          <w:rFonts w:ascii="Arial" w:hAnsi="Arial" w:cs="Arial"/>
          <w:sz w:val="24"/>
          <w:szCs w:val="24"/>
        </w:rPr>
        <w:t xml:space="preserve"> 2021</w:t>
      </w:r>
      <w:r w:rsidRPr="002E32CA">
        <w:rPr>
          <w:rFonts w:ascii="Arial" w:hAnsi="Arial" w:cs="Arial"/>
          <w:sz w:val="24"/>
          <w:szCs w:val="24"/>
        </w:rPr>
        <w:t>)</w:t>
      </w:r>
      <w:r>
        <w:rPr>
          <w:rFonts w:ascii="Arial" w:hAnsi="Arial" w:cs="Arial"/>
          <w:sz w:val="24"/>
          <w:szCs w:val="24"/>
        </w:rPr>
        <w:t>.</w:t>
      </w:r>
    </w:p>
    <w:p w14:paraId="3233F1E8" w14:textId="77777777" w:rsidR="00C713C4" w:rsidRPr="00C713C4" w:rsidRDefault="00C713C4" w:rsidP="0071150A">
      <w:pPr>
        <w:spacing w:line="360" w:lineRule="auto"/>
        <w:rPr>
          <w:rFonts w:ascii="Arial" w:hAnsi="Arial" w:cs="Arial"/>
          <w:sz w:val="24"/>
          <w:szCs w:val="24"/>
        </w:rPr>
      </w:pPr>
    </w:p>
    <w:sectPr w:rsidR="00C713C4" w:rsidRPr="00C713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BC8CFA" w14:textId="77777777" w:rsidR="00B820D3" w:rsidRDefault="00B820D3" w:rsidP="006922A1">
      <w:pPr>
        <w:spacing w:after="0" w:line="240" w:lineRule="auto"/>
      </w:pPr>
      <w:r>
        <w:separator/>
      </w:r>
    </w:p>
  </w:endnote>
  <w:endnote w:type="continuationSeparator" w:id="0">
    <w:p w14:paraId="133FCF39" w14:textId="77777777" w:rsidR="00B820D3" w:rsidRDefault="00B820D3" w:rsidP="00692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A0FA50" w14:textId="77777777" w:rsidR="00B820D3" w:rsidRDefault="00B820D3" w:rsidP="006922A1">
      <w:pPr>
        <w:spacing w:after="0" w:line="240" w:lineRule="auto"/>
      </w:pPr>
      <w:r>
        <w:separator/>
      </w:r>
    </w:p>
  </w:footnote>
  <w:footnote w:type="continuationSeparator" w:id="0">
    <w:p w14:paraId="0C54EC9E" w14:textId="77777777" w:rsidR="00B820D3" w:rsidRDefault="00B820D3" w:rsidP="006922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365"/>
    <w:rsid w:val="00037A92"/>
    <w:rsid w:val="00054524"/>
    <w:rsid w:val="00081CAB"/>
    <w:rsid w:val="000B0D96"/>
    <w:rsid w:val="00113537"/>
    <w:rsid w:val="00133147"/>
    <w:rsid w:val="001A70E8"/>
    <w:rsid w:val="001D3313"/>
    <w:rsid w:val="00204D4C"/>
    <w:rsid w:val="0026570A"/>
    <w:rsid w:val="00280FCF"/>
    <w:rsid w:val="00296F8C"/>
    <w:rsid w:val="002A7022"/>
    <w:rsid w:val="002B5CE6"/>
    <w:rsid w:val="002E32CA"/>
    <w:rsid w:val="002E7B9C"/>
    <w:rsid w:val="003526E5"/>
    <w:rsid w:val="00354A5D"/>
    <w:rsid w:val="003C110F"/>
    <w:rsid w:val="003D67C0"/>
    <w:rsid w:val="004512E7"/>
    <w:rsid w:val="004938B2"/>
    <w:rsid w:val="00501E75"/>
    <w:rsid w:val="0055788C"/>
    <w:rsid w:val="005B7542"/>
    <w:rsid w:val="005C74C9"/>
    <w:rsid w:val="005E40FC"/>
    <w:rsid w:val="005F7CC0"/>
    <w:rsid w:val="00600EB8"/>
    <w:rsid w:val="00635A99"/>
    <w:rsid w:val="006868B3"/>
    <w:rsid w:val="006922A1"/>
    <w:rsid w:val="0070461F"/>
    <w:rsid w:val="0071150A"/>
    <w:rsid w:val="00735D79"/>
    <w:rsid w:val="007439AF"/>
    <w:rsid w:val="007728A5"/>
    <w:rsid w:val="0077368F"/>
    <w:rsid w:val="007750DB"/>
    <w:rsid w:val="007D3468"/>
    <w:rsid w:val="00837582"/>
    <w:rsid w:val="009D7522"/>
    <w:rsid w:val="00A25400"/>
    <w:rsid w:val="00AB146E"/>
    <w:rsid w:val="00AF4D31"/>
    <w:rsid w:val="00B12E00"/>
    <w:rsid w:val="00B265C8"/>
    <w:rsid w:val="00B5322B"/>
    <w:rsid w:val="00B820D3"/>
    <w:rsid w:val="00BB4B57"/>
    <w:rsid w:val="00BF3C62"/>
    <w:rsid w:val="00BF40EA"/>
    <w:rsid w:val="00C076C5"/>
    <w:rsid w:val="00C713C4"/>
    <w:rsid w:val="00C83A8B"/>
    <w:rsid w:val="00CA6F96"/>
    <w:rsid w:val="00CC7365"/>
    <w:rsid w:val="00D06FDD"/>
    <w:rsid w:val="00DB5F84"/>
    <w:rsid w:val="00DC50BC"/>
    <w:rsid w:val="00DC6497"/>
    <w:rsid w:val="00DD4ADF"/>
    <w:rsid w:val="00DE2968"/>
    <w:rsid w:val="00E32BC4"/>
    <w:rsid w:val="00EB7BD1"/>
    <w:rsid w:val="00F67D64"/>
    <w:rsid w:val="00F96803"/>
    <w:rsid w:val="00FA3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E937E"/>
  <w15:chartTrackingRefBased/>
  <w15:docId w15:val="{E4B6DD87-F88C-438F-A435-EB13FF1B9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5788C"/>
    <w:rPr>
      <w:color w:val="0000FF"/>
      <w:u w:val="single"/>
    </w:rPr>
  </w:style>
  <w:style w:type="paragraph" w:styleId="Header">
    <w:name w:val="header"/>
    <w:basedOn w:val="Normal"/>
    <w:link w:val="HeaderChar"/>
    <w:uiPriority w:val="99"/>
    <w:unhideWhenUsed/>
    <w:rsid w:val="006922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2A1"/>
  </w:style>
  <w:style w:type="paragraph" w:styleId="Footer">
    <w:name w:val="footer"/>
    <w:basedOn w:val="Normal"/>
    <w:link w:val="FooterChar"/>
    <w:uiPriority w:val="99"/>
    <w:unhideWhenUsed/>
    <w:rsid w:val="00692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sult.justice.gov.uk/sentencing-council/manslaughter-guideline-consultation/user_uploads/section-one-1.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lawcom.gov.uk/project/offences-against-the-perso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1988/33/section/39" TargetMode="External"/><Relationship Id="rId11" Type="http://schemas.openxmlformats.org/officeDocument/2006/relationships/hyperlink" Target="https://www.cps.gov.uk/legal-guidance/offences-against-person-incorporating-charging-standard" TargetMode="External"/><Relationship Id="rId5" Type="http://schemas.openxmlformats.org/officeDocument/2006/relationships/endnotes" Target="endnotes.xml"/><Relationship Id="rId10" Type="http://schemas.openxmlformats.org/officeDocument/2006/relationships/hyperlink" Target="https://publications.parliament.uk/pa/ld199798/ldjudgmt/jd970724/irland01.htm" TargetMode="External"/><Relationship Id="rId4" Type="http://schemas.openxmlformats.org/officeDocument/2006/relationships/footnotes" Target="footnotes.xml"/><Relationship Id="rId9" Type="http://schemas.openxmlformats.org/officeDocument/2006/relationships/hyperlink" Target="https://www.legislation.gov.uk/ukpga/Vict/24-25/10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TotalTime>
  <Pages>6</Pages>
  <Words>1890</Words>
  <Characters>10778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dc:creator>
  <cp:keywords/>
  <dc:description/>
  <cp:lastModifiedBy>Maisie</cp:lastModifiedBy>
  <cp:revision>20</cp:revision>
  <dcterms:created xsi:type="dcterms:W3CDTF">2021-02-16T15:31:00Z</dcterms:created>
  <dcterms:modified xsi:type="dcterms:W3CDTF">2021-03-04T16:51:00Z</dcterms:modified>
</cp:coreProperties>
</file>