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2CD2E" w14:textId="70F7C1E9" w:rsidR="0056016E" w:rsidRDefault="000F4039">
      <w:pPr>
        <w:rPr>
          <w:rFonts w:ascii="Abadi" w:hAnsi="Abadi"/>
          <w:b/>
          <w:bCs/>
          <w:sz w:val="24"/>
          <w:szCs w:val="24"/>
        </w:rPr>
      </w:pPr>
      <w:r>
        <w:rPr>
          <w:rFonts w:ascii="Abadi" w:hAnsi="Abadi"/>
          <w:b/>
          <w:bCs/>
          <w:sz w:val="24"/>
          <w:szCs w:val="24"/>
        </w:rPr>
        <w:t>Student Name: Vasile Aurel Cristescu</w:t>
      </w:r>
    </w:p>
    <w:p w14:paraId="32AE2915" w14:textId="694EC11F" w:rsidR="000F4039" w:rsidRDefault="000F4039">
      <w:pPr>
        <w:rPr>
          <w:rFonts w:ascii="Abadi" w:hAnsi="Abadi"/>
          <w:b/>
          <w:bCs/>
          <w:sz w:val="24"/>
          <w:szCs w:val="24"/>
        </w:rPr>
      </w:pPr>
      <w:r>
        <w:rPr>
          <w:rFonts w:ascii="Abadi" w:hAnsi="Abadi"/>
          <w:b/>
          <w:bCs/>
          <w:sz w:val="24"/>
          <w:szCs w:val="24"/>
        </w:rPr>
        <w:t>Student Number: 2228672</w:t>
      </w:r>
    </w:p>
    <w:p w14:paraId="5F193AC4" w14:textId="2EA1CCE6" w:rsidR="000F4039" w:rsidRDefault="000F4039">
      <w:pPr>
        <w:rPr>
          <w:rFonts w:ascii="Abadi" w:hAnsi="Abadi"/>
          <w:b/>
          <w:bCs/>
          <w:sz w:val="24"/>
          <w:szCs w:val="24"/>
        </w:rPr>
      </w:pPr>
      <w:r>
        <w:rPr>
          <w:rFonts w:ascii="Abadi" w:hAnsi="Abadi"/>
          <w:b/>
          <w:bCs/>
          <w:sz w:val="24"/>
          <w:szCs w:val="24"/>
        </w:rPr>
        <w:t>Module: Criminal Law</w:t>
      </w:r>
    </w:p>
    <w:p w14:paraId="44737ED3" w14:textId="30F8D3D7" w:rsidR="000F4039" w:rsidRDefault="000F4039">
      <w:pPr>
        <w:rPr>
          <w:rFonts w:ascii="Abadi" w:hAnsi="Abadi"/>
          <w:b/>
          <w:bCs/>
          <w:sz w:val="24"/>
          <w:szCs w:val="24"/>
        </w:rPr>
      </w:pPr>
      <w:r>
        <w:rPr>
          <w:rFonts w:ascii="Abadi" w:hAnsi="Abadi"/>
          <w:b/>
          <w:bCs/>
          <w:sz w:val="24"/>
          <w:szCs w:val="24"/>
        </w:rPr>
        <w:t>Module Cod: BMPL4009</w:t>
      </w:r>
    </w:p>
    <w:p w14:paraId="3CDC68E0" w14:textId="059E03BB" w:rsidR="000F4039" w:rsidRDefault="000F4039">
      <w:pPr>
        <w:rPr>
          <w:rFonts w:ascii="Abadi" w:hAnsi="Abadi"/>
          <w:b/>
          <w:bCs/>
          <w:sz w:val="24"/>
          <w:szCs w:val="24"/>
        </w:rPr>
      </w:pPr>
      <w:r>
        <w:rPr>
          <w:rFonts w:ascii="Abadi" w:hAnsi="Abadi"/>
          <w:b/>
          <w:bCs/>
          <w:sz w:val="24"/>
          <w:szCs w:val="24"/>
        </w:rPr>
        <w:t>Assignment Title: Scenario question</w:t>
      </w:r>
    </w:p>
    <w:p w14:paraId="5376F460" w14:textId="77777777" w:rsidR="000F4039" w:rsidRDefault="000F4039">
      <w:pPr>
        <w:rPr>
          <w:rFonts w:ascii="Abadi" w:hAnsi="Abadi"/>
          <w:b/>
          <w:bCs/>
          <w:sz w:val="24"/>
          <w:szCs w:val="24"/>
        </w:rPr>
      </w:pPr>
    </w:p>
    <w:p w14:paraId="52BDE624" w14:textId="77777777" w:rsidR="000F4039" w:rsidRDefault="000F4039" w:rsidP="000F4039">
      <w:pPr>
        <w:spacing w:before="100" w:beforeAutospacing="1" w:after="100" w:afterAutospacing="1"/>
        <w:jc w:val="both"/>
        <w:rPr>
          <w:rFonts w:ascii="Abadi" w:hAnsi="Abadi"/>
          <w:b/>
          <w:bCs/>
          <w:sz w:val="24"/>
          <w:szCs w:val="24"/>
        </w:rPr>
      </w:pPr>
    </w:p>
    <w:p w14:paraId="3B31D26D" w14:textId="2C72FF6E" w:rsidR="000F4039" w:rsidRPr="000F4039" w:rsidRDefault="000F4039" w:rsidP="000F4039">
      <w:pPr>
        <w:spacing w:before="100" w:beforeAutospacing="1" w:after="100" w:afterAutospacing="1"/>
        <w:jc w:val="both"/>
        <w:rPr>
          <w:rFonts w:ascii="Abadi" w:hAnsi="Abadi"/>
          <w:b/>
          <w:bCs/>
          <w:color w:val="000000"/>
          <w:sz w:val="24"/>
          <w:szCs w:val="24"/>
          <w:lang w:eastAsia="zh-CN"/>
        </w:rPr>
      </w:pPr>
      <w:r w:rsidRPr="000F4039">
        <w:rPr>
          <w:rFonts w:ascii="Abadi" w:hAnsi="Abadi"/>
          <w:b/>
          <w:bCs/>
          <w:color w:val="000000"/>
          <w:sz w:val="24"/>
          <w:szCs w:val="24"/>
          <w:lang w:eastAsia="zh-CN"/>
        </w:rPr>
        <w:t xml:space="preserve">Assignment Question: </w:t>
      </w:r>
    </w:p>
    <w:p w14:paraId="01627D90" w14:textId="77777777" w:rsidR="000F4039" w:rsidRPr="000F4039" w:rsidRDefault="000F4039" w:rsidP="000F4039">
      <w:pPr>
        <w:spacing w:before="100" w:beforeAutospacing="1" w:after="100" w:afterAutospacing="1"/>
        <w:jc w:val="both"/>
        <w:rPr>
          <w:rFonts w:ascii="Abadi" w:hAnsi="Abadi"/>
          <w:b/>
          <w:bCs/>
          <w:color w:val="000000"/>
          <w:sz w:val="24"/>
          <w:szCs w:val="24"/>
          <w:lang w:eastAsia="zh-CN"/>
        </w:rPr>
      </w:pPr>
      <w:r w:rsidRPr="000F4039">
        <w:rPr>
          <w:rFonts w:ascii="Abadi" w:hAnsi="Abadi"/>
          <w:b/>
          <w:bCs/>
          <w:color w:val="000000"/>
          <w:sz w:val="24"/>
          <w:szCs w:val="24"/>
          <w:lang w:eastAsia="zh-CN"/>
        </w:rPr>
        <w:t>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A heated argument ensues, during which Jamie admits to having had a brief affair with a co-worker, Emma, a few months earlier. Carla, overwhelmed by anger and sadness, rushes to the kitchen and grabs a kitchen knife. She then stabs Jamie in the chest, causing him serious injuries.</w:t>
      </w:r>
    </w:p>
    <w:p w14:paraId="1455C2A9" w14:textId="77777777" w:rsidR="00313809" w:rsidRDefault="000F4039" w:rsidP="000F4039">
      <w:pPr>
        <w:spacing w:before="100" w:beforeAutospacing="1" w:after="100" w:afterAutospacing="1"/>
        <w:jc w:val="both"/>
        <w:rPr>
          <w:rFonts w:ascii="Abadi" w:hAnsi="Abadi"/>
          <w:b/>
          <w:bCs/>
          <w:color w:val="000000"/>
          <w:sz w:val="24"/>
          <w:szCs w:val="24"/>
          <w:lang w:eastAsia="zh-CN"/>
        </w:rPr>
      </w:pPr>
      <w:r w:rsidRPr="000F4039">
        <w:rPr>
          <w:rFonts w:ascii="Abadi" w:hAnsi="Abadi"/>
          <w:b/>
          <w:bCs/>
          <w:color w:val="000000"/>
          <w:sz w:val="24"/>
          <w:szCs w:val="24"/>
          <w:lang w:eastAsia="zh-CN"/>
        </w:rPr>
        <w:t>Discuss Carla's potential criminal liability, considering relevant case law and legislation. In your analysis, address issues such as the elements of the offence, any potential defences, and the relevance of Carla's emotional state and the confession made by Jamie during the argument.</w:t>
      </w:r>
    </w:p>
    <w:p w14:paraId="47BA4BA3" w14:textId="77777777" w:rsidR="00313809" w:rsidRDefault="00313809" w:rsidP="000F4039">
      <w:pPr>
        <w:spacing w:before="100" w:beforeAutospacing="1" w:after="100" w:afterAutospacing="1"/>
        <w:jc w:val="both"/>
        <w:rPr>
          <w:rFonts w:ascii="Abadi" w:hAnsi="Abadi"/>
          <w:b/>
          <w:bCs/>
          <w:color w:val="000000"/>
          <w:sz w:val="24"/>
          <w:szCs w:val="24"/>
          <w:lang w:eastAsia="zh-CN"/>
        </w:rPr>
      </w:pPr>
      <w:r>
        <w:rPr>
          <w:rFonts w:ascii="Abadi" w:hAnsi="Abadi"/>
          <w:b/>
          <w:bCs/>
          <w:color w:val="000000"/>
          <w:sz w:val="24"/>
          <w:szCs w:val="24"/>
          <w:lang w:eastAsia="zh-CN"/>
        </w:rPr>
        <w:t>Introduction:</w:t>
      </w:r>
    </w:p>
    <w:p w14:paraId="3A77A83F" w14:textId="53B7A824" w:rsidR="000F4039" w:rsidRPr="000F4039" w:rsidRDefault="000F4039" w:rsidP="000F4039">
      <w:pPr>
        <w:spacing w:before="100" w:beforeAutospacing="1" w:after="100" w:afterAutospacing="1"/>
        <w:jc w:val="both"/>
        <w:rPr>
          <w:rFonts w:ascii="Abadi" w:hAnsi="Abadi"/>
          <w:b/>
          <w:bCs/>
          <w:color w:val="000000"/>
          <w:sz w:val="24"/>
          <w:szCs w:val="24"/>
          <w:lang w:eastAsia="zh-CN"/>
        </w:rPr>
      </w:pPr>
      <w:r w:rsidRPr="000F4039">
        <w:rPr>
          <w:rFonts w:ascii="Abadi" w:hAnsi="Abadi"/>
          <w:b/>
          <w:bCs/>
          <w:color w:val="000000"/>
          <w:sz w:val="24"/>
          <w:szCs w:val="24"/>
          <w:lang w:eastAsia="zh-CN"/>
        </w:rPr>
        <w:t xml:space="preserve"> </w:t>
      </w:r>
    </w:p>
    <w:p w14:paraId="3B9E1662" w14:textId="32268486" w:rsidR="000F4039" w:rsidRPr="00313809" w:rsidRDefault="000D6A10">
      <w:pPr>
        <w:rPr>
          <w:rFonts w:ascii="Abadi" w:hAnsi="Abadi"/>
          <w:b/>
          <w:bCs/>
          <w:color w:val="000000" w:themeColor="text1"/>
          <w:sz w:val="24"/>
          <w:szCs w:val="24"/>
        </w:rPr>
      </w:pPr>
      <w:r w:rsidRPr="00313809">
        <w:rPr>
          <w:rFonts w:ascii="Abadi" w:hAnsi="Abadi" w:cs="Arial"/>
          <w:color w:val="000000" w:themeColor="text1"/>
          <w:sz w:val="24"/>
          <w:szCs w:val="24"/>
          <w:shd w:val="clear" w:color="auto" w:fill="FFFFFF"/>
        </w:rPr>
        <w:t>Carla's potential criminal liability in this case would likely revolve around the offense of grievous bodily harm with intent, or potentially even attempted murder, depending on the specifics of the situation. The key elements of these offenses usually include the actus reus (the physical act of stabbing Jamie) and the mens rea (the intention to cause serious harm or death). In Carla's case, her emotional state at the time of the incident and the confession made by Jamie during the argument could play a crucial role in determining her criminal liability. Factors like provocation, loss of self-control, and the impact of Jamie's confession on Carla's state of mind may be relevant in assessing her state of mind at the time of the offense</w:t>
      </w:r>
      <w:r w:rsidR="00025332">
        <w:rPr>
          <w:rFonts w:ascii="Abadi" w:hAnsi="Abadi" w:cs="Arial"/>
          <w:color w:val="000000" w:themeColor="text1"/>
          <w:sz w:val="24"/>
          <w:szCs w:val="24"/>
          <w:shd w:val="clear" w:color="auto" w:fill="FFFFFF"/>
        </w:rPr>
        <w:t>.</w:t>
      </w:r>
      <w:r w:rsidR="0083418C">
        <w:rPr>
          <w:rFonts w:ascii="Abadi" w:hAnsi="Abadi" w:cs="Arial"/>
          <w:color w:val="000000" w:themeColor="text1"/>
          <w:sz w:val="24"/>
          <w:szCs w:val="24"/>
          <w:shd w:val="clear" w:color="auto" w:fill="FFFFFF"/>
        </w:rPr>
        <w:t xml:space="preserve"> Carla</w:t>
      </w:r>
      <w:r w:rsidR="006E1795">
        <w:rPr>
          <w:rFonts w:ascii="Abadi" w:hAnsi="Abadi" w:cs="Arial"/>
          <w:color w:val="000000" w:themeColor="text1"/>
          <w:sz w:val="24"/>
          <w:szCs w:val="24"/>
          <w:shd w:val="clear" w:color="auto" w:fill="FFFFFF"/>
        </w:rPr>
        <w:t>’s defence</w:t>
      </w:r>
      <w:r w:rsidR="0083418C">
        <w:rPr>
          <w:rFonts w:ascii="Abadi" w:hAnsi="Abadi" w:cs="Arial"/>
          <w:color w:val="000000" w:themeColor="text1"/>
          <w:sz w:val="24"/>
          <w:szCs w:val="24"/>
          <w:shd w:val="clear" w:color="auto" w:fill="FFFFFF"/>
        </w:rPr>
        <w:t xml:space="preserve"> </w:t>
      </w:r>
      <w:r w:rsidR="00025332" w:rsidRPr="0083418C">
        <w:rPr>
          <w:rFonts w:ascii="Abadi" w:hAnsi="Abadi" w:cs="Arial"/>
          <w:color w:val="000000" w:themeColor="text1"/>
          <w:sz w:val="24"/>
          <w:szCs w:val="24"/>
          <w:shd w:val="clear" w:color="auto" w:fill="FFFFFF"/>
        </w:rPr>
        <w:t xml:space="preserve">could potentially involve factors like </w:t>
      </w:r>
      <w:r w:rsidR="00EA5C58" w:rsidRPr="0083418C">
        <w:rPr>
          <w:rFonts w:ascii="Abadi" w:hAnsi="Abadi" w:cs="Arial"/>
          <w:color w:val="000000" w:themeColor="text1"/>
          <w:sz w:val="24"/>
          <w:szCs w:val="24"/>
          <w:shd w:val="clear" w:color="auto" w:fill="FFFFFF"/>
        </w:rPr>
        <w:t>self-defence</w:t>
      </w:r>
      <w:r w:rsidR="00025332" w:rsidRPr="0083418C">
        <w:rPr>
          <w:rFonts w:ascii="Abadi" w:hAnsi="Abadi" w:cs="Arial"/>
          <w:color w:val="000000" w:themeColor="text1"/>
          <w:sz w:val="24"/>
          <w:szCs w:val="24"/>
          <w:shd w:val="clear" w:color="auto" w:fill="FFFFFF"/>
        </w:rPr>
        <w:t>, diminished responsibility, or lack of intent due to emotional distress</w:t>
      </w:r>
      <w:r w:rsidR="00A0416E">
        <w:rPr>
          <w:rFonts w:ascii="Abadi" w:hAnsi="Abadi" w:cs="Arial"/>
          <w:color w:val="000000" w:themeColor="text1"/>
          <w:sz w:val="24"/>
          <w:szCs w:val="24"/>
          <w:shd w:val="clear" w:color="auto" w:fill="FFFFFF"/>
        </w:rPr>
        <w:t>.</w:t>
      </w:r>
    </w:p>
    <w:p w14:paraId="4D0C99D5" w14:textId="77777777" w:rsidR="000763B4" w:rsidRDefault="000763B4">
      <w:pPr>
        <w:rPr>
          <w:rFonts w:ascii="Abadi" w:hAnsi="Abadi"/>
          <w:b/>
          <w:bCs/>
          <w:sz w:val="24"/>
          <w:szCs w:val="24"/>
        </w:rPr>
      </w:pPr>
    </w:p>
    <w:p w14:paraId="4D176030" w14:textId="77777777" w:rsidR="006540C8" w:rsidRDefault="009D57A8">
      <w:pPr>
        <w:rPr>
          <w:rFonts w:ascii="Arial" w:hAnsi="Arial" w:cs="Arial"/>
          <w:color w:val="222222"/>
          <w:shd w:val="clear" w:color="auto" w:fill="FFFFFF"/>
        </w:rPr>
      </w:pPr>
      <w:r>
        <w:rPr>
          <w:rFonts w:ascii="Abadi" w:hAnsi="Abadi"/>
          <w:b/>
          <w:bCs/>
          <w:sz w:val="24"/>
          <w:szCs w:val="24"/>
        </w:rPr>
        <w:t>Identify</w:t>
      </w:r>
      <w:r w:rsidR="00FC6FC4">
        <w:rPr>
          <w:rFonts w:ascii="Abadi" w:hAnsi="Abadi"/>
          <w:b/>
          <w:bCs/>
          <w:sz w:val="24"/>
          <w:szCs w:val="24"/>
        </w:rPr>
        <w:t xml:space="preserve"> Offence:</w:t>
      </w:r>
      <w:r w:rsidR="006540C8" w:rsidRPr="006540C8">
        <w:rPr>
          <w:rFonts w:ascii="Arial" w:hAnsi="Arial" w:cs="Arial"/>
          <w:color w:val="222222"/>
          <w:shd w:val="clear" w:color="auto" w:fill="FFFFFF"/>
        </w:rPr>
        <w:t xml:space="preserve"> </w:t>
      </w:r>
      <w:r w:rsidR="006540C8">
        <w:rPr>
          <w:rFonts w:ascii="Arial" w:hAnsi="Arial" w:cs="Arial"/>
          <w:color w:val="222222"/>
          <w:shd w:val="clear" w:color="auto" w:fill="FFFFFF"/>
        </w:rPr>
        <w:t> </w:t>
      </w:r>
    </w:p>
    <w:p w14:paraId="1DFB4426" w14:textId="0E92D504" w:rsidR="00931351" w:rsidRPr="002C3A91" w:rsidRDefault="00275D7E">
      <w:pPr>
        <w:rPr>
          <w:rFonts w:ascii="Abadi" w:hAnsi="Abadi" w:cs="Arial"/>
          <w:color w:val="000000" w:themeColor="text1"/>
          <w:sz w:val="24"/>
          <w:szCs w:val="24"/>
          <w:shd w:val="clear" w:color="auto" w:fill="FFFFFF"/>
        </w:rPr>
      </w:pPr>
      <w:r w:rsidRPr="002C3A91">
        <w:rPr>
          <w:rFonts w:ascii="Abadi" w:hAnsi="Abadi" w:cs="Arial"/>
          <w:color w:val="000000" w:themeColor="text1"/>
          <w:sz w:val="24"/>
          <w:szCs w:val="24"/>
          <w:shd w:val="clear" w:color="auto" w:fill="FFFFFF"/>
        </w:rPr>
        <w:t>Grievous Bodily Harm (GBH)</w:t>
      </w:r>
      <w:r w:rsidR="00D27AF2">
        <w:rPr>
          <w:rFonts w:ascii="Abadi" w:hAnsi="Abadi" w:cs="Arial"/>
          <w:color w:val="000000" w:themeColor="text1"/>
          <w:sz w:val="24"/>
          <w:szCs w:val="24"/>
          <w:shd w:val="clear" w:color="auto" w:fill="FFFFFF"/>
        </w:rPr>
        <w:t xml:space="preserve">, </w:t>
      </w:r>
      <w:r w:rsidRPr="002C3A91">
        <w:rPr>
          <w:rFonts w:ascii="Abadi" w:hAnsi="Abadi" w:cs="Arial"/>
          <w:color w:val="000000" w:themeColor="text1"/>
          <w:sz w:val="24"/>
          <w:szCs w:val="24"/>
          <w:shd w:val="clear" w:color="auto" w:fill="FFFFFF"/>
        </w:rPr>
        <w:t xml:space="preserve">If Jamie sustains serious injuries as a result of being stabbed by Carla, she could potentially be charged with causing grievous bodily harm (GBH) under Section 18 or Section 20 of the Offences Against the Person Act 1861. </w:t>
      </w:r>
      <w:r w:rsidRPr="002C3A91">
        <w:rPr>
          <w:rFonts w:ascii="Abadi" w:hAnsi="Abadi" w:cs="Arial"/>
          <w:color w:val="000000" w:themeColor="text1"/>
          <w:sz w:val="24"/>
          <w:szCs w:val="24"/>
          <w:shd w:val="clear" w:color="auto" w:fill="FFFFFF"/>
        </w:rPr>
        <w:lastRenderedPageBreak/>
        <w:t>Section 18 involves causing grievous bodily harm with intent, while Section 20 involves unlawfully and maliciously causing grievous bodily harm. </w:t>
      </w:r>
    </w:p>
    <w:p w14:paraId="2DBF6009" w14:textId="3672EE61" w:rsidR="00D37377" w:rsidRPr="002C3A91" w:rsidRDefault="00D37377">
      <w:pPr>
        <w:rPr>
          <w:rFonts w:ascii="Abadi" w:hAnsi="Abadi" w:cs="Arial"/>
          <w:color w:val="000000" w:themeColor="text1"/>
          <w:sz w:val="24"/>
          <w:szCs w:val="24"/>
          <w:shd w:val="clear" w:color="auto" w:fill="FFFFFF"/>
        </w:rPr>
      </w:pPr>
      <w:r w:rsidRPr="002C3A91">
        <w:rPr>
          <w:rFonts w:ascii="Abadi" w:hAnsi="Abadi" w:cs="Arial"/>
          <w:color w:val="000000" w:themeColor="text1"/>
          <w:sz w:val="24"/>
          <w:szCs w:val="24"/>
          <w:shd w:val="clear" w:color="auto" w:fill="FFFFFF"/>
        </w:rPr>
        <w:t>Attempted Murder</w:t>
      </w:r>
      <w:r w:rsidR="00B53BEC">
        <w:rPr>
          <w:rFonts w:ascii="Abadi" w:hAnsi="Abadi" w:cs="Arial"/>
          <w:color w:val="000000" w:themeColor="text1"/>
          <w:sz w:val="24"/>
          <w:szCs w:val="24"/>
          <w:shd w:val="clear" w:color="auto" w:fill="FFFFFF"/>
        </w:rPr>
        <w:t xml:space="preserve">, </w:t>
      </w:r>
      <w:r w:rsidR="00F12418">
        <w:rPr>
          <w:rFonts w:ascii="Abadi" w:hAnsi="Abadi" w:cs="Arial"/>
          <w:color w:val="000000" w:themeColor="text1"/>
          <w:sz w:val="24"/>
          <w:szCs w:val="24"/>
          <w:shd w:val="clear" w:color="auto" w:fill="FFFFFF"/>
        </w:rPr>
        <w:t>Section1(1)</w:t>
      </w:r>
      <w:r w:rsidR="008C4814">
        <w:rPr>
          <w:rFonts w:ascii="Abadi" w:hAnsi="Abadi" w:cs="Arial"/>
          <w:color w:val="000000" w:themeColor="text1"/>
          <w:sz w:val="24"/>
          <w:szCs w:val="24"/>
          <w:shd w:val="clear" w:color="auto" w:fill="FFFFFF"/>
        </w:rPr>
        <w:t>Criminal attempt act 1981,</w:t>
      </w:r>
      <w:r w:rsidRPr="002C3A91">
        <w:rPr>
          <w:rFonts w:ascii="Abadi" w:hAnsi="Abadi" w:cs="Arial"/>
          <w:color w:val="000000" w:themeColor="text1"/>
          <w:sz w:val="24"/>
          <w:szCs w:val="24"/>
          <w:shd w:val="clear" w:color="auto" w:fill="FFFFFF"/>
        </w:rPr>
        <w:t xml:space="preserve"> If Carla's actions were such that they showed an intention to kill Jamie, she could potentially be charged with attempted murder. This offense involves taking a direct step towards causing the death of another person with the specific intent to do so.</w:t>
      </w:r>
    </w:p>
    <w:p w14:paraId="3D044E71" w14:textId="0FA89712" w:rsidR="00D131F6" w:rsidRPr="002C3A91" w:rsidRDefault="009863CA">
      <w:pPr>
        <w:rPr>
          <w:rFonts w:ascii="Abadi" w:hAnsi="Abadi" w:cs="Arial"/>
          <w:color w:val="000000" w:themeColor="text1"/>
          <w:sz w:val="24"/>
          <w:szCs w:val="24"/>
          <w:shd w:val="clear" w:color="auto" w:fill="FFFFFF"/>
        </w:rPr>
      </w:pPr>
      <w:r w:rsidRPr="002C3A91">
        <w:rPr>
          <w:rFonts w:ascii="Abadi" w:hAnsi="Abadi" w:cs="Arial"/>
          <w:color w:val="000000" w:themeColor="text1"/>
          <w:sz w:val="24"/>
          <w:szCs w:val="24"/>
          <w:shd w:val="clear" w:color="auto" w:fill="FFFFFF"/>
        </w:rPr>
        <w:t>Assaul</w:t>
      </w:r>
      <w:r w:rsidR="00D131F6" w:rsidRPr="002C3A91">
        <w:rPr>
          <w:rFonts w:ascii="Abadi" w:hAnsi="Abadi" w:cs="Arial"/>
          <w:color w:val="000000" w:themeColor="text1"/>
          <w:sz w:val="24"/>
          <w:szCs w:val="24"/>
          <w:shd w:val="clear" w:color="auto" w:fill="FFFFFF"/>
        </w:rPr>
        <w:t xml:space="preserve">t, </w:t>
      </w:r>
      <w:r w:rsidRPr="002C3A91">
        <w:rPr>
          <w:rFonts w:ascii="Abadi" w:hAnsi="Abadi" w:cs="Arial"/>
          <w:color w:val="000000" w:themeColor="text1"/>
          <w:sz w:val="24"/>
          <w:szCs w:val="24"/>
          <w:shd w:val="clear" w:color="auto" w:fill="FFFFFF"/>
        </w:rPr>
        <w:t xml:space="preserve"> Carla's act of stabbing Jamie in the chest would likely be classified as assault under English law. Assault is defined as intentionally or recklessly causing someone to fear the immediate use of force against them. Carla's use of a knife to injure Jamie would constitute a serious form of assault.</w:t>
      </w:r>
    </w:p>
    <w:p w14:paraId="1264AD73" w14:textId="6BEB4D60" w:rsidR="009D57A8" w:rsidRPr="002C3A91" w:rsidRDefault="00D37377">
      <w:pPr>
        <w:rPr>
          <w:rFonts w:ascii="Abadi" w:hAnsi="Abadi"/>
          <w:color w:val="000000" w:themeColor="text1"/>
          <w:sz w:val="24"/>
          <w:szCs w:val="24"/>
        </w:rPr>
      </w:pPr>
      <w:r w:rsidRPr="002C3A91">
        <w:rPr>
          <w:rFonts w:ascii="Abadi" w:hAnsi="Abadi" w:cs="Arial"/>
          <w:color w:val="000000" w:themeColor="text1"/>
          <w:sz w:val="24"/>
          <w:szCs w:val="24"/>
          <w:shd w:val="clear" w:color="auto" w:fill="FFFFFF"/>
        </w:rPr>
        <w:t>Manslaughter</w:t>
      </w:r>
      <w:r w:rsidR="008C1D81" w:rsidRPr="002C3A91">
        <w:rPr>
          <w:rFonts w:ascii="Abadi" w:hAnsi="Abadi" w:cs="Arial"/>
          <w:color w:val="000000" w:themeColor="text1"/>
          <w:sz w:val="24"/>
          <w:szCs w:val="24"/>
          <w:shd w:val="clear" w:color="auto" w:fill="FFFFFF"/>
        </w:rPr>
        <w:t xml:space="preserve">, </w:t>
      </w:r>
      <w:r w:rsidRPr="002C3A91">
        <w:rPr>
          <w:rFonts w:ascii="Abadi" w:hAnsi="Abadi" w:cs="Arial"/>
          <w:color w:val="000000" w:themeColor="text1"/>
          <w:sz w:val="24"/>
          <w:szCs w:val="24"/>
          <w:shd w:val="clear" w:color="auto" w:fill="FFFFFF"/>
        </w:rPr>
        <w:t>In certain situations, where there was no premeditation or intent to cause serious harm or death but death resulted from Carla's actions, she could potentially be charged with manslaughter. This could be voluntary manslaughter if committed in the heat of the moment or involuntary manslaughter if the death resulted from gross negligence.</w:t>
      </w:r>
    </w:p>
    <w:p w14:paraId="53E58888" w14:textId="78485E4D" w:rsidR="009D57A8" w:rsidRDefault="009D57A8">
      <w:pPr>
        <w:rPr>
          <w:rFonts w:ascii="Abadi" w:hAnsi="Abadi"/>
          <w:b/>
          <w:bCs/>
          <w:sz w:val="24"/>
          <w:szCs w:val="24"/>
        </w:rPr>
      </w:pPr>
      <w:r>
        <w:rPr>
          <w:rFonts w:ascii="Abadi" w:hAnsi="Abadi"/>
          <w:b/>
          <w:bCs/>
          <w:sz w:val="24"/>
          <w:szCs w:val="24"/>
        </w:rPr>
        <w:t>Define the Offence:</w:t>
      </w:r>
    </w:p>
    <w:p w14:paraId="029861E9" w14:textId="2712CA73" w:rsidR="00B93018" w:rsidRPr="002C3A91" w:rsidRDefault="00AD5252">
      <w:pPr>
        <w:rPr>
          <w:rFonts w:ascii="Abadi" w:hAnsi="Abadi" w:cs="Arial"/>
          <w:color w:val="000000" w:themeColor="text1"/>
          <w:sz w:val="24"/>
          <w:szCs w:val="24"/>
          <w:shd w:val="clear" w:color="auto" w:fill="FFFFFF"/>
        </w:rPr>
      </w:pPr>
      <w:r w:rsidRPr="002C3A91">
        <w:rPr>
          <w:rFonts w:ascii="Abadi" w:hAnsi="Abadi" w:cs="Arial"/>
          <w:color w:val="000000" w:themeColor="text1"/>
          <w:sz w:val="24"/>
          <w:szCs w:val="24"/>
          <w:shd w:val="clear" w:color="auto" w:fill="FFFFFF"/>
        </w:rPr>
        <w:t>Grievous Bodily Harm with Intent (Section 18 Offences Against the Person Act 1861) This offense involves causing grievous bodily harm to another person with the specific intent to cause serious harm. Grievous bodily harm refers to serious injuries that could endanger the life of the victim or cause permanent damage. The key element of this offense is the presence of intent to cause serious harm.</w:t>
      </w:r>
    </w:p>
    <w:p w14:paraId="72FF3DDC" w14:textId="65BE0F30" w:rsidR="00B93018" w:rsidRPr="002C3A91" w:rsidRDefault="00AD5252">
      <w:pPr>
        <w:rPr>
          <w:rFonts w:ascii="Abadi" w:hAnsi="Abadi" w:cs="Arial"/>
          <w:color w:val="000000" w:themeColor="text1"/>
          <w:sz w:val="24"/>
          <w:szCs w:val="24"/>
          <w:shd w:val="clear" w:color="auto" w:fill="FFFFFF"/>
        </w:rPr>
      </w:pPr>
      <w:r w:rsidRPr="002C3A91">
        <w:rPr>
          <w:rFonts w:ascii="Abadi" w:hAnsi="Abadi" w:cs="Arial"/>
          <w:color w:val="000000" w:themeColor="text1"/>
          <w:sz w:val="24"/>
          <w:szCs w:val="24"/>
          <w:shd w:val="clear" w:color="auto" w:fill="FFFFFF"/>
        </w:rPr>
        <w:t xml:space="preserve"> Attempted murder occurs when someone takes a direct step towards causing the death of another person with the specific intent to kill. It is an incomplete offense because the actual death of the victim does not occur, but the perpetrator's actions show a clear intention to end the victim's life.</w:t>
      </w:r>
    </w:p>
    <w:p w14:paraId="7114D6D5" w14:textId="2FBC8EB2" w:rsidR="00B93018" w:rsidRPr="002C3A91" w:rsidRDefault="00B93018">
      <w:pPr>
        <w:rPr>
          <w:rFonts w:ascii="Abadi" w:hAnsi="Abadi" w:cs="Arial"/>
          <w:color w:val="000000" w:themeColor="text1"/>
          <w:sz w:val="24"/>
          <w:szCs w:val="24"/>
          <w:shd w:val="clear" w:color="auto" w:fill="FFFFFF"/>
        </w:rPr>
      </w:pPr>
    </w:p>
    <w:p w14:paraId="19B84A4A" w14:textId="4E06AC82" w:rsidR="00B93018" w:rsidRPr="002C3A91" w:rsidRDefault="00AD5252">
      <w:pPr>
        <w:rPr>
          <w:rFonts w:ascii="Abadi" w:hAnsi="Abadi" w:cs="Arial"/>
          <w:color w:val="000000" w:themeColor="text1"/>
          <w:sz w:val="24"/>
          <w:szCs w:val="24"/>
          <w:shd w:val="clear" w:color="auto" w:fill="FFFFFF"/>
        </w:rPr>
      </w:pPr>
      <w:r w:rsidRPr="002C3A91">
        <w:rPr>
          <w:rFonts w:ascii="Abadi" w:hAnsi="Abadi" w:cs="Arial"/>
          <w:color w:val="000000" w:themeColor="text1"/>
          <w:sz w:val="24"/>
          <w:szCs w:val="24"/>
          <w:shd w:val="clear" w:color="auto" w:fill="FFFFFF"/>
        </w:rPr>
        <w:t xml:space="preserve">Common Assault or Battery - Common assault refers to intentionally causing the victim to fear immediate unlawful violence, while battery involves the actual application of force to another person. These offenses are generally less severe than those involving grievous bodily harm but still constitute acts of violence. </w:t>
      </w:r>
    </w:p>
    <w:p w14:paraId="73A3B3C5" w14:textId="45EBC941" w:rsidR="00AD5252" w:rsidRPr="002C3A91" w:rsidRDefault="00AD5252">
      <w:pPr>
        <w:rPr>
          <w:rFonts w:ascii="Abadi" w:hAnsi="Abadi"/>
          <w:b/>
          <w:bCs/>
          <w:color w:val="000000" w:themeColor="text1"/>
          <w:sz w:val="24"/>
          <w:szCs w:val="24"/>
        </w:rPr>
      </w:pPr>
      <w:r w:rsidRPr="002C3A91">
        <w:rPr>
          <w:rFonts w:ascii="Abadi" w:hAnsi="Abadi" w:cs="Arial"/>
          <w:color w:val="000000" w:themeColor="text1"/>
          <w:sz w:val="24"/>
          <w:szCs w:val="24"/>
          <w:shd w:val="clear" w:color="auto" w:fill="FFFFFF"/>
        </w:rPr>
        <w:t xml:space="preserve">Manslaughter is the unlawful killing of a person without malice aforethought. It can be voluntary, which involves killing in the heat of the moment or during a sudden quarrel, or involuntary, which results from gross negligence or reckless </w:t>
      </w:r>
      <w:r w:rsidR="00EA5C58" w:rsidRPr="002C3A91">
        <w:rPr>
          <w:rFonts w:ascii="Abadi" w:hAnsi="Abadi" w:cs="Arial"/>
          <w:color w:val="000000" w:themeColor="text1"/>
          <w:sz w:val="24"/>
          <w:szCs w:val="24"/>
          <w:shd w:val="clear" w:color="auto" w:fill="FFFFFF"/>
        </w:rPr>
        <w:t>behaviour</w:t>
      </w:r>
      <w:r w:rsidRPr="002C3A91">
        <w:rPr>
          <w:rFonts w:ascii="Abadi" w:hAnsi="Abadi" w:cs="Arial"/>
          <w:color w:val="000000" w:themeColor="text1"/>
          <w:sz w:val="24"/>
          <w:szCs w:val="24"/>
          <w:shd w:val="clear" w:color="auto" w:fill="FFFFFF"/>
        </w:rPr>
        <w:t xml:space="preserve"> that leads to someone's death. </w:t>
      </w:r>
    </w:p>
    <w:p w14:paraId="162866D0" w14:textId="2FB0C7E3" w:rsidR="00263B02" w:rsidRDefault="00263B02">
      <w:pPr>
        <w:rPr>
          <w:rFonts w:ascii="Abadi" w:hAnsi="Abadi"/>
          <w:b/>
          <w:bCs/>
          <w:color w:val="111111"/>
          <w:sz w:val="24"/>
          <w:szCs w:val="24"/>
          <w:shd w:val="clear" w:color="auto" w:fill="FFFFFF"/>
        </w:rPr>
      </w:pPr>
      <w:r w:rsidRPr="00263B02">
        <w:rPr>
          <w:rFonts w:ascii="Abadi" w:hAnsi="Abadi"/>
          <w:b/>
          <w:bCs/>
          <w:color w:val="111111"/>
          <w:sz w:val="24"/>
          <w:szCs w:val="24"/>
          <w:shd w:val="clear" w:color="auto" w:fill="FFFFFF"/>
        </w:rPr>
        <w:t>Explain:</w:t>
      </w:r>
    </w:p>
    <w:p w14:paraId="2F99FA58" w14:textId="5153DAB5" w:rsidR="009A7E36" w:rsidRPr="0020293A" w:rsidRDefault="009A7E36" w:rsidP="009A7E36">
      <w:pPr>
        <w:rPr>
          <w:rFonts w:ascii="Abadi" w:hAnsi="Abadi" w:cs="Arial"/>
          <w:color w:val="000000" w:themeColor="text1"/>
          <w:sz w:val="24"/>
          <w:szCs w:val="24"/>
          <w:shd w:val="clear" w:color="auto" w:fill="FFFFFF"/>
        </w:rPr>
      </w:pPr>
      <w:r w:rsidRPr="0020293A">
        <w:rPr>
          <w:rFonts w:ascii="Abadi" w:hAnsi="Abadi" w:cs="Arial"/>
          <w:color w:val="000000" w:themeColor="text1"/>
          <w:sz w:val="24"/>
          <w:szCs w:val="24"/>
          <w:shd w:val="clear" w:color="auto" w:fill="FFFFFF"/>
        </w:rPr>
        <w:t>Grievous Bodily Harm (GBH) Depending on the severity of Jamie's injuries resulting from the stabbing, the charge of causing grievous bodily harm (GBH) may be appropriate. GBH involves serious harm or injury inflicted on a person. If Carla's stabbing led to severe bodily harm to Jamie, the charge of GBH could be considered under the Offences Against the Person Act 1861.</w:t>
      </w:r>
    </w:p>
    <w:p w14:paraId="10FA1C6F" w14:textId="77777777" w:rsidR="009A7E36" w:rsidRPr="0020293A" w:rsidRDefault="009A7E36">
      <w:pPr>
        <w:rPr>
          <w:rFonts w:ascii="Abadi" w:hAnsi="Abadi"/>
          <w:b/>
          <w:bCs/>
          <w:color w:val="000000" w:themeColor="text1"/>
          <w:sz w:val="24"/>
          <w:szCs w:val="24"/>
          <w:shd w:val="clear" w:color="auto" w:fill="FFFFFF"/>
        </w:rPr>
      </w:pPr>
    </w:p>
    <w:p w14:paraId="67EAC97F" w14:textId="64602453" w:rsidR="004F0F9A" w:rsidRPr="0020293A" w:rsidRDefault="001448FF" w:rsidP="009A7E36">
      <w:pPr>
        <w:rPr>
          <w:rFonts w:ascii="Abadi" w:hAnsi="Abadi" w:cs="Arial"/>
          <w:color w:val="000000" w:themeColor="text1"/>
          <w:sz w:val="24"/>
          <w:szCs w:val="24"/>
          <w:shd w:val="clear" w:color="auto" w:fill="FFFFFF"/>
        </w:rPr>
      </w:pPr>
      <w:r w:rsidRPr="0020293A">
        <w:rPr>
          <w:rFonts w:ascii="Abadi" w:hAnsi="Abadi" w:cs="Arial"/>
          <w:color w:val="000000" w:themeColor="text1"/>
          <w:sz w:val="24"/>
          <w:szCs w:val="24"/>
          <w:shd w:val="clear" w:color="auto" w:fill="FFFFFF"/>
        </w:rPr>
        <w:lastRenderedPageBreak/>
        <w:t>Assault</w:t>
      </w:r>
      <w:r w:rsidR="004F0F9A" w:rsidRPr="0020293A">
        <w:rPr>
          <w:rFonts w:ascii="Abadi" w:hAnsi="Abadi" w:cs="Arial"/>
          <w:color w:val="000000" w:themeColor="text1"/>
          <w:sz w:val="24"/>
          <w:szCs w:val="24"/>
          <w:shd w:val="clear" w:color="auto" w:fill="FFFFFF"/>
        </w:rPr>
        <w:t>,</w:t>
      </w:r>
      <w:r w:rsidRPr="0020293A">
        <w:rPr>
          <w:rFonts w:ascii="Abadi" w:hAnsi="Abadi" w:cs="Arial"/>
          <w:color w:val="000000" w:themeColor="text1"/>
          <w:sz w:val="24"/>
          <w:szCs w:val="24"/>
          <w:shd w:val="clear" w:color="auto" w:fill="FFFFFF"/>
        </w:rPr>
        <w:t xml:space="preserve"> Carla's act of stabbing Jamie in the chest constitutes a direct application of force with the intention to cause him harm. In English law, assault can encompass both physical contact and the threat of immediate physical harm. Carla's actions clearly indicate an </w:t>
      </w:r>
      <w:r w:rsidR="00297F10" w:rsidRPr="0020293A">
        <w:rPr>
          <w:rFonts w:ascii="Abadi" w:hAnsi="Abadi" w:cs="Arial"/>
          <w:color w:val="000000" w:themeColor="text1"/>
          <w:sz w:val="24"/>
          <w:szCs w:val="24"/>
          <w:shd w:val="clear" w:color="auto" w:fill="FFFFFF"/>
        </w:rPr>
        <w:t>intentional act that caused harm and instilled fear in Jamie.</w:t>
      </w:r>
    </w:p>
    <w:p w14:paraId="6C782006" w14:textId="6AB7FD53" w:rsidR="0076357C" w:rsidRPr="0020293A" w:rsidRDefault="001448FF" w:rsidP="00CD1FFC">
      <w:pPr>
        <w:rPr>
          <w:rFonts w:ascii="Abadi" w:hAnsi="Abadi"/>
          <w:color w:val="111111"/>
          <w:sz w:val="24"/>
          <w:szCs w:val="24"/>
          <w:shd w:val="clear" w:color="auto" w:fill="FFFFFF"/>
        </w:rPr>
      </w:pPr>
      <w:r w:rsidRPr="0020293A">
        <w:rPr>
          <w:rFonts w:ascii="Abadi" w:hAnsi="Abadi" w:cs="Arial"/>
          <w:color w:val="000000" w:themeColor="text1"/>
          <w:sz w:val="24"/>
          <w:szCs w:val="24"/>
          <w:shd w:val="clear" w:color="auto" w:fill="FFFFFF"/>
        </w:rPr>
        <w:t xml:space="preserve"> Attempted Murder</w:t>
      </w:r>
      <w:r w:rsidR="009A7E36" w:rsidRPr="0020293A">
        <w:rPr>
          <w:rFonts w:ascii="Abadi" w:hAnsi="Abadi" w:cs="Arial"/>
          <w:color w:val="000000" w:themeColor="text1"/>
          <w:sz w:val="24"/>
          <w:szCs w:val="24"/>
          <w:shd w:val="clear" w:color="auto" w:fill="FFFFFF"/>
        </w:rPr>
        <w:t>,</w:t>
      </w:r>
      <w:r w:rsidRPr="0020293A">
        <w:rPr>
          <w:rFonts w:ascii="Abadi" w:hAnsi="Abadi" w:cs="Arial"/>
          <w:color w:val="000000" w:themeColor="text1"/>
          <w:sz w:val="24"/>
          <w:szCs w:val="24"/>
          <w:shd w:val="clear" w:color="auto" w:fill="FFFFFF"/>
        </w:rPr>
        <w:t xml:space="preserve"> If Carla's actions were driven by an intent to kill Jamie, the charge of attempted murder could be applicable. Attempted murder involves taking steps towards causing the death of another person with the specific intent to kill. Carla's use of a knife to stab Jamie in the chest signifies a serious and potentially lethal act, which aligns with the elements of attempted murder. These offenses are chosen based on the severity of Carla's actions, the level of harm inflicted, and her potential intent. </w:t>
      </w:r>
    </w:p>
    <w:p w14:paraId="5CF00725" w14:textId="6C06ECB6" w:rsidR="005B2180" w:rsidRPr="003D117A" w:rsidRDefault="00810AA9" w:rsidP="00CD1FFC">
      <w:pPr>
        <w:rPr>
          <w:rFonts w:ascii="Abadi" w:hAnsi="Abadi"/>
          <w:b/>
          <w:bCs/>
          <w:color w:val="111111"/>
          <w:sz w:val="24"/>
          <w:szCs w:val="24"/>
          <w:shd w:val="clear" w:color="auto" w:fill="FFFFFF"/>
        </w:rPr>
      </w:pPr>
      <w:r w:rsidRPr="00494863">
        <w:rPr>
          <w:rFonts w:ascii="Abadi" w:hAnsi="Abadi"/>
          <w:b/>
          <w:bCs/>
          <w:color w:val="111111"/>
          <w:sz w:val="24"/>
          <w:szCs w:val="24"/>
          <w:shd w:val="clear" w:color="auto" w:fill="FFFFFF"/>
        </w:rPr>
        <w:t>Analyse</w:t>
      </w:r>
      <w:r w:rsidR="003D117A">
        <w:rPr>
          <w:rFonts w:ascii="Abadi" w:hAnsi="Abadi"/>
          <w:b/>
          <w:bCs/>
          <w:color w:val="111111"/>
          <w:sz w:val="24"/>
          <w:szCs w:val="24"/>
          <w:shd w:val="clear" w:color="auto" w:fill="FFFFFF"/>
        </w:rPr>
        <w:t xml:space="preserve"> </w:t>
      </w:r>
      <w:r w:rsidR="005B2180" w:rsidRPr="003D117A">
        <w:rPr>
          <w:rFonts w:ascii="Abadi" w:hAnsi="Abadi"/>
          <w:b/>
          <w:bCs/>
          <w:color w:val="111111"/>
          <w:sz w:val="24"/>
          <w:szCs w:val="24"/>
          <w:shd w:val="clear" w:color="auto" w:fill="FFFFFF"/>
        </w:rPr>
        <w:t xml:space="preserve">Possible </w:t>
      </w:r>
      <w:r w:rsidR="003A1D27" w:rsidRPr="003D117A">
        <w:rPr>
          <w:rFonts w:ascii="Abadi" w:hAnsi="Abadi"/>
          <w:b/>
          <w:bCs/>
          <w:color w:val="111111"/>
          <w:sz w:val="24"/>
          <w:szCs w:val="24"/>
          <w:shd w:val="clear" w:color="auto" w:fill="FFFFFF"/>
        </w:rPr>
        <w:t>Defences</w:t>
      </w:r>
      <w:r w:rsidR="003A1D27" w:rsidRPr="003A1D27">
        <w:rPr>
          <w:rFonts w:ascii="Abadi" w:hAnsi="Abadi"/>
          <w:color w:val="111111"/>
          <w:sz w:val="24"/>
          <w:szCs w:val="24"/>
          <w:shd w:val="clear" w:color="auto" w:fill="FFFFFF"/>
        </w:rPr>
        <w:t>:</w:t>
      </w:r>
    </w:p>
    <w:p w14:paraId="791F280C" w14:textId="3F8A658F" w:rsidR="00B726B4" w:rsidRDefault="00B726B4" w:rsidP="00CD1FFC">
      <w:pPr>
        <w:rPr>
          <w:rFonts w:ascii="Abadi" w:hAnsi="Abadi" w:cs="Arial"/>
          <w:color w:val="000000" w:themeColor="text1"/>
          <w:sz w:val="24"/>
          <w:szCs w:val="24"/>
          <w:shd w:val="clear" w:color="auto" w:fill="FFFFFF"/>
        </w:rPr>
      </w:pPr>
      <w:r w:rsidRPr="00B726B4">
        <w:rPr>
          <w:rFonts w:ascii="Abadi" w:hAnsi="Abadi" w:cs="Arial"/>
          <w:color w:val="000000" w:themeColor="text1"/>
          <w:sz w:val="24"/>
          <w:szCs w:val="24"/>
          <w:shd w:val="clear" w:color="auto" w:fill="FFFFFF"/>
        </w:rPr>
        <w:t xml:space="preserve">In Carla's case, several possible </w:t>
      </w:r>
      <w:r w:rsidR="00EA5C58" w:rsidRPr="00B726B4">
        <w:rPr>
          <w:rFonts w:ascii="Abadi" w:hAnsi="Abadi" w:cs="Arial"/>
          <w:color w:val="000000" w:themeColor="text1"/>
          <w:sz w:val="24"/>
          <w:szCs w:val="24"/>
          <w:shd w:val="clear" w:color="auto" w:fill="FFFFFF"/>
        </w:rPr>
        <w:t>defences</w:t>
      </w:r>
      <w:r w:rsidRPr="00B726B4">
        <w:rPr>
          <w:rFonts w:ascii="Abadi" w:hAnsi="Abadi" w:cs="Arial"/>
          <w:color w:val="000000" w:themeColor="text1"/>
          <w:sz w:val="24"/>
          <w:szCs w:val="24"/>
          <w:shd w:val="clear" w:color="auto" w:fill="FFFFFF"/>
        </w:rPr>
        <w:t xml:space="preserve"> could be considered depending on the circumstances surrounding the incident. </w:t>
      </w:r>
    </w:p>
    <w:p w14:paraId="6FF15844" w14:textId="19E26CD4" w:rsidR="009D3917" w:rsidRDefault="00B726B4" w:rsidP="00CD1FFC">
      <w:pPr>
        <w:rPr>
          <w:rFonts w:ascii="Abadi" w:hAnsi="Abadi" w:cs="Arial"/>
          <w:color w:val="000000" w:themeColor="text1"/>
          <w:sz w:val="24"/>
          <w:szCs w:val="24"/>
          <w:shd w:val="clear" w:color="auto" w:fill="FFFFFF"/>
        </w:rPr>
      </w:pPr>
      <w:r w:rsidRPr="00B726B4">
        <w:rPr>
          <w:rFonts w:ascii="Abadi" w:hAnsi="Abadi" w:cs="Arial"/>
          <w:color w:val="000000" w:themeColor="text1"/>
          <w:sz w:val="24"/>
          <w:szCs w:val="24"/>
          <w:shd w:val="clear" w:color="auto" w:fill="FFFFFF"/>
        </w:rPr>
        <w:t>Self-</w:t>
      </w:r>
      <w:r w:rsidR="00EA5C58" w:rsidRPr="00B726B4">
        <w:rPr>
          <w:rFonts w:ascii="Abadi" w:hAnsi="Abadi" w:cs="Arial"/>
          <w:color w:val="000000" w:themeColor="text1"/>
          <w:sz w:val="24"/>
          <w:szCs w:val="24"/>
          <w:shd w:val="clear" w:color="auto" w:fill="FFFFFF"/>
        </w:rPr>
        <w:t>Defence</w:t>
      </w:r>
      <w:r w:rsidRPr="00B726B4">
        <w:rPr>
          <w:rFonts w:ascii="Abadi" w:hAnsi="Abadi" w:cs="Arial"/>
          <w:color w:val="000000" w:themeColor="text1"/>
          <w:sz w:val="24"/>
          <w:szCs w:val="24"/>
          <w:shd w:val="clear" w:color="auto" w:fill="FFFFFF"/>
        </w:rPr>
        <w:t xml:space="preserve">: Carla could argue that she acted in </w:t>
      </w:r>
      <w:r w:rsidR="00EA5C58" w:rsidRPr="00B726B4">
        <w:rPr>
          <w:rFonts w:ascii="Abadi" w:hAnsi="Abadi" w:cs="Arial"/>
          <w:color w:val="000000" w:themeColor="text1"/>
          <w:sz w:val="24"/>
          <w:szCs w:val="24"/>
          <w:shd w:val="clear" w:color="auto" w:fill="FFFFFF"/>
        </w:rPr>
        <w:t>self-defence</w:t>
      </w:r>
      <w:r w:rsidRPr="00B726B4">
        <w:rPr>
          <w:rFonts w:ascii="Abadi" w:hAnsi="Abadi" w:cs="Arial"/>
          <w:color w:val="000000" w:themeColor="text1"/>
          <w:sz w:val="24"/>
          <w:szCs w:val="24"/>
          <w:shd w:val="clear" w:color="auto" w:fill="FFFFFF"/>
        </w:rPr>
        <w:t xml:space="preserve"> to protect herself from imminent harm or danger. If Jamie posed a threat to her safety or life, Carla may claim that her actions were necessary to defend herself. The validity of this </w:t>
      </w:r>
      <w:r w:rsidR="00EA5C58" w:rsidRPr="00B726B4">
        <w:rPr>
          <w:rFonts w:ascii="Abadi" w:hAnsi="Abadi" w:cs="Arial"/>
          <w:color w:val="000000" w:themeColor="text1"/>
          <w:sz w:val="24"/>
          <w:szCs w:val="24"/>
          <w:shd w:val="clear" w:color="auto" w:fill="FFFFFF"/>
        </w:rPr>
        <w:t>defence</w:t>
      </w:r>
      <w:r w:rsidRPr="00B726B4">
        <w:rPr>
          <w:rFonts w:ascii="Abadi" w:hAnsi="Abadi" w:cs="Arial"/>
          <w:color w:val="000000" w:themeColor="text1"/>
          <w:sz w:val="24"/>
          <w:szCs w:val="24"/>
          <w:shd w:val="clear" w:color="auto" w:fill="FFFFFF"/>
        </w:rPr>
        <w:t xml:space="preserve"> would depend on whether Carla's use of force was proportionate to the threat she perceived. Lack of Intent</w:t>
      </w:r>
      <w:r w:rsidR="00045E8D">
        <w:rPr>
          <w:rFonts w:ascii="Abadi" w:hAnsi="Abadi" w:cs="Arial"/>
          <w:color w:val="000000" w:themeColor="text1"/>
          <w:sz w:val="24"/>
          <w:szCs w:val="24"/>
          <w:shd w:val="clear" w:color="auto" w:fill="FFFFFF"/>
        </w:rPr>
        <w:t xml:space="preserve">, </w:t>
      </w:r>
      <w:r w:rsidRPr="00B726B4">
        <w:rPr>
          <w:rFonts w:ascii="Abadi" w:hAnsi="Abadi" w:cs="Arial"/>
          <w:color w:val="000000" w:themeColor="text1"/>
          <w:sz w:val="24"/>
          <w:szCs w:val="24"/>
          <w:shd w:val="clear" w:color="auto" w:fill="FFFFFF"/>
        </w:rPr>
        <w:t xml:space="preserve">Carla could maintain that she did not have the intent to harm Jamie. If she can demonstrate that the stabbing was accidental or that she lacked the specific intent to cause harm, this </w:t>
      </w:r>
      <w:r w:rsidR="00EA5C58" w:rsidRPr="00B726B4">
        <w:rPr>
          <w:rFonts w:ascii="Abadi" w:hAnsi="Abadi" w:cs="Arial"/>
          <w:color w:val="000000" w:themeColor="text1"/>
          <w:sz w:val="24"/>
          <w:szCs w:val="24"/>
          <w:shd w:val="clear" w:color="auto" w:fill="FFFFFF"/>
        </w:rPr>
        <w:t>defence</w:t>
      </w:r>
      <w:r w:rsidRPr="00B726B4">
        <w:rPr>
          <w:rFonts w:ascii="Abadi" w:hAnsi="Abadi" w:cs="Arial"/>
          <w:color w:val="000000" w:themeColor="text1"/>
          <w:sz w:val="24"/>
          <w:szCs w:val="24"/>
          <w:shd w:val="clear" w:color="auto" w:fill="FFFFFF"/>
        </w:rPr>
        <w:t xml:space="preserve"> could be used to challenge charges such as attempted murder or assault with intent.</w:t>
      </w:r>
    </w:p>
    <w:p w14:paraId="452AAC13" w14:textId="49E96620" w:rsidR="00106710" w:rsidRDefault="00B726B4" w:rsidP="00CD1FFC">
      <w:pPr>
        <w:rPr>
          <w:rFonts w:ascii="Abadi" w:hAnsi="Abadi" w:cs="Arial"/>
          <w:color w:val="000000" w:themeColor="text1"/>
          <w:sz w:val="24"/>
          <w:szCs w:val="24"/>
          <w:shd w:val="clear" w:color="auto" w:fill="FFFFFF"/>
        </w:rPr>
      </w:pPr>
      <w:r w:rsidRPr="00B726B4">
        <w:rPr>
          <w:rFonts w:ascii="Abadi" w:hAnsi="Abadi" w:cs="Arial"/>
          <w:color w:val="000000" w:themeColor="text1"/>
          <w:sz w:val="24"/>
          <w:szCs w:val="24"/>
          <w:shd w:val="clear" w:color="auto" w:fill="FFFFFF"/>
        </w:rPr>
        <w:t>Diminished Responsibility</w:t>
      </w:r>
      <w:r w:rsidR="009D3917">
        <w:rPr>
          <w:rFonts w:ascii="Abadi" w:hAnsi="Abadi" w:cs="Arial"/>
          <w:color w:val="000000" w:themeColor="text1"/>
          <w:sz w:val="24"/>
          <w:szCs w:val="24"/>
          <w:shd w:val="clear" w:color="auto" w:fill="FFFFFF"/>
        </w:rPr>
        <w:t>,</w:t>
      </w:r>
      <w:r w:rsidR="00106710">
        <w:rPr>
          <w:rFonts w:ascii="Abadi" w:hAnsi="Abadi" w:cs="Arial"/>
          <w:color w:val="000000" w:themeColor="text1"/>
          <w:sz w:val="24"/>
          <w:szCs w:val="24"/>
          <w:shd w:val="clear" w:color="auto" w:fill="FFFFFF"/>
        </w:rPr>
        <w:t xml:space="preserve"> </w:t>
      </w:r>
      <w:r w:rsidRPr="00B726B4">
        <w:rPr>
          <w:rFonts w:ascii="Abadi" w:hAnsi="Abadi" w:cs="Arial"/>
          <w:color w:val="000000" w:themeColor="text1"/>
          <w:sz w:val="24"/>
          <w:szCs w:val="24"/>
          <w:shd w:val="clear" w:color="auto" w:fill="FFFFFF"/>
        </w:rPr>
        <w:t xml:space="preserve">If Carla has a mental health condition or disorder that impacted her capacity to understand the consequences of her actions or to control her </w:t>
      </w:r>
      <w:r w:rsidR="00EA5C58" w:rsidRPr="00B726B4">
        <w:rPr>
          <w:rFonts w:ascii="Abadi" w:hAnsi="Abadi" w:cs="Arial"/>
          <w:color w:val="000000" w:themeColor="text1"/>
          <w:sz w:val="24"/>
          <w:szCs w:val="24"/>
          <w:shd w:val="clear" w:color="auto" w:fill="FFFFFF"/>
        </w:rPr>
        <w:t>behaviour</w:t>
      </w:r>
      <w:r w:rsidRPr="00B726B4">
        <w:rPr>
          <w:rFonts w:ascii="Abadi" w:hAnsi="Abadi" w:cs="Arial"/>
          <w:color w:val="000000" w:themeColor="text1"/>
          <w:sz w:val="24"/>
          <w:szCs w:val="24"/>
          <w:shd w:val="clear" w:color="auto" w:fill="FFFFFF"/>
        </w:rPr>
        <w:t xml:space="preserve">, a </w:t>
      </w:r>
      <w:r w:rsidR="00EA5C58" w:rsidRPr="00B726B4">
        <w:rPr>
          <w:rFonts w:ascii="Abadi" w:hAnsi="Abadi" w:cs="Arial"/>
          <w:color w:val="000000" w:themeColor="text1"/>
          <w:sz w:val="24"/>
          <w:szCs w:val="24"/>
          <w:shd w:val="clear" w:color="auto" w:fill="FFFFFF"/>
        </w:rPr>
        <w:t>defence</w:t>
      </w:r>
      <w:r w:rsidRPr="00B726B4">
        <w:rPr>
          <w:rFonts w:ascii="Abadi" w:hAnsi="Abadi" w:cs="Arial"/>
          <w:color w:val="000000" w:themeColor="text1"/>
          <w:sz w:val="24"/>
          <w:szCs w:val="24"/>
          <w:shd w:val="clear" w:color="auto" w:fill="FFFFFF"/>
        </w:rPr>
        <w:t xml:space="preserve"> of diminished responsibility could be raised. This </w:t>
      </w:r>
      <w:r w:rsidR="00EA5C58" w:rsidRPr="00B726B4">
        <w:rPr>
          <w:rFonts w:ascii="Abadi" w:hAnsi="Abadi" w:cs="Arial"/>
          <w:color w:val="000000" w:themeColor="text1"/>
          <w:sz w:val="24"/>
          <w:szCs w:val="24"/>
          <w:shd w:val="clear" w:color="auto" w:fill="FFFFFF"/>
        </w:rPr>
        <w:t>defence</w:t>
      </w:r>
      <w:r w:rsidRPr="00B726B4">
        <w:rPr>
          <w:rFonts w:ascii="Abadi" w:hAnsi="Abadi" w:cs="Arial"/>
          <w:color w:val="000000" w:themeColor="text1"/>
          <w:sz w:val="24"/>
          <w:szCs w:val="24"/>
          <w:shd w:val="clear" w:color="auto" w:fill="FFFFFF"/>
        </w:rPr>
        <w:t xml:space="preserve"> may mitigate her culpability and could influence the charges brought against her.</w:t>
      </w:r>
    </w:p>
    <w:p w14:paraId="137F1C14" w14:textId="03BF74F2" w:rsidR="00837686" w:rsidRDefault="00B726B4" w:rsidP="00CD1FFC">
      <w:pPr>
        <w:rPr>
          <w:rFonts w:ascii="Abadi" w:hAnsi="Abadi" w:cs="Arial"/>
          <w:color w:val="000000" w:themeColor="text1"/>
          <w:sz w:val="24"/>
          <w:szCs w:val="24"/>
          <w:shd w:val="clear" w:color="auto" w:fill="FFFFFF"/>
        </w:rPr>
      </w:pPr>
      <w:r w:rsidRPr="00B726B4">
        <w:rPr>
          <w:rFonts w:ascii="Abadi" w:hAnsi="Abadi" w:cs="Arial"/>
          <w:color w:val="000000" w:themeColor="text1"/>
          <w:sz w:val="24"/>
          <w:szCs w:val="24"/>
          <w:shd w:val="clear" w:color="auto" w:fill="FFFFFF"/>
        </w:rPr>
        <w:t>Provocation</w:t>
      </w:r>
      <w:r w:rsidR="00106710">
        <w:rPr>
          <w:rFonts w:ascii="Abadi" w:hAnsi="Abadi" w:cs="Arial"/>
          <w:color w:val="000000" w:themeColor="text1"/>
          <w:sz w:val="24"/>
          <w:szCs w:val="24"/>
          <w:shd w:val="clear" w:color="auto" w:fill="FFFFFF"/>
        </w:rPr>
        <w:t xml:space="preserve">, </w:t>
      </w:r>
      <w:r w:rsidRPr="00B726B4">
        <w:rPr>
          <w:rFonts w:ascii="Abadi" w:hAnsi="Abadi" w:cs="Arial"/>
          <w:color w:val="000000" w:themeColor="text1"/>
          <w:sz w:val="24"/>
          <w:szCs w:val="24"/>
          <w:shd w:val="clear" w:color="auto" w:fill="FFFFFF"/>
        </w:rPr>
        <w:t xml:space="preserve">Carla might assert that she was provoked by Jamie's actions or words, leading her to react impulsively. In some cases, provocation can be used as a </w:t>
      </w:r>
      <w:r w:rsidR="00EA5C58" w:rsidRPr="00B726B4">
        <w:rPr>
          <w:rFonts w:ascii="Abadi" w:hAnsi="Abadi" w:cs="Arial"/>
          <w:color w:val="000000" w:themeColor="text1"/>
          <w:sz w:val="24"/>
          <w:szCs w:val="24"/>
          <w:shd w:val="clear" w:color="auto" w:fill="FFFFFF"/>
        </w:rPr>
        <w:t>defence</w:t>
      </w:r>
      <w:r w:rsidRPr="00B726B4">
        <w:rPr>
          <w:rFonts w:ascii="Abadi" w:hAnsi="Abadi" w:cs="Arial"/>
          <w:color w:val="000000" w:themeColor="text1"/>
          <w:sz w:val="24"/>
          <w:szCs w:val="24"/>
          <w:shd w:val="clear" w:color="auto" w:fill="FFFFFF"/>
        </w:rPr>
        <w:t xml:space="preserve"> to reduce the severity of the offense charged. </w:t>
      </w:r>
    </w:p>
    <w:p w14:paraId="1B19F39B" w14:textId="797DC0E3" w:rsidR="0002750E" w:rsidRPr="00B726B4" w:rsidRDefault="00B726B4" w:rsidP="00CD1FFC">
      <w:pPr>
        <w:rPr>
          <w:rFonts w:ascii="Abadi" w:hAnsi="Abadi"/>
          <w:color w:val="000000" w:themeColor="text1"/>
          <w:sz w:val="24"/>
          <w:szCs w:val="24"/>
          <w:shd w:val="clear" w:color="auto" w:fill="FFFFFF"/>
        </w:rPr>
      </w:pPr>
      <w:r w:rsidRPr="00B726B4">
        <w:rPr>
          <w:rFonts w:ascii="Abadi" w:hAnsi="Abadi" w:cs="Arial"/>
          <w:color w:val="000000" w:themeColor="text1"/>
          <w:sz w:val="24"/>
          <w:szCs w:val="24"/>
          <w:shd w:val="clear" w:color="auto" w:fill="FFFFFF"/>
        </w:rPr>
        <w:t>Consent</w:t>
      </w:r>
      <w:r w:rsidR="00837686">
        <w:rPr>
          <w:rFonts w:ascii="Abadi" w:hAnsi="Abadi" w:cs="Arial"/>
          <w:color w:val="000000" w:themeColor="text1"/>
          <w:sz w:val="24"/>
          <w:szCs w:val="24"/>
          <w:shd w:val="clear" w:color="auto" w:fill="FFFFFF"/>
        </w:rPr>
        <w:t xml:space="preserve">, </w:t>
      </w:r>
      <w:r w:rsidRPr="00B726B4">
        <w:rPr>
          <w:rFonts w:ascii="Abadi" w:hAnsi="Abadi" w:cs="Arial"/>
          <w:color w:val="000000" w:themeColor="text1"/>
          <w:sz w:val="24"/>
          <w:szCs w:val="24"/>
          <w:shd w:val="clear" w:color="auto" w:fill="FFFFFF"/>
        </w:rPr>
        <w:t xml:space="preserve">Depending on the circumstances, Carla could argue that Jamie consented to the act, especially if there was a mutual agreement or understanding between them. However, this </w:t>
      </w:r>
      <w:r w:rsidR="00D30394" w:rsidRPr="00B726B4">
        <w:rPr>
          <w:rFonts w:ascii="Abadi" w:hAnsi="Abadi" w:cs="Arial"/>
          <w:color w:val="000000" w:themeColor="text1"/>
          <w:sz w:val="24"/>
          <w:szCs w:val="24"/>
          <w:shd w:val="clear" w:color="auto" w:fill="FFFFFF"/>
        </w:rPr>
        <w:t>defence</w:t>
      </w:r>
      <w:r w:rsidRPr="00B726B4">
        <w:rPr>
          <w:rFonts w:ascii="Abadi" w:hAnsi="Abadi" w:cs="Arial"/>
          <w:color w:val="000000" w:themeColor="text1"/>
          <w:sz w:val="24"/>
          <w:szCs w:val="24"/>
          <w:shd w:val="clear" w:color="auto" w:fill="FFFFFF"/>
        </w:rPr>
        <w:t xml:space="preserve"> may not apply in situations involving serious harm or injuries. </w:t>
      </w:r>
    </w:p>
    <w:p w14:paraId="76376C83" w14:textId="77777777" w:rsidR="003A1D27" w:rsidRDefault="003A1D27" w:rsidP="00CD1FFC">
      <w:pPr>
        <w:rPr>
          <w:rFonts w:ascii="Abadi" w:hAnsi="Abadi"/>
          <w:b/>
          <w:bCs/>
          <w:color w:val="111111"/>
          <w:sz w:val="24"/>
          <w:szCs w:val="24"/>
          <w:shd w:val="clear" w:color="auto" w:fill="FFFFFF"/>
        </w:rPr>
      </w:pPr>
    </w:p>
    <w:p w14:paraId="5953E20C" w14:textId="246E1F60" w:rsidR="00494863" w:rsidRDefault="00D30394" w:rsidP="00CD1FFC">
      <w:pPr>
        <w:rPr>
          <w:rFonts w:ascii="Abadi" w:hAnsi="Abadi"/>
          <w:b/>
          <w:bCs/>
          <w:color w:val="111111"/>
          <w:sz w:val="24"/>
          <w:szCs w:val="24"/>
          <w:shd w:val="clear" w:color="auto" w:fill="FFFFFF"/>
        </w:rPr>
      </w:pPr>
      <w:r w:rsidRPr="00D30394">
        <w:rPr>
          <w:rFonts w:ascii="Abadi" w:hAnsi="Abadi"/>
          <w:b/>
          <w:bCs/>
          <w:color w:val="111111"/>
          <w:sz w:val="24"/>
          <w:szCs w:val="24"/>
          <w:shd w:val="clear" w:color="auto" w:fill="FFFFFF"/>
        </w:rPr>
        <w:t>Conclusion</w:t>
      </w:r>
      <w:r>
        <w:rPr>
          <w:rFonts w:ascii="Abadi" w:hAnsi="Abadi"/>
          <w:b/>
          <w:bCs/>
          <w:color w:val="111111"/>
          <w:sz w:val="24"/>
          <w:szCs w:val="24"/>
          <w:shd w:val="clear" w:color="auto" w:fill="FFFFFF"/>
        </w:rPr>
        <w:t>:</w:t>
      </w:r>
    </w:p>
    <w:p w14:paraId="42223FDB" w14:textId="531106B3" w:rsidR="00263B02" w:rsidRDefault="00B859D6">
      <w:pPr>
        <w:rPr>
          <w:rFonts w:ascii="Abadi" w:hAnsi="Abadi" w:cs="Arial"/>
          <w:color w:val="000000" w:themeColor="text1"/>
          <w:sz w:val="24"/>
          <w:szCs w:val="24"/>
          <w:shd w:val="clear" w:color="auto" w:fill="FFFFFF"/>
        </w:rPr>
      </w:pPr>
      <w:r w:rsidRPr="00FD6E0D">
        <w:rPr>
          <w:rFonts w:ascii="Abadi" w:hAnsi="Abadi"/>
          <w:color w:val="000000" w:themeColor="text1"/>
          <w:sz w:val="24"/>
          <w:szCs w:val="24"/>
          <w:shd w:val="clear" w:color="auto" w:fill="FFFFFF"/>
        </w:rPr>
        <w:t xml:space="preserve">In conclusion </w:t>
      </w:r>
      <w:r w:rsidR="002C3356" w:rsidRPr="00FD6E0D">
        <w:rPr>
          <w:rFonts w:ascii="Abadi" w:hAnsi="Abadi" w:cs="Arial"/>
          <w:color w:val="000000" w:themeColor="text1"/>
          <w:sz w:val="24"/>
          <w:szCs w:val="24"/>
          <w:shd w:val="clear" w:color="auto" w:fill="FFFFFF"/>
        </w:rPr>
        <w:t xml:space="preserve">Carla's criminal liability in the case of stabbing Jamie would be assessed based on the principles of English criminal law. The determination of Carla's liability would involve an analysis of her mental state at the time of the incident, the reasonableness of her actions, and any mitigating factors that may impact her culpability. Carla's potential criminal liability would be evaluated in accordance with the relevant statutes, case law, and legal precedents in England and Wales. The burden would be on the prosecution to prove Carla's guilt beyond a reasonable doubt, demonstrating that she committed the alleged offenses with the requisite level of intent or recklessness. </w:t>
      </w:r>
    </w:p>
    <w:p w14:paraId="1B337103" w14:textId="77777777" w:rsidR="00404D1B" w:rsidRDefault="00404D1B">
      <w:pPr>
        <w:rPr>
          <w:rFonts w:ascii="Abadi" w:hAnsi="Abadi" w:cs="Arial"/>
          <w:color w:val="000000" w:themeColor="text1"/>
          <w:sz w:val="24"/>
          <w:szCs w:val="24"/>
          <w:shd w:val="clear" w:color="auto" w:fill="FFFFFF"/>
        </w:rPr>
      </w:pPr>
    </w:p>
    <w:p w14:paraId="08274A4C" w14:textId="577A73FA" w:rsidR="00404D1B" w:rsidRDefault="006518E0">
      <w:pPr>
        <w:rPr>
          <w:rFonts w:ascii="Abadi" w:hAnsi="Abadi" w:cs="Arial"/>
          <w:color w:val="000000" w:themeColor="text1"/>
          <w:sz w:val="24"/>
          <w:szCs w:val="24"/>
          <w:shd w:val="clear" w:color="auto" w:fill="FFFFFF"/>
        </w:rPr>
      </w:pPr>
      <w:r>
        <w:rPr>
          <w:rFonts w:ascii="Abadi" w:hAnsi="Abadi" w:cs="Arial"/>
          <w:color w:val="000000" w:themeColor="text1"/>
          <w:sz w:val="24"/>
          <w:szCs w:val="24"/>
          <w:shd w:val="clear" w:color="auto" w:fill="FFFFFF"/>
        </w:rPr>
        <w:t>I have attempted to locate a comparable case law</w:t>
      </w:r>
      <w:r w:rsidR="008957C7">
        <w:rPr>
          <w:rFonts w:ascii="Abadi" w:hAnsi="Abadi" w:cs="Arial"/>
          <w:color w:val="000000" w:themeColor="text1"/>
          <w:sz w:val="24"/>
          <w:szCs w:val="24"/>
          <w:shd w:val="clear" w:color="auto" w:fill="FFFFFF"/>
        </w:rPr>
        <w:t>; however</w:t>
      </w:r>
      <w:r w:rsidR="008548F8">
        <w:rPr>
          <w:rFonts w:ascii="Abadi" w:hAnsi="Abadi" w:cs="Arial"/>
          <w:color w:val="000000" w:themeColor="text1"/>
          <w:sz w:val="24"/>
          <w:szCs w:val="24"/>
          <w:shd w:val="clear" w:color="auto" w:fill="FFFFFF"/>
        </w:rPr>
        <w:t xml:space="preserve">, </w:t>
      </w:r>
      <w:r w:rsidR="003B08B0">
        <w:rPr>
          <w:rFonts w:ascii="Abadi" w:hAnsi="Abadi" w:cs="Arial"/>
          <w:color w:val="000000" w:themeColor="text1"/>
          <w:sz w:val="24"/>
          <w:szCs w:val="24"/>
          <w:shd w:val="clear" w:color="auto" w:fill="FFFFFF"/>
        </w:rPr>
        <w:t xml:space="preserve">I was unable </w:t>
      </w:r>
      <w:r w:rsidR="008A1652">
        <w:rPr>
          <w:rFonts w:ascii="Abadi" w:hAnsi="Abadi" w:cs="Arial"/>
          <w:color w:val="000000" w:themeColor="text1"/>
          <w:sz w:val="24"/>
          <w:szCs w:val="24"/>
          <w:shd w:val="clear" w:color="auto" w:fill="FFFFFF"/>
        </w:rPr>
        <w:t xml:space="preserve">to obtain the case number. Without </w:t>
      </w:r>
      <w:r w:rsidR="00743AD9">
        <w:rPr>
          <w:rFonts w:ascii="Abadi" w:hAnsi="Abadi" w:cs="Arial"/>
          <w:color w:val="000000" w:themeColor="text1"/>
          <w:sz w:val="24"/>
          <w:szCs w:val="24"/>
          <w:shd w:val="clear" w:color="auto" w:fill="FFFFFF"/>
        </w:rPr>
        <w:t xml:space="preserve">the case number, I am unable to make a reference to it, and </w:t>
      </w:r>
      <w:r w:rsidR="00D14DD8">
        <w:rPr>
          <w:rFonts w:ascii="Abadi" w:hAnsi="Abadi" w:cs="Arial"/>
          <w:color w:val="000000" w:themeColor="text1"/>
          <w:sz w:val="24"/>
          <w:szCs w:val="24"/>
          <w:shd w:val="clear" w:color="auto" w:fill="FFFFFF"/>
        </w:rPr>
        <w:t>consequently, I have refrained from further use.</w:t>
      </w:r>
      <w:r w:rsidR="006249EC">
        <w:rPr>
          <w:rFonts w:ascii="Abadi" w:hAnsi="Abadi" w:cs="Arial"/>
          <w:color w:val="000000" w:themeColor="text1"/>
          <w:sz w:val="24"/>
          <w:szCs w:val="24"/>
          <w:shd w:val="clear" w:color="auto" w:fill="FFFFFF"/>
        </w:rPr>
        <w:t xml:space="preserve"> I will include some screensho</w:t>
      </w:r>
      <w:r w:rsidR="00147B88">
        <w:rPr>
          <w:rFonts w:ascii="Abadi" w:hAnsi="Abadi" w:cs="Arial"/>
          <w:color w:val="000000" w:themeColor="text1"/>
          <w:sz w:val="24"/>
          <w:szCs w:val="24"/>
          <w:shd w:val="clear" w:color="auto" w:fill="FFFFFF"/>
        </w:rPr>
        <w:t>t as eviden</w:t>
      </w:r>
      <w:r w:rsidR="007F3DE8">
        <w:rPr>
          <w:rFonts w:ascii="Abadi" w:hAnsi="Abadi" w:cs="Arial"/>
          <w:color w:val="000000" w:themeColor="text1"/>
          <w:sz w:val="24"/>
          <w:szCs w:val="24"/>
          <w:shd w:val="clear" w:color="auto" w:fill="FFFFFF"/>
        </w:rPr>
        <w:t xml:space="preserve">ce to substantiate my research </w:t>
      </w:r>
      <w:r w:rsidR="001A720F">
        <w:rPr>
          <w:rFonts w:ascii="Abadi" w:hAnsi="Abadi" w:cs="Arial"/>
          <w:color w:val="000000" w:themeColor="text1"/>
          <w:sz w:val="24"/>
          <w:szCs w:val="24"/>
          <w:shd w:val="clear" w:color="auto" w:fill="FFFFFF"/>
        </w:rPr>
        <w:t>efforts in seeking a comparable case law.</w:t>
      </w:r>
    </w:p>
    <w:p w14:paraId="3CBC3037" w14:textId="7EE7DDB2" w:rsidR="004172EE" w:rsidRPr="00FD6E0D" w:rsidRDefault="004172EE">
      <w:pPr>
        <w:rPr>
          <w:rFonts w:ascii="Abadi" w:hAnsi="Abadi"/>
          <w:b/>
          <w:bCs/>
          <w:color w:val="000000" w:themeColor="text1"/>
          <w:sz w:val="24"/>
          <w:szCs w:val="24"/>
          <w:shd w:val="clear" w:color="auto" w:fill="FFFFFF"/>
        </w:rPr>
      </w:pPr>
      <w:r>
        <w:rPr>
          <w:rFonts w:ascii="Abadi" w:hAnsi="Abadi"/>
          <w:b/>
          <w:bCs/>
          <w:noProof/>
          <w:color w:val="000000" w:themeColor="text1"/>
          <w:sz w:val="24"/>
          <w:szCs w:val="24"/>
          <w:shd w:val="clear" w:color="auto" w:fill="FFFFFF"/>
        </w:rPr>
        <w:drawing>
          <wp:inline distT="0" distB="0" distL="0" distR="0" wp14:anchorId="2030EF33" wp14:editId="034B22FF">
            <wp:extent cx="5731510" cy="4250690"/>
            <wp:effectExtent l="0" t="0" r="2540" b="0"/>
            <wp:docPr id="1704020402"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20402" name="Picture 3" descr="A screenshot of a social media pos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250690"/>
                    </a:xfrm>
                    <a:prstGeom prst="rect">
                      <a:avLst/>
                    </a:prstGeom>
                  </pic:spPr>
                </pic:pic>
              </a:graphicData>
            </a:graphic>
          </wp:inline>
        </w:drawing>
      </w:r>
    </w:p>
    <w:p w14:paraId="0B55708A" w14:textId="11AEC735" w:rsidR="00263B02" w:rsidRPr="00A021B8" w:rsidRDefault="003923A4">
      <w:pPr>
        <w:rPr>
          <w:rFonts w:ascii="Abadi" w:hAnsi="Abadi"/>
          <w:b/>
          <w:bCs/>
          <w:color w:val="111111"/>
          <w:sz w:val="24"/>
          <w:szCs w:val="24"/>
          <w:shd w:val="clear" w:color="auto" w:fill="FFFFFF"/>
        </w:rPr>
      </w:pPr>
      <w:r>
        <w:rPr>
          <w:rFonts w:ascii="Abadi" w:hAnsi="Abadi"/>
          <w:b/>
          <w:bCs/>
          <w:noProof/>
          <w:color w:val="111111"/>
          <w:sz w:val="24"/>
          <w:szCs w:val="24"/>
          <w:shd w:val="clear" w:color="auto" w:fill="FFFFFF"/>
        </w:rPr>
        <w:lastRenderedPageBreak/>
        <w:drawing>
          <wp:inline distT="0" distB="0" distL="0" distR="0" wp14:anchorId="791CF87E" wp14:editId="29CADFF0">
            <wp:extent cx="6195060" cy="4419600"/>
            <wp:effectExtent l="0" t="0" r="0" b="0"/>
            <wp:docPr id="182689823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98232" name="Picture 2"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195060" cy="4419600"/>
                    </a:xfrm>
                    <a:prstGeom prst="rect">
                      <a:avLst/>
                    </a:prstGeom>
                  </pic:spPr>
                </pic:pic>
              </a:graphicData>
            </a:graphic>
          </wp:inline>
        </w:drawing>
      </w:r>
    </w:p>
    <w:p w14:paraId="42D254BD" w14:textId="33C8ECB1" w:rsidR="00263B02" w:rsidRDefault="00A021B8">
      <w:pPr>
        <w:rPr>
          <w:rFonts w:ascii="Abadi" w:hAnsi="Abadi"/>
          <w:b/>
          <w:bCs/>
          <w:color w:val="111111"/>
          <w:sz w:val="24"/>
          <w:szCs w:val="24"/>
          <w:shd w:val="clear" w:color="auto" w:fill="FFFFFF"/>
        </w:rPr>
      </w:pPr>
      <w:r w:rsidRPr="00A021B8">
        <w:rPr>
          <w:rFonts w:ascii="Abadi" w:hAnsi="Abadi"/>
          <w:b/>
          <w:bCs/>
          <w:color w:val="111111"/>
          <w:sz w:val="24"/>
          <w:szCs w:val="24"/>
          <w:shd w:val="clear" w:color="auto" w:fill="FFFFFF"/>
        </w:rPr>
        <w:t>Reference List</w:t>
      </w:r>
      <w:r w:rsidR="00287109">
        <w:rPr>
          <w:rFonts w:ascii="Abadi" w:hAnsi="Abadi"/>
          <w:b/>
          <w:bCs/>
          <w:color w:val="111111"/>
          <w:sz w:val="24"/>
          <w:szCs w:val="24"/>
          <w:shd w:val="clear" w:color="auto" w:fill="FFFFFF"/>
        </w:rPr>
        <w:t>:</w:t>
      </w:r>
      <w:r w:rsidR="00CE5597">
        <w:rPr>
          <w:rFonts w:ascii="Abadi" w:hAnsi="Abadi"/>
          <w:b/>
          <w:bCs/>
          <w:color w:val="111111"/>
          <w:sz w:val="24"/>
          <w:szCs w:val="24"/>
          <w:shd w:val="clear" w:color="auto" w:fill="FFFFFF"/>
        </w:rPr>
        <w:t xml:space="preserve"> </w:t>
      </w:r>
    </w:p>
    <w:p w14:paraId="2E45BCB7" w14:textId="77777777" w:rsidR="00C62688" w:rsidRDefault="00C62688">
      <w:pPr>
        <w:rPr>
          <w:rFonts w:ascii="Abadi" w:hAnsi="Abadi"/>
          <w:b/>
          <w:bCs/>
          <w:color w:val="111111"/>
          <w:sz w:val="24"/>
          <w:szCs w:val="24"/>
          <w:shd w:val="clear" w:color="auto" w:fill="FFFFFF"/>
        </w:rPr>
      </w:pPr>
    </w:p>
    <w:p w14:paraId="3CB6C76E"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Allen, J. (1978). Assault with a Deadly Weapon. McGraw-Hill Companies.</w:t>
      </w:r>
    </w:p>
    <w:p w14:paraId="4B0D9BA1"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 xml:space="preserve">Archives, T.N. (n.d.). The National Archives - Homepage. [online] The National Archives. Available at: </w:t>
      </w:r>
      <w:hyperlink r:id="rId9" w:history="1">
        <w:r w:rsidRPr="00CB7E37">
          <w:rPr>
            <w:rStyle w:val="Hyperlink"/>
            <w:rFonts w:ascii="Abadi" w:hAnsi="Abadi" w:cs="Calibri"/>
            <w:sz w:val="24"/>
            <w:szCs w:val="24"/>
            <w:shd w:val="clear" w:color="auto" w:fill="FEF1C4"/>
          </w:rPr>
          <w:t>https://www.nationalarchives.gov.uk/help-with-your-research/research-guides/criminal-court-cases-crown-court-since-1972/</w:t>
        </w:r>
      </w:hyperlink>
      <w:r w:rsidRPr="00B16525">
        <w:rPr>
          <w:rFonts w:ascii="Abadi" w:hAnsi="Abadi" w:cs="Calibri"/>
          <w:color w:val="000000" w:themeColor="text1"/>
          <w:sz w:val="24"/>
          <w:szCs w:val="24"/>
          <w:shd w:val="clear" w:color="auto" w:fill="FEF1C4"/>
        </w:rPr>
        <w:t>.</w:t>
      </w:r>
    </w:p>
    <w:p w14:paraId="64185311" w14:textId="27E97A6D" w:rsidR="00A94132"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Accessed [</w:t>
      </w:r>
      <w:r w:rsidR="005B702B">
        <w:rPr>
          <w:rFonts w:ascii="Abadi" w:hAnsi="Abadi" w:cs="Calibri"/>
          <w:color w:val="000000" w:themeColor="text1"/>
          <w:sz w:val="24"/>
          <w:szCs w:val="24"/>
          <w:shd w:val="clear" w:color="auto" w:fill="FEF1C4"/>
        </w:rPr>
        <w:t>Marc 15,</w:t>
      </w:r>
      <w:r w:rsidRPr="00B16525">
        <w:rPr>
          <w:rFonts w:ascii="Abadi" w:hAnsi="Abadi" w:cs="Calibri"/>
          <w:color w:val="000000" w:themeColor="text1"/>
          <w:sz w:val="24"/>
          <w:szCs w:val="24"/>
          <w:shd w:val="clear" w:color="auto" w:fill="FEF1C4"/>
        </w:rPr>
        <w:t>2024</w:t>
      </w:r>
      <w:r w:rsidR="005B702B">
        <w:rPr>
          <w:rFonts w:ascii="Abadi" w:hAnsi="Abadi" w:cs="Calibri"/>
          <w:color w:val="000000" w:themeColor="text1"/>
          <w:sz w:val="24"/>
          <w:szCs w:val="24"/>
          <w:shd w:val="clear" w:color="auto" w:fill="FEF1C4"/>
        </w:rPr>
        <w:t>]</w:t>
      </w:r>
    </w:p>
    <w:p w14:paraId="7630BDCA" w14:textId="77777777" w:rsidR="00C62688" w:rsidRDefault="005B702B" w:rsidP="00A94132">
      <w:pPr>
        <w:rPr>
          <w:rFonts w:ascii="Abadi" w:hAnsi="Abadi" w:cs="Arial"/>
          <w:color w:val="000000" w:themeColor="text1"/>
          <w:sz w:val="24"/>
          <w:szCs w:val="24"/>
          <w:shd w:val="clear" w:color="auto" w:fill="FFFFFF"/>
        </w:rPr>
      </w:pPr>
      <w:r w:rsidRPr="003457ED">
        <w:rPr>
          <w:rFonts w:ascii="Abadi" w:hAnsi="Abadi" w:cs="Arial"/>
          <w:color w:val="000000" w:themeColor="text1"/>
          <w:sz w:val="24"/>
          <w:szCs w:val="24"/>
          <w:shd w:val="clear" w:color="auto" w:fill="FFFFFF"/>
        </w:rPr>
        <w:t>Ashworth, A., &amp; Horder, J. (2019). *Principles of Criminal Law*. Oxford University Press.</w:t>
      </w:r>
      <w:r w:rsidRPr="003158C5">
        <w:rPr>
          <w:rFonts w:ascii="Abadi" w:hAnsi="Abadi" w:cs="Arial"/>
          <w:color w:val="222222"/>
          <w:sz w:val="24"/>
          <w:szCs w:val="24"/>
          <w:shd w:val="clear" w:color="auto" w:fill="FFFFFF"/>
        </w:rPr>
        <w:t xml:space="preserve"> </w:t>
      </w:r>
    </w:p>
    <w:p w14:paraId="14379C61" w14:textId="77777777" w:rsidR="00A94132"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Chawla, M. (2006). Criminal Attempt and Punishment. Deep and Deep Publications.</w:t>
      </w:r>
    </w:p>
    <w:p w14:paraId="2A909846" w14:textId="77777777" w:rsidR="00C62688" w:rsidRPr="003158C5" w:rsidRDefault="00C62688" w:rsidP="00C62688">
      <w:pPr>
        <w:rPr>
          <w:rFonts w:ascii="Abadi" w:hAnsi="Abadi" w:cs="Arial"/>
          <w:color w:val="222222"/>
          <w:sz w:val="24"/>
          <w:szCs w:val="24"/>
          <w:shd w:val="clear" w:color="auto" w:fill="FFFFFF"/>
        </w:rPr>
      </w:pPr>
      <w:r w:rsidRPr="003457ED">
        <w:rPr>
          <w:rFonts w:ascii="Abadi" w:hAnsi="Abadi" w:cs="Arial"/>
          <w:color w:val="000000" w:themeColor="text1"/>
          <w:sz w:val="24"/>
          <w:szCs w:val="24"/>
          <w:shd w:val="clear" w:color="auto" w:fill="FFFFFF"/>
        </w:rPr>
        <w:t xml:space="preserve">Crown Prosecution Service. (n.d.). *Charging Standards - Attempted Murder*. [Online]. Available at: </w:t>
      </w:r>
      <w:r w:rsidRPr="003158C5">
        <w:rPr>
          <w:rFonts w:ascii="Abadi" w:hAnsi="Abadi" w:cs="Arial"/>
          <w:color w:val="222222"/>
          <w:sz w:val="24"/>
          <w:szCs w:val="24"/>
          <w:shd w:val="clear" w:color="auto" w:fill="FFFFFF"/>
        </w:rPr>
        <w:t>[</w:t>
      </w:r>
      <w:hyperlink r:id="rId10" w:tgtFrame="_blank" w:history="1">
        <w:r w:rsidRPr="003158C5">
          <w:rPr>
            <w:rStyle w:val="Hyperlink"/>
            <w:rFonts w:ascii="Abadi" w:hAnsi="Abadi" w:cs="Arial"/>
            <w:color w:val="1155CC"/>
            <w:sz w:val="24"/>
            <w:szCs w:val="24"/>
            <w:shd w:val="clear" w:color="auto" w:fill="FFFFFF"/>
          </w:rPr>
          <w:t>https://www.cps.gov.uk/legal-guidance/attempted-murder](https://www.cps.gov.uk/legal-guidance/attempted-murder)</w:t>
        </w:r>
      </w:hyperlink>
      <w:r w:rsidRPr="003158C5">
        <w:rPr>
          <w:rFonts w:ascii="Abadi" w:hAnsi="Abadi" w:cs="Arial"/>
          <w:color w:val="222222"/>
          <w:sz w:val="24"/>
          <w:szCs w:val="24"/>
          <w:shd w:val="clear" w:color="auto" w:fill="FFFFFF"/>
        </w:rPr>
        <w:t> </w:t>
      </w:r>
    </w:p>
    <w:p w14:paraId="674704D0" w14:textId="2828D7EA" w:rsidR="00C62688" w:rsidRPr="00B16525" w:rsidRDefault="00C62688" w:rsidP="00A94132">
      <w:pPr>
        <w:rPr>
          <w:rFonts w:ascii="Abadi" w:hAnsi="Abadi" w:cs="Calibri"/>
          <w:color w:val="000000" w:themeColor="text1"/>
          <w:sz w:val="24"/>
          <w:szCs w:val="24"/>
          <w:shd w:val="clear" w:color="auto" w:fill="FEF1C4"/>
        </w:rPr>
      </w:pPr>
      <w:r w:rsidRPr="003158C5">
        <w:rPr>
          <w:rFonts w:ascii="Abadi" w:hAnsi="Abadi" w:cs="Arial"/>
          <w:color w:val="000000" w:themeColor="text1"/>
          <w:sz w:val="24"/>
          <w:szCs w:val="24"/>
          <w:shd w:val="clear" w:color="auto" w:fill="FFFFFF"/>
        </w:rPr>
        <w:t>Accessed: [March 15, 2024]</w:t>
      </w:r>
    </w:p>
    <w:p w14:paraId="3476E99D" w14:textId="77777777" w:rsidR="00A94132"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Herring, J. (2019). Criminal law. London: Red Globe Press.</w:t>
      </w:r>
    </w:p>
    <w:p w14:paraId="0BEE89ED" w14:textId="1D49D439" w:rsidR="00ED097E" w:rsidRDefault="00ED097E" w:rsidP="00A94132">
      <w:pPr>
        <w:rPr>
          <w:rFonts w:ascii="Abadi" w:hAnsi="Abadi" w:cs="Arial"/>
          <w:color w:val="222222"/>
          <w:sz w:val="24"/>
          <w:szCs w:val="24"/>
          <w:shd w:val="clear" w:color="auto" w:fill="FFFFFF"/>
        </w:rPr>
      </w:pPr>
      <w:r w:rsidRPr="003158C5">
        <w:rPr>
          <w:rFonts w:ascii="Abadi" w:hAnsi="Abadi" w:cs="Arial"/>
          <w:color w:val="000000" w:themeColor="text1"/>
          <w:sz w:val="24"/>
          <w:szCs w:val="24"/>
          <w:shd w:val="clear" w:color="auto" w:fill="FFFFFF"/>
        </w:rPr>
        <w:t>Herring, J. (2019). *Criminal Law: Text, Cases, and Materials*. Oxford University Press</w:t>
      </w:r>
      <w:r w:rsidR="003158C5">
        <w:rPr>
          <w:rFonts w:ascii="Abadi" w:hAnsi="Abadi" w:cs="Arial"/>
          <w:color w:val="222222"/>
          <w:sz w:val="24"/>
          <w:szCs w:val="24"/>
          <w:shd w:val="clear" w:color="auto" w:fill="FFFFFF"/>
        </w:rPr>
        <w:t>.</w:t>
      </w:r>
      <w:r w:rsidRPr="003158C5">
        <w:rPr>
          <w:rFonts w:ascii="Abadi" w:hAnsi="Abadi" w:cs="Arial"/>
          <w:color w:val="222222"/>
          <w:sz w:val="24"/>
          <w:szCs w:val="24"/>
          <w:shd w:val="clear" w:color="auto" w:fill="FFFFFF"/>
        </w:rPr>
        <w:t xml:space="preserve"> </w:t>
      </w:r>
    </w:p>
    <w:p w14:paraId="27AF9937" w14:textId="77777777" w:rsidR="009B06AB" w:rsidRDefault="009B06AB" w:rsidP="00A94132">
      <w:pPr>
        <w:rPr>
          <w:rFonts w:ascii="Abadi" w:hAnsi="Abadi" w:cs="Arial"/>
          <w:color w:val="222222"/>
          <w:sz w:val="24"/>
          <w:szCs w:val="24"/>
          <w:shd w:val="clear" w:color="auto" w:fill="FFFFFF"/>
        </w:rPr>
      </w:pPr>
      <w:r w:rsidRPr="009B06AB">
        <w:rPr>
          <w:rFonts w:ascii="Abadi" w:hAnsi="Abadi" w:cs="Arial"/>
          <w:color w:val="000000" w:themeColor="text1"/>
          <w:sz w:val="24"/>
          <w:szCs w:val="24"/>
          <w:shd w:val="clear" w:color="auto" w:fill="FFFFFF"/>
        </w:rPr>
        <w:lastRenderedPageBreak/>
        <w:t>Offences against the Person Act 1861, c. 100. </w:t>
      </w:r>
      <w:hyperlink r:id="rId11" w:tgtFrame="_blank" w:history="1">
        <w:r w:rsidRPr="009B06AB">
          <w:rPr>
            <w:rStyle w:val="Hyperlink"/>
            <w:rFonts w:ascii="Abadi" w:hAnsi="Abadi" w:cs="Arial"/>
            <w:color w:val="1155CC"/>
            <w:sz w:val="24"/>
            <w:szCs w:val="24"/>
            <w:shd w:val="clear" w:color="auto" w:fill="FFFFFF"/>
          </w:rPr>
          <w:t>Legislation.gov.uk</w:t>
        </w:r>
      </w:hyperlink>
      <w:r w:rsidRPr="009B06AB">
        <w:rPr>
          <w:rFonts w:ascii="Abadi" w:hAnsi="Abadi" w:cs="Arial"/>
          <w:color w:val="222222"/>
          <w:sz w:val="24"/>
          <w:szCs w:val="24"/>
          <w:shd w:val="clear" w:color="auto" w:fill="FFFFFF"/>
        </w:rPr>
        <w:t>. [</w:t>
      </w:r>
      <w:r w:rsidRPr="009B06AB">
        <w:rPr>
          <w:rFonts w:ascii="Abadi" w:hAnsi="Abadi" w:cs="Arial"/>
          <w:color w:val="000000" w:themeColor="text1"/>
          <w:sz w:val="24"/>
          <w:szCs w:val="24"/>
          <w:shd w:val="clear" w:color="auto" w:fill="FFFFFF"/>
        </w:rPr>
        <w:t xml:space="preserve">Online]. Available at: </w:t>
      </w:r>
      <w:r w:rsidRPr="009B06AB">
        <w:rPr>
          <w:rFonts w:ascii="Abadi" w:hAnsi="Abadi" w:cs="Arial"/>
          <w:color w:val="222222"/>
          <w:sz w:val="24"/>
          <w:szCs w:val="24"/>
          <w:shd w:val="clear" w:color="auto" w:fill="FFFFFF"/>
        </w:rPr>
        <w:t>[</w:t>
      </w:r>
      <w:hyperlink r:id="rId12" w:tgtFrame="_blank" w:history="1">
        <w:r w:rsidRPr="009B06AB">
          <w:rPr>
            <w:rStyle w:val="Hyperlink"/>
            <w:rFonts w:ascii="Abadi" w:hAnsi="Abadi" w:cs="Arial"/>
            <w:color w:val="1155CC"/>
            <w:sz w:val="24"/>
            <w:szCs w:val="24"/>
            <w:shd w:val="clear" w:color="auto" w:fill="FFFFFF"/>
          </w:rPr>
          <w:t>https://www.legislation.gov.uk/ukpga/Vict/24-25/100/contents](https://www.legislation.gov.uk/ukpga/Vict/24-25/100/contents)</w:t>
        </w:r>
      </w:hyperlink>
      <w:r w:rsidRPr="009B06AB">
        <w:rPr>
          <w:rFonts w:ascii="Abadi" w:hAnsi="Abadi" w:cs="Arial"/>
          <w:color w:val="222222"/>
          <w:sz w:val="24"/>
          <w:szCs w:val="24"/>
          <w:shd w:val="clear" w:color="auto" w:fill="FFFFFF"/>
        </w:rPr>
        <w:t> </w:t>
      </w:r>
    </w:p>
    <w:p w14:paraId="7C05AB96" w14:textId="4642B45F" w:rsidR="009B06AB" w:rsidRPr="009B06AB" w:rsidRDefault="009B06AB" w:rsidP="00A94132">
      <w:pPr>
        <w:rPr>
          <w:rFonts w:ascii="Abadi" w:hAnsi="Abadi" w:cs="Arial"/>
          <w:color w:val="222222"/>
          <w:sz w:val="24"/>
          <w:szCs w:val="24"/>
          <w:shd w:val="clear" w:color="auto" w:fill="FFFFFF"/>
        </w:rPr>
      </w:pPr>
      <w:r w:rsidRPr="009B06AB">
        <w:rPr>
          <w:rFonts w:ascii="Abadi" w:hAnsi="Abadi" w:cs="Arial"/>
          <w:color w:val="000000" w:themeColor="text1"/>
          <w:sz w:val="24"/>
          <w:szCs w:val="24"/>
          <w:shd w:val="clear" w:color="auto" w:fill="FFFFFF"/>
        </w:rPr>
        <w:t xml:space="preserve">Accessed: </w:t>
      </w:r>
      <w:r>
        <w:rPr>
          <w:rFonts w:ascii="Abadi" w:hAnsi="Abadi" w:cs="Arial"/>
          <w:color w:val="000000" w:themeColor="text1"/>
          <w:sz w:val="24"/>
          <w:szCs w:val="24"/>
          <w:shd w:val="clear" w:color="auto" w:fill="FFFFFF"/>
        </w:rPr>
        <w:t>[</w:t>
      </w:r>
      <w:r w:rsidRPr="009B06AB">
        <w:rPr>
          <w:rFonts w:ascii="Abadi" w:hAnsi="Abadi" w:cs="Arial"/>
          <w:color w:val="000000" w:themeColor="text1"/>
          <w:sz w:val="24"/>
          <w:szCs w:val="24"/>
          <w:shd w:val="clear" w:color="auto" w:fill="FFFFFF"/>
        </w:rPr>
        <w:t>March 15, 2024</w:t>
      </w:r>
      <w:r>
        <w:rPr>
          <w:rFonts w:ascii="Abadi" w:hAnsi="Abadi" w:cs="Arial"/>
          <w:color w:val="000000" w:themeColor="text1"/>
          <w:sz w:val="24"/>
          <w:szCs w:val="24"/>
          <w:shd w:val="clear" w:color="auto" w:fill="FFFFFF"/>
        </w:rPr>
        <w:t>]</w:t>
      </w:r>
    </w:p>
    <w:p w14:paraId="50ED049A" w14:textId="77777777" w:rsidR="00A94132" w:rsidRPr="00B16525" w:rsidRDefault="00A94132" w:rsidP="00A94132">
      <w:pPr>
        <w:pStyle w:val="NormalWeb"/>
        <w:shd w:val="clear" w:color="auto" w:fill="FEF1C4"/>
        <w:spacing w:before="0" w:beforeAutospacing="0" w:after="0" w:afterAutospacing="0" w:line="360" w:lineRule="atLeast"/>
        <w:rPr>
          <w:rFonts w:ascii="Abadi" w:hAnsi="Abadi" w:cs="Calibri"/>
          <w:color w:val="000000" w:themeColor="text1"/>
        </w:rPr>
      </w:pPr>
      <w:r w:rsidRPr="00B16525">
        <w:rPr>
          <w:rFonts w:ascii="Abadi" w:hAnsi="Abadi" w:cs="Calibri"/>
          <w:color w:val="000000" w:themeColor="text1"/>
        </w:rPr>
        <w:t>Wilson, M. (2009). Domestic violence. Detroit: Greenhaven Press.</w:t>
      </w:r>
    </w:p>
    <w:p w14:paraId="2FD6563F" w14:textId="77777777" w:rsidR="00A94132" w:rsidRPr="00B16525" w:rsidRDefault="00A94132" w:rsidP="00A94132">
      <w:pPr>
        <w:pStyle w:val="NormalWeb"/>
        <w:shd w:val="clear" w:color="auto" w:fill="FEF1C4"/>
        <w:spacing w:before="0" w:beforeAutospacing="0" w:after="0" w:afterAutospacing="0" w:line="360" w:lineRule="atLeast"/>
        <w:rPr>
          <w:rFonts w:ascii="Abadi" w:hAnsi="Abadi" w:cs="Calibri"/>
          <w:color w:val="000000" w:themeColor="text1"/>
        </w:rPr>
      </w:pPr>
    </w:p>
    <w:p w14:paraId="4CB7819B"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www.cps.gov.uk. (n.d.). Honour Based Violence and Forced Marriage: Guidance on Identifying and Flagging cases | The Crown Prosecution Service. [online] Available at:</w:t>
      </w:r>
      <w:r>
        <w:rPr>
          <w:rFonts w:ascii="Abadi" w:hAnsi="Abadi" w:cs="Calibri"/>
          <w:color w:val="000000" w:themeColor="text1"/>
          <w:sz w:val="24"/>
          <w:szCs w:val="24"/>
          <w:shd w:val="clear" w:color="auto" w:fill="FEF1C4"/>
        </w:rPr>
        <w:t xml:space="preserve"> </w:t>
      </w:r>
      <w:hyperlink r:id="rId13" w:history="1">
        <w:r w:rsidRPr="00CB7E37">
          <w:rPr>
            <w:rStyle w:val="Hyperlink"/>
            <w:rFonts w:ascii="Abadi" w:hAnsi="Abadi" w:cs="Calibri"/>
            <w:sz w:val="24"/>
            <w:szCs w:val="24"/>
            <w:shd w:val="clear" w:color="auto" w:fill="FEF1C4"/>
          </w:rPr>
          <w:t>https://www.cps.gov.uk/publication/honour-based-violence-and-forced-marriage-guidance-identifying-and-flagging-cases</w:t>
        </w:r>
      </w:hyperlink>
      <w:r w:rsidRPr="00B16525">
        <w:rPr>
          <w:rFonts w:ascii="Abadi" w:hAnsi="Abadi" w:cs="Calibri"/>
          <w:color w:val="000000" w:themeColor="text1"/>
          <w:sz w:val="24"/>
          <w:szCs w:val="24"/>
          <w:shd w:val="clear" w:color="auto" w:fill="FEF1C4"/>
        </w:rPr>
        <w:t>.</w:t>
      </w:r>
    </w:p>
    <w:p w14:paraId="36F40587" w14:textId="685B67AB" w:rsidR="00A94132"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Accessed [</w:t>
      </w:r>
      <w:r w:rsidR="00323102">
        <w:rPr>
          <w:rFonts w:ascii="Abadi" w:hAnsi="Abadi" w:cs="Calibri"/>
          <w:color w:val="000000" w:themeColor="text1"/>
          <w:sz w:val="24"/>
          <w:szCs w:val="24"/>
          <w:shd w:val="clear" w:color="auto" w:fill="FEF1C4"/>
        </w:rPr>
        <w:t xml:space="preserve">March 15, </w:t>
      </w:r>
      <w:r w:rsidRPr="00B16525">
        <w:rPr>
          <w:rFonts w:ascii="Abadi" w:hAnsi="Abadi" w:cs="Calibri"/>
          <w:color w:val="000000" w:themeColor="text1"/>
          <w:sz w:val="24"/>
          <w:szCs w:val="24"/>
          <w:shd w:val="clear" w:color="auto" w:fill="FEF1C4"/>
        </w:rPr>
        <w:t>2024]</w:t>
      </w:r>
    </w:p>
    <w:p w14:paraId="14C4C9E6" w14:textId="77777777" w:rsidR="00773203" w:rsidRDefault="00773203" w:rsidP="00773203">
      <w:pPr>
        <w:rPr>
          <w:rFonts w:ascii="Abadi" w:hAnsi="Abadi" w:cs="Arial"/>
          <w:color w:val="222222"/>
          <w:sz w:val="24"/>
          <w:szCs w:val="24"/>
          <w:shd w:val="clear" w:color="auto" w:fill="FFFFFF"/>
        </w:rPr>
      </w:pPr>
      <w:r w:rsidRPr="00D73D75">
        <w:rPr>
          <w:rFonts w:ascii="Abadi" w:hAnsi="Abadi" w:cs="Arial"/>
          <w:color w:val="000000" w:themeColor="text1"/>
          <w:sz w:val="24"/>
          <w:szCs w:val="24"/>
          <w:shd w:val="clear" w:color="auto" w:fill="FFFFFF"/>
        </w:rPr>
        <w:t xml:space="preserve">Sentencing Council. (2020). *The Definitive Guideline for Attempted Murder*. [Online]. Available at: </w:t>
      </w:r>
      <w:r w:rsidRPr="00D73D75">
        <w:rPr>
          <w:rFonts w:ascii="Abadi" w:hAnsi="Abadi" w:cs="Arial"/>
          <w:color w:val="222222"/>
          <w:sz w:val="24"/>
          <w:szCs w:val="24"/>
          <w:shd w:val="clear" w:color="auto" w:fill="FFFFFF"/>
        </w:rPr>
        <w:t>[</w:t>
      </w:r>
      <w:hyperlink r:id="rId14" w:tgtFrame="_blank" w:history="1">
        <w:r w:rsidRPr="00D73D75">
          <w:rPr>
            <w:rStyle w:val="Hyperlink"/>
            <w:rFonts w:ascii="Abadi" w:hAnsi="Abadi" w:cs="Arial"/>
            <w:color w:val="1155CC"/>
            <w:sz w:val="24"/>
            <w:szCs w:val="24"/>
            <w:shd w:val="clear" w:color="auto" w:fill="FFFFFF"/>
          </w:rPr>
          <w:t>https://www.sentencingcouncil.org.uk/wp-content/uploads/Definitive-sentencing-guideline-Attempted-Murder.pdf](https://www.sentencingcouncil.org.uk/wp-content/uploads/Definitive-sentencing-guideline-Attempted-Murder.pdf)</w:t>
        </w:r>
      </w:hyperlink>
      <w:r w:rsidRPr="00D73D75">
        <w:rPr>
          <w:rFonts w:ascii="Abadi" w:hAnsi="Abadi" w:cs="Arial"/>
          <w:color w:val="222222"/>
          <w:sz w:val="24"/>
          <w:szCs w:val="24"/>
          <w:shd w:val="clear" w:color="auto" w:fill="FFFFFF"/>
        </w:rPr>
        <w:t> </w:t>
      </w:r>
    </w:p>
    <w:p w14:paraId="2FEC3BF4" w14:textId="68506AD9" w:rsidR="00773203" w:rsidRPr="00773203" w:rsidRDefault="00773203" w:rsidP="00A94132">
      <w:pPr>
        <w:rPr>
          <w:rFonts w:ascii="Abadi" w:hAnsi="Abadi"/>
          <w:b/>
          <w:bCs/>
          <w:color w:val="000000" w:themeColor="text1"/>
          <w:sz w:val="24"/>
          <w:szCs w:val="24"/>
          <w:shd w:val="clear" w:color="auto" w:fill="FFFFFF"/>
        </w:rPr>
      </w:pPr>
      <w:r w:rsidRPr="00D73D75">
        <w:rPr>
          <w:rFonts w:ascii="Abadi" w:hAnsi="Abadi" w:cs="Arial"/>
          <w:color w:val="000000" w:themeColor="text1"/>
          <w:sz w:val="24"/>
          <w:szCs w:val="24"/>
          <w:shd w:val="clear" w:color="auto" w:fill="FFFFFF"/>
        </w:rPr>
        <w:t xml:space="preserve">Accessed: </w:t>
      </w:r>
      <w:r>
        <w:rPr>
          <w:rFonts w:ascii="Abadi" w:hAnsi="Abadi" w:cs="Arial"/>
          <w:color w:val="000000" w:themeColor="text1"/>
          <w:sz w:val="24"/>
          <w:szCs w:val="24"/>
          <w:shd w:val="clear" w:color="auto" w:fill="FFFFFF"/>
        </w:rPr>
        <w:t>[</w:t>
      </w:r>
      <w:r w:rsidRPr="00D73D75">
        <w:rPr>
          <w:rFonts w:ascii="Abadi" w:hAnsi="Abadi" w:cs="Arial"/>
          <w:color w:val="000000" w:themeColor="text1"/>
          <w:sz w:val="24"/>
          <w:szCs w:val="24"/>
          <w:shd w:val="clear" w:color="auto" w:fill="FFFFFF"/>
        </w:rPr>
        <w:t>March 15, 2024</w:t>
      </w:r>
      <w:r>
        <w:rPr>
          <w:rFonts w:ascii="Abadi" w:hAnsi="Abadi" w:cs="Arial"/>
          <w:color w:val="000000" w:themeColor="text1"/>
          <w:sz w:val="24"/>
          <w:szCs w:val="24"/>
          <w:shd w:val="clear" w:color="auto" w:fill="FFFFFF"/>
        </w:rPr>
        <w:t>]</w:t>
      </w:r>
    </w:p>
    <w:p w14:paraId="4A84ED4D"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Shouse Law Group - Criminal, Immigration, Injury &amp; Employment Lawyers. (2020). Penal Code § 245(a)(1) PC – Assault with a Deadly Weapon - Shouse Law Group. [online] Available at:</w:t>
      </w:r>
      <w:r>
        <w:rPr>
          <w:rFonts w:ascii="Abadi" w:hAnsi="Abadi" w:cs="Calibri"/>
          <w:color w:val="000000" w:themeColor="text1"/>
          <w:sz w:val="24"/>
          <w:szCs w:val="24"/>
          <w:shd w:val="clear" w:color="auto" w:fill="FEF1C4"/>
        </w:rPr>
        <w:t xml:space="preserve"> </w:t>
      </w:r>
      <w:hyperlink r:id="rId15" w:anchor=":~:text=Penal%20Code%20%C2%A7%20245%20%28a%29%20%281%29%20PC%20%28assault" w:history="1">
        <w:r w:rsidRPr="00CB7E37">
          <w:rPr>
            <w:rStyle w:val="Hyperlink"/>
            <w:rFonts w:ascii="Abadi" w:hAnsi="Abadi" w:cs="Calibri"/>
            <w:sz w:val="24"/>
            <w:szCs w:val="24"/>
            <w:shd w:val="clear" w:color="auto" w:fill="FEF1C4"/>
          </w:rPr>
          <w:t>https://www.shouselaw.com/ca/defense/penal-code/245a1/#:~:text=Penal%20Code%20%C2%A7%20245%20%28a%29%20%281%29%20PC%20%28assault</w:t>
        </w:r>
      </w:hyperlink>
      <w:r w:rsidRPr="00B16525">
        <w:rPr>
          <w:rFonts w:ascii="Abadi" w:hAnsi="Abadi" w:cs="Calibri"/>
          <w:color w:val="000000" w:themeColor="text1"/>
          <w:sz w:val="24"/>
          <w:szCs w:val="24"/>
          <w:shd w:val="clear" w:color="auto" w:fill="FEF1C4"/>
        </w:rPr>
        <w:t xml:space="preserve"> </w:t>
      </w:r>
    </w:p>
    <w:p w14:paraId="689073F8" w14:textId="4BD2B18D" w:rsidR="00A94132"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Accessed [</w:t>
      </w:r>
      <w:r w:rsidR="00323102">
        <w:rPr>
          <w:rFonts w:ascii="Abadi" w:hAnsi="Abadi" w:cs="Calibri"/>
          <w:color w:val="000000" w:themeColor="text1"/>
          <w:sz w:val="24"/>
          <w:szCs w:val="24"/>
          <w:shd w:val="clear" w:color="auto" w:fill="FEF1C4"/>
        </w:rPr>
        <w:t xml:space="preserve">March 15, </w:t>
      </w:r>
      <w:r w:rsidRPr="00B16525">
        <w:rPr>
          <w:rFonts w:ascii="Abadi" w:hAnsi="Abadi" w:cs="Calibri"/>
          <w:color w:val="000000" w:themeColor="text1"/>
          <w:sz w:val="24"/>
          <w:szCs w:val="24"/>
          <w:shd w:val="clear" w:color="auto" w:fill="FEF1C4"/>
        </w:rPr>
        <w:t>2024]</w:t>
      </w:r>
    </w:p>
    <w:p w14:paraId="640F55B7" w14:textId="61367495" w:rsidR="00773203" w:rsidRPr="00773203" w:rsidRDefault="00773203" w:rsidP="00A94132">
      <w:pPr>
        <w:rPr>
          <w:rFonts w:ascii="Abadi" w:hAnsi="Abadi" w:cs="Arial"/>
          <w:color w:val="000000" w:themeColor="text1"/>
          <w:sz w:val="24"/>
          <w:szCs w:val="24"/>
          <w:shd w:val="clear" w:color="auto" w:fill="FFFFFF"/>
        </w:rPr>
      </w:pPr>
      <w:r w:rsidRPr="00D73D75">
        <w:rPr>
          <w:rFonts w:ascii="Abadi" w:hAnsi="Abadi" w:cs="Arial"/>
          <w:color w:val="000000" w:themeColor="text1"/>
          <w:sz w:val="24"/>
          <w:szCs w:val="24"/>
          <w:shd w:val="clear" w:color="auto" w:fill="FFFFFF"/>
        </w:rPr>
        <w:t>Smith, J. C. (2017). *Smith &amp; Hogan's Essentials of Criminal Law*. Oxford University Press.</w:t>
      </w:r>
    </w:p>
    <w:p w14:paraId="08BDD880" w14:textId="77777777"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 xml:space="preserve">Stuart Miller Solicitors. (2019). UNDERSTANDING DIFFERENT TYPES OF ASSAULT CHARGES IN ENGLISH LAW. [online] Available at: </w:t>
      </w:r>
      <w:hyperlink r:id="rId16" w:history="1">
        <w:r w:rsidRPr="00CB7E37">
          <w:rPr>
            <w:rStyle w:val="Hyperlink"/>
            <w:rFonts w:ascii="Abadi" w:hAnsi="Abadi" w:cs="Calibri"/>
            <w:sz w:val="24"/>
            <w:szCs w:val="24"/>
            <w:shd w:val="clear" w:color="auto" w:fill="FEF1C4"/>
          </w:rPr>
          <w:t>https://www.stuartmillersolicitors.co.uk/understanding-different-types-of-assault-charges-in-english-law/</w:t>
        </w:r>
      </w:hyperlink>
      <w:r w:rsidRPr="00B16525">
        <w:rPr>
          <w:rFonts w:ascii="Abadi" w:hAnsi="Abadi" w:cs="Calibri"/>
          <w:color w:val="000000" w:themeColor="text1"/>
          <w:sz w:val="24"/>
          <w:szCs w:val="24"/>
          <w:shd w:val="clear" w:color="auto" w:fill="FEF1C4"/>
        </w:rPr>
        <w:t>.</w:t>
      </w:r>
    </w:p>
    <w:p w14:paraId="76274D16" w14:textId="21B5D73B" w:rsidR="00A94132" w:rsidRPr="00B16525" w:rsidRDefault="00A94132" w:rsidP="00A94132">
      <w:pPr>
        <w:rPr>
          <w:rFonts w:ascii="Abadi" w:hAnsi="Abadi" w:cs="Calibri"/>
          <w:color w:val="000000" w:themeColor="text1"/>
          <w:sz w:val="24"/>
          <w:szCs w:val="24"/>
          <w:shd w:val="clear" w:color="auto" w:fill="FEF1C4"/>
        </w:rPr>
      </w:pPr>
      <w:r w:rsidRPr="00B16525">
        <w:rPr>
          <w:rFonts w:ascii="Abadi" w:hAnsi="Abadi" w:cs="Calibri"/>
          <w:color w:val="000000" w:themeColor="text1"/>
          <w:sz w:val="24"/>
          <w:szCs w:val="24"/>
          <w:shd w:val="clear" w:color="auto" w:fill="FEF1C4"/>
        </w:rPr>
        <w:t>Accessed [</w:t>
      </w:r>
      <w:r w:rsidR="00323102">
        <w:rPr>
          <w:rFonts w:ascii="Abadi" w:hAnsi="Abadi" w:cs="Calibri"/>
          <w:color w:val="000000" w:themeColor="text1"/>
          <w:sz w:val="24"/>
          <w:szCs w:val="24"/>
          <w:shd w:val="clear" w:color="auto" w:fill="FEF1C4"/>
        </w:rPr>
        <w:t xml:space="preserve">March 15, </w:t>
      </w:r>
      <w:r w:rsidRPr="00B16525">
        <w:rPr>
          <w:rFonts w:ascii="Abadi" w:hAnsi="Abadi" w:cs="Calibri"/>
          <w:color w:val="000000" w:themeColor="text1"/>
          <w:sz w:val="24"/>
          <w:szCs w:val="24"/>
          <w:shd w:val="clear" w:color="auto" w:fill="FEF1C4"/>
        </w:rPr>
        <w:t>2024]</w:t>
      </w:r>
    </w:p>
    <w:p w14:paraId="12D811FF" w14:textId="4BDFC9A9" w:rsidR="00287109" w:rsidRPr="00773203" w:rsidRDefault="00783BC8">
      <w:pPr>
        <w:rPr>
          <w:rFonts w:ascii="Abadi" w:hAnsi="Abadi" w:cs="Calibri"/>
          <w:color w:val="000000" w:themeColor="text1"/>
          <w:sz w:val="24"/>
          <w:szCs w:val="24"/>
          <w:shd w:val="clear" w:color="auto" w:fill="FEF1C4"/>
        </w:rPr>
      </w:pPr>
      <w:r w:rsidRPr="00783BC8">
        <w:rPr>
          <w:rFonts w:ascii="Abadi" w:hAnsi="Abadi" w:cs="Calibri"/>
          <w:color w:val="000000" w:themeColor="text1"/>
          <w:sz w:val="24"/>
          <w:szCs w:val="24"/>
          <w:shd w:val="clear" w:color="auto" w:fill="FEF1C4"/>
        </w:rPr>
        <w:t>The (2020). </w:t>
      </w:r>
      <w:r w:rsidRPr="00783BC8">
        <w:rPr>
          <w:rFonts w:ascii="Abadi" w:hAnsi="Abadi" w:cs="Calibri"/>
          <w:i/>
          <w:iCs/>
          <w:color w:val="000000" w:themeColor="text1"/>
          <w:sz w:val="24"/>
          <w:szCs w:val="24"/>
          <w:shd w:val="clear" w:color="auto" w:fill="FEF1C4"/>
        </w:rPr>
        <w:t>The Offences against the Person Act 1861</w:t>
      </w:r>
      <w:r w:rsidRPr="00783BC8">
        <w:rPr>
          <w:rFonts w:ascii="Abadi" w:hAnsi="Abadi" w:cs="Calibri"/>
          <w:color w:val="000000" w:themeColor="text1"/>
          <w:sz w:val="24"/>
          <w:szCs w:val="24"/>
          <w:shd w:val="clear" w:color="auto" w:fill="FEF1C4"/>
        </w:rPr>
        <w:t>. Good Press.</w:t>
      </w:r>
    </w:p>
    <w:p w14:paraId="15477BD4" w14:textId="73393A19" w:rsidR="009D57A8" w:rsidRPr="00287109" w:rsidRDefault="009D57A8">
      <w:pPr>
        <w:rPr>
          <w:rFonts w:ascii="Abadi" w:hAnsi="Abadi"/>
          <w:sz w:val="24"/>
          <w:szCs w:val="24"/>
        </w:rPr>
      </w:pPr>
    </w:p>
    <w:p w14:paraId="773C70A1" w14:textId="77777777" w:rsidR="004225CA" w:rsidRDefault="004225CA">
      <w:pPr>
        <w:rPr>
          <w:rFonts w:ascii="Abadi" w:hAnsi="Abadi"/>
          <w:sz w:val="24"/>
          <w:szCs w:val="24"/>
        </w:rPr>
      </w:pPr>
    </w:p>
    <w:p w14:paraId="12A69ABF" w14:textId="088979C0" w:rsidR="00AD1F58" w:rsidRDefault="00AD1F58">
      <w:pPr>
        <w:rPr>
          <w:rFonts w:ascii="Abadi" w:hAnsi="Abadi"/>
          <w:sz w:val="24"/>
          <w:szCs w:val="24"/>
        </w:rPr>
      </w:pPr>
    </w:p>
    <w:p w14:paraId="53857603" w14:textId="1C8B50A1" w:rsidR="00AD1F58" w:rsidRDefault="00AD1F58">
      <w:pPr>
        <w:rPr>
          <w:rFonts w:ascii="Abadi" w:hAnsi="Abadi"/>
          <w:sz w:val="24"/>
          <w:szCs w:val="24"/>
        </w:rPr>
      </w:pPr>
      <w:r>
        <w:rPr>
          <w:rFonts w:ascii="Abadi" w:hAnsi="Abadi"/>
          <w:sz w:val="24"/>
          <w:szCs w:val="24"/>
        </w:rPr>
        <w:t xml:space="preserve"> </w:t>
      </w:r>
    </w:p>
    <w:p w14:paraId="0E4BBD1A" w14:textId="77777777" w:rsidR="00AD1F58" w:rsidRDefault="00AD1F58">
      <w:pPr>
        <w:rPr>
          <w:rFonts w:ascii="Abadi" w:hAnsi="Abadi"/>
          <w:sz w:val="24"/>
          <w:szCs w:val="24"/>
        </w:rPr>
      </w:pPr>
    </w:p>
    <w:p w14:paraId="40954479" w14:textId="420D2B87" w:rsidR="00FC6FC4" w:rsidRPr="00AD1F58" w:rsidRDefault="00AD1F58">
      <w:pPr>
        <w:rPr>
          <w:rFonts w:ascii="Abadi" w:hAnsi="Abadi"/>
          <w:sz w:val="24"/>
          <w:szCs w:val="24"/>
        </w:rPr>
      </w:pPr>
      <w:r>
        <w:rPr>
          <w:rFonts w:ascii="Abadi" w:hAnsi="Abadi"/>
          <w:sz w:val="24"/>
          <w:szCs w:val="24"/>
        </w:rPr>
        <w:t xml:space="preserve"> </w:t>
      </w:r>
    </w:p>
    <w:p w14:paraId="4056EE71" w14:textId="77777777" w:rsidR="00AD1F58" w:rsidRDefault="00AD1F58">
      <w:pPr>
        <w:rPr>
          <w:rFonts w:ascii="Abadi" w:hAnsi="Abadi"/>
          <w:b/>
          <w:bCs/>
          <w:sz w:val="24"/>
          <w:szCs w:val="24"/>
        </w:rPr>
      </w:pPr>
    </w:p>
    <w:p w14:paraId="2FC4FCEF" w14:textId="77777777" w:rsidR="00FC6FC4" w:rsidRPr="000F4039" w:rsidRDefault="00FC6FC4">
      <w:pPr>
        <w:rPr>
          <w:rFonts w:ascii="Abadi" w:hAnsi="Abadi"/>
          <w:b/>
          <w:bCs/>
          <w:sz w:val="24"/>
          <w:szCs w:val="24"/>
        </w:rPr>
      </w:pPr>
    </w:p>
    <w:sectPr w:rsidR="00FC6FC4" w:rsidRPr="000F4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039"/>
    <w:rsid w:val="00001442"/>
    <w:rsid w:val="00025332"/>
    <w:rsid w:val="0002750E"/>
    <w:rsid w:val="00045E8D"/>
    <w:rsid w:val="00055968"/>
    <w:rsid w:val="00056931"/>
    <w:rsid w:val="00061387"/>
    <w:rsid w:val="00074F49"/>
    <w:rsid w:val="000763B4"/>
    <w:rsid w:val="00076C2A"/>
    <w:rsid w:val="00080A7B"/>
    <w:rsid w:val="00094A57"/>
    <w:rsid w:val="000C1652"/>
    <w:rsid w:val="000C54CD"/>
    <w:rsid w:val="000D12D4"/>
    <w:rsid w:val="000D6A10"/>
    <w:rsid w:val="000E17EC"/>
    <w:rsid w:val="000E41AE"/>
    <w:rsid w:val="000F4039"/>
    <w:rsid w:val="00102971"/>
    <w:rsid w:val="00105537"/>
    <w:rsid w:val="00106710"/>
    <w:rsid w:val="00120DA6"/>
    <w:rsid w:val="00123189"/>
    <w:rsid w:val="0012669A"/>
    <w:rsid w:val="001448FF"/>
    <w:rsid w:val="00147B88"/>
    <w:rsid w:val="00147DAF"/>
    <w:rsid w:val="00187B5E"/>
    <w:rsid w:val="001A2EF3"/>
    <w:rsid w:val="001A720F"/>
    <w:rsid w:val="0020293A"/>
    <w:rsid w:val="0021743F"/>
    <w:rsid w:val="00217564"/>
    <w:rsid w:val="00226867"/>
    <w:rsid w:val="00230189"/>
    <w:rsid w:val="00236687"/>
    <w:rsid w:val="0026355E"/>
    <w:rsid w:val="00263B02"/>
    <w:rsid w:val="0027159D"/>
    <w:rsid w:val="00275D7E"/>
    <w:rsid w:val="0028007F"/>
    <w:rsid w:val="00286A8A"/>
    <w:rsid w:val="00287109"/>
    <w:rsid w:val="0029311F"/>
    <w:rsid w:val="00296CD5"/>
    <w:rsid w:val="00297F10"/>
    <w:rsid w:val="002B7EE5"/>
    <w:rsid w:val="002C3356"/>
    <w:rsid w:val="002C3A91"/>
    <w:rsid w:val="002D7F72"/>
    <w:rsid w:val="002E4F69"/>
    <w:rsid w:val="00302007"/>
    <w:rsid w:val="00313809"/>
    <w:rsid w:val="003158C5"/>
    <w:rsid w:val="00316519"/>
    <w:rsid w:val="00321886"/>
    <w:rsid w:val="00323102"/>
    <w:rsid w:val="003457ED"/>
    <w:rsid w:val="003540FE"/>
    <w:rsid w:val="0036293A"/>
    <w:rsid w:val="003923A4"/>
    <w:rsid w:val="003A1D27"/>
    <w:rsid w:val="003A3E26"/>
    <w:rsid w:val="003A7024"/>
    <w:rsid w:val="003B08B0"/>
    <w:rsid w:val="003B1D69"/>
    <w:rsid w:val="003D117A"/>
    <w:rsid w:val="00404D1B"/>
    <w:rsid w:val="004132CF"/>
    <w:rsid w:val="004172EE"/>
    <w:rsid w:val="00421730"/>
    <w:rsid w:val="004225CA"/>
    <w:rsid w:val="00423430"/>
    <w:rsid w:val="004254ED"/>
    <w:rsid w:val="00443ABD"/>
    <w:rsid w:val="00467539"/>
    <w:rsid w:val="0047688F"/>
    <w:rsid w:val="00477800"/>
    <w:rsid w:val="00482C72"/>
    <w:rsid w:val="00491C32"/>
    <w:rsid w:val="00494863"/>
    <w:rsid w:val="004E74C9"/>
    <w:rsid w:val="004F0F9A"/>
    <w:rsid w:val="0050382C"/>
    <w:rsid w:val="0051698C"/>
    <w:rsid w:val="0056016E"/>
    <w:rsid w:val="00561069"/>
    <w:rsid w:val="005760AF"/>
    <w:rsid w:val="005948A5"/>
    <w:rsid w:val="005B2180"/>
    <w:rsid w:val="005B702B"/>
    <w:rsid w:val="005C2141"/>
    <w:rsid w:val="005D0ED2"/>
    <w:rsid w:val="005F3A2A"/>
    <w:rsid w:val="00607762"/>
    <w:rsid w:val="006249EC"/>
    <w:rsid w:val="00632ADE"/>
    <w:rsid w:val="006518E0"/>
    <w:rsid w:val="006540C8"/>
    <w:rsid w:val="006631C1"/>
    <w:rsid w:val="00681CEE"/>
    <w:rsid w:val="0069240A"/>
    <w:rsid w:val="0069646D"/>
    <w:rsid w:val="00696A91"/>
    <w:rsid w:val="006A01E6"/>
    <w:rsid w:val="006B0FFB"/>
    <w:rsid w:val="006E1795"/>
    <w:rsid w:val="006E5094"/>
    <w:rsid w:val="006E7F35"/>
    <w:rsid w:val="006F6443"/>
    <w:rsid w:val="007021F6"/>
    <w:rsid w:val="0072694D"/>
    <w:rsid w:val="007323B1"/>
    <w:rsid w:val="0073314D"/>
    <w:rsid w:val="00743AD9"/>
    <w:rsid w:val="007510FE"/>
    <w:rsid w:val="0076357C"/>
    <w:rsid w:val="00772AF5"/>
    <w:rsid w:val="00773203"/>
    <w:rsid w:val="00780DA3"/>
    <w:rsid w:val="00783BC8"/>
    <w:rsid w:val="00790356"/>
    <w:rsid w:val="00791056"/>
    <w:rsid w:val="007A0558"/>
    <w:rsid w:val="007B07C9"/>
    <w:rsid w:val="007B17CA"/>
    <w:rsid w:val="007C0CD4"/>
    <w:rsid w:val="007C19BD"/>
    <w:rsid w:val="007F3DE8"/>
    <w:rsid w:val="00800776"/>
    <w:rsid w:val="00810AA9"/>
    <w:rsid w:val="00824F2F"/>
    <w:rsid w:val="0083418C"/>
    <w:rsid w:val="008342D8"/>
    <w:rsid w:val="00837686"/>
    <w:rsid w:val="00845E68"/>
    <w:rsid w:val="008548F8"/>
    <w:rsid w:val="008713CC"/>
    <w:rsid w:val="008822A5"/>
    <w:rsid w:val="008957C7"/>
    <w:rsid w:val="008A1652"/>
    <w:rsid w:val="008C1D81"/>
    <w:rsid w:val="008C4814"/>
    <w:rsid w:val="008E5CCD"/>
    <w:rsid w:val="008F7D62"/>
    <w:rsid w:val="00922C6A"/>
    <w:rsid w:val="00931351"/>
    <w:rsid w:val="00963D0B"/>
    <w:rsid w:val="00977DAE"/>
    <w:rsid w:val="00980067"/>
    <w:rsid w:val="009863CA"/>
    <w:rsid w:val="00991F4F"/>
    <w:rsid w:val="009A380E"/>
    <w:rsid w:val="009A7E36"/>
    <w:rsid w:val="009B06AB"/>
    <w:rsid w:val="009D3917"/>
    <w:rsid w:val="009D57A8"/>
    <w:rsid w:val="009E7447"/>
    <w:rsid w:val="009F08B4"/>
    <w:rsid w:val="009F0A52"/>
    <w:rsid w:val="009F0FF3"/>
    <w:rsid w:val="00A021B8"/>
    <w:rsid w:val="00A0416E"/>
    <w:rsid w:val="00A212A7"/>
    <w:rsid w:val="00A51598"/>
    <w:rsid w:val="00A622C0"/>
    <w:rsid w:val="00A704AE"/>
    <w:rsid w:val="00A75B67"/>
    <w:rsid w:val="00A77560"/>
    <w:rsid w:val="00A94132"/>
    <w:rsid w:val="00A956E0"/>
    <w:rsid w:val="00A978C6"/>
    <w:rsid w:val="00AC59D8"/>
    <w:rsid w:val="00AD1F58"/>
    <w:rsid w:val="00AD5252"/>
    <w:rsid w:val="00AE227A"/>
    <w:rsid w:val="00AF54A3"/>
    <w:rsid w:val="00AF5867"/>
    <w:rsid w:val="00B04B0B"/>
    <w:rsid w:val="00B12C70"/>
    <w:rsid w:val="00B269C7"/>
    <w:rsid w:val="00B51BE0"/>
    <w:rsid w:val="00B53BEC"/>
    <w:rsid w:val="00B726B4"/>
    <w:rsid w:val="00B859D6"/>
    <w:rsid w:val="00B879B2"/>
    <w:rsid w:val="00B93018"/>
    <w:rsid w:val="00BA3197"/>
    <w:rsid w:val="00BB4DDE"/>
    <w:rsid w:val="00BE7F82"/>
    <w:rsid w:val="00C25F98"/>
    <w:rsid w:val="00C62688"/>
    <w:rsid w:val="00C70C5C"/>
    <w:rsid w:val="00C71BE1"/>
    <w:rsid w:val="00C8705B"/>
    <w:rsid w:val="00C95823"/>
    <w:rsid w:val="00C9700E"/>
    <w:rsid w:val="00CD1FFC"/>
    <w:rsid w:val="00CE5597"/>
    <w:rsid w:val="00CF28A1"/>
    <w:rsid w:val="00CF53F1"/>
    <w:rsid w:val="00D131F6"/>
    <w:rsid w:val="00D14DD8"/>
    <w:rsid w:val="00D211C0"/>
    <w:rsid w:val="00D27AF2"/>
    <w:rsid w:val="00D30394"/>
    <w:rsid w:val="00D37377"/>
    <w:rsid w:val="00D46126"/>
    <w:rsid w:val="00D51853"/>
    <w:rsid w:val="00D554F2"/>
    <w:rsid w:val="00D57C85"/>
    <w:rsid w:val="00D73D75"/>
    <w:rsid w:val="00D95313"/>
    <w:rsid w:val="00D96EC2"/>
    <w:rsid w:val="00DA7520"/>
    <w:rsid w:val="00DB2E68"/>
    <w:rsid w:val="00DB326B"/>
    <w:rsid w:val="00DB5B47"/>
    <w:rsid w:val="00DC6CF7"/>
    <w:rsid w:val="00DE5DF1"/>
    <w:rsid w:val="00E07BF2"/>
    <w:rsid w:val="00E07C0B"/>
    <w:rsid w:val="00E16332"/>
    <w:rsid w:val="00E2790D"/>
    <w:rsid w:val="00E515C4"/>
    <w:rsid w:val="00E6066D"/>
    <w:rsid w:val="00E74D02"/>
    <w:rsid w:val="00E75711"/>
    <w:rsid w:val="00E764F1"/>
    <w:rsid w:val="00EA5C58"/>
    <w:rsid w:val="00EB1B69"/>
    <w:rsid w:val="00ED097E"/>
    <w:rsid w:val="00ED5F5D"/>
    <w:rsid w:val="00ED6416"/>
    <w:rsid w:val="00EE0268"/>
    <w:rsid w:val="00F006D7"/>
    <w:rsid w:val="00F108F8"/>
    <w:rsid w:val="00F12418"/>
    <w:rsid w:val="00F15E02"/>
    <w:rsid w:val="00F46E7E"/>
    <w:rsid w:val="00F560EA"/>
    <w:rsid w:val="00F80B18"/>
    <w:rsid w:val="00F84ED6"/>
    <w:rsid w:val="00FA0F57"/>
    <w:rsid w:val="00FA428C"/>
    <w:rsid w:val="00FA4FE3"/>
    <w:rsid w:val="00FC6FC4"/>
    <w:rsid w:val="00FD6E0D"/>
    <w:rsid w:val="00FF2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CFFB0"/>
  <w15:chartTrackingRefBased/>
  <w15:docId w15:val="{304022A7-A1DF-44B2-A882-066D5D6A9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763B4"/>
    <w:rPr>
      <w:b/>
      <w:bCs/>
    </w:rPr>
  </w:style>
  <w:style w:type="character" w:styleId="Hyperlink">
    <w:name w:val="Hyperlink"/>
    <w:basedOn w:val="DefaultParagraphFont"/>
    <w:uiPriority w:val="99"/>
    <w:unhideWhenUsed/>
    <w:rsid w:val="00A94132"/>
    <w:rPr>
      <w:color w:val="0563C1" w:themeColor="hyperlink"/>
      <w:u w:val="single"/>
    </w:rPr>
  </w:style>
  <w:style w:type="paragraph" w:styleId="NormalWeb">
    <w:name w:val="Normal (Web)"/>
    <w:basedOn w:val="Normal"/>
    <w:uiPriority w:val="99"/>
    <w:unhideWhenUsed/>
    <w:rsid w:val="00A9413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ps.gov.uk/publication/honour-based-violence-and-forced-marriage-guidance-identifying-and-flagging-case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www.legislation.gov.uk/ukpga/Vict/24-25/100/contents%5D(https:/www.legislation.gov.uk/ukpga/Vict/24-25/100/conten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tuartmillersolicitors.co.uk/understanding-different-types-of-assault-charges-in-english-law/"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legislation.gov.uk/" TargetMode="External"/><Relationship Id="rId5" Type="http://schemas.openxmlformats.org/officeDocument/2006/relationships/settings" Target="settings.xml"/><Relationship Id="rId15" Type="http://schemas.openxmlformats.org/officeDocument/2006/relationships/hyperlink" Target="https://www.shouselaw.com/ca/defense/penal-code/245a1/" TargetMode="External"/><Relationship Id="rId10" Type="http://schemas.openxmlformats.org/officeDocument/2006/relationships/hyperlink" Target="https://www.cps.gov.uk/legal-guidance/attempted-murder%5D(https:/www.cps.gov.uk/legal-guidance/attempted-murder)" TargetMode="External"/><Relationship Id="rId4" Type="http://schemas.openxmlformats.org/officeDocument/2006/relationships/styles" Target="styles.xml"/><Relationship Id="rId9" Type="http://schemas.openxmlformats.org/officeDocument/2006/relationships/hyperlink" Target="https://www.nationalarchives.gov.uk/help-with-your-research/research-guides/criminal-court-cases-crown-court-since-1972/" TargetMode="External"/><Relationship Id="rId14" Type="http://schemas.openxmlformats.org/officeDocument/2006/relationships/hyperlink" Target="https://www.sentencingcouncil.org.uk/wp-content/uploads/Definitive-sentencing-guideline-Attempted-Murder.pdf%5D(https:/www.sentencingcouncil.org.uk/wp-content/uploads/Definitive-sentencing-guideline-Attempted-Murd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4" ma:contentTypeDescription="Create a new document." ma:contentTypeScope="" ma:versionID="2464fff142444f7bf73ef2cf27445bb3">
  <xsd:schema xmlns:xsd="http://www.w3.org/2001/XMLSchema" xmlns:xs="http://www.w3.org/2001/XMLSchema" xmlns:p="http://schemas.microsoft.com/office/2006/metadata/properties" xmlns:ns3="0d4f6ffa-9f28-4e2a-a23f-4264c91c95c3" targetNamespace="http://schemas.microsoft.com/office/2006/metadata/properties" ma:root="true" ma:fieldsID="2aabb580b828e3987bc0821f80da11d5"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24CD0F-BF4B-4688-AFC0-83B7ED5A0A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43DE35C-66AE-4BE2-974C-0F98D03940E4}">
  <ds:schemaRefs>
    <ds:schemaRef ds:uri="http://schemas.microsoft.com/sharepoint/v3/contenttype/forms"/>
  </ds:schemaRefs>
</ds:datastoreItem>
</file>

<file path=customXml/itemProps3.xml><?xml version="1.0" encoding="utf-8"?>
<ds:datastoreItem xmlns:ds="http://schemas.openxmlformats.org/officeDocument/2006/customXml" ds:itemID="{C519D73C-646A-4DB3-B0F1-9010FBB871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1580</TotalTime>
  <Pages>7</Pages>
  <Words>1700</Words>
  <Characters>10574</Characters>
  <Application>Microsoft Office Word</Application>
  <DocSecurity>0</DocSecurity>
  <Lines>185</Lines>
  <Paragraphs>53</Paragraphs>
  <ScaleCrop>false</ScaleCrop>
  <Company/>
  <LinksUpToDate>false</LinksUpToDate>
  <CharactersWithSpaces>12221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dc:creator>
  <cp:keywords/>
  <dc:description/>
  <cp:lastModifiedBy>Vasile Cristescu (2228672)</cp:lastModifiedBy>
  <cp:revision>96</cp:revision>
  <dcterms:created xsi:type="dcterms:W3CDTF">2024-01-11T11:53:00Z</dcterms:created>
  <dcterms:modified xsi:type="dcterms:W3CDTF">2024-03-15T15:35:00Z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