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05D8C" w14:textId="1C33B8A5" w:rsidR="00447346" w:rsidRPr="005F0B0A" w:rsidRDefault="0088568A" w:rsidP="00447346">
      <w:pPr>
        <w:spacing w:line="278" w:lineRule="auto"/>
        <w:jc w:val="center"/>
        <w:rPr>
          <w:rFonts w:eastAsia="Times New Roman" w:cs="Arial"/>
          <w:b/>
          <w:bCs/>
          <w:kern w:val="0"/>
          <w:sz w:val="44"/>
          <w:szCs w:val="44"/>
          <w:lang w:eastAsia="en-GB"/>
          <w14:ligatures w14:val="none"/>
        </w:rPr>
      </w:pPr>
      <w:r w:rsidRPr="005F0B0A">
        <w:rPr>
          <w:rFonts w:eastAsia="Times New Roman" w:cs="Arial"/>
          <w:b/>
          <w:bCs/>
          <w:kern w:val="0"/>
          <w:sz w:val="44"/>
          <w:szCs w:val="44"/>
          <w:lang w:eastAsia="en-GB"/>
          <w14:ligatures w14:val="none"/>
        </w:rPr>
        <w:t>Component 2: Written Assignment (Report)</w:t>
      </w:r>
    </w:p>
    <w:p w14:paraId="6E109D12" w14:textId="77777777" w:rsidR="0088568A" w:rsidRDefault="0088568A" w:rsidP="00447346">
      <w:pPr>
        <w:spacing w:line="278" w:lineRule="auto"/>
        <w:jc w:val="center"/>
      </w:pPr>
    </w:p>
    <w:p w14:paraId="5CEB434B" w14:textId="77777777" w:rsidR="005F0B0A" w:rsidRPr="005F0B0A" w:rsidRDefault="005F0B0A" w:rsidP="00447346">
      <w:pPr>
        <w:spacing w:line="278" w:lineRule="auto"/>
        <w:jc w:val="center"/>
        <w:rPr>
          <w:sz w:val="40"/>
          <w:szCs w:val="40"/>
        </w:rPr>
      </w:pPr>
      <w:r w:rsidRPr="005F0B0A">
        <w:rPr>
          <w:rFonts w:eastAsia="Times New Roman" w:cs="Arial"/>
          <w:b/>
          <w:kern w:val="0"/>
          <w:sz w:val="40"/>
          <w:szCs w:val="40"/>
          <w:lang w:eastAsia="en-GB"/>
          <w14:ligatures w14:val="none"/>
        </w:rPr>
        <w:t>Changemakers: Creativity and Value Creation</w:t>
      </w:r>
      <w:r w:rsidRPr="005F0B0A">
        <w:rPr>
          <w:sz w:val="40"/>
          <w:szCs w:val="40"/>
        </w:rPr>
        <w:t xml:space="preserve"> </w:t>
      </w:r>
    </w:p>
    <w:p w14:paraId="51F51949" w14:textId="77777777" w:rsidR="005F0B0A" w:rsidRPr="005F0B0A" w:rsidRDefault="005F0B0A" w:rsidP="00447346">
      <w:pPr>
        <w:spacing w:line="278" w:lineRule="auto"/>
        <w:jc w:val="center"/>
        <w:rPr>
          <w:b/>
          <w:bCs/>
          <w:sz w:val="36"/>
          <w:szCs w:val="36"/>
        </w:rPr>
      </w:pPr>
      <w:r w:rsidRPr="005F0B0A">
        <w:rPr>
          <w:b/>
          <w:bCs/>
          <w:sz w:val="36"/>
          <w:szCs w:val="36"/>
        </w:rPr>
        <w:t>Student Name: S. Hortense Assoh</w:t>
      </w:r>
    </w:p>
    <w:p w14:paraId="045DE8BA" w14:textId="7AEF5E8A" w:rsidR="00447346" w:rsidRPr="005F0B0A" w:rsidRDefault="005F0B0A" w:rsidP="00447346">
      <w:pPr>
        <w:spacing w:line="278" w:lineRule="auto"/>
        <w:jc w:val="center"/>
        <w:rPr>
          <w:rFonts w:eastAsiaTheme="majorEastAsia" w:cstheme="majorBidi"/>
          <w:b/>
          <w:bCs/>
          <w:color w:val="000000" w:themeColor="text1"/>
          <w:sz w:val="32"/>
          <w:szCs w:val="32"/>
        </w:rPr>
      </w:pPr>
      <w:r w:rsidRPr="005F0B0A">
        <w:rPr>
          <w:b/>
          <w:bCs/>
          <w:sz w:val="32"/>
          <w:szCs w:val="32"/>
        </w:rPr>
        <w:t>Student ID: 2245799</w:t>
      </w:r>
      <w:r w:rsidR="00447346" w:rsidRPr="005F0B0A">
        <w:rPr>
          <w:b/>
          <w:bCs/>
          <w:sz w:val="32"/>
          <w:szCs w:val="32"/>
        </w:rPr>
        <w:br w:type="page"/>
      </w:r>
    </w:p>
    <w:p w14:paraId="6CCF4139" w14:textId="7393B399" w:rsidR="00D260E3" w:rsidRDefault="00D260E3" w:rsidP="00D260E3">
      <w:pPr>
        <w:pStyle w:val="Heading1"/>
      </w:pPr>
      <w:r>
        <w:lastRenderedPageBreak/>
        <w:t>Introduction</w:t>
      </w:r>
    </w:p>
    <w:p w14:paraId="142D734B" w14:textId="5763C11F" w:rsidR="00D260E3" w:rsidRDefault="00D260E3" w:rsidP="00D260E3">
      <w:r>
        <w:t xml:space="preserve">The health and social-care system of the United Kingdom is still faced with a crisis of inequalities in service access, with the number of individuals on elective-care waiting lists reaching over 7 million years, and with electronic separateness among older adults being notable (NHS England, 2023). The old booking and referral models are scattered and disjointed throughout Integrated Care System (ICSs). </w:t>
      </w:r>
      <w:proofErr w:type="spellStart"/>
      <w:r>
        <w:t>HealthConnect</w:t>
      </w:r>
      <w:proofErr w:type="spellEnd"/>
      <w:r>
        <w:t xml:space="preserve"> suggests having one digital gateway where patients, carers and professionals can coordinate appointments, share records, and access preventive resources, thereby achieving the ambition of the NHS Long Term Plan, that is providing personalised, integrated and equitable care delivery.</w:t>
      </w:r>
    </w:p>
    <w:p w14:paraId="335EA263" w14:textId="24BBE598" w:rsidR="00D260E3" w:rsidRDefault="00D260E3" w:rsidP="00D260E3">
      <w:pPr>
        <w:pStyle w:val="Heading1"/>
      </w:pPr>
      <w:r>
        <w:t>Evidence Base</w:t>
      </w:r>
    </w:p>
    <w:p w14:paraId="219CCFB1" w14:textId="4D031016" w:rsidR="00D260E3" w:rsidRDefault="00D260E3" w:rsidP="00D260E3">
      <w:r>
        <w:t xml:space="preserve">It is proven that integrated digital-care tools help to increase adherence to appointments, minimise the workload of the administration, and improve patient experience (The King’s Fund, 2021). Only after implementation of reminders and self-booking portal, a meta-review of virtual-care interventions reported mean no-show reduction of 30 percent (WHO, 2021). However, inadequate design and insufficient digital literacy do not have much influence in marginalised communities (Public Health England, 2022). </w:t>
      </w:r>
      <w:proofErr w:type="spellStart"/>
      <w:r>
        <w:t>HealthConnect</w:t>
      </w:r>
      <w:proofErr w:type="spellEnd"/>
      <w:r>
        <w:t xml:space="preserve"> is based on the principles of human-centred design and co-production that NICE (2022) promotes to achieve its accessibility, interoperability, and trust. Similar to What Good Looks Like (NHS England, 2021), it connects to existing NHS App, primary-care EHRs, and social-care systems interoperability to support the aim of preventive health but keep confidentiality according to the UK GDPR (</w:t>
      </w:r>
      <w:r w:rsidR="00C918DD" w:rsidRPr="00C918DD">
        <w:t>Carter</w:t>
      </w:r>
      <w:r>
        <w:t>, 202</w:t>
      </w:r>
      <w:r w:rsidR="00C918DD">
        <w:t>2</w:t>
      </w:r>
      <w:r>
        <w:t>).</w:t>
      </w:r>
    </w:p>
    <w:p w14:paraId="65B4F5BF" w14:textId="2E746502" w:rsidR="00D260E3" w:rsidRDefault="00D260E3" w:rsidP="00D260E3">
      <w:pPr>
        <w:pStyle w:val="Heading1"/>
      </w:pPr>
      <w:r>
        <w:t xml:space="preserve">Policy, Legislation and Professional Frameworks </w:t>
      </w:r>
    </w:p>
    <w:p w14:paraId="62F49381" w14:textId="0AD03A1A" w:rsidR="00D260E3" w:rsidRDefault="00D260E3" w:rsidP="00D260E3">
      <w:r>
        <w:t xml:space="preserve">The innovation is in line with key concepts of polices and governance in the UK. ICSs will be required under the Health and Care Act 2022 to incorporate technology in order to have data-driven care coordination. The </w:t>
      </w:r>
      <w:proofErr w:type="spellStart"/>
      <w:r>
        <w:t>HealthConnect</w:t>
      </w:r>
      <w:proofErr w:type="spellEnd"/>
      <w:r>
        <w:t xml:space="preserve"> helps in this by ensuring that the data is shared safely and lawfully between the NHS Trusts, the local authorities and the third sector partners. The system has to adhere to the clinical-risk-management protocols, which are provided in NHS Digital Clinical Safety Standards DCB 0129/0160 (NHS England, 2022). The processing of the data is in compliance with UK GDPR and the Data Protection Act 2018, according to the </w:t>
      </w:r>
      <w:r w:rsidR="00C918DD">
        <w:t>ICO</w:t>
      </w:r>
      <w:r>
        <w:t xml:space="preserve"> (202</w:t>
      </w:r>
      <w:r w:rsidR="00C918DD">
        <w:t>1</w:t>
      </w:r>
      <w:r>
        <w:t>) guidelines and carrying out Data Protection Impact Assessments at the development stages.</w:t>
      </w:r>
    </w:p>
    <w:p w14:paraId="2E6B72D8" w14:textId="3B0B7C3F" w:rsidR="00D260E3" w:rsidRDefault="00D260E3" w:rsidP="00D260E3">
      <w:r>
        <w:lastRenderedPageBreak/>
        <w:t>Professional alignment also to the NMC Code (2023) and HCPC Standards of Conduct (2021): The professional system helps to protect confidentiality and responsibility. The combination with CQC Strategy 20212025 encourages the non-paper-pencil regulation with the help of digital insight (</w:t>
      </w:r>
      <w:r w:rsidR="00C918DD" w:rsidRPr="00C918DD">
        <w:t>Rayner, 2022</w:t>
      </w:r>
      <w:r>
        <w:t xml:space="preserve">). All these frameworks would ensure that the </w:t>
      </w:r>
      <w:proofErr w:type="spellStart"/>
      <w:r>
        <w:t>HealthConnect</w:t>
      </w:r>
      <w:proofErr w:type="spellEnd"/>
      <w:r>
        <w:t xml:space="preserve"> operates within a moral framework, openly, and within the national legal framework and improve the collaboration of professionals among multidisciplinary teams.</w:t>
      </w:r>
    </w:p>
    <w:p w14:paraId="0498DFA9" w14:textId="77383929" w:rsidR="00D260E3" w:rsidRDefault="00D260E3" w:rsidP="00D260E3">
      <w:pPr>
        <w:pStyle w:val="Heading1"/>
      </w:pPr>
      <w:r>
        <w:t xml:space="preserve">Value-Creation and Creativity Rationale </w:t>
      </w:r>
    </w:p>
    <w:p w14:paraId="75059345" w14:textId="66E53629" w:rsidR="00D260E3" w:rsidRDefault="00D260E3" w:rsidP="00D260E3">
      <w:r>
        <w:t xml:space="preserve">Successful innovation in the healthcare sector is usually unsuccessful when the interest of technology overshadows the value of the users. </w:t>
      </w:r>
      <w:proofErr w:type="spellStart"/>
      <w:r>
        <w:t>HealthConnect</w:t>
      </w:r>
      <w:proofErr w:type="spellEnd"/>
      <w:r>
        <w:t xml:space="preserve"> model follows design-thinking cycles, i.e., empathise, define, ideate, prototype, and test, to make certain creativity purposeful (The King’s Fund, 2021). The Triple Value Model facilitates value creation, particularly the personal value (improved self-management and empowerment), operational (leaner workflows impact reduced duplication), and societal value (fair access and sustainability) (WHO, 2021).</w:t>
      </w:r>
    </w:p>
    <w:p w14:paraId="1318C933" w14:textId="447C12AC" w:rsidR="00D260E3" w:rsidRDefault="00D260E3" w:rsidP="00D260E3">
      <w:proofErr w:type="spellStart"/>
      <w:r>
        <w:t>HealthConnectors</w:t>
      </w:r>
      <w:proofErr w:type="spellEnd"/>
      <w:r>
        <w:t xml:space="preserve"> use creatively available NHS App APIs and open-source FHIR standards instead of creating new proprietary code, which has low-cost scalability and interoperability (NICE, 2022). Underlying more adherence rates at a younger age are a behavioural-science layer (nudges, gamified health goals, etc.), they encourage. More importantly, the digital exclusion is reduced by accessibility elements, including Speech-to-text, large fonts, and multilingual (Public Health England, 2022). This encompassing creative approach to digital delivery acculturation puts online delivery as a technical matter into a human-based solution to the common good ethos embedded in the Changemaker pedagogy.</w:t>
      </w:r>
    </w:p>
    <w:p w14:paraId="38DA3B58" w14:textId="5A748E18" w:rsidR="00D260E3" w:rsidRDefault="00D260E3" w:rsidP="00D260E3">
      <w:pPr>
        <w:pStyle w:val="Heading1"/>
      </w:pPr>
      <w:r>
        <w:t xml:space="preserve">Implementation/Feasibility </w:t>
      </w:r>
    </w:p>
    <w:p w14:paraId="185F9D8B" w14:textId="76B18C6B" w:rsidR="00D260E3" w:rsidRDefault="00D260E3" w:rsidP="00D260E3">
      <w:r>
        <w:t xml:space="preserve">This is implemented after a </w:t>
      </w:r>
      <w:proofErr w:type="gramStart"/>
      <w:r>
        <w:t>12 month</w:t>
      </w:r>
      <w:proofErr w:type="gramEnd"/>
      <w:r>
        <w:t xml:space="preserve"> agile roadmap.</w:t>
      </w:r>
    </w:p>
    <w:p w14:paraId="50CF4AD0" w14:textId="36625DB4" w:rsidR="00D260E3" w:rsidRDefault="00D260E3" w:rsidP="00D260E3">
      <w:pPr>
        <w:pStyle w:val="ListParagraph"/>
        <w:numPr>
          <w:ilvl w:val="0"/>
          <w:numId w:val="6"/>
        </w:numPr>
      </w:pPr>
      <w:r>
        <w:t>Months 1-2: Co-design of patient focus group, clinician, local authority.</w:t>
      </w:r>
    </w:p>
    <w:p w14:paraId="3723D61B" w14:textId="0533FC4A" w:rsidR="00D260E3" w:rsidRDefault="00D260E3" w:rsidP="00D260E3">
      <w:pPr>
        <w:pStyle w:val="ListParagraph"/>
        <w:numPr>
          <w:ilvl w:val="0"/>
          <w:numId w:val="6"/>
        </w:numPr>
      </w:pPr>
      <w:r>
        <w:t>Months 3-6: ICS prototype pilot governance by Digital Clinical Safety Officer.</w:t>
      </w:r>
    </w:p>
    <w:p w14:paraId="5AD57B15" w14:textId="0B4C3257" w:rsidR="00D260E3" w:rsidRDefault="00D260E3" w:rsidP="00D260E3">
      <w:pPr>
        <w:pStyle w:val="ListParagraph"/>
        <w:numPr>
          <w:ilvl w:val="0"/>
          <w:numId w:val="6"/>
        </w:numPr>
      </w:pPr>
      <w:r>
        <w:t>Months 7-9: Check an ERP system on the basis of PREMs and PROMS data; implement changes on Plan-Do-Study-Act loops.</w:t>
      </w:r>
    </w:p>
    <w:p w14:paraId="02630133" w14:textId="5F1FC7CB" w:rsidR="00D260E3" w:rsidRDefault="00D260E3" w:rsidP="00D260E3">
      <w:pPr>
        <w:pStyle w:val="ListParagraph"/>
        <w:numPr>
          <w:ilvl w:val="0"/>
          <w:numId w:val="6"/>
        </w:numPr>
      </w:pPr>
      <w:r>
        <w:t>Months 10-12: Scaling-up through NHS Innovation Accelerator.</w:t>
      </w:r>
    </w:p>
    <w:p w14:paraId="2E866731" w14:textId="3C94B794" w:rsidR="00D260E3" w:rsidRDefault="00D260E3" w:rsidP="00D260E3">
      <w:r>
        <w:t xml:space="preserve">Its modular integration with the current framework of the NHS system enhances its feasibility as well as its alignment with open-standards funding priorities of the NIHR Digital Health Innovation </w:t>
      </w:r>
      <w:r>
        <w:lastRenderedPageBreak/>
        <w:t>Fund (2023). The average calculates versus 18 months cost-benefit modelling can predict an ROI because it will minimise missed appointments and administrative expenses. The KPI measures comprise:</w:t>
      </w:r>
    </w:p>
    <w:p w14:paraId="09F740E7" w14:textId="7216AC1F" w:rsidR="00D260E3" w:rsidRDefault="00D260E3" w:rsidP="00D260E3">
      <w:pPr>
        <w:pStyle w:val="ListParagraph"/>
        <w:numPr>
          <w:ilvl w:val="0"/>
          <w:numId w:val="5"/>
        </w:numPr>
      </w:pPr>
      <w:r>
        <w:t>25 percent or greater of the DNA rates,</w:t>
      </w:r>
    </w:p>
    <w:p w14:paraId="1EA26224" w14:textId="2D6B1517" w:rsidR="00D260E3" w:rsidRDefault="00D260E3" w:rsidP="00D260E3">
      <w:pPr>
        <w:pStyle w:val="ListParagraph"/>
        <w:numPr>
          <w:ilvl w:val="0"/>
          <w:numId w:val="1"/>
        </w:numPr>
      </w:pPr>
      <w:r>
        <w:t>Praise of 10 percent improvement in the patient-reported satisfaction,</w:t>
      </w:r>
    </w:p>
    <w:p w14:paraId="31C1195B" w14:textId="6D994EA6" w:rsidR="00D260E3" w:rsidRDefault="00D260E3" w:rsidP="00D260E3">
      <w:pPr>
        <w:pStyle w:val="ListParagraph"/>
        <w:numPr>
          <w:ilvl w:val="0"/>
          <w:numId w:val="1"/>
        </w:numPr>
      </w:pPr>
      <w:r>
        <w:t>quantifiable efficiency improvement in referrals.</w:t>
      </w:r>
    </w:p>
    <w:p w14:paraId="2A562A12" w14:textId="6EB33F89" w:rsidR="00D260E3" w:rsidRDefault="00D260E3" w:rsidP="00D260E3">
      <w:r>
        <w:t>Cybersecurity (alignment with ISO 27001), clinical-safety governance (DCB 0129), training of the staff, and perpetual loops of user feedback are risk mitigations. The API-based architecture makes the system sustainable that provides the possibility of cross-sector collaboration and sustained innovations without the need to rebuild the whole system (NHS England, 2023).</w:t>
      </w:r>
    </w:p>
    <w:p w14:paraId="6E913826" w14:textId="2C4BB032" w:rsidR="00D260E3" w:rsidRDefault="00D260E3" w:rsidP="00D260E3">
      <w:pPr>
        <w:pStyle w:val="Heading1"/>
      </w:pPr>
      <w:r>
        <w:t>Public Involvement and Call to Action</w:t>
      </w:r>
    </w:p>
    <w:p w14:paraId="05A68038" w14:textId="1BE9CE15" w:rsidR="00D260E3" w:rsidRDefault="00D260E3" w:rsidP="00D260E3">
      <w:r>
        <w:t>Significant citizens involvement guarantees adoption. Under the guidelines provided by NHS Citizen, public-involvement boards (that include service-users, carers, and digital-champions) are embedded into Health Connect. Through libraries, community centres and voluntary networks, outreach aims at digitally excluded population. Co-design guarantees content of materials to be accessible (WCAG 2.1).</w:t>
      </w:r>
    </w:p>
    <w:p w14:paraId="6F3807EF" w14:textId="0AB891F8" w:rsidR="00D260E3" w:rsidRDefault="00D260E3" w:rsidP="00D260E3">
      <w:r>
        <w:t xml:space="preserve">The action plan is clear: NHS Trusts and ICSs are encouraged to be piloted with </w:t>
      </w:r>
      <w:proofErr w:type="spellStart"/>
      <w:r>
        <w:t>HealthConnect</w:t>
      </w:r>
      <w:proofErr w:type="spellEnd"/>
      <w:r>
        <w:t xml:space="preserve"> by respective funds which are provided by regional innovation hubs. The policymakers are requested to recommend open-standard digital-care solutions as part of levelling-up activities, and the population is requested to express their interest in such solutions and provide feedback in local NHS Apps and feedback groups. </w:t>
      </w:r>
      <w:proofErr w:type="spellStart"/>
      <w:r>
        <w:t>HealthConnect</w:t>
      </w:r>
      <w:proofErr w:type="spellEnd"/>
      <w:r>
        <w:t xml:space="preserve"> manages to implement the Changemakers principle of social innovation of generating public value by merging endorsing the highest echelons with involving the citizens in its operations.</w:t>
      </w:r>
    </w:p>
    <w:p w14:paraId="20DC0E31" w14:textId="03F28A84" w:rsidR="00D260E3" w:rsidRDefault="00D260E3" w:rsidP="00D260E3">
      <w:pPr>
        <w:pStyle w:val="Heading1"/>
      </w:pPr>
      <w:r>
        <w:t xml:space="preserve">Closing Statement </w:t>
      </w:r>
    </w:p>
    <w:p w14:paraId="776D72E6" w14:textId="02A90A32" w:rsidR="00D260E3" w:rsidRDefault="00D260E3" w:rsidP="00D260E3">
      <w:r>
        <w:t xml:space="preserve">The example of the Health Connect is the innovative behaviour based on the evidence, laws, and professional cooperation that focuses on creative solutions, ethical, and sustainable innovation. It shows how the digital transformation that is oriented towards human requires can transform issues that were systemic into chances to achieve equitable value-generating opportunities. The project is a call to action to the healthcare leaders, policymakers, and citizens to participate in a </w:t>
      </w:r>
      <w:r>
        <w:lastRenderedPageBreak/>
        <w:t>collective movement that changes access, safety, and patient experience to create a digitally confident, innovative, or inclusive and compassionate NHS of the future.</w:t>
      </w:r>
    </w:p>
    <w:p w14:paraId="29F8E254" w14:textId="77777777" w:rsidR="00D260E3" w:rsidRDefault="00D260E3">
      <w:pPr>
        <w:spacing w:line="278" w:lineRule="auto"/>
        <w:jc w:val="left"/>
      </w:pPr>
      <w:r>
        <w:br w:type="page"/>
      </w:r>
    </w:p>
    <w:p w14:paraId="104A04DB" w14:textId="6393162A" w:rsidR="00847237" w:rsidRDefault="00D260E3" w:rsidP="00D260E3">
      <w:pPr>
        <w:pStyle w:val="Heading1"/>
      </w:pPr>
      <w:r>
        <w:lastRenderedPageBreak/>
        <w:t xml:space="preserve">References </w:t>
      </w:r>
    </w:p>
    <w:p w14:paraId="2AE14039" w14:textId="77777777" w:rsidR="00A82CF4" w:rsidRPr="00A82CF4" w:rsidRDefault="00A82CF4" w:rsidP="00A82CF4">
      <w:pPr>
        <w:ind w:left="720" w:hanging="720"/>
        <w:jc w:val="left"/>
        <w:rPr>
          <w:lang w:val="en-US"/>
        </w:rPr>
      </w:pPr>
      <w:r w:rsidRPr="00A82CF4">
        <w:rPr>
          <w:lang w:val="en-US"/>
        </w:rPr>
        <w:t xml:space="preserve">Care Quality Commission CQC 2023 </w:t>
      </w:r>
      <w:r w:rsidRPr="00A82CF4">
        <w:rPr>
          <w:i/>
          <w:iCs/>
          <w:lang w:val="en-US"/>
        </w:rPr>
        <w:t>Our Strategy 2021–2025: Smarter Regulation for Better Care.</w:t>
      </w:r>
      <w:r w:rsidRPr="00A82CF4">
        <w:rPr>
          <w:lang w:val="en-US"/>
        </w:rPr>
        <w:t xml:space="preserve"> London: Care Quality Commission.</w:t>
      </w:r>
      <w:r w:rsidRPr="00A82CF4">
        <w:rPr>
          <w:lang w:val="en-US"/>
        </w:rPr>
        <w:br/>
        <w:t xml:space="preserve">Available at: </w:t>
      </w:r>
      <w:hyperlink r:id="rId7" w:history="1">
        <w:r w:rsidRPr="00A82CF4">
          <w:rPr>
            <w:rStyle w:val="Hyperlink"/>
            <w:lang w:val="en-US"/>
          </w:rPr>
          <w:t>https://www.cqc.org.uk/publications/our-strategy-2021-2025</w:t>
        </w:r>
      </w:hyperlink>
      <w:r>
        <w:rPr>
          <w:lang w:val="en-US"/>
        </w:rPr>
        <w:t xml:space="preserve"> </w:t>
      </w:r>
    </w:p>
    <w:p w14:paraId="1E699989" w14:textId="77777777" w:rsidR="00A82CF4" w:rsidRDefault="00A82CF4" w:rsidP="00A82CF4">
      <w:pPr>
        <w:ind w:left="720" w:hanging="720"/>
        <w:jc w:val="left"/>
      </w:pPr>
      <w:r w:rsidRPr="00C918DD">
        <w:t>Carter, E., 2022. Information Overload? The Future of the ICO. </w:t>
      </w:r>
      <w:r w:rsidRPr="00C918DD">
        <w:rPr>
          <w:i/>
          <w:iCs/>
        </w:rPr>
        <w:t>Solic. J.</w:t>
      </w:r>
      <w:r w:rsidRPr="00C918DD">
        <w:t>, </w:t>
      </w:r>
      <w:r w:rsidRPr="00C918DD">
        <w:rPr>
          <w:i/>
          <w:iCs/>
        </w:rPr>
        <w:t>165</w:t>
      </w:r>
      <w:r w:rsidRPr="00C918DD">
        <w:t>, p.36.</w:t>
      </w:r>
    </w:p>
    <w:p w14:paraId="5433D38B" w14:textId="77777777" w:rsidR="00A82CF4" w:rsidRPr="00A82CF4" w:rsidRDefault="00A82CF4" w:rsidP="00A82CF4">
      <w:pPr>
        <w:ind w:left="720" w:hanging="720"/>
        <w:jc w:val="left"/>
        <w:rPr>
          <w:lang w:val="en-US"/>
        </w:rPr>
      </w:pPr>
      <w:r w:rsidRPr="00A82CF4">
        <w:rPr>
          <w:lang w:val="en-US"/>
        </w:rPr>
        <w:t xml:space="preserve">Department of Health and Social Care DHSC 2021 </w:t>
      </w:r>
      <w:r w:rsidRPr="00A82CF4">
        <w:rPr>
          <w:i/>
          <w:iCs/>
          <w:lang w:val="en-US"/>
        </w:rPr>
        <w:t>Data Saves Lives: Reshaping Health and Social Care with Data.</w:t>
      </w:r>
      <w:r w:rsidRPr="00A82CF4">
        <w:rPr>
          <w:lang w:val="en-US"/>
        </w:rPr>
        <w:t xml:space="preserve"> London: HM Government.</w:t>
      </w:r>
      <w:r w:rsidRPr="00A82CF4">
        <w:rPr>
          <w:lang w:val="en-US"/>
        </w:rPr>
        <w:br/>
        <w:t>Available at: https://www.gov.uk/government/publications/data-saves-lives-reshaping-health-and-social-care-with-data Accessed 22 October 2025.</w:t>
      </w:r>
    </w:p>
    <w:p w14:paraId="63474CDE" w14:textId="77777777" w:rsidR="00A82CF4" w:rsidRPr="00A82CF4" w:rsidRDefault="00A82CF4" w:rsidP="00A82CF4">
      <w:pPr>
        <w:ind w:left="720" w:hanging="720"/>
        <w:jc w:val="left"/>
        <w:rPr>
          <w:lang w:val="en-US"/>
        </w:rPr>
      </w:pPr>
      <w:r w:rsidRPr="00A82CF4">
        <w:rPr>
          <w:lang w:val="en-US"/>
        </w:rPr>
        <w:t xml:space="preserve">Information Commissioner’s Office ICO 2021 </w:t>
      </w:r>
      <w:r w:rsidRPr="00A82CF4">
        <w:rPr>
          <w:i/>
          <w:iCs/>
          <w:lang w:val="en-US"/>
        </w:rPr>
        <w:t>Guide to the UK General Data Protection Regulation UK GDPR.</w:t>
      </w:r>
      <w:r w:rsidRPr="00A82CF4">
        <w:rPr>
          <w:lang w:val="en-US"/>
        </w:rPr>
        <w:t xml:space="preserve"> Wilmslow: ICO.</w:t>
      </w:r>
      <w:r w:rsidRPr="00A82CF4">
        <w:rPr>
          <w:lang w:val="en-US"/>
        </w:rPr>
        <w:br/>
        <w:t>Available at: https://ico.org.uk/for-organisations/uk-gdpr-guidance-and-resources Accessed 22 October 2025.</w:t>
      </w:r>
    </w:p>
    <w:p w14:paraId="415CC487" w14:textId="77777777" w:rsidR="00A82CF4" w:rsidRPr="00A82CF4" w:rsidRDefault="00A82CF4" w:rsidP="00A82CF4">
      <w:pPr>
        <w:ind w:left="720" w:hanging="720"/>
        <w:jc w:val="left"/>
        <w:rPr>
          <w:lang w:val="en-US"/>
        </w:rPr>
      </w:pPr>
      <w:r w:rsidRPr="00A82CF4">
        <w:rPr>
          <w:lang w:val="en-US"/>
        </w:rPr>
        <w:t xml:space="preserve">National Health Service NHS England 2021 </w:t>
      </w:r>
      <w:r w:rsidRPr="00A82CF4">
        <w:rPr>
          <w:i/>
          <w:iCs/>
          <w:lang w:val="en-US"/>
        </w:rPr>
        <w:t>What Good Looks Like: Digital Guidance for Health and Care.</w:t>
      </w:r>
      <w:r w:rsidRPr="00A82CF4">
        <w:rPr>
          <w:lang w:val="en-US"/>
        </w:rPr>
        <w:t xml:space="preserve"> London: NHS England.</w:t>
      </w:r>
      <w:r>
        <w:rPr>
          <w:lang w:val="en-US"/>
        </w:rPr>
        <w:t xml:space="preserve"> </w:t>
      </w:r>
      <w:r w:rsidRPr="00A82CF4">
        <w:rPr>
          <w:lang w:val="en-US"/>
        </w:rPr>
        <w:t xml:space="preserve">Available at: </w:t>
      </w:r>
      <w:hyperlink r:id="rId8" w:history="1">
        <w:r w:rsidRPr="00A82CF4">
          <w:rPr>
            <w:rStyle w:val="Hyperlink"/>
            <w:lang w:val="en-US"/>
          </w:rPr>
          <w:t>https://transform.england.nhs.uk/what-good-looks-like</w:t>
        </w:r>
      </w:hyperlink>
      <w:r>
        <w:rPr>
          <w:lang w:val="en-US"/>
        </w:rPr>
        <w:t xml:space="preserve"> </w:t>
      </w:r>
    </w:p>
    <w:p w14:paraId="1EEC4DC1" w14:textId="77777777" w:rsidR="00A82CF4" w:rsidRPr="00A82CF4" w:rsidRDefault="00A82CF4" w:rsidP="00A82CF4">
      <w:pPr>
        <w:ind w:left="720" w:hanging="720"/>
        <w:jc w:val="left"/>
        <w:rPr>
          <w:lang w:val="en-US"/>
        </w:rPr>
      </w:pPr>
      <w:r w:rsidRPr="00A82CF4">
        <w:rPr>
          <w:lang w:val="en-US"/>
        </w:rPr>
        <w:t xml:space="preserve">National Health Service NHS England 2022 </w:t>
      </w:r>
      <w:r w:rsidRPr="00A82CF4">
        <w:rPr>
          <w:i/>
          <w:iCs/>
          <w:lang w:val="en-US"/>
        </w:rPr>
        <w:t>NHS Digital Clinical Safety Strategy.</w:t>
      </w:r>
      <w:r w:rsidRPr="00A82CF4">
        <w:rPr>
          <w:lang w:val="en-US"/>
        </w:rPr>
        <w:t xml:space="preserve"> London: NHS England.</w:t>
      </w:r>
      <w:r>
        <w:rPr>
          <w:lang w:val="en-US"/>
        </w:rPr>
        <w:t xml:space="preserve"> </w:t>
      </w:r>
      <w:r w:rsidRPr="00A82CF4">
        <w:rPr>
          <w:lang w:val="en-US"/>
        </w:rPr>
        <w:t xml:space="preserve">Available at: </w:t>
      </w:r>
      <w:hyperlink r:id="rId9" w:history="1">
        <w:r w:rsidRPr="00A82CF4">
          <w:rPr>
            <w:rStyle w:val="Hyperlink"/>
            <w:lang w:val="en-US"/>
          </w:rPr>
          <w:t>https://transform.england.nhs.uk/digital-clinical-safety-strategy</w:t>
        </w:r>
      </w:hyperlink>
      <w:r>
        <w:rPr>
          <w:lang w:val="en-US"/>
        </w:rPr>
        <w:t xml:space="preserve"> </w:t>
      </w:r>
    </w:p>
    <w:p w14:paraId="6A6FAF5D" w14:textId="77777777" w:rsidR="00A82CF4" w:rsidRPr="00A82CF4" w:rsidRDefault="00A82CF4" w:rsidP="00A82CF4">
      <w:pPr>
        <w:ind w:left="720" w:hanging="720"/>
        <w:jc w:val="left"/>
        <w:rPr>
          <w:lang w:val="en-US"/>
        </w:rPr>
      </w:pPr>
      <w:r w:rsidRPr="00A82CF4">
        <w:rPr>
          <w:lang w:val="en-US"/>
        </w:rPr>
        <w:t xml:space="preserve">National Health Service NHS England 2023 </w:t>
      </w:r>
      <w:r w:rsidRPr="00A82CF4">
        <w:rPr>
          <w:i/>
          <w:iCs/>
          <w:lang w:val="en-US"/>
        </w:rPr>
        <w:t>NHS Long Term Workforce Plan.</w:t>
      </w:r>
      <w:r w:rsidRPr="00A82CF4">
        <w:rPr>
          <w:lang w:val="en-US"/>
        </w:rPr>
        <w:t xml:space="preserve"> London: NHS England.</w:t>
      </w:r>
      <w:r>
        <w:rPr>
          <w:lang w:val="en-US"/>
        </w:rPr>
        <w:t xml:space="preserve"> </w:t>
      </w:r>
      <w:r w:rsidRPr="00A82CF4">
        <w:rPr>
          <w:lang w:val="en-US"/>
        </w:rPr>
        <w:t xml:space="preserve">Available at: </w:t>
      </w:r>
      <w:hyperlink r:id="rId10" w:history="1">
        <w:r w:rsidRPr="00A82CF4">
          <w:rPr>
            <w:rStyle w:val="Hyperlink"/>
            <w:lang w:val="en-US"/>
          </w:rPr>
          <w:t>https://www.england.nhs.uk/long-term-workforce-plan</w:t>
        </w:r>
      </w:hyperlink>
      <w:r>
        <w:rPr>
          <w:lang w:val="en-US"/>
        </w:rPr>
        <w:t xml:space="preserve"> </w:t>
      </w:r>
    </w:p>
    <w:p w14:paraId="59A78336" w14:textId="77777777" w:rsidR="00A82CF4" w:rsidRPr="00A82CF4" w:rsidRDefault="00A82CF4" w:rsidP="00A82CF4">
      <w:pPr>
        <w:ind w:left="720" w:hanging="720"/>
        <w:jc w:val="left"/>
        <w:rPr>
          <w:lang w:val="en-US"/>
        </w:rPr>
      </w:pPr>
      <w:r w:rsidRPr="00A82CF4">
        <w:rPr>
          <w:lang w:val="en-US"/>
        </w:rPr>
        <w:t xml:space="preserve">National Institute for Health and Care Excellence NICE 2022 </w:t>
      </w:r>
      <w:r w:rsidRPr="00A82CF4">
        <w:rPr>
          <w:i/>
          <w:iCs/>
          <w:lang w:val="en-US"/>
        </w:rPr>
        <w:t>Evidence Standards Framework for Digital Health Technologies.</w:t>
      </w:r>
      <w:r w:rsidRPr="00A82CF4">
        <w:rPr>
          <w:lang w:val="en-US"/>
        </w:rPr>
        <w:t xml:space="preserve"> London: NICE.</w:t>
      </w:r>
      <w:r w:rsidRPr="00A82CF4">
        <w:rPr>
          <w:lang w:val="en-US"/>
        </w:rPr>
        <w:br/>
        <w:t xml:space="preserve">Available at: </w:t>
      </w:r>
      <w:hyperlink r:id="rId11" w:history="1">
        <w:r w:rsidRPr="00A82CF4">
          <w:rPr>
            <w:rStyle w:val="Hyperlink"/>
            <w:lang w:val="en-US"/>
          </w:rPr>
          <w:t>https://www.nice.org.uk/about/what-we-do/our-programmes/evidence-standards-framework-for-digital-health-technologies</w:t>
        </w:r>
      </w:hyperlink>
      <w:r>
        <w:rPr>
          <w:lang w:val="en-US"/>
        </w:rPr>
        <w:t xml:space="preserve"> </w:t>
      </w:r>
    </w:p>
    <w:p w14:paraId="0A619533" w14:textId="77777777" w:rsidR="00A82CF4" w:rsidRPr="00A82CF4" w:rsidRDefault="00A82CF4" w:rsidP="00A82CF4">
      <w:pPr>
        <w:ind w:left="720" w:hanging="720"/>
        <w:jc w:val="left"/>
        <w:rPr>
          <w:lang w:val="en-US"/>
        </w:rPr>
      </w:pPr>
      <w:r w:rsidRPr="00A82CF4">
        <w:rPr>
          <w:lang w:val="en-US"/>
        </w:rPr>
        <w:t xml:space="preserve">Public Health England PHE 2022 </w:t>
      </w:r>
      <w:r w:rsidRPr="00A82CF4">
        <w:rPr>
          <w:i/>
          <w:iCs/>
          <w:lang w:val="en-US"/>
        </w:rPr>
        <w:t>Digital Inclusion in Health and Social Care.</w:t>
      </w:r>
      <w:r w:rsidRPr="00A82CF4">
        <w:rPr>
          <w:lang w:val="en-US"/>
        </w:rPr>
        <w:t xml:space="preserve"> London: Public Health England.</w:t>
      </w:r>
      <w:r>
        <w:rPr>
          <w:lang w:val="en-US"/>
        </w:rPr>
        <w:t xml:space="preserve"> </w:t>
      </w:r>
      <w:r w:rsidRPr="00A82CF4">
        <w:rPr>
          <w:lang w:val="en-US"/>
        </w:rPr>
        <w:t xml:space="preserve">Available at: </w:t>
      </w:r>
      <w:hyperlink r:id="rId12" w:history="1">
        <w:r w:rsidRPr="00A82CF4">
          <w:rPr>
            <w:rStyle w:val="Hyperlink"/>
            <w:lang w:val="en-US"/>
          </w:rPr>
          <w:t>https://www.gov.uk/government/publications/digital-inclusion-in-health-and-social-care</w:t>
        </w:r>
      </w:hyperlink>
      <w:r>
        <w:rPr>
          <w:lang w:val="en-US"/>
        </w:rPr>
        <w:t xml:space="preserve"> </w:t>
      </w:r>
    </w:p>
    <w:p w14:paraId="5CA56C30" w14:textId="77777777" w:rsidR="00A82CF4" w:rsidRDefault="00A82CF4" w:rsidP="00A82CF4">
      <w:pPr>
        <w:ind w:left="720" w:hanging="720"/>
        <w:jc w:val="left"/>
      </w:pPr>
      <w:r w:rsidRPr="00C918DD">
        <w:t>Rayner, M., 2022. The Care Quality Commission: A Regulatory Evolution. </w:t>
      </w:r>
      <w:r w:rsidRPr="00C918DD">
        <w:rPr>
          <w:i/>
          <w:iCs/>
        </w:rPr>
        <w:t>Judicial Review</w:t>
      </w:r>
      <w:r w:rsidRPr="00C918DD">
        <w:t>, </w:t>
      </w:r>
      <w:r w:rsidRPr="00C918DD">
        <w:rPr>
          <w:i/>
          <w:iCs/>
        </w:rPr>
        <w:t>27</w:t>
      </w:r>
      <w:r w:rsidRPr="00C918DD">
        <w:t xml:space="preserve">2, pp.126-131. </w:t>
      </w:r>
    </w:p>
    <w:p w14:paraId="51346326" w14:textId="77777777" w:rsidR="00A82CF4" w:rsidRPr="00A82CF4" w:rsidRDefault="00A82CF4" w:rsidP="00A82CF4">
      <w:pPr>
        <w:ind w:left="720" w:hanging="720"/>
        <w:jc w:val="left"/>
        <w:rPr>
          <w:lang w:val="en-US"/>
        </w:rPr>
      </w:pPr>
      <w:r w:rsidRPr="00A82CF4">
        <w:rPr>
          <w:lang w:val="en-US"/>
        </w:rPr>
        <w:lastRenderedPageBreak/>
        <w:t xml:space="preserve">The King’s Fund 2021 </w:t>
      </w:r>
      <w:r w:rsidRPr="00A82CF4">
        <w:rPr>
          <w:i/>
          <w:iCs/>
          <w:lang w:val="en-US"/>
        </w:rPr>
        <w:t>Adopting and Spreading Innovation in the NHS.</w:t>
      </w:r>
      <w:r w:rsidRPr="00A82CF4">
        <w:rPr>
          <w:lang w:val="en-US"/>
        </w:rPr>
        <w:t xml:space="preserve"> London: The King’s Fund.</w:t>
      </w:r>
      <w:r w:rsidRPr="00A82CF4">
        <w:rPr>
          <w:lang w:val="en-US"/>
        </w:rPr>
        <w:br/>
        <w:t xml:space="preserve">Available at: </w:t>
      </w:r>
      <w:hyperlink r:id="rId13" w:history="1">
        <w:r w:rsidRPr="00A82CF4">
          <w:rPr>
            <w:rStyle w:val="Hyperlink"/>
            <w:lang w:val="en-US"/>
          </w:rPr>
          <w:t>https://www.kingsfund.org.uk/publications/adopting-spreading-innovation-nhs</w:t>
        </w:r>
      </w:hyperlink>
      <w:r>
        <w:rPr>
          <w:lang w:val="en-US"/>
        </w:rPr>
        <w:t xml:space="preserve"> </w:t>
      </w:r>
    </w:p>
    <w:p w14:paraId="61CC905B" w14:textId="77777777" w:rsidR="00A82CF4" w:rsidRPr="00A82CF4" w:rsidRDefault="00A82CF4" w:rsidP="00A82CF4">
      <w:pPr>
        <w:ind w:left="720" w:hanging="720"/>
        <w:jc w:val="left"/>
        <w:rPr>
          <w:lang w:val="en-US"/>
        </w:rPr>
      </w:pPr>
      <w:r w:rsidRPr="00A82CF4">
        <w:rPr>
          <w:lang w:val="en-US"/>
        </w:rPr>
        <w:t xml:space="preserve">World Health Organization WHO 2021 </w:t>
      </w:r>
      <w:r w:rsidRPr="00A82CF4">
        <w:rPr>
          <w:i/>
          <w:iCs/>
          <w:lang w:val="en-US"/>
        </w:rPr>
        <w:t>Global Strategy on Digital Health 2020–2025.</w:t>
      </w:r>
      <w:r w:rsidRPr="00A82CF4">
        <w:rPr>
          <w:lang w:val="en-US"/>
        </w:rPr>
        <w:t xml:space="preserve"> Geneva: WHO.</w:t>
      </w:r>
      <w:r w:rsidRPr="00A82CF4">
        <w:rPr>
          <w:lang w:val="en-US"/>
        </w:rPr>
        <w:br/>
        <w:t xml:space="preserve">Available at: </w:t>
      </w:r>
      <w:hyperlink r:id="rId14" w:tgtFrame="_new" w:history="1">
        <w:r w:rsidRPr="00A82CF4">
          <w:rPr>
            <w:rStyle w:val="Hyperlink"/>
            <w:lang w:val="en-US"/>
          </w:rPr>
          <w:t>https://www.who.int/publications/i/item/9789240020924</w:t>
        </w:r>
      </w:hyperlink>
      <w:r w:rsidRPr="00A82CF4">
        <w:rPr>
          <w:lang w:val="en-US"/>
        </w:rPr>
        <w:t xml:space="preserve"> </w:t>
      </w:r>
    </w:p>
    <w:p w14:paraId="5676E131" w14:textId="77777777" w:rsidR="00A82CF4" w:rsidRPr="00A82CF4" w:rsidRDefault="00A82CF4" w:rsidP="006C2D3F">
      <w:pPr>
        <w:ind w:left="720" w:hanging="720"/>
        <w:rPr>
          <w:lang w:val="en-US"/>
        </w:rPr>
      </w:pPr>
    </w:p>
    <w:sectPr w:rsidR="00A82CF4" w:rsidRPr="00A82CF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69C6B7" w14:textId="77777777" w:rsidR="005F0B0A" w:rsidRDefault="005F0B0A" w:rsidP="005F0B0A">
      <w:pPr>
        <w:spacing w:after="0" w:line="240" w:lineRule="auto"/>
      </w:pPr>
      <w:r>
        <w:separator/>
      </w:r>
    </w:p>
  </w:endnote>
  <w:endnote w:type="continuationSeparator" w:id="0">
    <w:p w14:paraId="64D15533" w14:textId="77777777" w:rsidR="005F0B0A" w:rsidRDefault="005F0B0A" w:rsidP="005F0B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7634061"/>
      <w:docPartObj>
        <w:docPartGallery w:val="Page Numbers (Bottom of Page)"/>
        <w:docPartUnique/>
      </w:docPartObj>
    </w:sdtPr>
    <w:sdtContent>
      <w:p w14:paraId="441FCA90" w14:textId="49C4E769" w:rsidR="005F0B0A" w:rsidRDefault="005F0B0A">
        <w:pPr>
          <w:pStyle w:val="Footer"/>
          <w:jc w:val="center"/>
        </w:pPr>
        <w:r>
          <w:fldChar w:fldCharType="begin"/>
        </w:r>
        <w:r>
          <w:instrText>PAGE   \* MERGEFORMAT</w:instrText>
        </w:r>
        <w:r>
          <w:fldChar w:fldCharType="separate"/>
        </w:r>
        <w:r>
          <w:t>2</w:t>
        </w:r>
        <w:r>
          <w:fldChar w:fldCharType="end"/>
        </w:r>
      </w:p>
    </w:sdtContent>
  </w:sdt>
  <w:p w14:paraId="31530B3A" w14:textId="77777777" w:rsidR="005F0B0A" w:rsidRDefault="005F0B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DBCDD3" w14:textId="77777777" w:rsidR="005F0B0A" w:rsidRDefault="005F0B0A" w:rsidP="005F0B0A">
      <w:pPr>
        <w:spacing w:after="0" w:line="240" w:lineRule="auto"/>
      </w:pPr>
      <w:r>
        <w:separator/>
      </w:r>
    </w:p>
  </w:footnote>
  <w:footnote w:type="continuationSeparator" w:id="0">
    <w:p w14:paraId="541107B0" w14:textId="77777777" w:rsidR="005F0B0A" w:rsidRDefault="005F0B0A" w:rsidP="005F0B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0041D4"/>
    <w:multiLevelType w:val="hybridMultilevel"/>
    <w:tmpl w:val="2496DAE4"/>
    <w:lvl w:ilvl="0" w:tplc="C03C4A46">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BD1129A"/>
    <w:multiLevelType w:val="hybridMultilevel"/>
    <w:tmpl w:val="C53E5852"/>
    <w:lvl w:ilvl="0" w:tplc="C03C4A4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32349F9"/>
    <w:multiLevelType w:val="hybridMultilevel"/>
    <w:tmpl w:val="4B72D6E8"/>
    <w:lvl w:ilvl="0" w:tplc="C03C4A46">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470C66B0"/>
    <w:multiLevelType w:val="hybridMultilevel"/>
    <w:tmpl w:val="7CAA2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D57C7E"/>
    <w:multiLevelType w:val="hybridMultilevel"/>
    <w:tmpl w:val="A6E4F4D0"/>
    <w:lvl w:ilvl="0" w:tplc="C03C4A4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1A5DBB"/>
    <w:multiLevelType w:val="hybridMultilevel"/>
    <w:tmpl w:val="CE922E62"/>
    <w:lvl w:ilvl="0" w:tplc="C03C4A4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1161399">
    <w:abstractNumId w:val="3"/>
  </w:num>
  <w:num w:numId="2" w16cid:durableId="1124419514">
    <w:abstractNumId w:val="5"/>
  </w:num>
  <w:num w:numId="3" w16cid:durableId="1505049895">
    <w:abstractNumId w:val="2"/>
  </w:num>
  <w:num w:numId="4" w16cid:durableId="73747491">
    <w:abstractNumId w:val="0"/>
  </w:num>
  <w:num w:numId="5" w16cid:durableId="1767922895">
    <w:abstractNumId w:val="1"/>
  </w:num>
  <w:num w:numId="6" w16cid:durableId="2409889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0E3"/>
    <w:rsid w:val="00447346"/>
    <w:rsid w:val="004B6EEC"/>
    <w:rsid w:val="005F0B0A"/>
    <w:rsid w:val="00617883"/>
    <w:rsid w:val="00673967"/>
    <w:rsid w:val="006900B1"/>
    <w:rsid w:val="006C2D3F"/>
    <w:rsid w:val="00847237"/>
    <w:rsid w:val="0088568A"/>
    <w:rsid w:val="00A7557D"/>
    <w:rsid w:val="00A82CF4"/>
    <w:rsid w:val="00AE0EFE"/>
    <w:rsid w:val="00AE511C"/>
    <w:rsid w:val="00BA28A6"/>
    <w:rsid w:val="00C918DD"/>
    <w:rsid w:val="00D260E3"/>
    <w:rsid w:val="00E046EA"/>
    <w:rsid w:val="00EA3D17"/>
    <w:rsid w:val="00FB5D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B70F0"/>
  <w15:chartTrackingRefBased/>
  <w15:docId w15:val="{566FA3A4-8349-40E9-9C00-41FCE4201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0E3"/>
    <w:pPr>
      <w:spacing w:line="360" w:lineRule="auto"/>
      <w:jc w:val="both"/>
    </w:pPr>
    <w:rPr>
      <w:rFonts w:ascii="Arial" w:hAnsi="Arial"/>
      <w:sz w:val="22"/>
      <w:lang w:val="en-GB"/>
    </w:rPr>
  </w:style>
  <w:style w:type="paragraph" w:styleId="Heading1">
    <w:name w:val="heading 1"/>
    <w:basedOn w:val="Normal"/>
    <w:next w:val="Normal"/>
    <w:link w:val="Heading1Char"/>
    <w:uiPriority w:val="9"/>
    <w:qFormat/>
    <w:rsid w:val="00617883"/>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semiHidden/>
    <w:unhideWhenUsed/>
    <w:qFormat/>
    <w:rsid w:val="00617883"/>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semiHidden/>
    <w:unhideWhenUsed/>
    <w:qFormat/>
    <w:rsid w:val="00D260E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60E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260E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260E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60E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60E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60E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883"/>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semiHidden/>
    <w:rsid w:val="00617883"/>
    <w:rPr>
      <w:rFonts w:ascii="Times New Roman" w:eastAsiaTheme="majorEastAsia" w:hAnsi="Times New Roman" w:cstheme="majorBidi"/>
      <w:b/>
      <w:i/>
      <w:color w:val="000000" w:themeColor="text1"/>
      <w:szCs w:val="32"/>
      <w:lang w:val="en-GB"/>
    </w:rPr>
  </w:style>
  <w:style w:type="character" w:customStyle="1" w:styleId="Heading3Char">
    <w:name w:val="Heading 3 Char"/>
    <w:basedOn w:val="DefaultParagraphFont"/>
    <w:link w:val="Heading3"/>
    <w:uiPriority w:val="9"/>
    <w:semiHidden/>
    <w:rsid w:val="00D260E3"/>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D260E3"/>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D260E3"/>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D260E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260E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260E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260E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260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0E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260E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60E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260E3"/>
    <w:pPr>
      <w:spacing w:before="160"/>
      <w:jc w:val="center"/>
    </w:pPr>
    <w:rPr>
      <w:i/>
      <w:iCs/>
      <w:color w:val="404040" w:themeColor="text1" w:themeTint="BF"/>
    </w:rPr>
  </w:style>
  <w:style w:type="character" w:customStyle="1" w:styleId="QuoteChar">
    <w:name w:val="Quote Char"/>
    <w:basedOn w:val="DefaultParagraphFont"/>
    <w:link w:val="Quote"/>
    <w:uiPriority w:val="29"/>
    <w:rsid w:val="00D260E3"/>
    <w:rPr>
      <w:rFonts w:ascii="Times New Roman" w:hAnsi="Times New Roman"/>
      <w:i/>
      <w:iCs/>
      <w:color w:val="404040" w:themeColor="text1" w:themeTint="BF"/>
      <w:lang w:val="en-GB"/>
    </w:rPr>
  </w:style>
  <w:style w:type="paragraph" w:styleId="ListParagraph">
    <w:name w:val="List Paragraph"/>
    <w:basedOn w:val="Normal"/>
    <w:uiPriority w:val="34"/>
    <w:qFormat/>
    <w:rsid w:val="00D260E3"/>
    <w:pPr>
      <w:ind w:left="720"/>
      <w:contextualSpacing/>
    </w:pPr>
  </w:style>
  <w:style w:type="character" w:styleId="IntenseEmphasis">
    <w:name w:val="Intense Emphasis"/>
    <w:basedOn w:val="DefaultParagraphFont"/>
    <w:uiPriority w:val="21"/>
    <w:qFormat/>
    <w:rsid w:val="00D260E3"/>
    <w:rPr>
      <w:i/>
      <w:iCs/>
      <w:color w:val="2F5496" w:themeColor="accent1" w:themeShade="BF"/>
    </w:rPr>
  </w:style>
  <w:style w:type="paragraph" w:styleId="IntenseQuote">
    <w:name w:val="Intense Quote"/>
    <w:basedOn w:val="Normal"/>
    <w:next w:val="Normal"/>
    <w:link w:val="IntenseQuoteChar"/>
    <w:uiPriority w:val="30"/>
    <w:qFormat/>
    <w:rsid w:val="00D260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60E3"/>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D260E3"/>
    <w:rPr>
      <w:b/>
      <w:bCs/>
      <w:smallCaps/>
      <w:color w:val="2F5496" w:themeColor="accent1" w:themeShade="BF"/>
      <w:spacing w:val="5"/>
    </w:rPr>
  </w:style>
  <w:style w:type="character" w:styleId="Hyperlink">
    <w:name w:val="Hyperlink"/>
    <w:basedOn w:val="DefaultParagraphFont"/>
    <w:uiPriority w:val="99"/>
    <w:unhideWhenUsed/>
    <w:rsid w:val="00A82CF4"/>
    <w:rPr>
      <w:color w:val="0563C1" w:themeColor="hyperlink"/>
      <w:u w:val="single"/>
    </w:rPr>
  </w:style>
  <w:style w:type="character" w:styleId="UnresolvedMention">
    <w:name w:val="Unresolved Mention"/>
    <w:basedOn w:val="DefaultParagraphFont"/>
    <w:uiPriority w:val="99"/>
    <w:semiHidden/>
    <w:unhideWhenUsed/>
    <w:rsid w:val="00A82CF4"/>
    <w:rPr>
      <w:color w:val="605E5C"/>
      <w:shd w:val="clear" w:color="auto" w:fill="E1DFDD"/>
    </w:rPr>
  </w:style>
  <w:style w:type="paragraph" w:styleId="Header">
    <w:name w:val="header"/>
    <w:basedOn w:val="Normal"/>
    <w:link w:val="HeaderChar"/>
    <w:uiPriority w:val="99"/>
    <w:unhideWhenUsed/>
    <w:rsid w:val="005F0B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0B0A"/>
    <w:rPr>
      <w:rFonts w:ascii="Arial" w:hAnsi="Arial"/>
      <w:sz w:val="22"/>
      <w:lang w:val="en-GB"/>
    </w:rPr>
  </w:style>
  <w:style w:type="paragraph" w:styleId="Footer">
    <w:name w:val="footer"/>
    <w:basedOn w:val="Normal"/>
    <w:link w:val="FooterChar"/>
    <w:uiPriority w:val="99"/>
    <w:unhideWhenUsed/>
    <w:rsid w:val="005F0B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0B0A"/>
    <w:rPr>
      <w:rFonts w:ascii="Arial" w:hAnsi="Arial"/>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nsform.england.nhs.uk/what-good-looks-like" TargetMode="External"/><Relationship Id="rId13" Type="http://schemas.openxmlformats.org/officeDocument/2006/relationships/hyperlink" Target="https://www.kingsfund.org.uk/publications/adopting-spreading-innovation-nhs" TargetMode="External"/><Relationship Id="rId3" Type="http://schemas.openxmlformats.org/officeDocument/2006/relationships/settings" Target="settings.xml"/><Relationship Id="rId7" Type="http://schemas.openxmlformats.org/officeDocument/2006/relationships/hyperlink" Target="https://www.cqc.org.uk/publications/our-strategy-2021-2025" TargetMode="External"/><Relationship Id="rId12" Type="http://schemas.openxmlformats.org/officeDocument/2006/relationships/hyperlink" Target="https://www.gov.uk/government/publications/digital-inclusion-in-health-and-social-ca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about/what-we-do/our-programmes/evidence-standards-framework-for-digital-health-technologie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ngland.nhs.uk/long-term-workforce-plan" TargetMode="External"/><Relationship Id="rId4" Type="http://schemas.openxmlformats.org/officeDocument/2006/relationships/webSettings" Target="webSettings.xml"/><Relationship Id="rId9" Type="http://schemas.openxmlformats.org/officeDocument/2006/relationships/hyperlink" Target="https://transform.england.nhs.uk/digital-clinical-safety-strategy" TargetMode="External"/><Relationship Id="rId14" Type="http://schemas.openxmlformats.org/officeDocument/2006/relationships/hyperlink" Target="https://www.who.int/publications/i/item/97892400209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1556</Words>
  <Characters>8871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 traders</dc:creator>
  <cp:keywords/>
  <dc:description/>
  <cp:lastModifiedBy>Hortense Assoh (2245799)</cp:lastModifiedBy>
  <cp:revision>2</cp:revision>
  <dcterms:created xsi:type="dcterms:W3CDTF">2025-11-24T11:13:00Z</dcterms:created>
  <dcterms:modified xsi:type="dcterms:W3CDTF">2025-11-24T11:13:00Z</dcterms:modified>
</cp:coreProperties>
</file>