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4178" w:rsidRDefault="00764178" w:rsidP="00764178">
      <w:pPr>
        <w:pStyle w:val="NormalWeb"/>
        <w:spacing w:before="0" w:beforeAutospacing="0" w:after="0"/>
        <w:ind w:left="-180" w:right="-334"/>
        <w:rPr>
          <w:rFonts w:ascii="Trebuchet MS" w:hAnsi="Trebuchet MS" w:cs="Tahoma"/>
        </w:rPr>
      </w:pPr>
      <w:r>
        <w:rPr>
          <w:noProof/>
        </w:rPr>
        <w:drawing>
          <wp:inline distT="0" distB="0" distL="0" distR="0" wp14:anchorId="651811A5" wp14:editId="6769CBB8">
            <wp:extent cx="2876550" cy="1047750"/>
            <wp:effectExtent l="19050" t="19050" r="19050" b="1905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764178" w:rsidRDefault="00764178" w:rsidP="00764178">
      <w:pPr>
        <w:pStyle w:val="Heading1"/>
        <w:jc w:val="center"/>
        <w:rPr>
          <w:lang w:val="cy-GB"/>
        </w:rPr>
      </w:pPr>
      <w:r>
        <w:rPr>
          <w:lang w:val="cy-GB"/>
        </w:rPr>
        <w:t xml:space="preserve">Undergraduate Independent Project </w:t>
      </w:r>
      <w:r w:rsidRPr="0065654E">
        <w:rPr>
          <w:lang w:val="cy-GB"/>
        </w:rPr>
        <w:t>coversheet</w:t>
      </w:r>
      <w:r>
        <w:rPr>
          <w:lang w:val="cy-GB"/>
        </w:rPr>
        <w:t xml:space="preserve"> &amp; </w:t>
      </w:r>
      <w:r w:rsidRPr="0065654E">
        <w:rPr>
          <w:lang w:val="cy-GB"/>
        </w:rPr>
        <w:t>feedback form</w:t>
      </w:r>
    </w:p>
    <w:p w:rsidR="00764178" w:rsidRPr="002E67CE" w:rsidRDefault="00764178" w:rsidP="00764178">
      <w:pPr>
        <w:rPr>
          <w:lang w:val="cy-GB"/>
        </w:rPr>
      </w:pPr>
    </w:p>
    <w:p w:rsidR="00764178" w:rsidRDefault="00764178" w:rsidP="00764178">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43"/>
        <w:gridCol w:w="376"/>
        <w:gridCol w:w="273"/>
        <w:gridCol w:w="759"/>
        <w:gridCol w:w="224"/>
        <w:gridCol w:w="1633"/>
        <w:gridCol w:w="28"/>
      </w:tblGrid>
      <w:tr w:rsidR="00764178" w:rsidRPr="002F467C" w:rsidTr="001C23E0">
        <w:trPr>
          <w:gridAfter w:val="1"/>
          <w:wAfter w:w="101" w:type="dxa"/>
          <w:trHeight w:val="614"/>
        </w:trPr>
        <w:tc>
          <w:tcPr>
            <w:tcW w:w="8755" w:type="dxa"/>
            <w:gridSpan w:val="6"/>
          </w:tcPr>
          <w:p w:rsidR="00764178" w:rsidRPr="002F467C" w:rsidRDefault="00764178" w:rsidP="001C23E0">
            <w:pPr>
              <w:pStyle w:val="NormalWeb"/>
              <w:spacing w:before="0" w:beforeAutospacing="0" w:after="0"/>
              <w:ind w:right="34"/>
              <w:rPr>
                <w:rFonts w:ascii="Calibri" w:hAnsi="Calibri" w:cs="Tahoma"/>
                <w:i/>
              </w:rPr>
            </w:pPr>
            <w:r w:rsidRPr="002F467C">
              <w:rPr>
                <w:rFonts w:ascii="Calibri" w:hAnsi="Calibri" w:cs="Tahoma"/>
                <w:i/>
              </w:rPr>
              <w:t>For completion by student:</w:t>
            </w:r>
          </w:p>
        </w:tc>
      </w:tr>
      <w:tr w:rsidR="00764178" w:rsidRPr="002F467C" w:rsidTr="001C23E0">
        <w:trPr>
          <w:gridAfter w:val="1"/>
          <w:wAfter w:w="101" w:type="dxa"/>
          <w:trHeight w:val="718"/>
        </w:trPr>
        <w:tc>
          <w:tcPr>
            <w:tcW w:w="8755" w:type="dxa"/>
            <w:gridSpan w:val="6"/>
          </w:tcPr>
          <w:p w:rsidR="00764178" w:rsidRPr="002F467C" w:rsidRDefault="00764178" w:rsidP="001C23E0">
            <w:pPr>
              <w:pStyle w:val="NormalWeb"/>
              <w:spacing w:before="0" w:beforeAutospacing="0" w:after="0"/>
              <w:ind w:right="34"/>
              <w:rPr>
                <w:rFonts w:ascii="Calibri" w:hAnsi="Calibri" w:cs="Tahoma"/>
                <w:i/>
              </w:rPr>
            </w:pPr>
            <w:r w:rsidRPr="002F467C">
              <w:rPr>
                <w:rFonts w:ascii="Calibri" w:hAnsi="Calibri" w:cs="Tahoma"/>
                <w:i/>
              </w:rPr>
              <w:t>Student Name:</w:t>
            </w:r>
            <w:r>
              <w:rPr>
                <w:rFonts w:ascii="Calibri" w:hAnsi="Calibri" w:cs="Tahoma"/>
                <w:i/>
              </w:rPr>
              <w:t xml:space="preserve"> Colin Cortbus</w:t>
            </w:r>
          </w:p>
          <w:p w:rsidR="00764178" w:rsidRDefault="00764178" w:rsidP="001C23E0">
            <w:pPr>
              <w:pStyle w:val="NormalWeb"/>
              <w:spacing w:before="0" w:beforeAutospacing="0" w:after="0"/>
              <w:ind w:right="34"/>
              <w:rPr>
                <w:rFonts w:ascii="Calibri" w:hAnsi="Calibri" w:cs="Tahoma"/>
                <w:i/>
              </w:rPr>
            </w:pPr>
          </w:p>
          <w:p w:rsidR="00764178" w:rsidRPr="002F467C" w:rsidRDefault="00764178" w:rsidP="001C23E0">
            <w:pPr>
              <w:pStyle w:val="NormalWeb"/>
              <w:spacing w:before="0" w:beforeAutospacing="0" w:after="0"/>
              <w:ind w:right="34"/>
              <w:rPr>
                <w:rFonts w:ascii="Calibri" w:hAnsi="Calibri" w:cs="Tahoma"/>
                <w:i/>
              </w:rPr>
            </w:pPr>
            <w:r w:rsidRPr="002F467C">
              <w:rPr>
                <w:rFonts w:ascii="Calibri" w:hAnsi="Calibri" w:cs="Tahoma"/>
                <w:i/>
              </w:rPr>
              <w:t xml:space="preserve">Student </w:t>
            </w:r>
            <w:r w:rsidRPr="002F467C">
              <w:rPr>
                <w:rFonts w:ascii="Calibri" w:hAnsi="Calibri" w:cs="Tahoma"/>
                <w:b/>
                <w:bCs/>
                <w:i/>
                <w:u w:val="single"/>
              </w:rPr>
              <w:t>University</w:t>
            </w:r>
            <w:r w:rsidRPr="002F467C">
              <w:rPr>
                <w:rFonts w:ascii="Calibri" w:hAnsi="Calibri" w:cs="Tahoma"/>
                <w:i/>
                <w:u w:val="single"/>
              </w:rPr>
              <w:t xml:space="preserve"> </w:t>
            </w:r>
            <w:r w:rsidRPr="002F467C">
              <w:rPr>
                <w:rFonts w:ascii="Calibri" w:hAnsi="Calibri" w:cs="Tahoma"/>
                <w:i/>
              </w:rPr>
              <w:t xml:space="preserve">Email: </w:t>
            </w:r>
            <w:r>
              <w:rPr>
                <w:rFonts w:ascii="Calibri" w:hAnsi="Calibri" w:cs="Tahoma"/>
                <w:i/>
              </w:rPr>
              <w:t xml:space="preserve"> 1502664@student.uwtsd.ac.uk</w:t>
            </w:r>
          </w:p>
        </w:tc>
      </w:tr>
      <w:tr w:rsidR="00764178" w:rsidRPr="002F467C" w:rsidTr="001C23E0">
        <w:trPr>
          <w:gridAfter w:val="1"/>
          <w:wAfter w:w="101" w:type="dxa"/>
          <w:trHeight w:val="849"/>
        </w:trPr>
        <w:tc>
          <w:tcPr>
            <w:tcW w:w="4788" w:type="dxa"/>
          </w:tcPr>
          <w:p w:rsidR="00764178" w:rsidRDefault="00764178" w:rsidP="001C23E0">
            <w:pPr>
              <w:pStyle w:val="NormalWeb"/>
              <w:spacing w:before="0" w:beforeAutospacing="0" w:after="0"/>
              <w:ind w:right="34"/>
              <w:rPr>
                <w:rFonts w:ascii="Calibri" w:hAnsi="Calibri" w:cs="Tahoma"/>
                <w:i/>
              </w:rPr>
            </w:pPr>
          </w:p>
          <w:p w:rsidR="00764178" w:rsidRDefault="00764178" w:rsidP="001C23E0">
            <w:pPr>
              <w:pStyle w:val="NormalWeb"/>
              <w:spacing w:before="0" w:beforeAutospacing="0" w:after="0"/>
              <w:ind w:right="34"/>
              <w:rPr>
                <w:rFonts w:ascii="Calibri" w:hAnsi="Calibri" w:cs="Tahoma"/>
                <w:i/>
              </w:rPr>
            </w:pPr>
            <w:r w:rsidRPr="002F467C">
              <w:rPr>
                <w:rFonts w:ascii="Calibri" w:hAnsi="Calibri" w:cs="Tahoma"/>
                <w:i/>
              </w:rPr>
              <w:t>Module code:</w:t>
            </w:r>
          </w:p>
          <w:p w:rsidR="00764178" w:rsidRPr="002F467C" w:rsidRDefault="00764178" w:rsidP="001C23E0">
            <w:pPr>
              <w:pStyle w:val="NormalWeb"/>
              <w:spacing w:before="0" w:beforeAutospacing="0" w:after="0"/>
              <w:ind w:right="34"/>
              <w:rPr>
                <w:rFonts w:ascii="Calibri" w:hAnsi="Calibri" w:cs="Tahoma"/>
                <w:i/>
              </w:rPr>
            </w:pPr>
            <w:r>
              <w:rPr>
                <w:rFonts w:ascii="Calibri" w:hAnsi="Calibri" w:cs="Tahoma"/>
                <w:i/>
              </w:rPr>
              <w:t>AHAN6003</w:t>
            </w:r>
          </w:p>
        </w:tc>
        <w:tc>
          <w:tcPr>
            <w:tcW w:w="2266" w:type="dxa"/>
            <w:gridSpan w:val="4"/>
          </w:tcPr>
          <w:p w:rsidR="00764178" w:rsidRDefault="00764178" w:rsidP="001C23E0">
            <w:pPr>
              <w:pStyle w:val="NormalWeb"/>
              <w:spacing w:before="0" w:beforeAutospacing="0" w:after="0"/>
              <w:ind w:right="34"/>
              <w:rPr>
                <w:rFonts w:ascii="Calibri" w:hAnsi="Calibri" w:cs="Tahoma"/>
                <w:i/>
              </w:rPr>
            </w:pPr>
            <w:r w:rsidRPr="002F467C">
              <w:rPr>
                <w:rFonts w:ascii="Calibri" w:hAnsi="Calibri" w:cs="Tahoma"/>
                <w:i/>
              </w:rPr>
              <w:t>Student ID number:</w:t>
            </w:r>
          </w:p>
          <w:p w:rsidR="00764178" w:rsidRPr="002F467C" w:rsidRDefault="00764178" w:rsidP="001C23E0">
            <w:pPr>
              <w:pStyle w:val="NormalWeb"/>
              <w:spacing w:before="0" w:beforeAutospacing="0" w:after="0"/>
              <w:ind w:right="34"/>
              <w:rPr>
                <w:rFonts w:ascii="Calibri" w:hAnsi="Calibri" w:cs="Tahoma"/>
                <w:i/>
              </w:rPr>
            </w:pPr>
            <w:r>
              <w:rPr>
                <w:rFonts w:ascii="Calibri" w:hAnsi="Calibri" w:cs="Tahoma"/>
                <w:i/>
              </w:rPr>
              <w:t>1502664</w:t>
            </w:r>
          </w:p>
        </w:tc>
        <w:tc>
          <w:tcPr>
            <w:tcW w:w="1701" w:type="dxa"/>
          </w:tcPr>
          <w:p w:rsidR="00764178" w:rsidRPr="002F467C" w:rsidRDefault="00764178" w:rsidP="001C23E0">
            <w:pPr>
              <w:pStyle w:val="NormalWeb"/>
              <w:spacing w:before="0" w:beforeAutospacing="0" w:after="0"/>
              <w:ind w:right="34"/>
              <w:rPr>
                <w:rFonts w:ascii="Calibri" w:hAnsi="Calibri" w:cs="Tahoma"/>
                <w:i/>
              </w:rPr>
            </w:pPr>
            <w:r w:rsidRPr="002F467C">
              <w:rPr>
                <w:rFonts w:ascii="Calibri" w:hAnsi="Calibri" w:cs="Tahoma"/>
                <w:i/>
              </w:rPr>
              <w:t>Educational support needs:</w:t>
            </w:r>
          </w:p>
          <w:p w:rsidR="00764178" w:rsidRPr="002F467C" w:rsidRDefault="00764178" w:rsidP="001C23E0">
            <w:pPr>
              <w:pStyle w:val="NormalWeb"/>
              <w:spacing w:before="0" w:beforeAutospacing="0" w:after="0"/>
              <w:ind w:right="34"/>
              <w:rPr>
                <w:rFonts w:ascii="Calibri" w:hAnsi="Calibri" w:cs="Tahoma"/>
                <w:i/>
              </w:rPr>
            </w:pPr>
            <w:r w:rsidRPr="002F467C">
              <w:rPr>
                <w:rFonts w:ascii="Calibri" w:hAnsi="Calibri" w:cs="Tahoma"/>
                <w:i/>
              </w:rPr>
              <w:t>No</w:t>
            </w:r>
          </w:p>
        </w:tc>
      </w:tr>
      <w:tr w:rsidR="00764178" w:rsidRPr="002F467C" w:rsidTr="001C23E0">
        <w:trPr>
          <w:gridAfter w:val="1"/>
          <w:wAfter w:w="101" w:type="dxa"/>
          <w:trHeight w:val="820"/>
        </w:trPr>
        <w:tc>
          <w:tcPr>
            <w:tcW w:w="8755" w:type="dxa"/>
            <w:gridSpan w:val="6"/>
          </w:tcPr>
          <w:p w:rsidR="00764178" w:rsidRDefault="00764178" w:rsidP="001C23E0">
            <w:pPr>
              <w:pStyle w:val="NormalWeb"/>
              <w:spacing w:before="0" w:beforeAutospacing="0" w:after="0"/>
              <w:ind w:right="34"/>
              <w:rPr>
                <w:rFonts w:ascii="Calibri" w:hAnsi="Calibri" w:cs="Tahoma"/>
                <w:i/>
              </w:rPr>
            </w:pPr>
            <w:r>
              <w:rPr>
                <w:rFonts w:ascii="Calibri" w:hAnsi="Calibri" w:cs="Tahoma"/>
                <w:i/>
              </w:rPr>
              <w:t>Dissertation title:</w:t>
            </w:r>
          </w:p>
          <w:p w:rsidR="00764178" w:rsidRPr="00764178" w:rsidRDefault="00764178" w:rsidP="00764178">
            <w:pPr>
              <w:pStyle w:val="NormalWeb"/>
              <w:spacing w:after="0"/>
              <w:ind w:right="34"/>
              <w:rPr>
                <w:rFonts w:ascii="Calibri" w:hAnsi="Calibri" w:cs="Tahoma"/>
                <w:i/>
              </w:rPr>
            </w:pPr>
            <w:r w:rsidRPr="00764178">
              <w:rPr>
                <w:rFonts w:ascii="Calibri" w:hAnsi="Calibri" w:cs="Tahoma"/>
                <w:i/>
              </w:rPr>
              <w:t xml:space="preserve">Legal Thuggery </w:t>
            </w:r>
            <w:proofErr w:type="gramStart"/>
            <w:r w:rsidRPr="00764178">
              <w:rPr>
                <w:rFonts w:ascii="Calibri" w:hAnsi="Calibri" w:cs="Tahoma"/>
                <w:i/>
              </w:rPr>
              <w:t>In</w:t>
            </w:r>
            <w:proofErr w:type="gramEnd"/>
            <w:r w:rsidRPr="00764178">
              <w:rPr>
                <w:rFonts w:ascii="Calibri" w:hAnsi="Calibri" w:cs="Tahoma"/>
                <w:i/>
              </w:rPr>
              <w:t xml:space="preserve"> The Service Of Power</w:t>
            </w:r>
          </w:p>
          <w:p w:rsidR="00764178" w:rsidRPr="00764178" w:rsidRDefault="00764178" w:rsidP="00764178">
            <w:pPr>
              <w:pStyle w:val="NormalWeb"/>
              <w:spacing w:after="0"/>
              <w:ind w:right="34"/>
              <w:rPr>
                <w:rFonts w:ascii="Calibri" w:hAnsi="Calibri" w:cs="Tahoma"/>
                <w:i/>
              </w:rPr>
            </w:pPr>
          </w:p>
          <w:p w:rsidR="00764178" w:rsidRDefault="00764178" w:rsidP="00764178">
            <w:pPr>
              <w:pStyle w:val="NormalWeb"/>
              <w:spacing w:before="0" w:beforeAutospacing="0" w:after="0"/>
              <w:ind w:right="34"/>
              <w:rPr>
                <w:rFonts w:ascii="Calibri" w:hAnsi="Calibri" w:cs="Tahoma"/>
                <w:i/>
              </w:rPr>
            </w:pPr>
            <w:r w:rsidRPr="00764178">
              <w:rPr>
                <w:rFonts w:ascii="Calibri" w:hAnsi="Calibri" w:cs="Tahoma"/>
                <w:i/>
              </w:rPr>
              <w:t xml:space="preserve"> The Court Case Against Far-Right Newspaper Publisher Gerhard Frey As </w:t>
            </w:r>
            <w:proofErr w:type="gramStart"/>
            <w:r w:rsidRPr="00764178">
              <w:rPr>
                <w:rFonts w:ascii="Calibri" w:hAnsi="Calibri" w:cs="Tahoma"/>
                <w:i/>
              </w:rPr>
              <w:t>A</w:t>
            </w:r>
            <w:proofErr w:type="gramEnd"/>
            <w:r w:rsidRPr="00764178">
              <w:rPr>
                <w:rFonts w:ascii="Calibri" w:hAnsi="Calibri" w:cs="Tahoma"/>
                <w:i/>
              </w:rPr>
              <w:t xml:space="preserve"> Reflection Of “Constitutional Realities” in Late 1960s West Germany</w:t>
            </w:r>
          </w:p>
          <w:p w:rsidR="00764178" w:rsidRPr="002F467C" w:rsidRDefault="00764178" w:rsidP="00764178">
            <w:pPr>
              <w:pStyle w:val="NormalWeb"/>
              <w:spacing w:before="0" w:beforeAutospacing="0" w:after="0"/>
              <w:ind w:right="34"/>
              <w:rPr>
                <w:rFonts w:ascii="Calibri" w:hAnsi="Calibri" w:cs="Tahoma"/>
                <w:i/>
              </w:rPr>
            </w:pPr>
          </w:p>
        </w:tc>
      </w:tr>
      <w:tr w:rsidR="00764178" w:rsidRPr="002F467C" w:rsidTr="001C23E0">
        <w:trPr>
          <w:gridAfter w:val="1"/>
          <w:wAfter w:w="101" w:type="dxa"/>
          <w:trHeight w:val="539"/>
        </w:trPr>
        <w:tc>
          <w:tcPr>
            <w:tcW w:w="5495" w:type="dxa"/>
            <w:gridSpan w:val="3"/>
            <w:tcBorders>
              <w:bottom w:val="single" w:sz="4" w:space="0" w:color="000000"/>
            </w:tcBorders>
          </w:tcPr>
          <w:p w:rsidR="00764178" w:rsidRPr="002F467C" w:rsidRDefault="00764178" w:rsidP="001C23E0">
            <w:pPr>
              <w:pStyle w:val="NormalWeb"/>
              <w:spacing w:before="0" w:beforeAutospacing="0" w:after="0"/>
              <w:ind w:right="34"/>
              <w:rPr>
                <w:rFonts w:ascii="Calibri" w:hAnsi="Calibri" w:cs="Tahoma"/>
                <w:i/>
              </w:rPr>
            </w:pPr>
            <w:r>
              <w:rPr>
                <w:rFonts w:ascii="Calibri" w:hAnsi="Calibri" w:cs="Tahoma"/>
                <w:i/>
              </w:rPr>
              <w:t>Supervisor:  Prof. Scott</w:t>
            </w:r>
          </w:p>
        </w:tc>
        <w:tc>
          <w:tcPr>
            <w:tcW w:w="3260" w:type="dxa"/>
            <w:gridSpan w:val="3"/>
            <w:tcBorders>
              <w:bottom w:val="single" w:sz="4" w:space="0" w:color="000000"/>
            </w:tcBorders>
          </w:tcPr>
          <w:p w:rsidR="00764178" w:rsidRPr="002F467C" w:rsidRDefault="00764178" w:rsidP="001C23E0">
            <w:pPr>
              <w:pStyle w:val="NormalWeb"/>
              <w:spacing w:before="0" w:beforeAutospacing="0" w:after="0"/>
              <w:ind w:right="34"/>
              <w:rPr>
                <w:rFonts w:ascii="Calibri" w:hAnsi="Calibri" w:cs="Tahoma"/>
                <w:i/>
              </w:rPr>
            </w:pPr>
            <w:r w:rsidRPr="002F467C">
              <w:rPr>
                <w:rFonts w:ascii="Calibri" w:hAnsi="Calibri" w:cs="Tahoma"/>
                <w:i/>
              </w:rPr>
              <w:t>Word coun</w:t>
            </w:r>
            <w:r>
              <w:rPr>
                <w:rFonts w:ascii="Calibri" w:hAnsi="Calibri" w:cs="Tahoma"/>
                <w:i/>
              </w:rPr>
              <w:t>t:</w:t>
            </w:r>
          </w:p>
        </w:tc>
      </w:tr>
      <w:tr w:rsidR="00764178" w:rsidRPr="002F467C" w:rsidTr="001C23E0">
        <w:trPr>
          <w:gridAfter w:val="1"/>
          <w:wAfter w:w="101" w:type="dxa"/>
          <w:trHeight w:val="978"/>
        </w:trPr>
        <w:tc>
          <w:tcPr>
            <w:tcW w:w="8755" w:type="dxa"/>
            <w:gridSpan w:val="6"/>
            <w:shd w:val="clear" w:color="auto" w:fill="D9D9D9"/>
          </w:tcPr>
          <w:p w:rsidR="00764178" w:rsidRPr="002F467C" w:rsidRDefault="00764178" w:rsidP="001C23E0">
            <w:pPr>
              <w:pStyle w:val="NormalWeb"/>
              <w:spacing w:before="0" w:beforeAutospacing="0" w:after="0"/>
              <w:ind w:right="34"/>
              <w:rPr>
                <w:rFonts w:ascii="Calibri" w:hAnsi="Calibri" w:cs="Tahoma"/>
              </w:rPr>
            </w:pPr>
            <w:r w:rsidRPr="002F467C">
              <w:rPr>
                <w:rFonts w:ascii="Calibri" w:hAnsi="Calibri" w:cs="Tahoma"/>
              </w:rPr>
              <w:t>I confirm that this is my original work and that I have adhered to the University policy on plagiarism.</w:t>
            </w:r>
          </w:p>
          <w:p w:rsidR="00764178" w:rsidRPr="002F467C" w:rsidRDefault="00764178" w:rsidP="001C23E0">
            <w:pPr>
              <w:pStyle w:val="NormalWeb"/>
              <w:spacing w:before="0" w:beforeAutospacing="0" w:after="0"/>
              <w:ind w:right="34"/>
              <w:rPr>
                <w:rFonts w:ascii="Calibri" w:hAnsi="Calibri" w:cs="Tahoma"/>
              </w:rPr>
            </w:pPr>
            <w:r w:rsidRPr="002F467C">
              <w:rPr>
                <w:rFonts w:ascii="Calibri" w:hAnsi="Calibri" w:cs="Tahoma"/>
              </w:rPr>
              <w:t xml:space="preserve">Signed </w:t>
            </w:r>
            <w:r>
              <w:rPr>
                <w:noProof/>
              </w:rPr>
              <w:drawing>
                <wp:inline distT="0" distB="0" distL="0" distR="0" wp14:anchorId="2915C61A" wp14:editId="6B4852E8">
                  <wp:extent cx="3181350" cy="238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81350" cy="238125"/>
                          </a:xfrm>
                          <a:prstGeom prst="rect">
                            <a:avLst/>
                          </a:prstGeom>
                        </pic:spPr>
                      </pic:pic>
                    </a:graphicData>
                  </a:graphic>
                </wp:inline>
              </w:drawing>
            </w:r>
          </w:p>
        </w:tc>
      </w:tr>
      <w:tr w:rsidR="00764178" w:rsidRPr="002F467C" w:rsidTr="001C23E0">
        <w:trPr>
          <w:gridAfter w:val="1"/>
          <w:wAfter w:w="101" w:type="dxa"/>
          <w:trHeight w:val="3972"/>
        </w:trPr>
        <w:tc>
          <w:tcPr>
            <w:tcW w:w="8755" w:type="dxa"/>
            <w:gridSpan w:val="6"/>
          </w:tcPr>
          <w:p w:rsidR="00764178" w:rsidRPr="002F467C" w:rsidRDefault="00764178" w:rsidP="001C23E0">
            <w:pPr>
              <w:pStyle w:val="NormalWeb"/>
              <w:spacing w:before="0" w:beforeAutospacing="0" w:after="0"/>
              <w:rPr>
                <w:rFonts w:ascii="Calibri" w:hAnsi="Calibri" w:cs="Tahoma"/>
                <w:i/>
              </w:rPr>
            </w:pPr>
            <w:r w:rsidRPr="002F467C">
              <w:rPr>
                <w:rFonts w:ascii="Calibri" w:hAnsi="Calibri" w:cs="Tahoma"/>
                <w:b/>
                <w:i/>
              </w:rPr>
              <w:lastRenderedPageBreak/>
              <w:t xml:space="preserve">For completion by </w:t>
            </w:r>
            <w:r>
              <w:rPr>
                <w:rFonts w:ascii="Calibri" w:hAnsi="Calibri" w:cs="Tahoma"/>
                <w:b/>
                <w:i/>
              </w:rPr>
              <w:t>the first marker</w:t>
            </w:r>
            <w:r w:rsidRPr="002F467C">
              <w:rPr>
                <w:rFonts w:ascii="Calibri" w:hAnsi="Calibri" w:cs="Tahoma"/>
                <w:i/>
              </w:rPr>
              <w:t>:</w:t>
            </w:r>
          </w:p>
          <w:p w:rsidR="00764178" w:rsidRDefault="00764178" w:rsidP="001C23E0">
            <w:pPr>
              <w:pStyle w:val="NormalWeb"/>
              <w:rPr>
                <w:rFonts w:ascii="Calibri" w:hAnsi="Calibri" w:cs="Tahoma"/>
                <w:i/>
              </w:rPr>
            </w:pPr>
            <w:r w:rsidRPr="002F467C">
              <w:rPr>
                <w:rFonts w:ascii="Calibri" w:hAnsi="Calibri" w:cs="Tahoma"/>
                <w:i/>
              </w:rPr>
              <w:t>Comments:</w:t>
            </w:r>
          </w:p>
          <w:p w:rsidR="00764178" w:rsidRDefault="00764178" w:rsidP="001C23E0">
            <w:pPr>
              <w:pStyle w:val="NormalWeb"/>
              <w:rPr>
                <w:rFonts w:ascii="Calibri" w:hAnsi="Calibri" w:cs="Tahoma"/>
                <w:i/>
              </w:rPr>
            </w:pPr>
          </w:p>
          <w:p w:rsidR="00764178" w:rsidRDefault="00764178" w:rsidP="001C23E0">
            <w:pPr>
              <w:pStyle w:val="NormalWeb"/>
              <w:rPr>
                <w:rFonts w:ascii="Calibri" w:hAnsi="Calibri" w:cs="Tahoma"/>
                <w:i/>
              </w:rPr>
            </w:pPr>
          </w:p>
          <w:p w:rsidR="00764178" w:rsidRDefault="00764178" w:rsidP="001C23E0">
            <w:pPr>
              <w:pStyle w:val="NormalWeb"/>
              <w:rPr>
                <w:rFonts w:ascii="Calibri" w:hAnsi="Calibri" w:cs="Tahoma"/>
                <w:i/>
              </w:rPr>
            </w:pPr>
          </w:p>
          <w:p w:rsidR="00764178" w:rsidRDefault="00764178" w:rsidP="001C23E0">
            <w:pPr>
              <w:pStyle w:val="NormalWeb"/>
              <w:rPr>
                <w:rFonts w:ascii="Calibri" w:hAnsi="Calibri" w:cs="Tahoma"/>
                <w:i/>
              </w:rPr>
            </w:pPr>
          </w:p>
          <w:p w:rsidR="00764178" w:rsidRDefault="00764178" w:rsidP="001C23E0">
            <w:pPr>
              <w:pStyle w:val="NormalWeb"/>
              <w:rPr>
                <w:rFonts w:ascii="Calibri" w:hAnsi="Calibri" w:cs="Tahoma"/>
                <w:i/>
              </w:rPr>
            </w:pPr>
          </w:p>
          <w:p w:rsidR="00764178" w:rsidRDefault="00764178" w:rsidP="001C23E0">
            <w:pPr>
              <w:pStyle w:val="NormalWeb"/>
              <w:rPr>
                <w:rFonts w:ascii="Calibri" w:hAnsi="Calibri" w:cs="Tahoma"/>
                <w:i/>
              </w:rPr>
            </w:pPr>
          </w:p>
          <w:p w:rsidR="00764178" w:rsidRPr="002F467C" w:rsidRDefault="00764178" w:rsidP="001C23E0">
            <w:pPr>
              <w:pStyle w:val="NormalWeb"/>
              <w:rPr>
                <w:rFonts w:ascii="Calibri" w:hAnsi="Calibri" w:cs="Tahoma"/>
                <w:i/>
              </w:rPr>
            </w:pPr>
          </w:p>
        </w:tc>
      </w:tr>
      <w:tr w:rsidR="00764178" w:rsidRPr="002F467C" w:rsidTr="001C23E0">
        <w:trPr>
          <w:gridAfter w:val="1"/>
          <w:wAfter w:w="101" w:type="dxa"/>
          <w:trHeight w:val="492"/>
        </w:trPr>
        <w:tc>
          <w:tcPr>
            <w:tcW w:w="6768" w:type="dxa"/>
            <w:gridSpan w:val="4"/>
          </w:tcPr>
          <w:p w:rsidR="00764178" w:rsidRPr="00B12C4F" w:rsidRDefault="00764178" w:rsidP="001C23E0">
            <w:pPr>
              <w:pStyle w:val="NormalWeb"/>
              <w:ind w:left="142" w:right="34"/>
              <w:rPr>
                <w:rFonts w:ascii="Calibri" w:hAnsi="Calibri" w:cs="Tahoma"/>
              </w:rPr>
            </w:pPr>
            <w:r w:rsidRPr="00B12C4F">
              <w:rPr>
                <w:rFonts w:ascii="Calibri" w:hAnsi="Calibri" w:cs="Tahoma"/>
              </w:rPr>
              <w:t>First Marker’s Mark:</w:t>
            </w:r>
          </w:p>
          <w:p w:rsidR="00764178" w:rsidRPr="002F467C" w:rsidRDefault="00764178" w:rsidP="001C23E0">
            <w:pPr>
              <w:pStyle w:val="NormalWeb"/>
              <w:ind w:left="142" w:right="34"/>
              <w:rPr>
                <w:rFonts w:ascii="Calibri" w:hAnsi="Calibri" w:cs="Tahoma"/>
                <w:i/>
              </w:rPr>
            </w:pPr>
            <w:r w:rsidRPr="00B12C4F">
              <w:rPr>
                <w:rFonts w:ascii="Calibri" w:hAnsi="Calibri" w:cs="Tahoma"/>
              </w:rPr>
              <w:t>Signature:</w:t>
            </w:r>
            <w:r>
              <w:rPr>
                <w:rFonts w:ascii="Calibri" w:hAnsi="Calibri" w:cs="Tahoma"/>
                <w:i/>
              </w:rPr>
              <w:t xml:space="preserve"> </w:t>
            </w:r>
          </w:p>
        </w:tc>
        <w:tc>
          <w:tcPr>
            <w:tcW w:w="1987" w:type="dxa"/>
            <w:gridSpan w:val="2"/>
          </w:tcPr>
          <w:p w:rsidR="00764178" w:rsidRPr="002F467C" w:rsidRDefault="00764178" w:rsidP="001C23E0">
            <w:pPr>
              <w:pStyle w:val="NormalWeb"/>
              <w:spacing w:after="0"/>
              <w:ind w:left="142" w:right="34"/>
              <w:rPr>
                <w:rFonts w:ascii="Calibri" w:hAnsi="Calibri" w:cs="Tahoma"/>
                <w:i/>
              </w:rPr>
            </w:pPr>
            <w:r w:rsidRPr="002F467C">
              <w:rPr>
                <w:rFonts w:ascii="Calibri" w:hAnsi="Calibri" w:cs="Tahoma"/>
                <w:i/>
              </w:rPr>
              <w:t>Date:</w:t>
            </w:r>
          </w:p>
        </w:tc>
      </w:tr>
      <w:tr w:rsidR="00764178" w:rsidRPr="002F467C" w:rsidTr="001C23E0">
        <w:tc>
          <w:tcPr>
            <w:tcW w:w="8856" w:type="dxa"/>
            <w:gridSpan w:val="7"/>
          </w:tcPr>
          <w:p w:rsidR="00764178" w:rsidRPr="002F467C" w:rsidRDefault="00764178" w:rsidP="001C23E0">
            <w:pPr>
              <w:pStyle w:val="NormalWeb"/>
              <w:spacing w:before="0" w:beforeAutospacing="0" w:after="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second marker (if appropriate)</w:t>
            </w:r>
            <w:r w:rsidRPr="002F467C">
              <w:rPr>
                <w:rFonts w:ascii="Calibri" w:hAnsi="Calibri" w:cs="Tahoma"/>
                <w:bCs/>
              </w:rPr>
              <w:t>:</w:t>
            </w: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r w:rsidRPr="002F467C">
              <w:rPr>
                <w:rFonts w:ascii="Calibri" w:hAnsi="Calibri" w:cs="Tahoma"/>
                <w:bCs/>
              </w:rPr>
              <w:t>Comments:</w:t>
            </w: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tc>
      </w:tr>
      <w:tr w:rsidR="00764178" w:rsidRPr="002F467C" w:rsidTr="001C23E0">
        <w:trPr>
          <w:trHeight w:val="720"/>
        </w:trPr>
        <w:tc>
          <w:tcPr>
            <w:tcW w:w="5211" w:type="dxa"/>
            <w:gridSpan w:val="2"/>
          </w:tcPr>
          <w:p w:rsidR="00764178" w:rsidRDefault="00764178" w:rsidP="001C23E0">
            <w:pPr>
              <w:pStyle w:val="NormalWeb"/>
              <w:spacing w:before="0" w:beforeAutospacing="0" w:after="0"/>
              <w:ind w:right="-334"/>
              <w:rPr>
                <w:rFonts w:ascii="Calibri" w:hAnsi="Calibri" w:cs="Tahoma"/>
                <w:bCs/>
              </w:rPr>
            </w:pPr>
            <w:r>
              <w:rPr>
                <w:rFonts w:ascii="Calibri" w:hAnsi="Calibri" w:cs="Tahoma"/>
                <w:bCs/>
              </w:rPr>
              <w:t xml:space="preserve">Second </w:t>
            </w:r>
            <w:proofErr w:type="gramStart"/>
            <w:r>
              <w:rPr>
                <w:rFonts w:ascii="Calibri" w:hAnsi="Calibri" w:cs="Tahoma"/>
                <w:bCs/>
              </w:rPr>
              <w:t>Marker’s  Mark</w:t>
            </w:r>
            <w:proofErr w:type="gramEnd"/>
            <w:r w:rsidRPr="002F467C">
              <w:rPr>
                <w:rFonts w:ascii="Calibri" w:hAnsi="Calibri" w:cs="Tahoma"/>
                <w:bCs/>
              </w:rPr>
              <w:t>:</w:t>
            </w:r>
          </w:p>
          <w:p w:rsidR="00764178" w:rsidRPr="002F467C" w:rsidRDefault="00764178" w:rsidP="001C23E0">
            <w:pPr>
              <w:pStyle w:val="NormalWeb"/>
              <w:spacing w:before="0" w:beforeAutospacing="0" w:after="0"/>
              <w:ind w:right="-334"/>
              <w:rPr>
                <w:rFonts w:ascii="Calibri" w:hAnsi="Calibri" w:cs="Tahoma"/>
                <w:bCs/>
              </w:rPr>
            </w:pPr>
            <w:r>
              <w:rPr>
                <w:rFonts w:ascii="Calibri" w:hAnsi="Calibri" w:cs="Tahoma"/>
                <w:bCs/>
              </w:rPr>
              <w:t>Signature:</w:t>
            </w:r>
          </w:p>
        </w:tc>
        <w:tc>
          <w:tcPr>
            <w:tcW w:w="3645" w:type="dxa"/>
            <w:gridSpan w:val="5"/>
          </w:tcPr>
          <w:p w:rsidR="00764178" w:rsidRPr="002F467C" w:rsidRDefault="00764178" w:rsidP="001C23E0">
            <w:pPr>
              <w:pStyle w:val="NormalWeb"/>
              <w:spacing w:before="0" w:beforeAutospacing="0" w:after="0"/>
              <w:ind w:right="-334"/>
              <w:rPr>
                <w:rFonts w:ascii="Calibri" w:hAnsi="Calibri" w:cs="Tahoma"/>
                <w:bCs/>
              </w:rPr>
            </w:pPr>
            <w:r w:rsidRPr="002F467C">
              <w:rPr>
                <w:rFonts w:ascii="Calibri" w:hAnsi="Calibri" w:cs="Tahoma"/>
                <w:bCs/>
              </w:rPr>
              <w:t>Date:</w:t>
            </w:r>
          </w:p>
        </w:tc>
      </w:tr>
      <w:tr w:rsidR="00764178" w:rsidRPr="002F467C" w:rsidTr="001C23E0">
        <w:trPr>
          <w:trHeight w:val="720"/>
        </w:trPr>
        <w:tc>
          <w:tcPr>
            <w:tcW w:w="8856" w:type="dxa"/>
            <w:gridSpan w:val="7"/>
          </w:tcPr>
          <w:p w:rsidR="00764178" w:rsidRPr="00C87244" w:rsidRDefault="00764178" w:rsidP="001C23E0">
            <w:pPr>
              <w:pStyle w:val="NormalWeb"/>
              <w:spacing w:before="0" w:beforeAutospacing="0" w:after="0"/>
              <w:ind w:left="142" w:right="34"/>
              <w:rPr>
                <w:rFonts w:ascii="Calibri" w:hAnsi="Calibri" w:cs="Tahoma"/>
                <w:b/>
                <w:i/>
              </w:rPr>
            </w:pPr>
            <w:r w:rsidRPr="002F467C">
              <w:rPr>
                <w:rFonts w:ascii="Calibri" w:hAnsi="Calibri" w:cs="Tahoma"/>
                <w:b/>
                <w:i/>
              </w:rPr>
              <w:t>NB.</w:t>
            </w:r>
            <w:r w:rsidRPr="002F467C">
              <w:rPr>
                <w:rFonts w:ascii="Calibri" w:hAnsi="Calibri" w:cs="Tahoma"/>
                <w:i/>
              </w:rPr>
              <w:t xml:space="preserve">  </w:t>
            </w:r>
            <w:r w:rsidRPr="00C87244">
              <w:rPr>
                <w:rFonts w:ascii="Calibri" w:hAnsi="Calibri" w:cs="Tahoma"/>
                <w:b/>
                <w:i/>
              </w:rPr>
              <w:t>All marks are provisional until confirmed by the final examination board.</w:t>
            </w:r>
          </w:p>
          <w:p w:rsidR="00764178" w:rsidRPr="00C87244" w:rsidRDefault="00764178" w:rsidP="001C23E0">
            <w:pPr>
              <w:pStyle w:val="NormalWeb"/>
              <w:spacing w:before="0" w:beforeAutospacing="0" w:after="0"/>
              <w:ind w:left="142" w:right="34"/>
              <w:rPr>
                <w:rFonts w:ascii="Calibri" w:hAnsi="Calibri" w:cs="Tahoma"/>
                <w:b/>
                <w:i/>
              </w:rPr>
            </w:pPr>
          </w:p>
          <w:p w:rsidR="00764178" w:rsidRPr="002F467C" w:rsidRDefault="00764178" w:rsidP="001C23E0">
            <w:pPr>
              <w:pStyle w:val="NormalWeb"/>
              <w:spacing w:before="0" w:beforeAutospacing="0" w:after="0"/>
              <w:ind w:right="-334"/>
              <w:rPr>
                <w:rFonts w:ascii="Calibri" w:hAnsi="Calibri" w:cs="Tahoma"/>
                <w:bCs/>
              </w:rPr>
            </w:pPr>
          </w:p>
        </w:tc>
      </w:tr>
    </w:tbl>
    <w:p w:rsidR="00764178" w:rsidRDefault="00764178" w:rsidP="00764178">
      <w:pPr>
        <w:pStyle w:val="NormalWeb"/>
        <w:spacing w:before="0" w:beforeAutospacing="0" w:after="0"/>
        <w:ind w:right="-334"/>
        <w:rPr>
          <w:rFonts w:ascii="Trebuchet MS" w:hAnsi="Trebuchet MS" w:cs="Tahoma"/>
          <w:bCs/>
        </w:rPr>
      </w:pPr>
    </w:p>
    <w:p w:rsidR="00764178" w:rsidRDefault="00764178" w:rsidP="00764178">
      <w:pPr>
        <w:pStyle w:val="NormalWeb"/>
        <w:spacing w:before="0" w:beforeAutospacing="0" w:after="0"/>
        <w:ind w:right="-334"/>
        <w:rPr>
          <w:rFonts w:ascii="Trebuchet MS" w:hAnsi="Trebuchet MS" w:cs="Tahoma"/>
          <w:bCs/>
        </w:rPr>
      </w:pPr>
    </w:p>
    <w:p w:rsidR="00764178" w:rsidRDefault="00764178" w:rsidP="00764178">
      <w:pPr>
        <w:pStyle w:val="NormalWeb"/>
        <w:spacing w:before="0" w:beforeAutospacing="0" w:after="0"/>
        <w:ind w:right="-334"/>
        <w:rPr>
          <w:rFonts w:ascii="Trebuchet MS" w:hAnsi="Trebuchet MS" w:cs="Tahoma"/>
          <w:bCs/>
        </w:rPr>
      </w:pPr>
    </w:p>
    <w:p w:rsidR="00764178" w:rsidRDefault="00764178" w:rsidP="00764178">
      <w:pPr>
        <w:pStyle w:val="NormalWeb"/>
        <w:spacing w:before="0" w:beforeAutospacing="0" w:after="0"/>
        <w:ind w:right="-334"/>
        <w:rPr>
          <w:rFonts w:ascii="Trebuchet MS" w:hAnsi="Trebuchet MS" w:cs="Tahoma"/>
          <w:bC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136"/>
      </w:tblGrid>
      <w:tr w:rsidR="00764178" w:rsidRPr="002F467C" w:rsidTr="001C23E0">
        <w:tc>
          <w:tcPr>
            <w:tcW w:w="8856" w:type="dxa"/>
          </w:tcPr>
          <w:p w:rsidR="00764178" w:rsidRPr="002F467C" w:rsidRDefault="00764178" w:rsidP="001C23E0">
            <w:pPr>
              <w:pStyle w:val="NormalWeb"/>
              <w:spacing w:before="0" w:beforeAutospacing="0" w:after="0"/>
              <w:ind w:right="-334"/>
              <w:rPr>
                <w:rFonts w:ascii="Calibri" w:hAnsi="Calibri" w:cs="Tahoma"/>
                <w:bCs/>
              </w:rPr>
            </w:pPr>
            <w:r w:rsidRPr="002F467C">
              <w:rPr>
                <w:rFonts w:ascii="Calibri" w:hAnsi="Calibri" w:cs="Tahoma"/>
                <w:bCs/>
                <w:i/>
              </w:rPr>
              <w:t xml:space="preserve">For completion by </w:t>
            </w:r>
            <w:r>
              <w:rPr>
                <w:rFonts w:ascii="Calibri" w:hAnsi="Calibri" w:cs="Tahoma"/>
                <w:bCs/>
                <w:i/>
              </w:rPr>
              <w:t>the External Examiner</w:t>
            </w:r>
            <w:r w:rsidRPr="002F467C">
              <w:rPr>
                <w:rFonts w:ascii="Calibri" w:hAnsi="Calibri" w:cs="Tahoma"/>
                <w:bCs/>
              </w:rPr>
              <w:t>:</w:t>
            </w: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r w:rsidRPr="002F467C">
              <w:rPr>
                <w:rFonts w:ascii="Calibri" w:hAnsi="Calibri" w:cs="Tahoma"/>
                <w:bCs/>
              </w:rPr>
              <w:t>Comments:</w:t>
            </w: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p>
          <w:p w:rsidR="00764178" w:rsidRDefault="00764178" w:rsidP="001C23E0">
            <w:pPr>
              <w:pStyle w:val="NormalWeb"/>
              <w:spacing w:before="0" w:beforeAutospacing="0" w:after="0"/>
              <w:ind w:right="-334"/>
              <w:rPr>
                <w:rFonts w:ascii="Calibri" w:hAnsi="Calibri" w:cs="Tahoma"/>
                <w:bCs/>
              </w:rPr>
            </w:pPr>
          </w:p>
          <w:p w:rsidR="00764178" w:rsidRDefault="00764178" w:rsidP="001C23E0">
            <w:pPr>
              <w:pStyle w:val="NormalWeb"/>
              <w:spacing w:before="0" w:beforeAutospacing="0" w:after="0"/>
              <w:ind w:right="-334"/>
              <w:rPr>
                <w:rFonts w:ascii="Calibri" w:hAnsi="Calibri" w:cs="Tahoma"/>
                <w:bCs/>
              </w:rPr>
            </w:pPr>
          </w:p>
          <w:p w:rsidR="00764178" w:rsidRDefault="00764178" w:rsidP="001C23E0">
            <w:pPr>
              <w:pStyle w:val="NormalWeb"/>
              <w:spacing w:before="0" w:beforeAutospacing="0" w:after="0"/>
              <w:ind w:right="-334"/>
              <w:rPr>
                <w:rFonts w:ascii="Calibri" w:hAnsi="Calibri" w:cs="Tahoma"/>
                <w:bCs/>
              </w:rPr>
            </w:pPr>
          </w:p>
          <w:p w:rsidR="00764178" w:rsidRDefault="00764178" w:rsidP="001C23E0">
            <w:pPr>
              <w:pStyle w:val="NormalWeb"/>
              <w:spacing w:before="0" w:beforeAutospacing="0" w:after="0"/>
              <w:ind w:right="-334"/>
              <w:rPr>
                <w:rFonts w:ascii="Calibri" w:hAnsi="Calibri" w:cs="Tahoma"/>
                <w:bCs/>
              </w:rPr>
            </w:pPr>
          </w:p>
          <w:p w:rsidR="00764178" w:rsidRDefault="00764178" w:rsidP="001C23E0">
            <w:pPr>
              <w:pStyle w:val="NormalWeb"/>
              <w:spacing w:before="0" w:beforeAutospacing="0" w:after="0"/>
              <w:ind w:right="-334"/>
              <w:rPr>
                <w:rFonts w:ascii="Calibri" w:hAnsi="Calibri" w:cs="Tahoma"/>
                <w:bCs/>
              </w:rPr>
            </w:pPr>
            <w:r>
              <w:rPr>
                <w:rFonts w:ascii="Calibri" w:hAnsi="Calibri" w:cs="Tahoma"/>
                <w:bCs/>
              </w:rPr>
              <w:t>Proposed Mark:</w:t>
            </w:r>
          </w:p>
          <w:p w:rsidR="00764178" w:rsidRDefault="00764178" w:rsidP="001C23E0">
            <w:pPr>
              <w:pStyle w:val="NormalWeb"/>
              <w:spacing w:before="0" w:beforeAutospacing="0" w:after="0"/>
              <w:ind w:right="-334"/>
              <w:rPr>
                <w:rFonts w:ascii="Calibri" w:hAnsi="Calibri" w:cs="Tahoma"/>
                <w:bCs/>
              </w:rPr>
            </w:pPr>
          </w:p>
          <w:p w:rsidR="00764178" w:rsidRPr="002F467C" w:rsidRDefault="00764178" w:rsidP="001C23E0">
            <w:pPr>
              <w:pStyle w:val="NormalWeb"/>
              <w:spacing w:before="0" w:beforeAutospacing="0" w:after="0"/>
              <w:ind w:right="-334"/>
              <w:rPr>
                <w:rFonts w:ascii="Calibri" w:hAnsi="Calibri" w:cs="Tahoma"/>
                <w:bCs/>
              </w:rPr>
            </w:pPr>
            <w:r>
              <w:rPr>
                <w:rFonts w:ascii="Calibri" w:hAnsi="Calibri" w:cs="Tahoma"/>
                <w:bCs/>
              </w:rPr>
              <w:t>Signature of External Examiner:</w:t>
            </w:r>
          </w:p>
          <w:p w:rsidR="00764178" w:rsidRPr="002F467C" w:rsidRDefault="00764178" w:rsidP="001C23E0">
            <w:pPr>
              <w:pStyle w:val="NormalWeb"/>
              <w:spacing w:before="0" w:beforeAutospacing="0" w:after="0"/>
              <w:ind w:right="-334"/>
              <w:rPr>
                <w:rFonts w:ascii="Calibri" w:hAnsi="Calibri" w:cs="Tahoma"/>
                <w:bCs/>
              </w:rPr>
            </w:pPr>
          </w:p>
        </w:tc>
      </w:tr>
      <w:tr w:rsidR="00764178" w:rsidRPr="002F467C" w:rsidTr="001C23E0">
        <w:trPr>
          <w:trHeight w:val="720"/>
        </w:trPr>
        <w:tc>
          <w:tcPr>
            <w:tcW w:w="8856" w:type="dxa"/>
          </w:tcPr>
          <w:p w:rsidR="00764178" w:rsidRPr="002F467C" w:rsidRDefault="00764178" w:rsidP="001C23E0">
            <w:pPr>
              <w:pStyle w:val="NormalWeb"/>
              <w:tabs>
                <w:tab w:val="left" w:pos="2835"/>
              </w:tabs>
              <w:spacing w:before="0" w:beforeAutospacing="0" w:after="0"/>
              <w:ind w:right="-334"/>
              <w:rPr>
                <w:rFonts w:ascii="Calibri" w:hAnsi="Calibri" w:cs="Tahoma"/>
                <w:bCs/>
              </w:rPr>
            </w:pPr>
            <w:r>
              <w:rPr>
                <w:rFonts w:ascii="Calibri" w:hAnsi="Calibri" w:cs="Tahoma"/>
                <w:bCs/>
              </w:rPr>
              <w:t>Final Agreed Mark:</w:t>
            </w:r>
          </w:p>
        </w:tc>
      </w:tr>
    </w:tbl>
    <w:p w:rsidR="00764178" w:rsidRDefault="00764178" w:rsidP="00665647">
      <w:pPr>
        <w:jc w:val="center"/>
        <w:rPr>
          <w:rFonts w:ascii="Brother Deluxe 1350 Font" w:hAnsi="Brother Deluxe 1350 Font"/>
          <w:b/>
          <w:sz w:val="28"/>
          <w:szCs w:val="28"/>
        </w:rPr>
      </w:pPr>
    </w:p>
    <w:p w:rsidR="00764178" w:rsidRDefault="00764178" w:rsidP="00665647">
      <w:pPr>
        <w:jc w:val="center"/>
        <w:rPr>
          <w:rFonts w:ascii="Brother Deluxe 1350 Font" w:hAnsi="Brother Deluxe 1350 Font"/>
          <w:b/>
          <w:sz w:val="28"/>
          <w:szCs w:val="28"/>
        </w:rPr>
      </w:pPr>
    </w:p>
    <w:p w:rsidR="00764178" w:rsidRDefault="00764178" w:rsidP="00665647">
      <w:pPr>
        <w:jc w:val="center"/>
        <w:rPr>
          <w:rFonts w:ascii="Brother Deluxe 1350 Font" w:hAnsi="Brother Deluxe 1350 Font"/>
          <w:b/>
          <w:sz w:val="28"/>
          <w:szCs w:val="28"/>
        </w:rPr>
      </w:pPr>
    </w:p>
    <w:p w:rsidR="00764178" w:rsidRDefault="00764178" w:rsidP="00665647">
      <w:pPr>
        <w:jc w:val="center"/>
        <w:rPr>
          <w:rFonts w:ascii="Brother Deluxe 1350 Font" w:hAnsi="Brother Deluxe 1350 Font"/>
          <w:b/>
          <w:sz w:val="28"/>
          <w:szCs w:val="28"/>
        </w:rPr>
      </w:pPr>
    </w:p>
    <w:p w:rsidR="00764178" w:rsidRDefault="00764178" w:rsidP="00665647">
      <w:pPr>
        <w:jc w:val="center"/>
        <w:rPr>
          <w:rFonts w:ascii="Brother Deluxe 1350 Font" w:hAnsi="Brother Deluxe 1350 Font"/>
          <w:b/>
          <w:sz w:val="28"/>
          <w:szCs w:val="28"/>
        </w:rPr>
      </w:pPr>
    </w:p>
    <w:p w:rsidR="00764178" w:rsidRDefault="00764178" w:rsidP="00665647">
      <w:pPr>
        <w:jc w:val="center"/>
        <w:rPr>
          <w:rFonts w:ascii="Brother Deluxe 1350 Font" w:hAnsi="Brother Deluxe 1350 Font"/>
          <w:b/>
          <w:sz w:val="28"/>
          <w:szCs w:val="28"/>
        </w:rPr>
      </w:pPr>
    </w:p>
    <w:p w:rsidR="00764178" w:rsidRDefault="00764178" w:rsidP="00665647">
      <w:pPr>
        <w:jc w:val="center"/>
        <w:rPr>
          <w:rFonts w:ascii="Brother Deluxe 1350 Font" w:hAnsi="Brother Deluxe 1350 Font"/>
          <w:b/>
          <w:sz w:val="28"/>
          <w:szCs w:val="28"/>
        </w:rPr>
      </w:pPr>
    </w:p>
    <w:p w:rsidR="009659CF" w:rsidRDefault="009659CF" w:rsidP="009659CF">
      <w:pPr>
        <w:rPr>
          <w:rFonts w:ascii="Brother Deluxe 1350 Font" w:hAnsi="Brother Deluxe 1350 Font"/>
          <w:b/>
          <w:sz w:val="28"/>
          <w:szCs w:val="28"/>
        </w:rPr>
      </w:pPr>
    </w:p>
    <w:p w:rsidR="009659CF" w:rsidRDefault="009659CF" w:rsidP="009659CF">
      <w:pPr>
        <w:rPr>
          <w:rFonts w:ascii="Brother Deluxe 1350 Font" w:hAnsi="Brother Deluxe 1350 Font"/>
          <w:b/>
          <w:sz w:val="28"/>
          <w:szCs w:val="28"/>
        </w:rPr>
      </w:pPr>
    </w:p>
    <w:p w:rsidR="009659CF" w:rsidRDefault="009659CF" w:rsidP="009659CF">
      <w:pPr>
        <w:rPr>
          <w:rFonts w:ascii="Brother Deluxe 1350 Font" w:hAnsi="Brother Deluxe 1350 Font"/>
          <w:b/>
          <w:sz w:val="28"/>
          <w:szCs w:val="28"/>
        </w:rPr>
      </w:pPr>
    </w:p>
    <w:p w:rsidR="009659CF" w:rsidRDefault="009659CF" w:rsidP="009659CF">
      <w:pPr>
        <w:rPr>
          <w:rFonts w:ascii="Brother Deluxe 1350 Font" w:hAnsi="Brother Deluxe 1350 Font"/>
          <w:b/>
          <w:sz w:val="28"/>
          <w:szCs w:val="28"/>
        </w:rPr>
      </w:pPr>
    </w:p>
    <w:p w:rsidR="009659CF" w:rsidRDefault="009659CF" w:rsidP="009659CF">
      <w:pPr>
        <w:rPr>
          <w:rFonts w:ascii="Brother Deluxe 1350 Font" w:hAnsi="Brother Deluxe 1350 Font"/>
          <w:b/>
          <w:sz w:val="28"/>
          <w:szCs w:val="28"/>
        </w:rPr>
      </w:pPr>
    </w:p>
    <w:p w:rsidR="00417B1D" w:rsidRDefault="00665647" w:rsidP="009659CF">
      <w:pPr>
        <w:rPr>
          <w:rFonts w:ascii="Brother Deluxe 1350 Font" w:hAnsi="Brother Deluxe 1350 Font"/>
          <w:b/>
          <w:sz w:val="28"/>
          <w:szCs w:val="28"/>
        </w:rPr>
      </w:pPr>
      <w:r w:rsidRPr="00743C9F">
        <w:rPr>
          <w:rFonts w:ascii="Brother Deluxe 1350 Font" w:hAnsi="Brother Deluxe 1350 Font"/>
          <w:b/>
          <w:sz w:val="28"/>
          <w:szCs w:val="28"/>
        </w:rPr>
        <w:lastRenderedPageBreak/>
        <w:t xml:space="preserve">Legal Thuggery </w:t>
      </w:r>
      <w:proofErr w:type="gramStart"/>
      <w:r w:rsidRPr="00743C9F">
        <w:rPr>
          <w:rFonts w:ascii="Brother Deluxe 1350 Font" w:hAnsi="Brother Deluxe 1350 Font"/>
          <w:b/>
          <w:sz w:val="28"/>
          <w:szCs w:val="28"/>
        </w:rPr>
        <w:t>In</w:t>
      </w:r>
      <w:proofErr w:type="gramEnd"/>
      <w:r w:rsidRPr="00743C9F">
        <w:rPr>
          <w:rFonts w:ascii="Brother Deluxe 1350 Font" w:hAnsi="Brother Deluxe 1350 Font"/>
          <w:b/>
          <w:sz w:val="28"/>
          <w:szCs w:val="28"/>
        </w:rPr>
        <w:t xml:space="preserve"> The Service Of Power</w:t>
      </w:r>
    </w:p>
    <w:p w:rsidR="007D5488" w:rsidRPr="00743C9F" w:rsidRDefault="007D5488" w:rsidP="00665647">
      <w:pPr>
        <w:jc w:val="center"/>
        <w:rPr>
          <w:rFonts w:ascii="Brother Deluxe 1350 Font" w:hAnsi="Brother Deluxe 1350 Font"/>
          <w:b/>
          <w:sz w:val="28"/>
          <w:szCs w:val="28"/>
        </w:rPr>
      </w:pPr>
    </w:p>
    <w:p w:rsidR="00665647" w:rsidRDefault="00665647" w:rsidP="00665647">
      <w:pPr>
        <w:jc w:val="center"/>
        <w:rPr>
          <w:rFonts w:ascii="Brother Deluxe 1350 Font" w:hAnsi="Brother Deluxe 1350 Font"/>
          <w:sz w:val="24"/>
          <w:szCs w:val="24"/>
        </w:rPr>
      </w:pPr>
      <w:r w:rsidRPr="007D5488">
        <w:rPr>
          <w:rFonts w:ascii="Brother Deluxe 1350 Font" w:hAnsi="Brother Deluxe 1350 Font"/>
          <w:sz w:val="24"/>
          <w:szCs w:val="24"/>
        </w:rPr>
        <w:t xml:space="preserve"> The </w:t>
      </w:r>
      <w:r w:rsidR="00417B1D" w:rsidRPr="007D5488">
        <w:rPr>
          <w:rFonts w:ascii="Brother Deluxe 1350 Font" w:hAnsi="Brother Deluxe 1350 Font"/>
          <w:sz w:val="24"/>
          <w:szCs w:val="24"/>
        </w:rPr>
        <w:t xml:space="preserve">Court </w:t>
      </w:r>
      <w:r w:rsidRPr="007D5488">
        <w:rPr>
          <w:rFonts w:ascii="Brother Deluxe 1350 Font" w:hAnsi="Brother Deluxe 1350 Font"/>
          <w:sz w:val="24"/>
          <w:szCs w:val="24"/>
        </w:rPr>
        <w:t xml:space="preserve">Case Against Far-Right Newspaper Publisher Gerhard Frey As </w:t>
      </w:r>
      <w:proofErr w:type="gramStart"/>
      <w:r w:rsidRPr="007D5488">
        <w:rPr>
          <w:rFonts w:ascii="Brother Deluxe 1350 Font" w:hAnsi="Brother Deluxe 1350 Font"/>
          <w:sz w:val="24"/>
          <w:szCs w:val="24"/>
        </w:rPr>
        <w:t>A</w:t>
      </w:r>
      <w:proofErr w:type="gramEnd"/>
      <w:r w:rsidRPr="007D5488">
        <w:rPr>
          <w:rFonts w:ascii="Brother Deluxe 1350 Font" w:hAnsi="Brother Deluxe 1350 Font"/>
          <w:sz w:val="24"/>
          <w:szCs w:val="24"/>
        </w:rPr>
        <w:t xml:space="preserve"> Reflection Of </w:t>
      </w:r>
      <w:r w:rsidRPr="007D5488">
        <w:rPr>
          <w:rFonts w:ascii="Times New Roman" w:hAnsi="Times New Roman" w:cs="Times New Roman"/>
          <w:sz w:val="24"/>
          <w:szCs w:val="24"/>
        </w:rPr>
        <w:t>“</w:t>
      </w:r>
      <w:r w:rsidRPr="007D5488">
        <w:rPr>
          <w:rFonts w:ascii="Brother Deluxe 1350 Font" w:hAnsi="Brother Deluxe 1350 Font"/>
          <w:sz w:val="24"/>
          <w:szCs w:val="24"/>
        </w:rPr>
        <w:t>Constitutional Realities</w:t>
      </w:r>
      <w:r w:rsidR="00743C9F" w:rsidRPr="007D5488">
        <w:rPr>
          <w:rFonts w:ascii="Times New Roman" w:hAnsi="Times New Roman" w:cs="Times New Roman"/>
          <w:sz w:val="24"/>
          <w:szCs w:val="24"/>
        </w:rPr>
        <w:t>”</w:t>
      </w:r>
      <w:r w:rsidR="00417B1D" w:rsidRPr="007D5488">
        <w:rPr>
          <w:rFonts w:ascii="Brother Deluxe 1350 Font" w:hAnsi="Brother Deluxe 1350 Font"/>
          <w:sz w:val="24"/>
          <w:szCs w:val="24"/>
        </w:rPr>
        <w:t xml:space="preserve"> in Late 1960s West Germany</w:t>
      </w:r>
    </w:p>
    <w:p w:rsidR="007D5488" w:rsidRDefault="007D5488" w:rsidP="00665647">
      <w:pPr>
        <w:jc w:val="center"/>
        <w:rPr>
          <w:rFonts w:ascii="Brother Deluxe 1350 Font" w:hAnsi="Brother Deluxe 1350 Font"/>
          <w:sz w:val="24"/>
          <w:szCs w:val="24"/>
        </w:rPr>
      </w:pPr>
    </w:p>
    <w:p w:rsidR="007D5488" w:rsidRDefault="007D5488" w:rsidP="00665647">
      <w:pPr>
        <w:jc w:val="center"/>
        <w:rPr>
          <w:rFonts w:ascii="Brother Deluxe 1350 Font" w:hAnsi="Brother Deluxe 1350 Font"/>
          <w:sz w:val="24"/>
          <w:szCs w:val="24"/>
        </w:rPr>
      </w:pPr>
    </w:p>
    <w:p w:rsidR="007D5488" w:rsidRDefault="007D5488" w:rsidP="00665647">
      <w:pPr>
        <w:jc w:val="center"/>
        <w:rPr>
          <w:rFonts w:ascii="Brother Deluxe 1350 Font" w:hAnsi="Brother Deluxe 1350 Font"/>
          <w:sz w:val="24"/>
          <w:szCs w:val="24"/>
        </w:rPr>
      </w:pPr>
    </w:p>
    <w:p w:rsidR="007D5488" w:rsidRPr="007D5488" w:rsidRDefault="007D5488" w:rsidP="00665647">
      <w:pPr>
        <w:jc w:val="center"/>
        <w:rPr>
          <w:rFonts w:ascii="Brother Deluxe 1350 Font" w:hAnsi="Brother Deluxe 1350 Font"/>
          <w:sz w:val="24"/>
          <w:szCs w:val="24"/>
        </w:rPr>
      </w:pPr>
    </w:p>
    <w:p w:rsidR="007D5488" w:rsidRDefault="007D5488" w:rsidP="00665647">
      <w:pPr>
        <w:jc w:val="center"/>
        <w:rPr>
          <w:rFonts w:ascii="Californian FB" w:hAnsi="Californian FB"/>
          <w:sz w:val="28"/>
          <w:szCs w:val="28"/>
        </w:rPr>
      </w:pPr>
      <w:r>
        <w:rPr>
          <w:noProof/>
        </w:rPr>
        <w:drawing>
          <wp:anchor distT="0" distB="0" distL="114300" distR="114300" simplePos="0" relativeHeight="251658240" behindDoc="0" locked="0" layoutInCell="1" allowOverlap="1">
            <wp:simplePos x="0" y="0"/>
            <wp:positionH relativeFrom="margin">
              <wp:align>right</wp:align>
            </wp:positionH>
            <wp:positionV relativeFrom="paragraph">
              <wp:posOffset>11430</wp:posOffset>
            </wp:positionV>
            <wp:extent cx="3901442" cy="219456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3901442" cy="21945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D5488" w:rsidRPr="00743C9F" w:rsidRDefault="007D5488" w:rsidP="00665647">
      <w:pPr>
        <w:jc w:val="center"/>
        <w:rPr>
          <w:rFonts w:ascii="Californian FB" w:hAnsi="Californian FB"/>
          <w:sz w:val="28"/>
          <w:szCs w:val="28"/>
        </w:rPr>
      </w:pPr>
    </w:p>
    <w:p w:rsidR="00743C9F" w:rsidRPr="00743C9F" w:rsidRDefault="00743C9F" w:rsidP="00665647">
      <w:pPr>
        <w:jc w:val="center"/>
        <w:rPr>
          <w:rFonts w:ascii="Brother Deluxe 1350 Font" w:hAnsi="Brother Deluxe 1350 Font"/>
          <w:sz w:val="28"/>
          <w:szCs w:val="28"/>
        </w:rPr>
      </w:pPr>
    </w:p>
    <w:p w:rsidR="00743C9F" w:rsidRPr="00417B1D" w:rsidRDefault="00743C9F" w:rsidP="00743C9F">
      <w:pPr>
        <w:rPr>
          <w:rFonts w:ascii="Poor Richard" w:hAnsi="Poor Richard"/>
          <w:sz w:val="32"/>
          <w:szCs w:val="32"/>
        </w:rPr>
      </w:pPr>
    </w:p>
    <w:p w:rsidR="00417B1D" w:rsidRDefault="00417B1D" w:rsidP="00665647">
      <w:pPr>
        <w:jc w:val="center"/>
        <w:rPr>
          <w:rFonts w:ascii="Poor Richard" w:hAnsi="Poor Richard"/>
          <w:sz w:val="32"/>
          <w:szCs w:val="32"/>
        </w:rPr>
      </w:pPr>
    </w:p>
    <w:p w:rsidR="007D5488" w:rsidRDefault="007D5488" w:rsidP="00665647">
      <w:pPr>
        <w:jc w:val="center"/>
        <w:rPr>
          <w:rFonts w:ascii="Poor Richard" w:hAnsi="Poor Richard"/>
          <w:sz w:val="32"/>
          <w:szCs w:val="32"/>
        </w:rPr>
      </w:pPr>
    </w:p>
    <w:p w:rsidR="007D5488" w:rsidRDefault="007D5488" w:rsidP="00665647">
      <w:pPr>
        <w:jc w:val="center"/>
        <w:rPr>
          <w:rFonts w:ascii="Poor Richard" w:hAnsi="Poor Richard"/>
          <w:sz w:val="32"/>
          <w:szCs w:val="32"/>
        </w:rPr>
      </w:pPr>
    </w:p>
    <w:p w:rsidR="007D5488" w:rsidRDefault="007D5488" w:rsidP="00665647">
      <w:pPr>
        <w:jc w:val="center"/>
        <w:rPr>
          <w:rFonts w:ascii="Brother Deluxe 1350 Font" w:hAnsi="Brother Deluxe 1350 Font"/>
          <w:sz w:val="16"/>
          <w:szCs w:val="16"/>
        </w:rPr>
      </w:pPr>
      <w:r>
        <w:rPr>
          <w:rFonts w:ascii="Brother Deluxe 1350 Font" w:hAnsi="Brother Deluxe 1350 Font"/>
          <w:sz w:val="16"/>
          <w:szCs w:val="16"/>
        </w:rPr>
        <w:t xml:space="preserve">Faded </w:t>
      </w:r>
      <w:r w:rsidRPr="007D5488">
        <w:rPr>
          <w:rFonts w:ascii="Brother Deluxe 1350 Font" w:hAnsi="Brother Deluxe 1350 Font"/>
          <w:sz w:val="16"/>
          <w:szCs w:val="16"/>
        </w:rPr>
        <w:t xml:space="preserve">Graffiti </w:t>
      </w:r>
      <w:r>
        <w:rPr>
          <w:rFonts w:ascii="Brother Deluxe 1350 Font" w:hAnsi="Brother Deluxe 1350 Font"/>
          <w:sz w:val="16"/>
          <w:szCs w:val="16"/>
        </w:rPr>
        <w:t>i</w:t>
      </w:r>
      <w:r w:rsidRPr="007D5488">
        <w:rPr>
          <w:rFonts w:ascii="Brother Deluxe 1350 Font" w:hAnsi="Brother Deluxe 1350 Font"/>
          <w:sz w:val="16"/>
          <w:szCs w:val="16"/>
        </w:rPr>
        <w:t>n</w:t>
      </w:r>
      <w:r>
        <w:rPr>
          <w:rFonts w:ascii="Brother Deluxe 1350 Font" w:hAnsi="Brother Deluxe 1350 Font"/>
          <w:sz w:val="16"/>
          <w:szCs w:val="16"/>
        </w:rPr>
        <w:t xml:space="preserve"> Support of Freedom of Expression (Meinungsfreiheit) on one of 1960s West </w:t>
      </w:r>
      <w:r w:rsidRPr="007D5488">
        <w:rPr>
          <w:rFonts w:ascii="Brother Deluxe 1350 Font" w:hAnsi="Brother Deluxe 1350 Font"/>
          <w:sz w:val="16"/>
          <w:szCs w:val="16"/>
        </w:rPr>
        <w:t>Germany</w:t>
      </w:r>
      <w:r w:rsidRPr="007D5488">
        <w:rPr>
          <w:rFonts w:ascii="Bodoni MT" w:hAnsi="Bodoni MT"/>
          <w:b/>
          <w:sz w:val="16"/>
          <w:szCs w:val="16"/>
        </w:rPr>
        <w:t>`</w:t>
      </w:r>
      <w:r w:rsidRPr="007D5488">
        <w:rPr>
          <w:rFonts w:ascii="Brother Deluxe 1350 Font" w:hAnsi="Brother Deluxe 1350 Font"/>
          <w:sz w:val="16"/>
          <w:szCs w:val="16"/>
        </w:rPr>
        <w:t>s</w:t>
      </w:r>
      <w:r>
        <w:rPr>
          <w:rFonts w:ascii="Brother Deluxe 1350 Font" w:hAnsi="Brother Deluxe 1350 Font"/>
          <w:sz w:val="16"/>
          <w:szCs w:val="16"/>
        </w:rPr>
        <w:t xml:space="preserve"> most famous public buildings, the City </w:t>
      </w:r>
      <w:proofErr w:type="gramStart"/>
      <w:r>
        <w:rPr>
          <w:rFonts w:ascii="Brother Deluxe 1350 Font" w:hAnsi="Brother Deluxe 1350 Font"/>
          <w:sz w:val="16"/>
          <w:szCs w:val="16"/>
        </w:rPr>
        <w:t>And</w:t>
      </w:r>
      <w:proofErr w:type="gramEnd"/>
      <w:r>
        <w:rPr>
          <w:rFonts w:ascii="Brother Deluxe 1350 Font" w:hAnsi="Brother Deluxe 1350 Font"/>
          <w:sz w:val="16"/>
          <w:szCs w:val="16"/>
        </w:rPr>
        <w:t xml:space="preserve"> University Library Of Cologne</w:t>
      </w:r>
    </w:p>
    <w:p w:rsidR="007D5488" w:rsidRDefault="007D5488" w:rsidP="00665647">
      <w:pPr>
        <w:jc w:val="center"/>
        <w:rPr>
          <w:rFonts w:ascii="Brother Deluxe 1350 Font" w:hAnsi="Brother Deluxe 1350 Font"/>
          <w:sz w:val="16"/>
          <w:szCs w:val="16"/>
        </w:rPr>
      </w:pPr>
      <w:r w:rsidRPr="007D5488">
        <w:rPr>
          <w:rFonts w:ascii="Brother Deluxe 1350 Font" w:hAnsi="Brother Deluxe 1350 Font"/>
          <w:sz w:val="10"/>
          <w:szCs w:val="10"/>
        </w:rPr>
        <w:t>(copyright: personal photo, the author)</w:t>
      </w: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p>
    <w:p w:rsidR="007D5488" w:rsidRDefault="007D5488" w:rsidP="00665647">
      <w:pPr>
        <w:jc w:val="center"/>
        <w:rPr>
          <w:rFonts w:ascii="Brother Deluxe 1350 Font" w:hAnsi="Brother Deluxe 1350 Font"/>
          <w:sz w:val="16"/>
          <w:szCs w:val="16"/>
        </w:rPr>
      </w:pPr>
      <w:r>
        <w:rPr>
          <w:rFonts w:ascii="Brother Deluxe 1350 Font" w:hAnsi="Brother Deluxe 1350 Font"/>
          <w:sz w:val="16"/>
          <w:szCs w:val="16"/>
        </w:rPr>
        <w:t>Colin Cortbus</w:t>
      </w:r>
    </w:p>
    <w:p w:rsidR="007D5488" w:rsidRDefault="007D5488" w:rsidP="00665647">
      <w:pPr>
        <w:jc w:val="center"/>
        <w:rPr>
          <w:rFonts w:ascii="Brother Deluxe 1350 Font" w:hAnsi="Brother Deluxe 1350 Font"/>
          <w:sz w:val="16"/>
          <w:szCs w:val="16"/>
        </w:rPr>
      </w:pPr>
      <w:r>
        <w:rPr>
          <w:rFonts w:ascii="Brother Deluxe 1350 Font" w:hAnsi="Brother Deluxe 1350 Font"/>
          <w:sz w:val="16"/>
          <w:szCs w:val="16"/>
        </w:rPr>
        <w:t>Independent Project AHAN6003</w:t>
      </w:r>
    </w:p>
    <w:p w:rsidR="007D5488" w:rsidRDefault="007D5488" w:rsidP="00665647">
      <w:pPr>
        <w:jc w:val="center"/>
        <w:rPr>
          <w:rFonts w:ascii="Brother Deluxe 1350 Font" w:hAnsi="Brother Deluxe 1350 Font"/>
          <w:sz w:val="16"/>
          <w:szCs w:val="16"/>
        </w:rPr>
      </w:pPr>
      <w:r>
        <w:rPr>
          <w:rFonts w:ascii="Brother Deluxe 1350 Font" w:hAnsi="Brother Deluxe 1350 Font"/>
          <w:sz w:val="16"/>
          <w:szCs w:val="16"/>
        </w:rPr>
        <w:t>Koblenz, Germany: January the 31</w:t>
      </w:r>
      <w:r w:rsidRPr="007D5488">
        <w:rPr>
          <w:rFonts w:ascii="Brother Deluxe 1350 Font" w:hAnsi="Brother Deluxe 1350 Font"/>
          <w:sz w:val="16"/>
          <w:szCs w:val="16"/>
          <w:vertAlign w:val="superscript"/>
        </w:rPr>
        <w:t>st</w:t>
      </w:r>
      <w:r>
        <w:rPr>
          <w:rFonts w:ascii="Brother Deluxe 1350 Font" w:hAnsi="Brother Deluxe 1350 Font"/>
          <w:sz w:val="16"/>
          <w:szCs w:val="16"/>
        </w:rPr>
        <w:t>, 2018</w:t>
      </w:r>
    </w:p>
    <w:p w:rsidR="005A3806" w:rsidRPr="00461341" w:rsidRDefault="00752D7A" w:rsidP="004A66C0">
      <w:pPr>
        <w:rPr>
          <w:rFonts w:asciiTheme="majorHAnsi" w:hAnsiTheme="majorHAnsi" w:cstheme="majorHAnsi"/>
          <w:i/>
          <w:iCs/>
          <w:sz w:val="20"/>
          <w:szCs w:val="20"/>
        </w:rPr>
      </w:pPr>
      <w:r w:rsidRPr="00461341">
        <w:rPr>
          <w:rFonts w:asciiTheme="majorHAnsi" w:hAnsiTheme="majorHAnsi" w:cstheme="majorHAnsi"/>
          <w:i/>
          <w:iCs/>
          <w:sz w:val="20"/>
          <w:szCs w:val="20"/>
        </w:rPr>
        <w:lastRenderedPageBreak/>
        <w:t xml:space="preserve">A Note </w:t>
      </w:r>
      <w:proofErr w:type="gramStart"/>
      <w:r w:rsidRPr="00461341">
        <w:rPr>
          <w:rFonts w:asciiTheme="majorHAnsi" w:hAnsiTheme="majorHAnsi" w:cstheme="majorHAnsi"/>
          <w:i/>
          <w:iCs/>
          <w:sz w:val="20"/>
          <w:szCs w:val="20"/>
        </w:rPr>
        <w:t>On</w:t>
      </w:r>
      <w:proofErr w:type="gramEnd"/>
      <w:r w:rsidRPr="00461341">
        <w:rPr>
          <w:rFonts w:asciiTheme="majorHAnsi" w:hAnsiTheme="majorHAnsi" w:cstheme="majorHAnsi"/>
          <w:i/>
          <w:iCs/>
          <w:sz w:val="20"/>
          <w:szCs w:val="20"/>
        </w:rPr>
        <w:t xml:space="preserve"> Citation Of The Archival Frey Files</w:t>
      </w:r>
    </w:p>
    <w:p w:rsidR="00752D7A" w:rsidRPr="00461341" w:rsidRDefault="00752D7A" w:rsidP="004A66C0">
      <w:pPr>
        <w:rPr>
          <w:rFonts w:asciiTheme="majorHAnsi" w:hAnsiTheme="majorHAnsi" w:cstheme="majorHAnsi"/>
          <w:i/>
          <w:iCs/>
          <w:sz w:val="20"/>
          <w:szCs w:val="20"/>
        </w:rPr>
      </w:pPr>
      <w:r w:rsidRPr="00461341">
        <w:rPr>
          <w:rFonts w:asciiTheme="majorHAnsi" w:hAnsiTheme="majorHAnsi" w:cstheme="majorHAnsi"/>
          <w:i/>
          <w:iCs/>
          <w:sz w:val="20"/>
          <w:szCs w:val="20"/>
        </w:rPr>
        <w:t xml:space="preserve">Because numerous documents in the files are not marked with the name of an author in a legible fashion, because the voluminous files are not page numbered coherently and because subject headings were not usually used in the corpus of documents, this author has decided to use tailored system to refer to documents in the files, to enable any person to find the referenced files effectively. </w:t>
      </w:r>
    </w:p>
    <w:p w:rsidR="00752D7A" w:rsidRPr="00461341" w:rsidRDefault="00752D7A" w:rsidP="004A66C0">
      <w:pPr>
        <w:rPr>
          <w:rFonts w:asciiTheme="majorHAnsi" w:hAnsiTheme="majorHAnsi" w:cstheme="majorHAnsi"/>
          <w:i/>
          <w:iCs/>
          <w:sz w:val="20"/>
          <w:szCs w:val="20"/>
        </w:rPr>
      </w:pPr>
      <w:r w:rsidRPr="00461341">
        <w:rPr>
          <w:rFonts w:asciiTheme="majorHAnsi" w:hAnsiTheme="majorHAnsi" w:cstheme="majorHAnsi"/>
          <w:i/>
          <w:iCs/>
          <w:sz w:val="20"/>
          <w:szCs w:val="20"/>
        </w:rPr>
        <w:t xml:space="preserve">The Frey case files are held in the federal archives under the B3-2017/A-3093 in the electronic catalogue, and BMI 601 029/1, as the reference on the files themselves. All Frey case files have the same reference – and while they consist of multiple binders, the archives do not sub-reference them. However, the hard copy files come in 8 sub-folders, labelled number “Band” 2 to “Band” 9. </w:t>
      </w:r>
    </w:p>
    <w:p w:rsidR="00752D7A" w:rsidRPr="00461341" w:rsidRDefault="00752D7A" w:rsidP="004A66C0">
      <w:pPr>
        <w:rPr>
          <w:rFonts w:asciiTheme="majorHAnsi" w:hAnsiTheme="majorHAnsi" w:cstheme="majorHAnsi"/>
          <w:i/>
          <w:iCs/>
          <w:sz w:val="20"/>
          <w:szCs w:val="20"/>
        </w:rPr>
      </w:pPr>
      <w:r w:rsidRPr="00461341">
        <w:rPr>
          <w:rFonts w:asciiTheme="majorHAnsi" w:hAnsiTheme="majorHAnsi" w:cstheme="majorHAnsi"/>
          <w:i/>
          <w:iCs/>
          <w:sz w:val="20"/>
          <w:szCs w:val="20"/>
        </w:rPr>
        <w:t>Wherever a file has been quoted in the text of this work, the “Band” number is the final thing indicated in the reference. Rather than giving a title, the start of the reference shows which office/ministry/</w:t>
      </w:r>
      <w:proofErr w:type="gramStart"/>
      <w:r w:rsidRPr="00461341">
        <w:rPr>
          <w:rFonts w:asciiTheme="majorHAnsi" w:hAnsiTheme="majorHAnsi" w:cstheme="majorHAnsi"/>
          <w:i/>
          <w:iCs/>
          <w:sz w:val="20"/>
          <w:szCs w:val="20"/>
        </w:rPr>
        <w:t>person  issued</w:t>
      </w:r>
      <w:proofErr w:type="gramEnd"/>
      <w:r w:rsidRPr="00461341">
        <w:rPr>
          <w:rFonts w:asciiTheme="majorHAnsi" w:hAnsiTheme="majorHAnsi" w:cstheme="majorHAnsi"/>
          <w:i/>
          <w:iCs/>
          <w:sz w:val="20"/>
          <w:szCs w:val="20"/>
        </w:rPr>
        <w:t xml:space="preserve"> the documents and where applicable to which other office/ministry/person it sent them</w:t>
      </w:r>
      <w:r w:rsidR="005A3806" w:rsidRPr="00461341">
        <w:rPr>
          <w:rFonts w:asciiTheme="majorHAnsi" w:hAnsiTheme="majorHAnsi" w:cstheme="majorHAnsi"/>
          <w:i/>
          <w:iCs/>
          <w:sz w:val="20"/>
          <w:szCs w:val="20"/>
        </w:rPr>
        <w:t xml:space="preserve">. For concision purposes, the names of ministries are abbreviated in the standard bureaucratic appreciations still in use today. Bundesministerium Für Justiz, for example, is BMJ and Bundesministerium für Inneres is BMI, Bundesamt für Verfassungschutz is BfV. </w:t>
      </w:r>
      <w:r w:rsidRPr="00461341">
        <w:rPr>
          <w:rFonts w:asciiTheme="majorHAnsi" w:hAnsiTheme="majorHAnsi" w:cstheme="majorHAnsi"/>
          <w:i/>
          <w:iCs/>
          <w:sz w:val="20"/>
          <w:szCs w:val="20"/>
        </w:rPr>
        <w:t xml:space="preserve"> </w:t>
      </w:r>
    </w:p>
    <w:p w:rsidR="005A3806" w:rsidRPr="00461341" w:rsidRDefault="005A3806" w:rsidP="004A66C0">
      <w:pPr>
        <w:rPr>
          <w:rFonts w:asciiTheme="majorHAnsi" w:hAnsiTheme="majorHAnsi" w:cstheme="majorHAnsi"/>
          <w:i/>
          <w:iCs/>
          <w:sz w:val="20"/>
          <w:szCs w:val="20"/>
        </w:rPr>
      </w:pPr>
      <w:r w:rsidRPr="00461341">
        <w:rPr>
          <w:rFonts w:asciiTheme="majorHAnsi" w:hAnsiTheme="majorHAnsi" w:cstheme="majorHAnsi"/>
          <w:i/>
          <w:iCs/>
          <w:sz w:val="20"/>
          <w:szCs w:val="20"/>
        </w:rPr>
        <w:t>Most official documents in the while also contain a unique administrative reference code (in place of a subject heading), this code and the date is given in the middle of the reference, enabling anyone accessing the files to locate them with easy and certainty that they are handling the correct document.</w:t>
      </w:r>
    </w:p>
    <w:p w:rsidR="005A3806" w:rsidRPr="00461341" w:rsidRDefault="005A3806" w:rsidP="004A66C0">
      <w:pPr>
        <w:rPr>
          <w:rFonts w:asciiTheme="majorHAnsi" w:hAnsiTheme="majorHAnsi" w:cstheme="majorHAnsi"/>
          <w:i/>
          <w:iCs/>
          <w:sz w:val="20"/>
          <w:szCs w:val="20"/>
        </w:rPr>
      </w:pPr>
      <w:r w:rsidRPr="00461341">
        <w:rPr>
          <w:rFonts w:asciiTheme="majorHAnsi" w:hAnsiTheme="majorHAnsi" w:cstheme="majorHAnsi"/>
          <w:i/>
          <w:iCs/>
          <w:sz w:val="20"/>
          <w:szCs w:val="20"/>
        </w:rPr>
        <w:t xml:space="preserve">Sample Reference: </w:t>
      </w:r>
    </w:p>
    <w:p w:rsidR="005A3806" w:rsidRPr="00461341" w:rsidRDefault="005A3806" w:rsidP="004A66C0">
      <w:pPr>
        <w:rPr>
          <w:rFonts w:asciiTheme="majorHAnsi" w:hAnsiTheme="majorHAnsi" w:cstheme="majorHAnsi"/>
          <w:i/>
          <w:iCs/>
          <w:sz w:val="20"/>
          <w:szCs w:val="20"/>
        </w:rPr>
      </w:pPr>
      <w:r w:rsidRPr="00461341">
        <w:rPr>
          <w:rFonts w:asciiTheme="majorHAnsi" w:hAnsiTheme="majorHAnsi" w:cstheme="majorHAnsi"/>
          <w:i/>
          <w:iCs/>
          <w:sz w:val="20"/>
          <w:szCs w:val="20"/>
        </w:rPr>
        <w:t>Sender to Recipient. Document Reference Code. Date. Band Number</w:t>
      </w:r>
    </w:p>
    <w:p w:rsidR="005A3806" w:rsidRPr="00461341" w:rsidRDefault="005A3806" w:rsidP="004A66C0">
      <w:pPr>
        <w:rPr>
          <w:rFonts w:asciiTheme="majorHAnsi" w:hAnsiTheme="majorHAnsi" w:cstheme="majorHAnsi"/>
          <w:i/>
          <w:iCs/>
          <w:sz w:val="20"/>
          <w:szCs w:val="20"/>
        </w:rPr>
      </w:pPr>
      <w:r w:rsidRPr="00461341">
        <w:rPr>
          <w:rFonts w:asciiTheme="majorHAnsi" w:hAnsiTheme="majorHAnsi" w:cstheme="majorHAnsi"/>
          <w:i/>
          <w:iCs/>
          <w:sz w:val="20"/>
          <w:szCs w:val="20"/>
        </w:rPr>
        <w:t xml:space="preserve">For space reasons, the full file numbers B3-2017/A-3093 (electronic) BMI 601 029/1 (paper) are only cited here and in the bibliography. </w:t>
      </w:r>
    </w:p>
    <w:p w:rsidR="005A3806" w:rsidRPr="00461341" w:rsidRDefault="005A3806" w:rsidP="004A66C0">
      <w:pPr>
        <w:rPr>
          <w:rFonts w:asciiTheme="majorHAnsi" w:hAnsiTheme="majorHAnsi" w:cstheme="majorHAnsi"/>
          <w:i/>
          <w:iCs/>
          <w:sz w:val="20"/>
          <w:szCs w:val="20"/>
        </w:rPr>
      </w:pPr>
      <w:r w:rsidRPr="00461341">
        <w:rPr>
          <w:rFonts w:asciiTheme="majorHAnsi" w:hAnsiTheme="majorHAnsi" w:cstheme="majorHAnsi"/>
          <w:i/>
          <w:iCs/>
          <w:sz w:val="20"/>
          <w:szCs w:val="20"/>
        </w:rPr>
        <w:t xml:space="preserve">All translations from German to English are those of this author unless otherwise stated, or unless the text already appeared in English. </w:t>
      </w: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752D7A" w:rsidRPr="00461341" w:rsidRDefault="00752D7A" w:rsidP="004A66C0">
      <w:pPr>
        <w:rPr>
          <w:rFonts w:asciiTheme="majorHAnsi" w:hAnsiTheme="majorHAnsi" w:cstheme="majorHAnsi"/>
          <w:i/>
          <w:iCs/>
          <w:sz w:val="20"/>
          <w:szCs w:val="20"/>
        </w:rPr>
      </w:pPr>
    </w:p>
    <w:p w:rsidR="005A3806" w:rsidRPr="00461341" w:rsidRDefault="005A3806" w:rsidP="004A66C0">
      <w:pPr>
        <w:rPr>
          <w:rFonts w:asciiTheme="majorHAnsi" w:hAnsiTheme="majorHAnsi" w:cstheme="majorHAnsi"/>
          <w:i/>
          <w:iCs/>
          <w:sz w:val="20"/>
          <w:szCs w:val="20"/>
        </w:rPr>
      </w:pPr>
    </w:p>
    <w:p w:rsidR="005A3806" w:rsidRPr="00461341" w:rsidRDefault="005A3806" w:rsidP="004A66C0">
      <w:pPr>
        <w:rPr>
          <w:rFonts w:asciiTheme="majorHAnsi" w:hAnsiTheme="majorHAnsi" w:cstheme="majorHAnsi"/>
          <w:i/>
          <w:iCs/>
          <w:sz w:val="20"/>
          <w:szCs w:val="20"/>
        </w:rPr>
      </w:pPr>
    </w:p>
    <w:p w:rsidR="004A66C0" w:rsidRPr="00461341" w:rsidRDefault="004A66C0" w:rsidP="004A66C0">
      <w:pPr>
        <w:rPr>
          <w:rFonts w:asciiTheme="majorHAnsi" w:hAnsiTheme="majorHAnsi" w:cstheme="majorHAnsi"/>
          <w:i/>
          <w:iCs/>
          <w:sz w:val="20"/>
          <w:szCs w:val="20"/>
        </w:rPr>
      </w:pPr>
      <w:r w:rsidRPr="00461341">
        <w:rPr>
          <w:rFonts w:asciiTheme="majorHAnsi" w:hAnsiTheme="majorHAnsi" w:cstheme="majorHAnsi"/>
          <w:i/>
          <w:iCs/>
          <w:sz w:val="20"/>
          <w:szCs w:val="20"/>
        </w:rPr>
        <w:t xml:space="preserve">“Whoever abuses the freedom of expression, </w:t>
      </w:r>
      <w:proofErr w:type="gramStart"/>
      <w:r w:rsidRPr="00461341">
        <w:rPr>
          <w:rFonts w:asciiTheme="majorHAnsi" w:hAnsiTheme="majorHAnsi" w:cstheme="majorHAnsi"/>
          <w:i/>
          <w:iCs/>
          <w:sz w:val="20"/>
          <w:szCs w:val="20"/>
        </w:rPr>
        <w:t>in particular the</w:t>
      </w:r>
      <w:proofErr w:type="gramEnd"/>
      <w:r w:rsidRPr="00461341">
        <w:rPr>
          <w:rFonts w:asciiTheme="majorHAnsi" w:hAnsiTheme="majorHAnsi" w:cstheme="majorHAnsi"/>
          <w:i/>
          <w:iCs/>
          <w:sz w:val="20"/>
          <w:szCs w:val="20"/>
        </w:rPr>
        <w:t xml:space="preserve"> freedom of the press, the freedom of teaching, the freedom of assembly, the freedom of association, the privacy of correspondence, posts and telecommunications, the rights of property, or the right of asylum in order to combat the free democratic basic order shall forfeit these basic rights. This forfeiture and its extent shall be declared by the Federal Constitutional Court”</w:t>
      </w:r>
      <w:r w:rsidR="00811785" w:rsidRPr="00461341">
        <w:rPr>
          <w:rStyle w:val="FootnoteReference"/>
          <w:rFonts w:asciiTheme="majorHAnsi" w:hAnsiTheme="majorHAnsi" w:cstheme="majorHAnsi"/>
          <w:i/>
          <w:iCs/>
          <w:sz w:val="20"/>
          <w:szCs w:val="20"/>
        </w:rPr>
        <w:footnoteReference w:id="1"/>
      </w:r>
    </w:p>
    <w:p w:rsidR="004A66C0" w:rsidRPr="00461341" w:rsidRDefault="004A66C0" w:rsidP="00011DB5">
      <w:pPr>
        <w:ind w:left="1440"/>
        <w:rPr>
          <w:rFonts w:asciiTheme="majorHAnsi" w:hAnsiTheme="majorHAnsi" w:cstheme="majorHAnsi"/>
          <w:sz w:val="20"/>
          <w:szCs w:val="20"/>
        </w:rPr>
      </w:pPr>
      <w:r w:rsidRPr="00461341">
        <w:rPr>
          <w:rFonts w:asciiTheme="majorHAnsi" w:hAnsiTheme="majorHAnsi" w:cstheme="majorHAnsi"/>
          <w:sz w:val="20"/>
          <w:szCs w:val="20"/>
        </w:rPr>
        <w:t xml:space="preserve">Article 18, Basic Law </w:t>
      </w:r>
      <w:proofErr w:type="gramStart"/>
      <w:r w:rsidRPr="00461341">
        <w:rPr>
          <w:rFonts w:asciiTheme="majorHAnsi" w:hAnsiTheme="majorHAnsi" w:cstheme="majorHAnsi"/>
          <w:sz w:val="20"/>
          <w:szCs w:val="20"/>
        </w:rPr>
        <w:t>Of</w:t>
      </w:r>
      <w:proofErr w:type="gramEnd"/>
      <w:r w:rsidRPr="00461341">
        <w:rPr>
          <w:rFonts w:asciiTheme="majorHAnsi" w:hAnsiTheme="majorHAnsi" w:cstheme="majorHAnsi"/>
          <w:sz w:val="20"/>
          <w:szCs w:val="20"/>
        </w:rPr>
        <w:t xml:space="preserve"> The Federal Republic Of Germany.</w:t>
      </w: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4A66C0" w:rsidRPr="00461341" w:rsidRDefault="004A66C0" w:rsidP="007D5488">
      <w:pPr>
        <w:rPr>
          <w:rFonts w:asciiTheme="majorHAnsi" w:hAnsiTheme="majorHAnsi" w:cstheme="majorHAnsi"/>
          <w:sz w:val="20"/>
          <w:szCs w:val="20"/>
        </w:rPr>
      </w:pPr>
    </w:p>
    <w:p w:rsidR="007A344F" w:rsidRPr="00461341" w:rsidRDefault="00011DB5" w:rsidP="007D5488">
      <w:pPr>
        <w:rPr>
          <w:rFonts w:asciiTheme="majorHAnsi" w:hAnsiTheme="majorHAnsi" w:cstheme="majorHAnsi"/>
          <w:sz w:val="20"/>
          <w:szCs w:val="20"/>
        </w:rPr>
      </w:pPr>
      <w:r w:rsidRPr="00461341">
        <w:rPr>
          <w:rFonts w:asciiTheme="majorHAnsi" w:hAnsiTheme="majorHAnsi" w:cstheme="majorHAnsi"/>
          <w:sz w:val="20"/>
          <w:szCs w:val="20"/>
        </w:rPr>
        <w:t xml:space="preserve">This paper attempts to undertake </w:t>
      </w:r>
      <w:proofErr w:type="gramStart"/>
      <w:r w:rsidR="00E55E21" w:rsidRPr="00461341">
        <w:rPr>
          <w:rFonts w:asciiTheme="majorHAnsi" w:hAnsiTheme="majorHAnsi" w:cstheme="majorHAnsi"/>
          <w:sz w:val="20"/>
          <w:szCs w:val="20"/>
        </w:rPr>
        <w:t>an</w:t>
      </w:r>
      <w:proofErr w:type="gramEnd"/>
      <w:r w:rsidR="00E55E21" w:rsidRPr="00461341">
        <w:rPr>
          <w:rFonts w:asciiTheme="majorHAnsi" w:hAnsiTheme="majorHAnsi" w:cstheme="majorHAnsi"/>
          <w:sz w:val="20"/>
          <w:szCs w:val="20"/>
        </w:rPr>
        <w:t xml:space="preserve"> </w:t>
      </w:r>
      <w:r w:rsidRPr="00461341">
        <w:rPr>
          <w:rFonts w:asciiTheme="majorHAnsi" w:hAnsiTheme="majorHAnsi" w:cstheme="majorHAnsi"/>
          <w:sz w:val="20"/>
          <w:szCs w:val="20"/>
        </w:rPr>
        <w:t>micro-level, socio-historical analysis</w:t>
      </w:r>
      <w:r w:rsidR="00E55E21" w:rsidRPr="00461341">
        <w:rPr>
          <w:rFonts w:asciiTheme="majorHAnsi" w:hAnsiTheme="majorHAnsi" w:cstheme="majorHAnsi"/>
          <w:sz w:val="20"/>
          <w:szCs w:val="20"/>
        </w:rPr>
        <w:t xml:space="preserve"> of social and legal realities of </w:t>
      </w:r>
      <w:r w:rsidRPr="00461341">
        <w:rPr>
          <w:rFonts w:asciiTheme="majorHAnsi" w:hAnsiTheme="majorHAnsi" w:cstheme="majorHAnsi"/>
          <w:sz w:val="20"/>
          <w:szCs w:val="20"/>
        </w:rPr>
        <w:t>the post-war West German state structure</w:t>
      </w:r>
      <w:r w:rsidR="00E55E21" w:rsidRPr="00461341">
        <w:rPr>
          <w:rFonts w:asciiTheme="majorHAnsi" w:hAnsiTheme="majorHAnsi" w:cstheme="majorHAnsi"/>
          <w:sz w:val="20"/>
          <w:szCs w:val="20"/>
        </w:rPr>
        <w:t xml:space="preserve">, on the basis of administrative, archival documents relating to the West German government´s </w:t>
      </w:r>
      <w:r w:rsidR="007F1486" w:rsidRPr="00461341">
        <w:rPr>
          <w:rFonts w:asciiTheme="majorHAnsi" w:hAnsiTheme="majorHAnsi" w:cstheme="majorHAnsi"/>
          <w:sz w:val="20"/>
          <w:szCs w:val="20"/>
        </w:rPr>
        <w:t>Constitutional Court proceedings against</w:t>
      </w:r>
      <w:r w:rsidR="00E55E21" w:rsidRPr="00461341">
        <w:rPr>
          <w:rFonts w:asciiTheme="majorHAnsi" w:hAnsiTheme="majorHAnsi" w:cstheme="majorHAnsi"/>
          <w:sz w:val="20"/>
          <w:szCs w:val="20"/>
        </w:rPr>
        <w:t xml:space="preserve"> far-right journalist Gerhard Frey</w:t>
      </w:r>
      <w:r w:rsidR="007F1486" w:rsidRPr="00461341">
        <w:rPr>
          <w:rFonts w:asciiTheme="majorHAnsi" w:hAnsiTheme="majorHAnsi" w:cstheme="majorHAnsi"/>
          <w:sz w:val="20"/>
          <w:szCs w:val="20"/>
        </w:rPr>
        <w:t xml:space="preserve"> </w:t>
      </w:r>
      <w:r w:rsidR="00E55E21" w:rsidRPr="00461341">
        <w:rPr>
          <w:rFonts w:asciiTheme="majorHAnsi" w:hAnsiTheme="majorHAnsi" w:cstheme="majorHAnsi"/>
          <w:sz w:val="20"/>
          <w:szCs w:val="20"/>
        </w:rPr>
        <w:t>in 1969</w:t>
      </w:r>
      <w:r w:rsidRPr="00461341">
        <w:rPr>
          <w:rFonts w:asciiTheme="majorHAnsi" w:hAnsiTheme="majorHAnsi" w:cstheme="majorHAnsi"/>
          <w:sz w:val="20"/>
          <w:szCs w:val="20"/>
        </w:rPr>
        <w:t xml:space="preserve">. Using newly-accessible and unique, but only partially preserved archival materials, </w:t>
      </w:r>
      <w:r w:rsidR="007F1486" w:rsidRPr="00461341">
        <w:rPr>
          <w:rFonts w:asciiTheme="majorHAnsi" w:hAnsiTheme="majorHAnsi" w:cstheme="majorHAnsi"/>
          <w:sz w:val="20"/>
          <w:szCs w:val="20"/>
        </w:rPr>
        <w:t xml:space="preserve">this </w:t>
      </w:r>
      <w:r w:rsidRPr="00461341">
        <w:rPr>
          <w:rFonts w:asciiTheme="majorHAnsi" w:hAnsiTheme="majorHAnsi" w:cstheme="majorHAnsi"/>
          <w:sz w:val="20"/>
          <w:szCs w:val="20"/>
        </w:rPr>
        <w:t>seeks to set ou</w:t>
      </w:r>
      <w:r w:rsidR="00E55B5E" w:rsidRPr="00461341">
        <w:rPr>
          <w:rFonts w:asciiTheme="majorHAnsi" w:hAnsiTheme="majorHAnsi" w:cstheme="majorHAnsi"/>
          <w:sz w:val="20"/>
          <w:szCs w:val="20"/>
        </w:rPr>
        <w:t xml:space="preserve">t </w:t>
      </w:r>
      <w:r w:rsidR="007F1486" w:rsidRPr="00461341">
        <w:rPr>
          <w:rFonts w:asciiTheme="majorHAnsi" w:hAnsiTheme="majorHAnsi" w:cstheme="majorHAnsi"/>
          <w:sz w:val="20"/>
          <w:szCs w:val="20"/>
        </w:rPr>
        <w:t>understand</w:t>
      </w:r>
      <w:r w:rsidR="00E55B5E" w:rsidRPr="00461341">
        <w:rPr>
          <w:rFonts w:asciiTheme="majorHAnsi" w:hAnsiTheme="majorHAnsi" w:cstheme="majorHAnsi"/>
          <w:sz w:val="20"/>
          <w:szCs w:val="20"/>
        </w:rPr>
        <w:t xml:space="preserve"> why, </w:t>
      </w:r>
      <w:proofErr w:type="gramStart"/>
      <w:r w:rsidR="00E55B5E" w:rsidRPr="00461341">
        <w:rPr>
          <w:rFonts w:asciiTheme="majorHAnsi" w:hAnsiTheme="majorHAnsi" w:cstheme="majorHAnsi"/>
          <w:sz w:val="20"/>
          <w:szCs w:val="20"/>
        </w:rPr>
        <w:t>in the midst of</w:t>
      </w:r>
      <w:proofErr w:type="gramEnd"/>
      <w:r w:rsidR="00E55B5E" w:rsidRPr="00461341">
        <w:rPr>
          <w:rFonts w:asciiTheme="majorHAnsi" w:hAnsiTheme="majorHAnsi" w:cstheme="majorHAnsi"/>
          <w:sz w:val="20"/>
          <w:szCs w:val="20"/>
        </w:rPr>
        <w:t xml:space="preserve"> the cold war, the German state-system and its bureaucracy initiated and later conducted a constitutional court case against extreme-right, anti-government newspaper publisher and essayist Gerhard Frey. </w:t>
      </w:r>
    </w:p>
    <w:p w:rsidR="007F1486" w:rsidRPr="00461341" w:rsidRDefault="00E55B5E" w:rsidP="007D5488">
      <w:pPr>
        <w:rPr>
          <w:rFonts w:asciiTheme="majorHAnsi" w:hAnsiTheme="majorHAnsi" w:cstheme="majorHAnsi"/>
          <w:sz w:val="20"/>
          <w:szCs w:val="20"/>
        </w:rPr>
      </w:pPr>
      <w:r w:rsidRPr="00461341">
        <w:rPr>
          <w:rFonts w:asciiTheme="majorHAnsi" w:hAnsiTheme="majorHAnsi" w:cstheme="majorHAnsi"/>
          <w:sz w:val="20"/>
          <w:szCs w:val="20"/>
        </w:rPr>
        <w:t xml:space="preserve">Frey rose to international notoriety editing the German National </w:t>
      </w:r>
      <w:proofErr w:type="gramStart"/>
      <w:r w:rsidRPr="00461341">
        <w:rPr>
          <w:rFonts w:asciiTheme="majorHAnsi" w:hAnsiTheme="majorHAnsi" w:cstheme="majorHAnsi"/>
          <w:sz w:val="20"/>
          <w:szCs w:val="20"/>
        </w:rPr>
        <w:t>And</w:t>
      </w:r>
      <w:proofErr w:type="gramEnd"/>
      <w:r w:rsidRPr="00461341">
        <w:rPr>
          <w:rFonts w:asciiTheme="majorHAnsi" w:hAnsiTheme="majorHAnsi" w:cstheme="majorHAnsi"/>
          <w:sz w:val="20"/>
          <w:szCs w:val="20"/>
        </w:rPr>
        <w:t xml:space="preserve"> Soldiers´ Newspaper (commonly appreciated as DNZ)</w:t>
      </w:r>
      <w:r w:rsidR="00A306C2" w:rsidRPr="00461341">
        <w:rPr>
          <w:rFonts w:asciiTheme="majorHAnsi" w:hAnsiTheme="majorHAnsi" w:cstheme="majorHAnsi"/>
          <w:sz w:val="20"/>
          <w:szCs w:val="20"/>
        </w:rPr>
        <w:t xml:space="preserve">; The paper, printed in tabloid format with a circulation of 150,000 copies in 1969, </w:t>
      </w:r>
      <w:r w:rsidR="005A00C1" w:rsidRPr="00461341">
        <w:rPr>
          <w:rFonts w:asciiTheme="majorHAnsi" w:hAnsiTheme="majorHAnsi" w:cstheme="majorHAnsi"/>
          <w:sz w:val="20"/>
          <w:szCs w:val="20"/>
        </w:rPr>
        <w:t>stirred up</w:t>
      </w:r>
      <w:r w:rsidR="00A306C2" w:rsidRPr="00461341">
        <w:rPr>
          <w:rFonts w:asciiTheme="majorHAnsi" w:hAnsiTheme="majorHAnsi" w:cstheme="majorHAnsi"/>
          <w:sz w:val="20"/>
          <w:szCs w:val="20"/>
        </w:rPr>
        <w:t xml:space="preserve"> anti-Semitism</w:t>
      </w:r>
      <w:r w:rsidR="00A306C2" w:rsidRPr="00461341">
        <w:rPr>
          <w:rStyle w:val="FootnoteReference"/>
          <w:rFonts w:asciiTheme="majorHAnsi" w:hAnsiTheme="majorHAnsi" w:cstheme="majorHAnsi"/>
          <w:sz w:val="20"/>
          <w:szCs w:val="20"/>
        </w:rPr>
        <w:footnoteReference w:id="2"/>
      </w:r>
      <w:r w:rsidR="00A306C2" w:rsidRPr="00461341">
        <w:rPr>
          <w:rFonts w:asciiTheme="majorHAnsi" w:hAnsiTheme="majorHAnsi" w:cstheme="majorHAnsi"/>
          <w:sz w:val="20"/>
          <w:szCs w:val="20"/>
        </w:rPr>
        <w:t>, anti-Polonism and other forms racial hatred with large-f</w:t>
      </w:r>
      <w:r w:rsidR="005A00C1" w:rsidRPr="00461341">
        <w:rPr>
          <w:rFonts w:asciiTheme="majorHAnsi" w:hAnsiTheme="majorHAnsi" w:cstheme="majorHAnsi"/>
          <w:sz w:val="20"/>
          <w:szCs w:val="20"/>
        </w:rPr>
        <w:t>r</w:t>
      </w:r>
      <w:r w:rsidR="00A306C2" w:rsidRPr="00461341">
        <w:rPr>
          <w:rFonts w:asciiTheme="majorHAnsi" w:hAnsiTheme="majorHAnsi" w:cstheme="majorHAnsi"/>
          <w:sz w:val="20"/>
          <w:szCs w:val="20"/>
        </w:rPr>
        <w:t>onted headlines such as “Blackmailed For Eternity? Capitulation In Front Of Global Judaism</w:t>
      </w:r>
      <w:proofErr w:type="gramStart"/>
      <w:r w:rsidR="00A306C2" w:rsidRPr="00461341">
        <w:rPr>
          <w:rFonts w:asciiTheme="majorHAnsi" w:hAnsiTheme="majorHAnsi" w:cstheme="majorHAnsi"/>
          <w:sz w:val="20"/>
          <w:szCs w:val="20"/>
        </w:rPr>
        <w:t>”</w:t>
      </w:r>
      <w:r w:rsidR="005A00C1" w:rsidRPr="00461341">
        <w:rPr>
          <w:rFonts w:asciiTheme="majorHAnsi" w:hAnsiTheme="majorHAnsi" w:cstheme="majorHAnsi"/>
          <w:sz w:val="20"/>
          <w:szCs w:val="20"/>
        </w:rPr>
        <w:t>,“</w:t>
      </w:r>
      <w:proofErr w:type="gramEnd"/>
      <w:r w:rsidR="005A00C1" w:rsidRPr="00461341">
        <w:rPr>
          <w:rFonts w:asciiTheme="majorHAnsi" w:hAnsiTheme="majorHAnsi" w:cstheme="majorHAnsi"/>
          <w:sz w:val="20"/>
          <w:szCs w:val="20"/>
        </w:rPr>
        <w:t>The Power Of Global Judaism And What Stands Behind It”</w:t>
      </w:r>
      <w:r w:rsidR="00A306C2" w:rsidRPr="00461341">
        <w:rPr>
          <w:rStyle w:val="FootnoteReference"/>
          <w:rFonts w:asciiTheme="majorHAnsi" w:hAnsiTheme="majorHAnsi" w:cstheme="majorHAnsi"/>
          <w:sz w:val="20"/>
          <w:szCs w:val="20"/>
        </w:rPr>
        <w:footnoteReference w:id="3"/>
      </w:r>
      <w:r w:rsidR="005A00C1" w:rsidRPr="00461341">
        <w:rPr>
          <w:rFonts w:asciiTheme="majorHAnsi" w:hAnsiTheme="majorHAnsi" w:cstheme="majorHAnsi"/>
          <w:sz w:val="20"/>
          <w:szCs w:val="20"/>
        </w:rPr>
        <w:t>, “Israel´s Auschwitz In The Desert… Dayan In The Footsteps Of Hitler”</w:t>
      </w:r>
      <w:r w:rsidR="005A00C1" w:rsidRPr="00461341">
        <w:rPr>
          <w:rStyle w:val="FootnoteReference"/>
          <w:rFonts w:asciiTheme="majorHAnsi" w:hAnsiTheme="majorHAnsi" w:cstheme="majorHAnsi"/>
          <w:sz w:val="20"/>
          <w:szCs w:val="20"/>
        </w:rPr>
        <w:footnoteReference w:id="4"/>
      </w:r>
      <w:r w:rsidR="005A00C1" w:rsidRPr="00461341">
        <w:rPr>
          <w:rFonts w:asciiTheme="majorHAnsi" w:hAnsiTheme="majorHAnsi" w:cstheme="majorHAnsi"/>
          <w:sz w:val="20"/>
          <w:szCs w:val="20"/>
        </w:rPr>
        <w:t>.  Despite the newspaper´s seemingly clear</w:t>
      </w:r>
      <w:r w:rsidR="007A344F" w:rsidRPr="00461341">
        <w:rPr>
          <w:rFonts w:asciiTheme="majorHAnsi" w:hAnsiTheme="majorHAnsi" w:cstheme="majorHAnsi"/>
          <w:sz w:val="20"/>
          <w:szCs w:val="20"/>
        </w:rPr>
        <w:t>-</w:t>
      </w:r>
      <w:r w:rsidR="005A00C1" w:rsidRPr="00461341">
        <w:rPr>
          <w:rFonts w:asciiTheme="majorHAnsi" w:hAnsiTheme="majorHAnsi" w:cstheme="majorHAnsi"/>
          <w:sz w:val="20"/>
          <w:szCs w:val="20"/>
        </w:rPr>
        <w:t>cut extremist and anti-Semitic headings, formulating a legal response to the newspaper turned out to be extremely challenging</w:t>
      </w:r>
      <w:r w:rsidR="007A344F" w:rsidRPr="00461341">
        <w:rPr>
          <w:rFonts w:asciiTheme="majorHAnsi" w:hAnsiTheme="majorHAnsi" w:cstheme="majorHAnsi"/>
          <w:sz w:val="20"/>
          <w:szCs w:val="20"/>
        </w:rPr>
        <w:t xml:space="preserve"> for authorities at the time. </w:t>
      </w:r>
      <w:r w:rsidR="005A00C1" w:rsidRPr="00461341">
        <w:rPr>
          <w:rFonts w:asciiTheme="majorHAnsi" w:hAnsiTheme="majorHAnsi" w:cstheme="majorHAnsi"/>
          <w:sz w:val="20"/>
          <w:szCs w:val="20"/>
        </w:rPr>
        <w:t xml:space="preserve">Frey employed a range of sophisticated methods to evade prosecution: These included, but were not </w:t>
      </w:r>
      <w:r w:rsidR="005A00C1" w:rsidRPr="00461341">
        <w:rPr>
          <w:rFonts w:asciiTheme="majorHAnsi" w:hAnsiTheme="majorHAnsi" w:cstheme="majorHAnsi"/>
          <w:sz w:val="20"/>
          <w:szCs w:val="20"/>
        </w:rPr>
        <w:lastRenderedPageBreak/>
        <w:t>limited to, using obscurantist and legally hard to define terminology</w:t>
      </w:r>
      <w:r w:rsidR="007A344F" w:rsidRPr="00461341">
        <w:rPr>
          <w:rStyle w:val="FootnoteReference"/>
          <w:rFonts w:asciiTheme="majorHAnsi" w:hAnsiTheme="majorHAnsi" w:cstheme="majorHAnsi"/>
          <w:sz w:val="20"/>
          <w:szCs w:val="20"/>
        </w:rPr>
        <w:footnoteReference w:id="5"/>
      </w:r>
      <w:r w:rsidR="005A00C1" w:rsidRPr="00461341">
        <w:rPr>
          <w:rFonts w:asciiTheme="majorHAnsi" w:hAnsiTheme="majorHAnsi" w:cstheme="majorHAnsi"/>
          <w:sz w:val="20"/>
          <w:szCs w:val="20"/>
        </w:rPr>
        <w:t>, listing inaccurate information about the DNZ´s editors and contributors</w:t>
      </w:r>
      <w:r w:rsidR="007A344F" w:rsidRPr="00461341">
        <w:rPr>
          <w:rStyle w:val="FootnoteReference"/>
          <w:rFonts w:asciiTheme="majorHAnsi" w:hAnsiTheme="majorHAnsi" w:cstheme="majorHAnsi"/>
          <w:sz w:val="20"/>
          <w:szCs w:val="20"/>
        </w:rPr>
        <w:footnoteReference w:id="6"/>
      </w:r>
      <w:r w:rsidR="005A00C1" w:rsidRPr="00461341">
        <w:rPr>
          <w:rFonts w:asciiTheme="majorHAnsi" w:hAnsiTheme="majorHAnsi" w:cstheme="majorHAnsi"/>
          <w:sz w:val="20"/>
          <w:szCs w:val="20"/>
        </w:rPr>
        <w:t xml:space="preserve">, </w:t>
      </w:r>
      <w:r w:rsidR="007A344F" w:rsidRPr="00461341">
        <w:rPr>
          <w:rFonts w:asciiTheme="majorHAnsi" w:hAnsiTheme="majorHAnsi" w:cstheme="majorHAnsi"/>
          <w:sz w:val="20"/>
          <w:szCs w:val="20"/>
        </w:rPr>
        <w:t>using non-disclosure agreements among his staff</w:t>
      </w:r>
      <w:r w:rsidR="007A344F" w:rsidRPr="00461341">
        <w:rPr>
          <w:rStyle w:val="FootnoteReference"/>
          <w:rFonts w:asciiTheme="majorHAnsi" w:hAnsiTheme="majorHAnsi" w:cstheme="majorHAnsi"/>
          <w:sz w:val="20"/>
          <w:szCs w:val="20"/>
        </w:rPr>
        <w:footnoteReference w:id="7"/>
      </w:r>
      <w:r w:rsidR="007A344F" w:rsidRPr="00461341">
        <w:rPr>
          <w:rFonts w:asciiTheme="majorHAnsi" w:hAnsiTheme="majorHAnsi" w:cstheme="majorHAnsi"/>
          <w:sz w:val="20"/>
          <w:szCs w:val="20"/>
        </w:rPr>
        <w:t>, and including in the body of text of the DNZ´s articles statements to the absolute contrary of the anti-Semitic messages in the headlines</w:t>
      </w:r>
      <w:r w:rsidR="007A344F" w:rsidRPr="00461341">
        <w:rPr>
          <w:rStyle w:val="FootnoteReference"/>
          <w:rFonts w:asciiTheme="majorHAnsi" w:hAnsiTheme="majorHAnsi" w:cstheme="majorHAnsi"/>
          <w:sz w:val="20"/>
          <w:szCs w:val="20"/>
        </w:rPr>
        <w:footnoteReference w:id="8"/>
      </w:r>
      <w:r w:rsidR="007A344F" w:rsidRPr="00461341">
        <w:rPr>
          <w:rFonts w:asciiTheme="majorHAnsi" w:hAnsiTheme="majorHAnsi" w:cstheme="majorHAnsi"/>
          <w:sz w:val="20"/>
          <w:szCs w:val="20"/>
        </w:rPr>
        <w:t xml:space="preserve">. </w:t>
      </w:r>
      <w:r w:rsidR="00E55E21" w:rsidRPr="00461341">
        <w:rPr>
          <w:rFonts w:asciiTheme="majorHAnsi" w:hAnsiTheme="majorHAnsi" w:cstheme="majorHAnsi"/>
          <w:sz w:val="20"/>
          <w:szCs w:val="20"/>
        </w:rPr>
        <w:t xml:space="preserve"> Frey further sought to strengthen the DNZ´s impact by cultivating an international network of allies, interview partners and contributors, including individuals of Jewish descent who held extreme anti-Israel views, as well as Arab Nationalists. </w:t>
      </w:r>
      <w:r w:rsidR="00E55E21" w:rsidRPr="00461341">
        <w:rPr>
          <w:rStyle w:val="FootnoteReference"/>
          <w:rFonts w:asciiTheme="majorHAnsi" w:hAnsiTheme="majorHAnsi" w:cstheme="majorHAnsi"/>
          <w:sz w:val="20"/>
          <w:szCs w:val="20"/>
        </w:rPr>
        <w:footnoteReference w:id="9"/>
      </w:r>
      <w:r w:rsidR="00E55E21" w:rsidRPr="00461341">
        <w:rPr>
          <w:rFonts w:asciiTheme="majorHAnsi" w:hAnsiTheme="majorHAnsi" w:cstheme="majorHAnsi"/>
          <w:sz w:val="20"/>
          <w:szCs w:val="20"/>
        </w:rPr>
        <w:t xml:space="preserve"> Frey´s use of the newspaper to promote extremist and ultra-nationalist rhetoric was constituted an acute embarrassment for the West German state, given that</w:t>
      </w:r>
      <w:r w:rsidR="00A637FA" w:rsidRPr="00461341">
        <w:rPr>
          <w:rFonts w:asciiTheme="majorHAnsi" w:hAnsiTheme="majorHAnsi" w:cstheme="majorHAnsi"/>
          <w:sz w:val="20"/>
          <w:szCs w:val="20"/>
        </w:rPr>
        <w:t xml:space="preserve"> the paper was founded by Americans and</w:t>
      </w:r>
      <w:r w:rsidR="00306909" w:rsidRPr="00461341">
        <w:rPr>
          <w:rFonts w:asciiTheme="majorHAnsi" w:hAnsiTheme="majorHAnsi" w:cstheme="majorHAnsi"/>
          <w:sz w:val="20"/>
          <w:szCs w:val="20"/>
        </w:rPr>
        <w:t xml:space="preserve"> temporarily</w:t>
      </w:r>
      <w:r w:rsidR="00A637FA" w:rsidRPr="00461341">
        <w:rPr>
          <w:rFonts w:asciiTheme="majorHAnsi" w:hAnsiTheme="majorHAnsi" w:cstheme="majorHAnsi"/>
          <w:sz w:val="20"/>
          <w:szCs w:val="20"/>
        </w:rPr>
        <w:t xml:space="preserve"> funded by informal West German government funds in the 1950s as part of an effort to promote </w:t>
      </w:r>
      <w:r w:rsidR="00306909" w:rsidRPr="00461341">
        <w:rPr>
          <w:rFonts w:asciiTheme="majorHAnsi" w:hAnsiTheme="majorHAnsi" w:cstheme="majorHAnsi"/>
          <w:sz w:val="20"/>
          <w:szCs w:val="20"/>
        </w:rPr>
        <w:t xml:space="preserve">anti-communist </w:t>
      </w:r>
      <w:r w:rsidR="00A637FA" w:rsidRPr="00461341">
        <w:rPr>
          <w:rFonts w:asciiTheme="majorHAnsi" w:hAnsiTheme="majorHAnsi" w:cstheme="majorHAnsi"/>
          <w:sz w:val="20"/>
          <w:szCs w:val="20"/>
        </w:rPr>
        <w:t>messaging</w:t>
      </w:r>
      <w:r w:rsidR="00A637FA" w:rsidRPr="00461341">
        <w:rPr>
          <w:rStyle w:val="FootnoteReference"/>
          <w:rFonts w:asciiTheme="majorHAnsi" w:hAnsiTheme="majorHAnsi" w:cstheme="majorHAnsi"/>
          <w:sz w:val="20"/>
          <w:szCs w:val="20"/>
        </w:rPr>
        <w:footnoteReference w:id="10"/>
      </w:r>
      <w:r w:rsidR="00A637FA" w:rsidRPr="00461341">
        <w:rPr>
          <w:rFonts w:asciiTheme="majorHAnsi" w:hAnsiTheme="majorHAnsi" w:cstheme="majorHAnsi"/>
          <w:sz w:val="20"/>
          <w:szCs w:val="20"/>
        </w:rPr>
        <w:t>, prior to Frey acquiring its ownership in the early 1960s</w:t>
      </w:r>
      <w:r w:rsidR="00306909" w:rsidRPr="00461341">
        <w:rPr>
          <w:rStyle w:val="FootnoteReference"/>
          <w:rFonts w:asciiTheme="majorHAnsi" w:hAnsiTheme="majorHAnsi" w:cstheme="majorHAnsi"/>
          <w:sz w:val="20"/>
          <w:szCs w:val="20"/>
        </w:rPr>
        <w:footnoteReference w:id="11"/>
      </w:r>
      <w:r w:rsidR="00A637FA" w:rsidRPr="00461341">
        <w:rPr>
          <w:rFonts w:asciiTheme="majorHAnsi" w:hAnsiTheme="majorHAnsi" w:cstheme="majorHAnsi"/>
          <w:sz w:val="20"/>
          <w:szCs w:val="20"/>
        </w:rPr>
        <w:t xml:space="preserve">. </w:t>
      </w:r>
      <w:r w:rsidR="007F1486" w:rsidRPr="00461341">
        <w:rPr>
          <w:rFonts w:asciiTheme="majorHAnsi" w:hAnsiTheme="majorHAnsi" w:cstheme="majorHAnsi"/>
          <w:sz w:val="20"/>
          <w:szCs w:val="20"/>
        </w:rPr>
        <w:t xml:space="preserve"> </w:t>
      </w:r>
    </w:p>
    <w:p w:rsidR="009659CF" w:rsidRPr="00461341" w:rsidRDefault="007F1486" w:rsidP="007D5488">
      <w:pPr>
        <w:rPr>
          <w:rFonts w:asciiTheme="majorHAnsi" w:hAnsiTheme="majorHAnsi" w:cstheme="majorHAnsi"/>
          <w:sz w:val="20"/>
          <w:szCs w:val="20"/>
        </w:rPr>
      </w:pPr>
      <w:r w:rsidRPr="00461341">
        <w:rPr>
          <w:rFonts w:asciiTheme="majorHAnsi" w:hAnsiTheme="majorHAnsi" w:cstheme="majorHAnsi"/>
          <w:sz w:val="20"/>
          <w:szCs w:val="20"/>
        </w:rPr>
        <w:t>After “over 100 cases”</w:t>
      </w:r>
      <w:r w:rsidRPr="00461341">
        <w:rPr>
          <w:rStyle w:val="FootnoteReference"/>
          <w:rFonts w:asciiTheme="majorHAnsi" w:hAnsiTheme="majorHAnsi" w:cstheme="majorHAnsi"/>
          <w:sz w:val="20"/>
          <w:szCs w:val="20"/>
        </w:rPr>
        <w:footnoteReference w:id="12"/>
      </w:r>
      <w:r w:rsidRPr="00461341">
        <w:rPr>
          <w:rFonts w:asciiTheme="majorHAnsi" w:hAnsiTheme="majorHAnsi" w:cstheme="majorHAnsi"/>
          <w:sz w:val="20"/>
          <w:szCs w:val="20"/>
        </w:rPr>
        <w:t xml:space="preserve"> brought by Bavarian prosecutors against Frey at </w:t>
      </w:r>
      <w:proofErr w:type="gramStart"/>
      <w:r w:rsidRPr="00461341">
        <w:rPr>
          <w:rFonts w:asciiTheme="majorHAnsi" w:hAnsiTheme="majorHAnsi" w:cstheme="majorHAnsi"/>
          <w:sz w:val="20"/>
          <w:szCs w:val="20"/>
        </w:rPr>
        <w:t>an</w:t>
      </w:r>
      <w:proofErr w:type="gramEnd"/>
      <w:r w:rsidRPr="00461341">
        <w:rPr>
          <w:rFonts w:asciiTheme="majorHAnsi" w:hAnsiTheme="majorHAnsi" w:cstheme="majorHAnsi"/>
          <w:sz w:val="20"/>
          <w:szCs w:val="20"/>
        </w:rPr>
        <w:t xml:space="preserve"> state-level in his home city of Munich failed to yield any convictions relating to</w:t>
      </w:r>
      <w:r w:rsidR="00502204" w:rsidRPr="00461341">
        <w:rPr>
          <w:rFonts w:asciiTheme="majorHAnsi" w:hAnsiTheme="majorHAnsi" w:cstheme="majorHAnsi"/>
          <w:sz w:val="20"/>
          <w:szCs w:val="20"/>
        </w:rPr>
        <w:t xml:space="preserve"> any alleged,</w:t>
      </w:r>
      <w:r w:rsidRPr="00461341">
        <w:rPr>
          <w:rFonts w:asciiTheme="majorHAnsi" w:hAnsiTheme="majorHAnsi" w:cstheme="majorHAnsi"/>
          <w:sz w:val="20"/>
          <w:szCs w:val="20"/>
        </w:rPr>
        <w:t xml:space="preserve"> specific legal violations</w:t>
      </w:r>
      <w:r w:rsidR="00502204" w:rsidRPr="00461341">
        <w:rPr>
          <w:rFonts w:asciiTheme="majorHAnsi" w:hAnsiTheme="majorHAnsi" w:cstheme="majorHAnsi"/>
          <w:sz w:val="20"/>
          <w:szCs w:val="20"/>
        </w:rPr>
        <w:t xml:space="preserve"> by Frey</w:t>
      </w:r>
      <w:r w:rsidRPr="00461341">
        <w:rPr>
          <w:rFonts w:asciiTheme="majorHAnsi" w:hAnsiTheme="majorHAnsi" w:cstheme="majorHAnsi"/>
          <w:sz w:val="20"/>
          <w:szCs w:val="20"/>
        </w:rPr>
        <w:t xml:space="preserve">, the Federal Government in Bonn attempted to use a rarely-utilised and little-known constitutional provision, </w:t>
      </w:r>
      <w:r w:rsidR="00403FCB" w:rsidRPr="00461341">
        <w:rPr>
          <w:rFonts w:asciiTheme="majorHAnsi" w:hAnsiTheme="majorHAnsi" w:cstheme="majorHAnsi"/>
          <w:sz w:val="20"/>
          <w:szCs w:val="20"/>
        </w:rPr>
        <w:t>A</w:t>
      </w:r>
      <w:r w:rsidRPr="00461341">
        <w:rPr>
          <w:rFonts w:asciiTheme="majorHAnsi" w:hAnsiTheme="majorHAnsi" w:cstheme="majorHAnsi"/>
          <w:sz w:val="20"/>
          <w:szCs w:val="20"/>
        </w:rPr>
        <w:t>rticle 18 of the Basic Law, to silence Frey once and for all.</w:t>
      </w:r>
    </w:p>
    <w:p w:rsidR="005806D1" w:rsidRPr="00461341" w:rsidRDefault="007F1486" w:rsidP="007D5488">
      <w:pPr>
        <w:rPr>
          <w:rFonts w:asciiTheme="majorHAnsi" w:hAnsiTheme="majorHAnsi" w:cstheme="majorHAnsi"/>
          <w:sz w:val="20"/>
          <w:szCs w:val="20"/>
        </w:rPr>
      </w:pPr>
      <w:r w:rsidRPr="00461341">
        <w:rPr>
          <w:rFonts w:asciiTheme="majorHAnsi" w:hAnsiTheme="majorHAnsi" w:cstheme="majorHAnsi"/>
          <w:sz w:val="20"/>
          <w:szCs w:val="20"/>
        </w:rPr>
        <w:t xml:space="preserve">This article, quoted in full at the beginning of this study, </w:t>
      </w:r>
      <w:r w:rsidR="00502204" w:rsidRPr="00461341">
        <w:rPr>
          <w:rFonts w:asciiTheme="majorHAnsi" w:hAnsiTheme="majorHAnsi" w:cstheme="majorHAnsi"/>
          <w:sz w:val="20"/>
          <w:szCs w:val="20"/>
        </w:rPr>
        <w:t xml:space="preserve">establishes </w:t>
      </w:r>
      <w:r w:rsidR="004E4D18" w:rsidRPr="00461341">
        <w:rPr>
          <w:rFonts w:asciiTheme="majorHAnsi" w:hAnsiTheme="majorHAnsi" w:cstheme="majorHAnsi"/>
          <w:sz w:val="20"/>
          <w:szCs w:val="20"/>
        </w:rPr>
        <w:t xml:space="preserve">an </w:t>
      </w:r>
      <w:r w:rsidR="005806D1" w:rsidRPr="00461341">
        <w:rPr>
          <w:rFonts w:asciiTheme="majorHAnsi" w:hAnsiTheme="majorHAnsi" w:cstheme="majorHAnsi"/>
          <w:sz w:val="20"/>
          <w:szCs w:val="20"/>
        </w:rPr>
        <w:t>ability for the Constitut</w:t>
      </w:r>
      <w:r w:rsidR="004E4D18" w:rsidRPr="00461341">
        <w:rPr>
          <w:rFonts w:asciiTheme="majorHAnsi" w:hAnsiTheme="majorHAnsi" w:cstheme="majorHAnsi"/>
          <w:sz w:val="20"/>
          <w:szCs w:val="20"/>
        </w:rPr>
        <w:t>ional Court</w:t>
      </w:r>
      <w:r w:rsidR="00502204" w:rsidRPr="00461341">
        <w:rPr>
          <w:rFonts w:asciiTheme="majorHAnsi" w:hAnsiTheme="majorHAnsi" w:cstheme="majorHAnsi"/>
          <w:sz w:val="20"/>
          <w:szCs w:val="20"/>
        </w:rPr>
        <w:t xml:space="preserve"> strip a person of their human rights, including the right to vote, the right to express oneself and partake in politics, if it is proven this person “abused” their civic rights </w:t>
      </w:r>
      <w:proofErr w:type="gramStart"/>
      <w:r w:rsidR="00502204" w:rsidRPr="00461341">
        <w:rPr>
          <w:rFonts w:asciiTheme="majorHAnsi" w:hAnsiTheme="majorHAnsi" w:cstheme="majorHAnsi"/>
          <w:sz w:val="20"/>
          <w:szCs w:val="20"/>
        </w:rPr>
        <w:t>in order to</w:t>
      </w:r>
      <w:proofErr w:type="gramEnd"/>
      <w:r w:rsidR="00502204" w:rsidRPr="00461341">
        <w:rPr>
          <w:rFonts w:asciiTheme="majorHAnsi" w:hAnsiTheme="majorHAnsi" w:cstheme="majorHAnsi"/>
          <w:sz w:val="20"/>
          <w:szCs w:val="20"/>
        </w:rPr>
        <w:t xml:space="preserve"> combat the “free democratic basic order”. While the concept of the “free democratic basic order” </w:t>
      </w:r>
      <w:r w:rsidR="005806D1" w:rsidRPr="00461341">
        <w:rPr>
          <w:rFonts w:asciiTheme="majorHAnsi" w:hAnsiTheme="majorHAnsi" w:cstheme="majorHAnsi"/>
          <w:sz w:val="20"/>
          <w:szCs w:val="20"/>
        </w:rPr>
        <w:t xml:space="preserve">is, inherently, </w:t>
      </w:r>
      <w:r w:rsidR="00502204" w:rsidRPr="00461341">
        <w:rPr>
          <w:rFonts w:asciiTheme="majorHAnsi" w:hAnsiTheme="majorHAnsi" w:cstheme="majorHAnsi"/>
          <w:sz w:val="20"/>
          <w:szCs w:val="20"/>
        </w:rPr>
        <w:t>to some degree always a vague moral statement,</w:t>
      </w:r>
      <w:r w:rsidR="005806D1" w:rsidRPr="00461341">
        <w:rPr>
          <w:rFonts w:asciiTheme="majorHAnsi" w:hAnsiTheme="majorHAnsi" w:cstheme="majorHAnsi"/>
          <w:sz w:val="20"/>
          <w:szCs w:val="20"/>
        </w:rPr>
        <w:t xml:space="preserve"> the term has had a more tangible, precise legal definition ever since the Constitutional Court defined it</w:t>
      </w:r>
      <w:r w:rsidR="00CC7D12" w:rsidRPr="00461341">
        <w:rPr>
          <w:rStyle w:val="FootnoteReference"/>
          <w:rFonts w:asciiTheme="majorHAnsi" w:hAnsiTheme="majorHAnsi" w:cstheme="majorHAnsi"/>
          <w:sz w:val="20"/>
          <w:szCs w:val="20"/>
        </w:rPr>
        <w:footnoteReference w:id="13"/>
      </w:r>
      <w:r w:rsidR="005806D1" w:rsidRPr="00461341">
        <w:rPr>
          <w:rFonts w:asciiTheme="majorHAnsi" w:hAnsiTheme="majorHAnsi" w:cstheme="majorHAnsi"/>
          <w:sz w:val="20"/>
          <w:szCs w:val="20"/>
        </w:rPr>
        <w:t xml:space="preserve"> in a landmark 1952 ruling that banned the “Socialist Reich Party”, </w:t>
      </w:r>
      <w:r w:rsidR="00FA4CC5" w:rsidRPr="00461341">
        <w:rPr>
          <w:rFonts w:asciiTheme="majorHAnsi" w:hAnsiTheme="majorHAnsi" w:cstheme="majorHAnsi"/>
          <w:sz w:val="20"/>
          <w:szCs w:val="20"/>
        </w:rPr>
        <w:t>an extreme right political party that attempted to be a ´reformed´ NSDAP-successor organisation</w:t>
      </w:r>
      <w:r w:rsidR="00FA4CC5" w:rsidRPr="00461341">
        <w:rPr>
          <w:rStyle w:val="FootnoteReference"/>
          <w:rFonts w:asciiTheme="majorHAnsi" w:hAnsiTheme="majorHAnsi" w:cstheme="majorHAnsi"/>
          <w:sz w:val="20"/>
          <w:szCs w:val="20"/>
        </w:rPr>
        <w:footnoteReference w:id="14"/>
      </w:r>
      <w:r w:rsidR="005806D1" w:rsidRPr="00461341">
        <w:rPr>
          <w:rFonts w:asciiTheme="majorHAnsi" w:hAnsiTheme="majorHAnsi" w:cstheme="majorHAnsi"/>
          <w:sz w:val="20"/>
          <w:szCs w:val="20"/>
        </w:rPr>
        <w:t xml:space="preserve">. </w:t>
      </w:r>
      <w:r w:rsidR="00FA4CC5" w:rsidRPr="00461341">
        <w:rPr>
          <w:rFonts w:asciiTheme="majorHAnsi" w:hAnsiTheme="majorHAnsi" w:cstheme="majorHAnsi"/>
          <w:sz w:val="20"/>
          <w:szCs w:val="20"/>
        </w:rPr>
        <w:t xml:space="preserve"> In the verdict, the Constitutional Court described the “free democratic basic order” as the sum of democratic principles, human rights, and functioning </w:t>
      </w:r>
      <w:r w:rsidR="00FA4CC5" w:rsidRPr="00461341">
        <w:rPr>
          <w:rFonts w:asciiTheme="majorHAnsi" w:hAnsiTheme="majorHAnsi" w:cstheme="majorHAnsi"/>
          <w:sz w:val="20"/>
          <w:szCs w:val="20"/>
        </w:rPr>
        <w:lastRenderedPageBreak/>
        <w:t>checks and balances, such as an independent judiciary or democratic institutions. It stated</w:t>
      </w:r>
    </w:p>
    <w:p w:rsidR="005806D1" w:rsidRPr="00461341" w:rsidRDefault="005806D1" w:rsidP="007D5488">
      <w:pPr>
        <w:rPr>
          <w:rFonts w:asciiTheme="majorHAnsi" w:hAnsiTheme="majorHAnsi" w:cstheme="majorHAnsi"/>
          <w:i/>
          <w:sz w:val="20"/>
          <w:szCs w:val="20"/>
        </w:rPr>
      </w:pPr>
      <w:r w:rsidRPr="00461341">
        <w:rPr>
          <w:rFonts w:asciiTheme="majorHAnsi" w:hAnsiTheme="majorHAnsi" w:cstheme="majorHAnsi"/>
          <w:i/>
          <w:sz w:val="20"/>
          <w:szCs w:val="20"/>
        </w:rPr>
        <w:t>“</w:t>
      </w:r>
      <w:proofErr w:type="gramStart"/>
      <w:r w:rsidRPr="00461341">
        <w:rPr>
          <w:rFonts w:asciiTheme="majorHAnsi" w:hAnsiTheme="majorHAnsi" w:cstheme="majorHAnsi"/>
          <w:i/>
          <w:sz w:val="20"/>
          <w:szCs w:val="20"/>
        </w:rPr>
        <w:t>Thus</w:t>
      </w:r>
      <w:proofErr w:type="gramEnd"/>
      <w:r w:rsidRPr="00461341">
        <w:rPr>
          <w:rFonts w:asciiTheme="majorHAnsi" w:hAnsiTheme="majorHAnsi" w:cstheme="majorHAnsi"/>
          <w:i/>
          <w:sz w:val="20"/>
          <w:szCs w:val="20"/>
        </w:rPr>
        <w:t xml:space="preserve"> the free democratic basic order can be defined as an order which, excludes any kind of arbitrary and violence-driven rule, and which represents rule of law based on the basis of the self-determination of people according to the will of the majority, as well as freedom and equality. Among the basic principles of this order can be counted, at the very least, respect before </w:t>
      </w:r>
      <w:r w:rsidR="00FA4CC5" w:rsidRPr="00461341">
        <w:rPr>
          <w:rFonts w:asciiTheme="majorHAnsi" w:hAnsiTheme="majorHAnsi" w:cstheme="majorHAnsi"/>
          <w:i/>
          <w:sz w:val="20"/>
          <w:szCs w:val="20"/>
        </w:rPr>
        <w:t xml:space="preserve">human rights listed in the Basic Law, the division of powers, the responsibility of government, the legality of administration, the independence of the courts, the principle of a multi-party </w:t>
      </w:r>
      <w:proofErr w:type="gramStart"/>
      <w:r w:rsidR="00FA4CC5" w:rsidRPr="00461341">
        <w:rPr>
          <w:rFonts w:asciiTheme="majorHAnsi" w:hAnsiTheme="majorHAnsi" w:cstheme="majorHAnsi"/>
          <w:i/>
          <w:sz w:val="20"/>
          <w:szCs w:val="20"/>
        </w:rPr>
        <w:t>system,  and</w:t>
      </w:r>
      <w:proofErr w:type="gramEnd"/>
      <w:r w:rsidR="00FA4CC5" w:rsidRPr="00461341">
        <w:rPr>
          <w:rFonts w:asciiTheme="majorHAnsi" w:hAnsiTheme="majorHAnsi" w:cstheme="majorHAnsi"/>
          <w:i/>
          <w:sz w:val="20"/>
          <w:szCs w:val="20"/>
        </w:rPr>
        <w:t xml:space="preserve"> the equality of opportunity for all political parties with the right to form and practice a constitutionally-legitimate opposition to the government.”</w:t>
      </w:r>
      <w:r w:rsidR="00FA4CC5" w:rsidRPr="00461341">
        <w:rPr>
          <w:rStyle w:val="FootnoteReference"/>
          <w:rFonts w:asciiTheme="majorHAnsi" w:hAnsiTheme="majorHAnsi" w:cstheme="majorHAnsi"/>
          <w:i/>
          <w:sz w:val="20"/>
          <w:szCs w:val="20"/>
        </w:rPr>
        <w:footnoteReference w:id="15"/>
      </w:r>
    </w:p>
    <w:p w:rsidR="00CC7D12" w:rsidRPr="00461341" w:rsidRDefault="00CC7D12" w:rsidP="007D5488">
      <w:pPr>
        <w:rPr>
          <w:rFonts w:asciiTheme="majorHAnsi" w:hAnsiTheme="majorHAnsi" w:cstheme="majorHAnsi"/>
          <w:sz w:val="20"/>
          <w:szCs w:val="20"/>
        </w:rPr>
      </w:pPr>
      <w:r w:rsidRPr="00461341">
        <w:rPr>
          <w:rFonts w:asciiTheme="majorHAnsi" w:hAnsiTheme="majorHAnsi" w:cstheme="majorHAnsi"/>
          <w:sz w:val="20"/>
          <w:szCs w:val="20"/>
        </w:rPr>
        <w:t>The idea of being able to strip a person for their general human rights in supposed defence of the idea of the ´free democratic basic order´ is a peculiarity of German history, that, in the view of experts who examined it in the 1960s, was the result of the desire of constitutional framers to give the state the tools to deal resolutely with a potential, future threat posed by a Hitler-style demagogue</w:t>
      </w:r>
      <w:r w:rsidRPr="00461341">
        <w:rPr>
          <w:rStyle w:val="FootnoteReference"/>
          <w:rFonts w:asciiTheme="majorHAnsi" w:hAnsiTheme="majorHAnsi" w:cstheme="majorHAnsi"/>
          <w:sz w:val="20"/>
          <w:szCs w:val="20"/>
        </w:rPr>
        <w:footnoteReference w:id="16"/>
      </w:r>
      <w:r w:rsidRPr="00461341">
        <w:rPr>
          <w:rFonts w:asciiTheme="majorHAnsi" w:hAnsiTheme="majorHAnsi" w:cstheme="majorHAnsi"/>
          <w:sz w:val="20"/>
          <w:szCs w:val="20"/>
        </w:rPr>
        <w:t xml:space="preserve">. </w:t>
      </w:r>
      <w:r w:rsidR="00C53998" w:rsidRPr="00461341">
        <w:rPr>
          <w:rFonts w:asciiTheme="majorHAnsi" w:hAnsiTheme="majorHAnsi" w:cstheme="majorHAnsi"/>
          <w:sz w:val="20"/>
          <w:szCs w:val="20"/>
        </w:rPr>
        <w:t xml:space="preserve">Nonetheless, despite the nominally pro-democratic intent behind </w:t>
      </w:r>
      <w:r w:rsidR="003540C9" w:rsidRPr="00461341">
        <w:rPr>
          <w:rFonts w:asciiTheme="majorHAnsi" w:hAnsiTheme="majorHAnsi" w:cstheme="majorHAnsi"/>
          <w:sz w:val="20"/>
          <w:szCs w:val="20"/>
        </w:rPr>
        <w:t>A</w:t>
      </w:r>
      <w:r w:rsidR="00C53998" w:rsidRPr="00461341">
        <w:rPr>
          <w:rFonts w:asciiTheme="majorHAnsi" w:hAnsiTheme="majorHAnsi" w:cstheme="majorHAnsi"/>
          <w:sz w:val="20"/>
          <w:szCs w:val="20"/>
        </w:rPr>
        <w:t>rticle</w:t>
      </w:r>
      <w:r w:rsidR="003540C9" w:rsidRPr="00461341">
        <w:rPr>
          <w:rFonts w:asciiTheme="majorHAnsi" w:hAnsiTheme="majorHAnsi" w:cstheme="majorHAnsi"/>
          <w:sz w:val="20"/>
          <w:szCs w:val="20"/>
        </w:rPr>
        <w:t xml:space="preserve"> 18</w:t>
      </w:r>
      <w:r w:rsidR="00C53998" w:rsidRPr="00461341">
        <w:rPr>
          <w:rFonts w:asciiTheme="majorHAnsi" w:hAnsiTheme="majorHAnsi" w:cstheme="majorHAnsi"/>
          <w:sz w:val="20"/>
          <w:szCs w:val="20"/>
        </w:rPr>
        <w:t xml:space="preserve">, it places </w:t>
      </w:r>
      <w:r w:rsidR="003540C9" w:rsidRPr="00461341">
        <w:rPr>
          <w:rFonts w:asciiTheme="majorHAnsi" w:hAnsiTheme="majorHAnsi" w:cstheme="majorHAnsi"/>
          <w:sz w:val="20"/>
          <w:szCs w:val="20"/>
        </w:rPr>
        <w:t xml:space="preserve">the </w:t>
      </w:r>
      <w:r w:rsidR="008406BD" w:rsidRPr="00461341">
        <w:rPr>
          <w:rFonts w:asciiTheme="majorHAnsi" w:hAnsiTheme="majorHAnsi" w:cstheme="majorHAnsi"/>
          <w:sz w:val="20"/>
          <w:szCs w:val="20"/>
        </w:rPr>
        <w:t>German</w:t>
      </w:r>
      <w:r w:rsidR="003540C9" w:rsidRPr="00461341">
        <w:rPr>
          <w:rFonts w:asciiTheme="majorHAnsi" w:hAnsiTheme="majorHAnsi" w:cstheme="majorHAnsi"/>
          <w:sz w:val="20"/>
          <w:szCs w:val="20"/>
        </w:rPr>
        <w:t xml:space="preserve"> </w:t>
      </w:r>
      <w:r w:rsidR="008406BD" w:rsidRPr="00461341">
        <w:rPr>
          <w:rFonts w:asciiTheme="majorHAnsi" w:hAnsiTheme="majorHAnsi" w:cstheme="majorHAnsi"/>
          <w:sz w:val="20"/>
          <w:szCs w:val="20"/>
        </w:rPr>
        <w:t>Basic Law´s conceptualisation of fundamental liberties</w:t>
      </w:r>
      <w:r w:rsidR="00C53998" w:rsidRPr="00461341">
        <w:rPr>
          <w:rFonts w:asciiTheme="majorHAnsi" w:hAnsiTheme="majorHAnsi" w:cstheme="majorHAnsi"/>
          <w:sz w:val="20"/>
          <w:szCs w:val="20"/>
        </w:rPr>
        <w:t xml:space="preserve"> in a long, </w:t>
      </w:r>
      <w:r w:rsidR="008406BD" w:rsidRPr="00461341">
        <w:rPr>
          <w:rFonts w:asciiTheme="majorHAnsi" w:hAnsiTheme="majorHAnsi" w:cstheme="majorHAnsi"/>
          <w:sz w:val="20"/>
          <w:szCs w:val="20"/>
        </w:rPr>
        <w:t>European a</w:t>
      </w:r>
      <w:r w:rsidR="00C53998" w:rsidRPr="00461341">
        <w:rPr>
          <w:rFonts w:asciiTheme="majorHAnsi" w:hAnsiTheme="majorHAnsi" w:cstheme="majorHAnsi"/>
          <w:sz w:val="20"/>
          <w:szCs w:val="20"/>
        </w:rPr>
        <w:t xml:space="preserve">uthoritarian </w:t>
      </w:r>
      <w:r w:rsidR="008406BD" w:rsidRPr="00461341">
        <w:rPr>
          <w:rFonts w:asciiTheme="majorHAnsi" w:hAnsiTheme="majorHAnsi" w:cstheme="majorHAnsi"/>
          <w:sz w:val="20"/>
          <w:szCs w:val="20"/>
        </w:rPr>
        <w:t xml:space="preserve">tradition where basic rights are seen to be conferred by government, rather than </w:t>
      </w:r>
      <w:proofErr w:type="gramStart"/>
      <w:r w:rsidR="008406BD" w:rsidRPr="00461341">
        <w:rPr>
          <w:rFonts w:asciiTheme="majorHAnsi" w:hAnsiTheme="majorHAnsi" w:cstheme="majorHAnsi"/>
          <w:sz w:val="20"/>
          <w:szCs w:val="20"/>
        </w:rPr>
        <w:t>being seen as</w:t>
      </w:r>
      <w:proofErr w:type="gramEnd"/>
      <w:r w:rsidR="008406BD" w:rsidRPr="00461341">
        <w:rPr>
          <w:rFonts w:asciiTheme="majorHAnsi" w:hAnsiTheme="majorHAnsi" w:cstheme="majorHAnsi"/>
          <w:sz w:val="20"/>
          <w:szCs w:val="20"/>
        </w:rPr>
        <w:t xml:space="preserve"> inalienable and pre-existing, as they are in American</w:t>
      </w:r>
      <w:r w:rsidR="008406BD" w:rsidRPr="00461341">
        <w:rPr>
          <w:rStyle w:val="FootnoteReference"/>
          <w:rFonts w:asciiTheme="majorHAnsi" w:hAnsiTheme="majorHAnsi" w:cstheme="majorHAnsi"/>
          <w:sz w:val="20"/>
          <w:szCs w:val="20"/>
        </w:rPr>
        <w:footnoteReference w:id="17"/>
      </w:r>
      <w:r w:rsidR="008406BD" w:rsidRPr="00461341">
        <w:rPr>
          <w:rFonts w:asciiTheme="majorHAnsi" w:hAnsiTheme="majorHAnsi" w:cstheme="majorHAnsi"/>
          <w:sz w:val="20"/>
          <w:szCs w:val="20"/>
        </w:rPr>
        <w:t xml:space="preserve"> and International law</w:t>
      </w:r>
      <w:r w:rsidR="008406BD" w:rsidRPr="00461341">
        <w:rPr>
          <w:rStyle w:val="FootnoteReference"/>
          <w:rFonts w:asciiTheme="majorHAnsi" w:hAnsiTheme="majorHAnsi" w:cstheme="majorHAnsi"/>
          <w:sz w:val="20"/>
          <w:szCs w:val="20"/>
        </w:rPr>
        <w:footnoteReference w:id="18"/>
      </w:r>
      <w:r w:rsidR="008406BD" w:rsidRPr="00461341">
        <w:rPr>
          <w:rFonts w:asciiTheme="majorHAnsi" w:hAnsiTheme="majorHAnsi" w:cstheme="majorHAnsi"/>
          <w:sz w:val="20"/>
          <w:szCs w:val="20"/>
        </w:rPr>
        <w:t xml:space="preserve">, where the view is taken that they cannot be withdrawn by government. </w:t>
      </w:r>
      <w:r w:rsidR="003540C9" w:rsidRPr="00461341">
        <w:rPr>
          <w:rFonts w:asciiTheme="majorHAnsi" w:hAnsiTheme="majorHAnsi" w:cstheme="majorHAnsi"/>
          <w:sz w:val="20"/>
          <w:szCs w:val="20"/>
        </w:rPr>
        <w:t xml:space="preserve"> However, despite the potentially wide-ranging legal implications of the article,</w:t>
      </w:r>
      <w:r w:rsidR="00721C07" w:rsidRPr="00461341">
        <w:rPr>
          <w:rFonts w:asciiTheme="majorHAnsi" w:hAnsiTheme="majorHAnsi" w:cstheme="majorHAnsi"/>
          <w:sz w:val="20"/>
          <w:szCs w:val="20"/>
        </w:rPr>
        <w:t xml:space="preserve"> legal scholars writing about the article at the time of the Frey case noted that its evaluation and discussion has remained of a “largely academic character, in the absence of case law”</w:t>
      </w:r>
      <w:r w:rsidR="00721C07" w:rsidRPr="00461341">
        <w:rPr>
          <w:rStyle w:val="FootnoteReference"/>
          <w:rFonts w:asciiTheme="majorHAnsi" w:hAnsiTheme="majorHAnsi" w:cstheme="majorHAnsi"/>
          <w:sz w:val="20"/>
          <w:szCs w:val="20"/>
        </w:rPr>
        <w:footnoteReference w:id="19"/>
      </w:r>
      <w:r w:rsidR="00721C07" w:rsidRPr="00461341">
        <w:rPr>
          <w:rFonts w:asciiTheme="majorHAnsi" w:hAnsiTheme="majorHAnsi" w:cstheme="majorHAnsi"/>
          <w:sz w:val="20"/>
          <w:szCs w:val="20"/>
        </w:rPr>
        <w:t>.</w:t>
      </w:r>
      <w:r w:rsidR="009659CF" w:rsidRPr="00461341">
        <w:rPr>
          <w:rFonts w:asciiTheme="majorHAnsi" w:hAnsiTheme="majorHAnsi" w:cstheme="majorHAnsi"/>
          <w:sz w:val="20"/>
          <w:szCs w:val="20"/>
        </w:rPr>
        <w:t xml:space="preserve"> At the time of </w:t>
      </w:r>
      <w:r w:rsidR="00DE55EE" w:rsidRPr="00461341">
        <w:rPr>
          <w:rFonts w:asciiTheme="majorHAnsi" w:hAnsiTheme="majorHAnsi" w:cstheme="majorHAnsi"/>
          <w:sz w:val="20"/>
          <w:szCs w:val="20"/>
        </w:rPr>
        <w:t>the f</w:t>
      </w:r>
      <w:r w:rsidR="009659CF" w:rsidRPr="00461341">
        <w:rPr>
          <w:rFonts w:asciiTheme="majorHAnsi" w:hAnsiTheme="majorHAnsi" w:cstheme="majorHAnsi"/>
          <w:sz w:val="20"/>
          <w:szCs w:val="20"/>
        </w:rPr>
        <w:t>ederal Government´s decision to file the case against Frey, the article had only been invoked once</w:t>
      </w:r>
      <w:r w:rsidR="00DE55EE" w:rsidRPr="00461341">
        <w:rPr>
          <w:rFonts w:asciiTheme="majorHAnsi" w:hAnsiTheme="majorHAnsi" w:cstheme="majorHAnsi"/>
          <w:sz w:val="20"/>
          <w:szCs w:val="20"/>
        </w:rPr>
        <w:t xml:space="preserve"> before</w:t>
      </w:r>
      <w:r w:rsidR="00712D8A" w:rsidRPr="00461341">
        <w:rPr>
          <w:rFonts w:asciiTheme="majorHAnsi" w:hAnsiTheme="majorHAnsi" w:cstheme="majorHAnsi"/>
          <w:sz w:val="20"/>
          <w:szCs w:val="20"/>
        </w:rPr>
        <w:t xml:space="preserve"> </w:t>
      </w:r>
      <w:r w:rsidR="009659CF" w:rsidRPr="00461341">
        <w:rPr>
          <w:rFonts w:asciiTheme="majorHAnsi" w:hAnsiTheme="majorHAnsi" w:cstheme="majorHAnsi"/>
          <w:sz w:val="20"/>
          <w:szCs w:val="20"/>
        </w:rPr>
        <w:t>in the entirety of West German history</w:t>
      </w:r>
      <w:r w:rsidR="00712D8A" w:rsidRPr="00461341">
        <w:rPr>
          <w:rFonts w:asciiTheme="majorHAnsi" w:hAnsiTheme="majorHAnsi" w:cstheme="majorHAnsi"/>
          <w:sz w:val="20"/>
          <w:szCs w:val="20"/>
        </w:rPr>
        <w:t>, and even then, the Constitutional Court ha</w:t>
      </w:r>
      <w:r w:rsidR="00F92A9D" w:rsidRPr="00461341">
        <w:rPr>
          <w:rFonts w:asciiTheme="majorHAnsi" w:hAnsiTheme="majorHAnsi" w:cstheme="majorHAnsi"/>
          <w:sz w:val="20"/>
          <w:szCs w:val="20"/>
        </w:rPr>
        <w:t xml:space="preserve">d </w:t>
      </w:r>
      <w:r w:rsidR="00712D8A" w:rsidRPr="00461341">
        <w:rPr>
          <w:rFonts w:asciiTheme="majorHAnsi" w:hAnsiTheme="majorHAnsi" w:cstheme="majorHAnsi"/>
          <w:sz w:val="20"/>
          <w:szCs w:val="20"/>
        </w:rPr>
        <w:t>refused t</w:t>
      </w:r>
      <w:r w:rsidR="00F92A9D" w:rsidRPr="00461341">
        <w:rPr>
          <w:rFonts w:asciiTheme="majorHAnsi" w:hAnsiTheme="majorHAnsi" w:cstheme="majorHAnsi"/>
          <w:sz w:val="20"/>
          <w:szCs w:val="20"/>
        </w:rPr>
        <w:t>he application</w:t>
      </w:r>
      <w:r w:rsidR="00DE55EE" w:rsidRPr="00461341">
        <w:rPr>
          <w:rStyle w:val="FootnoteReference"/>
          <w:rFonts w:asciiTheme="majorHAnsi" w:hAnsiTheme="majorHAnsi" w:cstheme="majorHAnsi"/>
          <w:sz w:val="20"/>
          <w:szCs w:val="20"/>
        </w:rPr>
        <w:footnoteReference w:id="20"/>
      </w:r>
      <w:r w:rsidR="009659CF" w:rsidRPr="00461341">
        <w:rPr>
          <w:rFonts w:asciiTheme="majorHAnsi" w:hAnsiTheme="majorHAnsi" w:cstheme="majorHAnsi"/>
          <w:sz w:val="20"/>
          <w:szCs w:val="20"/>
        </w:rPr>
        <w:t xml:space="preserve">. </w:t>
      </w:r>
    </w:p>
    <w:p w:rsidR="0020282A" w:rsidRPr="00461341" w:rsidRDefault="00F92A9D" w:rsidP="007D5488">
      <w:pPr>
        <w:rPr>
          <w:rFonts w:asciiTheme="majorHAnsi" w:hAnsiTheme="majorHAnsi" w:cstheme="majorHAnsi"/>
          <w:sz w:val="20"/>
          <w:szCs w:val="20"/>
        </w:rPr>
      </w:pPr>
      <w:r w:rsidRPr="00461341">
        <w:rPr>
          <w:rFonts w:asciiTheme="majorHAnsi" w:hAnsiTheme="majorHAnsi" w:cstheme="majorHAnsi"/>
          <w:sz w:val="20"/>
          <w:szCs w:val="20"/>
        </w:rPr>
        <w:t xml:space="preserve">The Article 18 case against Frey, is though, not just unique and noteworthy, </w:t>
      </w:r>
      <w:r w:rsidR="005A3806" w:rsidRPr="00461341">
        <w:rPr>
          <w:rFonts w:asciiTheme="majorHAnsi" w:hAnsiTheme="majorHAnsi" w:cstheme="majorHAnsi"/>
          <w:sz w:val="20"/>
          <w:szCs w:val="20"/>
        </w:rPr>
        <w:t>because of the</w:t>
      </w:r>
      <w:r w:rsidRPr="00461341">
        <w:rPr>
          <w:rFonts w:asciiTheme="majorHAnsi" w:hAnsiTheme="majorHAnsi" w:cstheme="majorHAnsi"/>
          <w:sz w:val="20"/>
          <w:szCs w:val="20"/>
        </w:rPr>
        <w:t xml:space="preserve"> rarity with which Article 18 has been invoked in West German history. </w:t>
      </w:r>
      <w:proofErr w:type="gramStart"/>
      <w:r w:rsidRPr="00461341">
        <w:rPr>
          <w:rFonts w:asciiTheme="majorHAnsi" w:hAnsiTheme="majorHAnsi" w:cstheme="majorHAnsi"/>
          <w:sz w:val="20"/>
          <w:szCs w:val="20"/>
        </w:rPr>
        <w:t>In essence, the</w:t>
      </w:r>
      <w:proofErr w:type="gramEnd"/>
      <w:r w:rsidRPr="00461341">
        <w:rPr>
          <w:rFonts w:asciiTheme="majorHAnsi" w:hAnsiTheme="majorHAnsi" w:cstheme="majorHAnsi"/>
          <w:sz w:val="20"/>
          <w:szCs w:val="20"/>
        </w:rPr>
        <w:t xml:space="preserve"> Frey case was also a test of an even more significant principle; Whether a state can take punitive action against someone for the overall undertone, or between-the-lines effect, of their speech, in the absence and failure to prove that any specific sentence of it is criminally illegal. </w:t>
      </w:r>
      <w:r w:rsidR="00403FCB" w:rsidRPr="00461341">
        <w:rPr>
          <w:rFonts w:asciiTheme="majorHAnsi" w:hAnsiTheme="majorHAnsi" w:cstheme="majorHAnsi"/>
          <w:sz w:val="20"/>
          <w:szCs w:val="20"/>
        </w:rPr>
        <w:t xml:space="preserve">This is not just a question with hindsight or a present focus on due process and human rights – from a merely practical view of law, government bureaucrats at the time also grappled with question “whether </w:t>
      </w:r>
      <w:r w:rsidR="00403FCB" w:rsidRPr="00461341">
        <w:rPr>
          <w:rFonts w:asciiTheme="majorHAnsi" w:hAnsiTheme="majorHAnsi" w:cstheme="majorHAnsi"/>
          <w:sz w:val="20"/>
          <w:szCs w:val="20"/>
        </w:rPr>
        <w:lastRenderedPageBreak/>
        <w:t>an application [under Article 18] could be successful, without the subject having been punished” for a specific legal transgression beforehand</w:t>
      </w:r>
      <w:r w:rsidR="00403FCB" w:rsidRPr="00461341">
        <w:rPr>
          <w:rStyle w:val="FootnoteReference"/>
          <w:rFonts w:asciiTheme="majorHAnsi" w:hAnsiTheme="majorHAnsi" w:cstheme="majorHAnsi"/>
          <w:sz w:val="20"/>
          <w:szCs w:val="20"/>
        </w:rPr>
        <w:footnoteReference w:id="21"/>
      </w:r>
      <w:r w:rsidR="00403FCB" w:rsidRPr="00461341">
        <w:rPr>
          <w:rFonts w:asciiTheme="majorHAnsi" w:hAnsiTheme="majorHAnsi" w:cstheme="majorHAnsi"/>
          <w:sz w:val="20"/>
          <w:szCs w:val="20"/>
        </w:rPr>
        <w:t xml:space="preserve">. </w:t>
      </w:r>
    </w:p>
    <w:p w:rsidR="00D01F89" w:rsidRPr="00461341" w:rsidRDefault="005F3E25" w:rsidP="007D5488">
      <w:pPr>
        <w:rPr>
          <w:rFonts w:asciiTheme="majorHAnsi" w:hAnsiTheme="majorHAnsi" w:cstheme="majorHAnsi"/>
          <w:sz w:val="20"/>
          <w:szCs w:val="20"/>
        </w:rPr>
      </w:pPr>
      <w:r w:rsidRPr="00461341">
        <w:rPr>
          <w:rFonts w:asciiTheme="majorHAnsi" w:hAnsiTheme="majorHAnsi" w:cstheme="majorHAnsi"/>
          <w:sz w:val="20"/>
          <w:szCs w:val="20"/>
        </w:rPr>
        <w:t xml:space="preserve">It may seem counter-intuitive to study a case as unusual and rare as the Article 18 proceedings against Frey as a window the way the German state system functioned at the time. However, in the context of the late 1960s Germany, the Nazi-related past that Frey´s views became to symbolise were at the centre of public discussion, anxiety and political confrontation. </w:t>
      </w:r>
      <w:r w:rsidR="00EC192C" w:rsidRPr="00461341">
        <w:rPr>
          <w:rFonts w:asciiTheme="majorHAnsi" w:hAnsiTheme="majorHAnsi" w:cstheme="majorHAnsi"/>
          <w:sz w:val="20"/>
          <w:szCs w:val="20"/>
        </w:rPr>
        <w:t xml:space="preserve">The case against Frey came precisely at the time of what </w:t>
      </w:r>
      <w:r w:rsidR="00F50A8D" w:rsidRPr="00461341">
        <w:rPr>
          <w:rFonts w:asciiTheme="majorHAnsi" w:hAnsiTheme="majorHAnsi" w:cstheme="majorHAnsi"/>
          <w:sz w:val="20"/>
          <w:szCs w:val="20"/>
        </w:rPr>
        <w:t>the noted West German author Hans Magnus Enzensberger called the general “tumult” of the 1968 cultural and generational clashes</w:t>
      </w:r>
      <w:r w:rsidR="00F50A8D" w:rsidRPr="00461341">
        <w:rPr>
          <w:rStyle w:val="FootnoteReference"/>
          <w:rFonts w:asciiTheme="majorHAnsi" w:hAnsiTheme="majorHAnsi" w:cstheme="majorHAnsi"/>
          <w:sz w:val="20"/>
          <w:szCs w:val="20"/>
        </w:rPr>
        <w:footnoteReference w:id="22"/>
      </w:r>
      <w:r w:rsidR="00F50A8D" w:rsidRPr="00461341">
        <w:rPr>
          <w:rFonts w:asciiTheme="majorHAnsi" w:hAnsiTheme="majorHAnsi" w:cstheme="majorHAnsi"/>
          <w:sz w:val="20"/>
          <w:szCs w:val="20"/>
        </w:rPr>
        <w:t xml:space="preserve">. </w:t>
      </w:r>
      <w:r w:rsidRPr="00461341">
        <w:rPr>
          <w:rFonts w:asciiTheme="majorHAnsi" w:hAnsiTheme="majorHAnsi" w:cstheme="majorHAnsi"/>
          <w:sz w:val="20"/>
          <w:szCs w:val="20"/>
        </w:rPr>
        <w:t>One specific wider aspect of the cultural shifted was that the</w:t>
      </w:r>
      <w:r w:rsidR="00F50A8D" w:rsidRPr="00461341">
        <w:rPr>
          <w:rFonts w:asciiTheme="majorHAnsi" w:hAnsiTheme="majorHAnsi" w:cstheme="majorHAnsi"/>
          <w:sz w:val="20"/>
          <w:szCs w:val="20"/>
        </w:rPr>
        <w:t xml:space="preserve"> 1960s were also a time when West German society, for the first time, “began to confront its past”, with the Frankfurt Auschwitz</w:t>
      </w:r>
      <w:r w:rsidRPr="00461341">
        <w:rPr>
          <w:rFonts w:asciiTheme="majorHAnsi" w:hAnsiTheme="majorHAnsi" w:cstheme="majorHAnsi"/>
          <w:sz w:val="20"/>
          <w:szCs w:val="20"/>
        </w:rPr>
        <w:t xml:space="preserve"> mass murder</w:t>
      </w:r>
      <w:r w:rsidR="00F50A8D" w:rsidRPr="00461341">
        <w:rPr>
          <w:rFonts w:asciiTheme="majorHAnsi" w:hAnsiTheme="majorHAnsi" w:cstheme="majorHAnsi"/>
          <w:sz w:val="20"/>
          <w:szCs w:val="20"/>
        </w:rPr>
        <w:t xml:space="preserve"> trails between 1963-1965</w:t>
      </w:r>
      <w:r w:rsidR="00F50A8D" w:rsidRPr="00461341">
        <w:rPr>
          <w:rStyle w:val="FootnoteReference"/>
          <w:rFonts w:asciiTheme="majorHAnsi" w:hAnsiTheme="majorHAnsi" w:cstheme="majorHAnsi"/>
          <w:sz w:val="20"/>
          <w:szCs w:val="20"/>
        </w:rPr>
        <w:footnoteReference w:id="23"/>
      </w:r>
      <w:r w:rsidR="00F50A8D" w:rsidRPr="00461341">
        <w:rPr>
          <w:rFonts w:asciiTheme="majorHAnsi" w:hAnsiTheme="majorHAnsi" w:cstheme="majorHAnsi"/>
          <w:sz w:val="20"/>
          <w:szCs w:val="20"/>
        </w:rPr>
        <w:t xml:space="preserve">, and later, in 1969, with a </w:t>
      </w:r>
      <w:r w:rsidR="001B2D1E" w:rsidRPr="00461341">
        <w:rPr>
          <w:rFonts w:asciiTheme="majorHAnsi" w:hAnsiTheme="majorHAnsi" w:cstheme="majorHAnsi"/>
          <w:sz w:val="20"/>
          <w:szCs w:val="20"/>
        </w:rPr>
        <w:t xml:space="preserve">fiercely contested </w:t>
      </w:r>
      <w:r w:rsidR="00F50A8D" w:rsidRPr="00461341">
        <w:rPr>
          <w:rFonts w:asciiTheme="majorHAnsi" w:hAnsiTheme="majorHAnsi" w:cstheme="majorHAnsi"/>
          <w:sz w:val="20"/>
          <w:szCs w:val="20"/>
        </w:rPr>
        <w:t>parliamentary vote to ensure the statute of limitations</w:t>
      </w:r>
      <w:r w:rsidR="001B2D1E" w:rsidRPr="00461341">
        <w:rPr>
          <w:rFonts w:asciiTheme="majorHAnsi" w:hAnsiTheme="majorHAnsi" w:cstheme="majorHAnsi"/>
          <w:sz w:val="20"/>
          <w:szCs w:val="20"/>
        </w:rPr>
        <w:t xml:space="preserve"> under German criminal law</w:t>
      </w:r>
      <w:r w:rsidR="00F50A8D" w:rsidRPr="00461341">
        <w:rPr>
          <w:rFonts w:asciiTheme="majorHAnsi" w:hAnsiTheme="majorHAnsi" w:cstheme="majorHAnsi"/>
          <w:sz w:val="20"/>
          <w:szCs w:val="20"/>
        </w:rPr>
        <w:t xml:space="preserve"> would not expire for Nazi war criminals and murderers</w:t>
      </w:r>
      <w:r w:rsidR="001B2D1E" w:rsidRPr="00461341">
        <w:rPr>
          <w:rStyle w:val="FootnoteReference"/>
          <w:rFonts w:asciiTheme="majorHAnsi" w:hAnsiTheme="majorHAnsi" w:cstheme="majorHAnsi"/>
          <w:sz w:val="20"/>
          <w:szCs w:val="20"/>
        </w:rPr>
        <w:footnoteReference w:id="24"/>
      </w:r>
      <w:r w:rsidR="00F50A8D" w:rsidRPr="00461341">
        <w:rPr>
          <w:rFonts w:asciiTheme="majorHAnsi" w:hAnsiTheme="majorHAnsi" w:cstheme="majorHAnsi"/>
          <w:sz w:val="20"/>
          <w:szCs w:val="20"/>
        </w:rPr>
        <w:t xml:space="preserve">. </w:t>
      </w:r>
      <w:r w:rsidR="00C55947" w:rsidRPr="00461341">
        <w:rPr>
          <w:rFonts w:asciiTheme="majorHAnsi" w:hAnsiTheme="majorHAnsi" w:cstheme="majorHAnsi"/>
          <w:sz w:val="20"/>
          <w:szCs w:val="20"/>
        </w:rPr>
        <w:t xml:space="preserve">In part as a backlash to this increased confrontation with the crimes Germans had committed in their recent past, the late 1960s were also a period for the first time, a coherent, organised anti-systemic far-right nationalist political party, the NPD, was able to make inroads into </w:t>
      </w:r>
      <w:r w:rsidR="006231BB" w:rsidRPr="00461341">
        <w:rPr>
          <w:rFonts w:asciiTheme="majorHAnsi" w:hAnsiTheme="majorHAnsi" w:cstheme="majorHAnsi"/>
          <w:sz w:val="20"/>
          <w:szCs w:val="20"/>
        </w:rPr>
        <w:t>parliaments at a state level</w:t>
      </w:r>
      <w:r w:rsidR="006231BB" w:rsidRPr="00461341">
        <w:rPr>
          <w:rStyle w:val="FootnoteReference"/>
          <w:rFonts w:asciiTheme="majorHAnsi" w:hAnsiTheme="majorHAnsi" w:cstheme="majorHAnsi"/>
          <w:sz w:val="20"/>
          <w:szCs w:val="20"/>
        </w:rPr>
        <w:footnoteReference w:id="25"/>
      </w:r>
      <w:r w:rsidR="006231BB" w:rsidRPr="00461341">
        <w:rPr>
          <w:rFonts w:asciiTheme="majorHAnsi" w:hAnsiTheme="majorHAnsi" w:cstheme="majorHAnsi"/>
          <w:sz w:val="20"/>
          <w:szCs w:val="20"/>
        </w:rPr>
        <w:t xml:space="preserve">. </w:t>
      </w:r>
      <w:r w:rsidR="00D01F89" w:rsidRPr="00461341">
        <w:rPr>
          <w:rFonts w:asciiTheme="majorHAnsi" w:hAnsiTheme="majorHAnsi" w:cstheme="majorHAnsi"/>
          <w:sz w:val="20"/>
          <w:szCs w:val="20"/>
        </w:rPr>
        <w:t>In the aftermath of long-time West German chancellor Konrad Adenauer´s resignation in the wake of the Spiegel Affair, a case centred around botched efforts by federal officials to charge journalists with treason over publishing leaked material showing weaknesses in West Germany`s NATO-military readiness</w:t>
      </w:r>
      <w:r w:rsidR="00D01F89" w:rsidRPr="00461341">
        <w:rPr>
          <w:rStyle w:val="FootnoteReference"/>
          <w:rFonts w:asciiTheme="majorHAnsi" w:hAnsiTheme="majorHAnsi" w:cstheme="majorHAnsi"/>
          <w:sz w:val="20"/>
          <w:szCs w:val="20"/>
        </w:rPr>
        <w:footnoteReference w:id="26"/>
      </w:r>
      <w:r w:rsidR="00D01F89" w:rsidRPr="00461341">
        <w:rPr>
          <w:rFonts w:asciiTheme="majorHAnsi" w:hAnsiTheme="majorHAnsi" w:cstheme="majorHAnsi"/>
          <w:sz w:val="20"/>
          <w:szCs w:val="20"/>
        </w:rPr>
        <w:t xml:space="preserve">, the domination of the old political and cultural order was more fragile, and vulnerable to challenge. </w:t>
      </w:r>
      <w:r w:rsidR="00BB47BE" w:rsidRPr="00461341">
        <w:rPr>
          <w:rFonts w:asciiTheme="majorHAnsi" w:hAnsiTheme="majorHAnsi" w:cstheme="majorHAnsi"/>
          <w:sz w:val="20"/>
          <w:szCs w:val="20"/>
        </w:rPr>
        <w:t xml:space="preserve">It is in this context, that can analysis of the case against Frey takes on a wider significance, as a window </w:t>
      </w:r>
      <w:r w:rsidR="00E5452C" w:rsidRPr="00461341">
        <w:rPr>
          <w:rFonts w:asciiTheme="majorHAnsi" w:hAnsiTheme="majorHAnsi" w:cstheme="majorHAnsi"/>
          <w:sz w:val="20"/>
          <w:szCs w:val="20"/>
        </w:rPr>
        <w:t xml:space="preserve">into how the German state sought to deal with challenges to its authority. </w:t>
      </w:r>
    </w:p>
    <w:p w:rsidR="00C55947" w:rsidRPr="00461341" w:rsidRDefault="0020282A" w:rsidP="007D5488">
      <w:pPr>
        <w:rPr>
          <w:rFonts w:asciiTheme="majorHAnsi" w:hAnsiTheme="majorHAnsi" w:cstheme="majorHAnsi"/>
          <w:sz w:val="20"/>
          <w:szCs w:val="20"/>
        </w:rPr>
      </w:pPr>
      <w:r w:rsidRPr="00461341">
        <w:rPr>
          <w:rFonts w:asciiTheme="majorHAnsi" w:hAnsiTheme="majorHAnsi" w:cstheme="majorHAnsi"/>
          <w:sz w:val="20"/>
          <w:szCs w:val="20"/>
        </w:rPr>
        <w:t xml:space="preserve">This paper is neither an attempt </w:t>
      </w:r>
      <w:r w:rsidR="00490C14" w:rsidRPr="00461341">
        <w:rPr>
          <w:rFonts w:asciiTheme="majorHAnsi" w:hAnsiTheme="majorHAnsi" w:cstheme="majorHAnsi"/>
          <w:sz w:val="20"/>
          <w:szCs w:val="20"/>
        </w:rPr>
        <w:t xml:space="preserve">to </w:t>
      </w:r>
      <w:r w:rsidRPr="00461341">
        <w:rPr>
          <w:rFonts w:asciiTheme="majorHAnsi" w:hAnsiTheme="majorHAnsi" w:cstheme="majorHAnsi"/>
          <w:sz w:val="20"/>
          <w:szCs w:val="20"/>
        </w:rPr>
        <w:t xml:space="preserve">evaluate </w:t>
      </w:r>
      <w:r w:rsidR="00490C14" w:rsidRPr="00461341">
        <w:rPr>
          <w:rFonts w:asciiTheme="majorHAnsi" w:hAnsiTheme="majorHAnsi" w:cstheme="majorHAnsi"/>
          <w:sz w:val="20"/>
          <w:szCs w:val="20"/>
        </w:rPr>
        <w:t xml:space="preserve">the legal or moral merit of the application against Frey, nor does it </w:t>
      </w:r>
      <w:r w:rsidR="00E55E21" w:rsidRPr="00461341">
        <w:rPr>
          <w:rFonts w:asciiTheme="majorHAnsi" w:hAnsiTheme="majorHAnsi" w:cstheme="majorHAnsi"/>
          <w:sz w:val="20"/>
          <w:szCs w:val="20"/>
        </w:rPr>
        <w:t>seek to be a study of</w:t>
      </w:r>
      <w:r w:rsidR="00306909" w:rsidRPr="00461341">
        <w:rPr>
          <w:rFonts w:asciiTheme="majorHAnsi" w:hAnsiTheme="majorHAnsi" w:cstheme="majorHAnsi"/>
          <w:sz w:val="20"/>
          <w:szCs w:val="20"/>
        </w:rPr>
        <w:t xml:space="preserve"> </w:t>
      </w:r>
      <w:r w:rsidR="003558C2" w:rsidRPr="00461341">
        <w:rPr>
          <w:rFonts w:asciiTheme="majorHAnsi" w:hAnsiTheme="majorHAnsi" w:cstheme="majorHAnsi"/>
          <w:sz w:val="20"/>
          <w:szCs w:val="20"/>
        </w:rPr>
        <w:t xml:space="preserve">the anti-Semitic </w:t>
      </w:r>
      <w:r w:rsidR="00490C14" w:rsidRPr="00461341">
        <w:rPr>
          <w:rFonts w:asciiTheme="majorHAnsi" w:hAnsiTheme="majorHAnsi" w:cstheme="majorHAnsi"/>
          <w:sz w:val="20"/>
          <w:szCs w:val="20"/>
        </w:rPr>
        <w:t xml:space="preserve">rhetoric </w:t>
      </w:r>
      <w:r w:rsidR="003558C2" w:rsidRPr="00461341">
        <w:rPr>
          <w:rFonts w:asciiTheme="majorHAnsi" w:hAnsiTheme="majorHAnsi" w:cstheme="majorHAnsi"/>
          <w:sz w:val="20"/>
          <w:szCs w:val="20"/>
        </w:rPr>
        <w:t xml:space="preserve">employed by </w:t>
      </w:r>
      <w:r w:rsidR="007F1486" w:rsidRPr="00461341">
        <w:rPr>
          <w:rFonts w:asciiTheme="majorHAnsi" w:hAnsiTheme="majorHAnsi" w:cstheme="majorHAnsi"/>
          <w:sz w:val="20"/>
          <w:szCs w:val="20"/>
        </w:rPr>
        <w:t>Frey, the methods he used to avoid legal accountability</w:t>
      </w:r>
      <w:r w:rsidR="00490C14" w:rsidRPr="00461341">
        <w:rPr>
          <w:rFonts w:asciiTheme="majorHAnsi" w:hAnsiTheme="majorHAnsi" w:cstheme="majorHAnsi"/>
          <w:sz w:val="20"/>
          <w:szCs w:val="20"/>
        </w:rPr>
        <w:t>, and his wider social influence</w:t>
      </w:r>
      <w:r w:rsidR="005A3806" w:rsidRPr="00461341">
        <w:rPr>
          <w:rFonts w:asciiTheme="majorHAnsi" w:hAnsiTheme="majorHAnsi" w:cstheme="majorHAnsi"/>
          <w:sz w:val="20"/>
          <w:szCs w:val="20"/>
        </w:rPr>
        <w:t xml:space="preserve"> – nor does it attempt to conclude for which legal reasons the Constitutional Court ultimately rejected the application to strip Frey of his rights 1974</w:t>
      </w:r>
      <w:r w:rsidR="005A3806" w:rsidRPr="00461341">
        <w:rPr>
          <w:rStyle w:val="FootnoteReference"/>
          <w:rFonts w:asciiTheme="majorHAnsi" w:hAnsiTheme="majorHAnsi" w:cstheme="majorHAnsi"/>
          <w:sz w:val="20"/>
          <w:szCs w:val="20"/>
        </w:rPr>
        <w:footnoteReference w:id="27"/>
      </w:r>
      <w:r w:rsidR="007F1486" w:rsidRPr="00461341">
        <w:rPr>
          <w:rFonts w:asciiTheme="majorHAnsi" w:hAnsiTheme="majorHAnsi" w:cstheme="majorHAnsi"/>
          <w:sz w:val="20"/>
          <w:szCs w:val="20"/>
        </w:rPr>
        <w:t>.</w:t>
      </w:r>
      <w:r w:rsidR="00490C14" w:rsidRPr="00461341">
        <w:rPr>
          <w:rFonts w:asciiTheme="majorHAnsi" w:hAnsiTheme="majorHAnsi" w:cstheme="majorHAnsi"/>
          <w:sz w:val="20"/>
          <w:szCs w:val="20"/>
        </w:rPr>
        <w:t xml:space="preserve"> Frey´s unusual methods, his hateful message, and both </w:t>
      </w:r>
      <w:r w:rsidR="00C55947" w:rsidRPr="00461341">
        <w:rPr>
          <w:rFonts w:asciiTheme="majorHAnsi" w:hAnsiTheme="majorHAnsi" w:cstheme="majorHAnsi"/>
          <w:sz w:val="20"/>
          <w:szCs w:val="20"/>
        </w:rPr>
        <w:t>the stale nature of his support among a core of old-time Nazi supporters</w:t>
      </w:r>
      <w:r w:rsidR="00490C14" w:rsidRPr="00461341">
        <w:rPr>
          <w:rFonts w:asciiTheme="majorHAnsi" w:hAnsiTheme="majorHAnsi" w:cstheme="majorHAnsi"/>
          <w:sz w:val="20"/>
          <w:szCs w:val="20"/>
        </w:rPr>
        <w:t xml:space="preserve"> were all well-understood by his </w:t>
      </w:r>
      <w:r w:rsidR="00490C14" w:rsidRPr="00461341">
        <w:rPr>
          <w:rFonts w:asciiTheme="majorHAnsi" w:hAnsiTheme="majorHAnsi" w:cstheme="majorHAnsi"/>
          <w:sz w:val="20"/>
          <w:szCs w:val="20"/>
        </w:rPr>
        <w:lastRenderedPageBreak/>
        <w:t>contemporaries, particularly his ardent, long-term critics at the influential Der Spiegel magazine</w:t>
      </w:r>
      <w:r w:rsidR="00490C14" w:rsidRPr="00461341">
        <w:rPr>
          <w:rStyle w:val="FootnoteReference"/>
          <w:rFonts w:asciiTheme="majorHAnsi" w:hAnsiTheme="majorHAnsi" w:cstheme="majorHAnsi"/>
          <w:sz w:val="20"/>
          <w:szCs w:val="20"/>
        </w:rPr>
        <w:footnoteReference w:id="28"/>
      </w:r>
      <w:r w:rsidR="00490C14" w:rsidRPr="00461341">
        <w:rPr>
          <w:rFonts w:asciiTheme="majorHAnsi" w:hAnsiTheme="majorHAnsi" w:cstheme="majorHAnsi"/>
          <w:sz w:val="20"/>
          <w:szCs w:val="20"/>
        </w:rPr>
        <w:t>.</w:t>
      </w:r>
      <w:r w:rsidR="00372EDA" w:rsidRPr="00461341">
        <w:rPr>
          <w:rFonts w:asciiTheme="majorHAnsi" w:hAnsiTheme="majorHAnsi" w:cstheme="majorHAnsi"/>
          <w:sz w:val="20"/>
          <w:szCs w:val="20"/>
        </w:rPr>
        <w:t xml:space="preserve"> From a contemporary, first hand perspective, Walter Laquer vividly captured the small-town, mordibly middle-class beer hall narratives of national victimhood that prompted some Germans in the late 1960s to oppose further accountability for Nazi war criminals</w:t>
      </w:r>
      <w:r w:rsidR="00C55947" w:rsidRPr="00461341">
        <w:rPr>
          <w:rFonts w:asciiTheme="majorHAnsi" w:hAnsiTheme="majorHAnsi" w:cstheme="majorHAnsi"/>
          <w:sz w:val="20"/>
          <w:szCs w:val="20"/>
        </w:rPr>
        <w:t>, buy into panic about cultural change, causing the DNZ to become, in the 1960s, “one of the more influential as well as one of the more widely read of West German weeklies”</w:t>
      </w:r>
      <w:r w:rsidR="00C55947" w:rsidRPr="00461341">
        <w:rPr>
          <w:rStyle w:val="FootnoteReference"/>
          <w:rFonts w:asciiTheme="majorHAnsi" w:hAnsiTheme="majorHAnsi" w:cstheme="majorHAnsi"/>
          <w:sz w:val="20"/>
          <w:szCs w:val="20"/>
        </w:rPr>
        <w:footnoteReference w:id="29"/>
      </w:r>
      <w:r w:rsidR="00C55947" w:rsidRPr="00461341">
        <w:rPr>
          <w:rFonts w:asciiTheme="majorHAnsi" w:hAnsiTheme="majorHAnsi" w:cstheme="majorHAnsi"/>
          <w:sz w:val="20"/>
          <w:szCs w:val="20"/>
        </w:rPr>
        <w:t>.</w:t>
      </w:r>
      <w:r w:rsidR="00372EDA" w:rsidRPr="00461341">
        <w:rPr>
          <w:rFonts w:asciiTheme="majorHAnsi" w:hAnsiTheme="majorHAnsi" w:cstheme="majorHAnsi"/>
          <w:sz w:val="20"/>
          <w:szCs w:val="20"/>
        </w:rPr>
        <w:t xml:space="preserve"> </w:t>
      </w:r>
    </w:p>
    <w:p w:rsidR="006231BB" w:rsidRPr="00461341" w:rsidRDefault="00372EDA" w:rsidP="007D5488">
      <w:pPr>
        <w:rPr>
          <w:rFonts w:asciiTheme="majorHAnsi" w:hAnsiTheme="majorHAnsi" w:cstheme="majorHAnsi"/>
          <w:sz w:val="20"/>
          <w:szCs w:val="20"/>
        </w:rPr>
      </w:pPr>
      <w:r w:rsidRPr="00461341">
        <w:rPr>
          <w:rFonts w:asciiTheme="majorHAnsi" w:hAnsiTheme="majorHAnsi" w:cstheme="majorHAnsi"/>
          <w:sz w:val="20"/>
          <w:szCs w:val="20"/>
        </w:rPr>
        <w:t xml:space="preserve"> </w:t>
      </w:r>
      <w:r w:rsidR="00490C14" w:rsidRPr="00461341">
        <w:rPr>
          <w:rFonts w:asciiTheme="majorHAnsi" w:hAnsiTheme="majorHAnsi" w:cstheme="majorHAnsi"/>
          <w:sz w:val="20"/>
          <w:szCs w:val="20"/>
        </w:rPr>
        <w:t>Within the field of historical scholarship, too, the almost all aspects of Frey´s activities</w:t>
      </w:r>
      <w:r w:rsidR="00E5452C" w:rsidRPr="00461341">
        <w:rPr>
          <w:rFonts w:asciiTheme="majorHAnsi" w:hAnsiTheme="majorHAnsi" w:cstheme="majorHAnsi"/>
          <w:sz w:val="20"/>
          <w:szCs w:val="20"/>
        </w:rPr>
        <w:t xml:space="preserve"> in his newspaper</w:t>
      </w:r>
      <w:r w:rsidR="00490C14" w:rsidRPr="00461341">
        <w:rPr>
          <w:rFonts w:asciiTheme="majorHAnsi" w:hAnsiTheme="majorHAnsi" w:cstheme="majorHAnsi"/>
          <w:sz w:val="20"/>
          <w:szCs w:val="20"/>
        </w:rPr>
        <w:t xml:space="preserve"> </w:t>
      </w:r>
      <w:r w:rsidR="00647C8F" w:rsidRPr="00461341">
        <w:rPr>
          <w:rFonts w:asciiTheme="majorHAnsi" w:hAnsiTheme="majorHAnsi" w:cstheme="majorHAnsi"/>
          <w:sz w:val="20"/>
          <w:szCs w:val="20"/>
        </w:rPr>
        <w:t>have been subjected to rigorous analysis. As early 1967, totalitarianism-analyst Günter Paschner subjected the papers rhetoric and (</w:t>
      </w:r>
      <w:r w:rsidR="00E5452C" w:rsidRPr="00461341">
        <w:rPr>
          <w:rFonts w:asciiTheme="majorHAnsi" w:hAnsiTheme="majorHAnsi" w:cstheme="majorHAnsi"/>
          <w:sz w:val="20"/>
          <w:szCs w:val="20"/>
        </w:rPr>
        <w:t>strong but l</w:t>
      </w:r>
      <w:r w:rsidR="00647C8F" w:rsidRPr="00461341">
        <w:rPr>
          <w:rFonts w:asciiTheme="majorHAnsi" w:hAnsiTheme="majorHAnsi" w:cstheme="majorHAnsi"/>
          <w:sz w:val="20"/>
          <w:szCs w:val="20"/>
        </w:rPr>
        <w:t>imited) popular appeal to scrutiny in his book ´The German National Newspaper, False Conscience of The Nation´</w:t>
      </w:r>
      <w:r w:rsidR="00647C8F" w:rsidRPr="00461341">
        <w:rPr>
          <w:rStyle w:val="FootnoteReference"/>
          <w:rFonts w:asciiTheme="majorHAnsi" w:hAnsiTheme="majorHAnsi" w:cstheme="majorHAnsi"/>
          <w:sz w:val="20"/>
          <w:szCs w:val="20"/>
        </w:rPr>
        <w:footnoteReference w:id="30"/>
      </w:r>
      <w:r w:rsidR="00647C8F" w:rsidRPr="00461341">
        <w:rPr>
          <w:rFonts w:asciiTheme="majorHAnsi" w:hAnsiTheme="majorHAnsi" w:cstheme="majorHAnsi"/>
          <w:sz w:val="20"/>
          <w:szCs w:val="20"/>
        </w:rPr>
        <w:t>, a monograph that has been described by more recent scholars as “carefully researched and dealing with the significant fields of analysis”</w:t>
      </w:r>
      <w:r w:rsidR="00647C8F" w:rsidRPr="00461341">
        <w:rPr>
          <w:rStyle w:val="FootnoteReference"/>
          <w:rFonts w:asciiTheme="majorHAnsi" w:hAnsiTheme="majorHAnsi" w:cstheme="majorHAnsi"/>
          <w:sz w:val="20"/>
          <w:szCs w:val="20"/>
        </w:rPr>
        <w:footnoteReference w:id="31"/>
      </w:r>
      <w:r w:rsidR="00647C8F" w:rsidRPr="00461341">
        <w:rPr>
          <w:rFonts w:asciiTheme="majorHAnsi" w:hAnsiTheme="majorHAnsi" w:cstheme="majorHAnsi"/>
          <w:sz w:val="20"/>
          <w:szCs w:val="20"/>
        </w:rPr>
        <w:t xml:space="preserve">. </w:t>
      </w:r>
      <w:r w:rsidR="00E5452C" w:rsidRPr="00461341">
        <w:rPr>
          <w:rFonts w:asciiTheme="majorHAnsi" w:hAnsiTheme="majorHAnsi" w:cstheme="majorHAnsi"/>
          <w:sz w:val="20"/>
          <w:szCs w:val="20"/>
        </w:rPr>
        <w:t xml:space="preserve"> </w:t>
      </w:r>
      <w:r w:rsidR="00383D4C" w:rsidRPr="00461341">
        <w:rPr>
          <w:rFonts w:asciiTheme="majorHAnsi" w:hAnsiTheme="majorHAnsi" w:cstheme="majorHAnsi"/>
          <w:sz w:val="20"/>
          <w:szCs w:val="20"/>
        </w:rPr>
        <w:t xml:space="preserve">The significance of the paper in spreading anti-Semitism in the second German republic was </w:t>
      </w:r>
      <w:proofErr w:type="gramStart"/>
      <w:r w:rsidR="00383D4C" w:rsidRPr="00461341">
        <w:rPr>
          <w:rFonts w:asciiTheme="majorHAnsi" w:hAnsiTheme="majorHAnsi" w:cstheme="majorHAnsi"/>
          <w:sz w:val="20"/>
          <w:szCs w:val="20"/>
        </w:rPr>
        <w:t>definitely laid</w:t>
      </w:r>
      <w:proofErr w:type="gramEnd"/>
      <w:r w:rsidR="00383D4C" w:rsidRPr="00461341">
        <w:rPr>
          <w:rFonts w:asciiTheme="majorHAnsi" w:hAnsiTheme="majorHAnsi" w:cstheme="majorHAnsi"/>
          <w:sz w:val="20"/>
          <w:szCs w:val="20"/>
        </w:rPr>
        <w:t xml:space="preserve"> out by Peter Merkl in his history of the West German state</w:t>
      </w:r>
      <w:r w:rsidR="00383D4C" w:rsidRPr="00461341">
        <w:rPr>
          <w:rStyle w:val="FootnoteReference"/>
          <w:rFonts w:asciiTheme="majorHAnsi" w:hAnsiTheme="majorHAnsi" w:cstheme="majorHAnsi"/>
          <w:sz w:val="20"/>
          <w:szCs w:val="20"/>
        </w:rPr>
        <w:footnoteReference w:id="32"/>
      </w:r>
      <w:r w:rsidR="00383D4C" w:rsidRPr="00461341">
        <w:rPr>
          <w:rFonts w:asciiTheme="majorHAnsi" w:hAnsiTheme="majorHAnsi" w:cstheme="majorHAnsi"/>
          <w:sz w:val="20"/>
          <w:szCs w:val="20"/>
        </w:rPr>
        <w:t xml:space="preserve">. </w:t>
      </w:r>
      <w:r w:rsidR="00E5452C" w:rsidRPr="00461341">
        <w:rPr>
          <w:rFonts w:asciiTheme="majorHAnsi" w:hAnsiTheme="majorHAnsi" w:cstheme="majorHAnsi"/>
          <w:sz w:val="20"/>
          <w:szCs w:val="20"/>
        </w:rPr>
        <w:t>The DNZ´s</w:t>
      </w:r>
      <w:r w:rsidR="00CC7936" w:rsidRPr="00461341">
        <w:rPr>
          <w:rFonts w:asciiTheme="majorHAnsi" w:hAnsiTheme="majorHAnsi" w:cstheme="majorHAnsi"/>
          <w:sz w:val="20"/>
          <w:szCs w:val="20"/>
        </w:rPr>
        <w:t xml:space="preserve"> 1960s-era</w:t>
      </w:r>
      <w:r w:rsidR="00E5452C" w:rsidRPr="00461341">
        <w:rPr>
          <w:rFonts w:asciiTheme="majorHAnsi" w:hAnsiTheme="majorHAnsi" w:cstheme="majorHAnsi"/>
          <w:sz w:val="20"/>
          <w:szCs w:val="20"/>
        </w:rPr>
        <w:t xml:space="preserve"> “</w:t>
      </w:r>
      <w:r w:rsidR="00CC7936" w:rsidRPr="00461341">
        <w:rPr>
          <w:rFonts w:asciiTheme="majorHAnsi" w:hAnsiTheme="majorHAnsi" w:cstheme="majorHAnsi"/>
          <w:sz w:val="20"/>
          <w:szCs w:val="20"/>
        </w:rPr>
        <w:t xml:space="preserve">general </w:t>
      </w:r>
      <w:r w:rsidR="00E5452C" w:rsidRPr="00461341">
        <w:rPr>
          <w:rFonts w:asciiTheme="majorHAnsi" w:hAnsiTheme="majorHAnsi" w:cstheme="majorHAnsi"/>
          <w:sz w:val="20"/>
          <w:szCs w:val="20"/>
        </w:rPr>
        <w:t xml:space="preserve">strategy of neo-fascist </w:t>
      </w:r>
      <w:r w:rsidR="00CC7936" w:rsidRPr="00461341">
        <w:rPr>
          <w:rFonts w:asciiTheme="majorHAnsi" w:hAnsiTheme="majorHAnsi" w:cstheme="majorHAnsi"/>
          <w:sz w:val="20"/>
          <w:szCs w:val="20"/>
        </w:rPr>
        <w:t>restoration”, with particular reference to its anti-Semitic attempts to falsely minimise the number of victims of the Holocaust, has been vividly, if briefly, laid out by Devin Pendas in his book on war crimes trials and reactions in post-war West Germany.</w:t>
      </w:r>
      <w:r w:rsidR="00CC7936" w:rsidRPr="00461341">
        <w:rPr>
          <w:rStyle w:val="FootnoteReference"/>
          <w:rFonts w:asciiTheme="majorHAnsi" w:hAnsiTheme="majorHAnsi" w:cstheme="majorHAnsi"/>
          <w:sz w:val="20"/>
          <w:szCs w:val="20"/>
        </w:rPr>
        <w:footnoteReference w:id="33"/>
      </w:r>
      <w:r w:rsidR="00C57F9C" w:rsidRPr="00461341">
        <w:rPr>
          <w:rFonts w:asciiTheme="majorHAnsi" w:hAnsiTheme="majorHAnsi" w:cstheme="majorHAnsi"/>
          <w:sz w:val="20"/>
          <w:szCs w:val="20"/>
        </w:rPr>
        <w:t xml:space="preserve"> The function of the newspaper´s rhetoric within the wider framework of the Völkisch</w:t>
      </w:r>
      <w:r w:rsidR="00474440" w:rsidRPr="00461341">
        <w:rPr>
          <w:rFonts w:asciiTheme="majorHAnsi" w:hAnsiTheme="majorHAnsi" w:cstheme="majorHAnsi"/>
          <w:sz w:val="20"/>
          <w:szCs w:val="20"/>
        </w:rPr>
        <w:t xml:space="preserve"> nationalist discourse have been sketched out by Christian Karner</w:t>
      </w:r>
      <w:r w:rsidR="00474440" w:rsidRPr="00461341">
        <w:rPr>
          <w:rStyle w:val="FootnoteReference"/>
          <w:rFonts w:asciiTheme="majorHAnsi" w:hAnsiTheme="majorHAnsi" w:cstheme="majorHAnsi"/>
          <w:sz w:val="20"/>
          <w:szCs w:val="20"/>
        </w:rPr>
        <w:footnoteReference w:id="34"/>
      </w:r>
      <w:r w:rsidR="00474440" w:rsidRPr="00461341">
        <w:rPr>
          <w:rFonts w:asciiTheme="majorHAnsi" w:hAnsiTheme="majorHAnsi" w:cstheme="majorHAnsi"/>
          <w:sz w:val="20"/>
          <w:szCs w:val="20"/>
        </w:rPr>
        <w:t xml:space="preserve">. </w:t>
      </w:r>
      <w:r w:rsidR="00383D4C" w:rsidRPr="00461341">
        <w:rPr>
          <w:rFonts w:asciiTheme="majorHAnsi" w:hAnsiTheme="majorHAnsi" w:cstheme="majorHAnsi"/>
          <w:sz w:val="20"/>
          <w:szCs w:val="20"/>
        </w:rPr>
        <w:t>The way this anti-Semitic newspaper cynically used anti-Zionist contributors of Jewish descent to mask its own Third-Reich inspired anti-Semitism under the cloak of criticism of Israel has been analysed in detailed by Yves Pallade</w:t>
      </w:r>
      <w:r w:rsidR="00383D4C" w:rsidRPr="00461341">
        <w:rPr>
          <w:rStyle w:val="FootnoteReference"/>
          <w:rFonts w:asciiTheme="majorHAnsi" w:hAnsiTheme="majorHAnsi" w:cstheme="majorHAnsi"/>
          <w:sz w:val="20"/>
          <w:szCs w:val="20"/>
        </w:rPr>
        <w:footnoteReference w:id="35"/>
      </w:r>
      <w:r w:rsidR="00383D4C" w:rsidRPr="00461341">
        <w:rPr>
          <w:rFonts w:asciiTheme="majorHAnsi" w:hAnsiTheme="majorHAnsi" w:cstheme="majorHAnsi"/>
          <w:sz w:val="20"/>
          <w:szCs w:val="20"/>
        </w:rPr>
        <w:t>.</w:t>
      </w:r>
      <w:r w:rsidR="008162C0" w:rsidRPr="00461341">
        <w:rPr>
          <w:rFonts w:asciiTheme="majorHAnsi" w:hAnsiTheme="majorHAnsi" w:cstheme="majorHAnsi"/>
          <w:sz w:val="20"/>
          <w:szCs w:val="20"/>
        </w:rPr>
        <w:t xml:space="preserve"> The links between Frey and with anti-Semitic Arab Nationalists such as Gamal Nasser were highlighted by Martin Jander</w:t>
      </w:r>
      <w:r w:rsidR="008162C0" w:rsidRPr="00461341">
        <w:rPr>
          <w:rStyle w:val="FootnoteReference"/>
          <w:rFonts w:asciiTheme="majorHAnsi" w:hAnsiTheme="majorHAnsi" w:cstheme="majorHAnsi"/>
          <w:sz w:val="20"/>
          <w:szCs w:val="20"/>
        </w:rPr>
        <w:footnoteReference w:id="36"/>
      </w:r>
      <w:r w:rsidR="008162C0" w:rsidRPr="00461341">
        <w:rPr>
          <w:rFonts w:asciiTheme="majorHAnsi" w:hAnsiTheme="majorHAnsi" w:cstheme="majorHAnsi"/>
          <w:sz w:val="20"/>
          <w:szCs w:val="20"/>
        </w:rPr>
        <w:t xml:space="preserve">. </w:t>
      </w:r>
      <w:r w:rsidR="00AC162E" w:rsidRPr="00461341">
        <w:rPr>
          <w:rFonts w:asciiTheme="majorHAnsi" w:hAnsiTheme="majorHAnsi" w:cstheme="majorHAnsi"/>
          <w:sz w:val="20"/>
          <w:szCs w:val="20"/>
        </w:rPr>
        <w:t>And t</w:t>
      </w:r>
      <w:r w:rsidR="0033334A" w:rsidRPr="00461341">
        <w:rPr>
          <w:rFonts w:asciiTheme="majorHAnsi" w:hAnsiTheme="majorHAnsi" w:cstheme="majorHAnsi"/>
          <w:sz w:val="20"/>
          <w:szCs w:val="20"/>
        </w:rPr>
        <w:t xml:space="preserve">he continuing role of the DNZ in shaping the </w:t>
      </w:r>
      <w:r w:rsidR="00AC162E" w:rsidRPr="00461341">
        <w:rPr>
          <w:rFonts w:asciiTheme="majorHAnsi" w:hAnsiTheme="majorHAnsi" w:cstheme="majorHAnsi"/>
          <w:sz w:val="20"/>
          <w:szCs w:val="20"/>
        </w:rPr>
        <w:t xml:space="preserve">rhetoric and focus of the present day far-right in Germany after the trail concluded is </w:t>
      </w:r>
      <w:r w:rsidR="00AC162E" w:rsidRPr="00461341">
        <w:rPr>
          <w:rFonts w:asciiTheme="majorHAnsi" w:hAnsiTheme="majorHAnsi" w:cstheme="majorHAnsi"/>
          <w:sz w:val="20"/>
          <w:szCs w:val="20"/>
        </w:rPr>
        <w:lastRenderedPageBreak/>
        <w:t>examined with a reasonable, albeit by no means comprehensive grasp, by Gudrun Hedges</w:t>
      </w:r>
      <w:r w:rsidR="00AC162E" w:rsidRPr="00461341">
        <w:rPr>
          <w:rStyle w:val="FootnoteReference"/>
          <w:rFonts w:asciiTheme="majorHAnsi" w:hAnsiTheme="majorHAnsi" w:cstheme="majorHAnsi"/>
          <w:sz w:val="20"/>
          <w:szCs w:val="20"/>
        </w:rPr>
        <w:footnoteReference w:id="37"/>
      </w:r>
      <w:r w:rsidR="00AC162E" w:rsidRPr="00461341">
        <w:rPr>
          <w:rFonts w:asciiTheme="majorHAnsi" w:hAnsiTheme="majorHAnsi" w:cstheme="majorHAnsi"/>
          <w:sz w:val="20"/>
          <w:szCs w:val="20"/>
        </w:rPr>
        <w:t>.</w:t>
      </w:r>
    </w:p>
    <w:p w:rsidR="00372EDA" w:rsidRPr="00461341" w:rsidRDefault="00AC162E" w:rsidP="007D5488">
      <w:pPr>
        <w:rPr>
          <w:rFonts w:asciiTheme="majorHAnsi" w:hAnsiTheme="majorHAnsi" w:cstheme="majorHAnsi"/>
          <w:sz w:val="20"/>
          <w:szCs w:val="20"/>
        </w:rPr>
      </w:pPr>
      <w:r w:rsidRPr="00461341">
        <w:rPr>
          <w:rFonts w:asciiTheme="majorHAnsi" w:hAnsiTheme="majorHAnsi" w:cstheme="majorHAnsi"/>
          <w:sz w:val="20"/>
          <w:szCs w:val="20"/>
        </w:rPr>
        <w:t>For literature on a topic as contested and multipolar in interpretations as post-war German history, the literature on Frey and his DNZ is remarkably harmonious. The various studies about the newspaper supplement, rather than contest, each other, and taking it together, it can even form a neat, explanatory picture for the DNZ´s style and content</w:t>
      </w:r>
      <w:r w:rsidR="00372EDA" w:rsidRPr="00461341">
        <w:rPr>
          <w:rFonts w:asciiTheme="majorHAnsi" w:hAnsiTheme="majorHAnsi" w:cstheme="majorHAnsi"/>
          <w:sz w:val="20"/>
          <w:szCs w:val="20"/>
        </w:rPr>
        <w:t xml:space="preserve">, a picture in which little is left to doubt. No doubt, the coherence and lack of conflict in most of the academic literature on the DNZ´s orientation is </w:t>
      </w:r>
      <w:r w:rsidR="001C23E0" w:rsidRPr="00461341">
        <w:rPr>
          <w:rFonts w:asciiTheme="majorHAnsi" w:hAnsiTheme="majorHAnsi" w:cstheme="majorHAnsi"/>
          <w:sz w:val="20"/>
          <w:szCs w:val="20"/>
        </w:rPr>
        <w:t xml:space="preserve">in </w:t>
      </w:r>
      <w:r w:rsidR="00372EDA" w:rsidRPr="00461341">
        <w:rPr>
          <w:rFonts w:asciiTheme="majorHAnsi" w:hAnsiTheme="majorHAnsi" w:cstheme="majorHAnsi"/>
          <w:sz w:val="20"/>
          <w:szCs w:val="20"/>
        </w:rPr>
        <w:t xml:space="preserve">no small </w:t>
      </w:r>
      <w:r w:rsidR="001C23E0" w:rsidRPr="00461341">
        <w:rPr>
          <w:rFonts w:asciiTheme="majorHAnsi" w:hAnsiTheme="majorHAnsi" w:cstheme="majorHAnsi"/>
          <w:sz w:val="20"/>
          <w:szCs w:val="20"/>
        </w:rPr>
        <w:t xml:space="preserve">part because the realities of </w:t>
      </w:r>
      <w:r w:rsidR="00372EDA" w:rsidRPr="00461341">
        <w:rPr>
          <w:rFonts w:asciiTheme="majorHAnsi" w:hAnsiTheme="majorHAnsi" w:cstheme="majorHAnsi"/>
          <w:sz w:val="20"/>
          <w:szCs w:val="20"/>
        </w:rPr>
        <w:t xml:space="preserve">the DNZ´s </w:t>
      </w:r>
      <w:r w:rsidR="001C23E0" w:rsidRPr="00461341">
        <w:rPr>
          <w:rFonts w:asciiTheme="majorHAnsi" w:hAnsiTheme="majorHAnsi" w:cstheme="majorHAnsi"/>
          <w:sz w:val="20"/>
          <w:szCs w:val="20"/>
        </w:rPr>
        <w:t>hatred</w:t>
      </w:r>
      <w:r w:rsidR="00372EDA" w:rsidRPr="00461341">
        <w:rPr>
          <w:rFonts w:asciiTheme="majorHAnsi" w:hAnsiTheme="majorHAnsi" w:cstheme="majorHAnsi"/>
          <w:sz w:val="20"/>
          <w:szCs w:val="20"/>
        </w:rPr>
        <w:t xml:space="preserve">, essentially written in supersize, glowing ink in between the lines, </w:t>
      </w:r>
      <w:r w:rsidR="001C23E0" w:rsidRPr="00461341">
        <w:rPr>
          <w:rFonts w:asciiTheme="majorHAnsi" w:hAnsiTheme="majorHAnsi" w:cstheme="majorHAnsi"/>
          <w:sz w:val="20"/>
          <w:szCs w:val="20"/>
        </w:rPr>
        <w:t xml:space="preserve">are so </w:t>
      </w:r>
      <w:r w:rsidR="00372EDA" w:rsidRPr="00461341">
        <w:rPr>
          <w:rFonts w:asciiTheme="majorHAnsi" w:hAnsiTheme="majorHAnsi" w:cstheme="majorHAnsi"/>
          <w:sz w:val="20"/>
          <w:szCs w:val="20"/>
        </w:rPr>
        <w:t xml:space="preserve">are vividly apartment to anyone who can speak German and who picks up an archival copy of the tabloid. </w:t>
      </w:r>
      <w:r w:rsidR="00A1319F" w:rsidRPr="00461341">
        <w:rPr>
          <w:rFonts w:asciiTheme="majorHAnsi" w:hAnsiTheme="majorHAnsi" w:cstheme="majorHAnsi"/>
          <w:sz w:val="20"/>
          <w:szCs w:val="20"/>
        </w:rPr>
        <w:t xml:space="preserve">In fact, it is a product of the DNZ´s total lack of ambiguity and self-evident social context that even </w:t>
      </w:r>
      <w:r w:rsidR="009B3F1D" w:rsidRPr="00461341">
        <w:rPr>
          <w:rFonts w:asciiTheme="majorHAnsi" w:hAnsiTheme="majorHAnsi" w:cstheme="majorHAnsi"/>
          <w:sz w:val="20"/>
          <w:szCs w:val="20"/>
        </w:rPr>
        <w:t>the contemporary</w:t>
      </w:r>
      <w:r w:rsidR="00A1319F" w:rsidRPr="00461341">
        <w:rPr>
          <w:rFonts w:asciiTheme="majorHAnsi" w:hAnsiTheme="majorHAnsi" w:cstheme="majorHAnsi"/>
          <w:sz w:val="20"/>
          <w:szCs w:val="20"/>
        </w:rPr>
        <w:t xml:space="preserve"> </w:t>
      </w:r>
      <w:r w:rsidR="009B3F1D" w:rsidRPr="00461341">
        <w:rPr>
          <w:rFonts w:asciiTheme="majorHAnsi" w:hAnsiTheme="majorHAnsi" w:cstheme="majorHAnsi"/>
          <w:sz w:val="20"/>
          <w:szCs w:val="20"/>
        </w:rPr>
        <w:t>n</w:t>
      </w:r>
      <w:r w:rsidR="00A1319F" w:rsidRPr="00461341">
        <w:rPr>
          <w:rFonts w:asciiTheme="majorHAnsi" w:hAnsiTheme="majorHAnsi" w:cstheme="majorHAnsi"/>
          <w:sz w:val="20"/>
          <w:szCs w:val="20"/>
        </w:rPr>
        <w:t>ational-</w:t>
      </w:r>
      <w:r w:rsidR="009B3F1D" w:rsidRPr="00461341">
        <w:rPr>
          <w:rFonts w:asciiTheme="majorHAnsi" w:hAnsiTheme="majorHAnsi" w:cstheme="majorHAnsi"/>
          <w:sz w:val="20"/>
          <w:szCs w:val="20"/>
        </w:rPr>
        <w:t>co</w:t>
      </w:r>
      <w:r w:rsidR="00A1319F" w:rsidRPr="00461341">
        <w:rPr>
          <w:rFonts w:asciiTheme="majorHAnsi" w:hAnsiTheme="majorHAnsi" w:cstheme="majorHAnsi"/>
          <w:sz w:val="20"/>
          <w:szCs w:val="20"/>
        </w:rPr>
        <w:t>nservative New Right in re-unified Germany characterise the function and message of the DNZ</w:t>
      </w:r>
      <w:r w:rsidR="009B3F1D" w:rsidRPr="00461341">
        <w:rPr>
          <w:rFonts w:asciiTheme="majorHAnsi" w:hAnsiTheme="majorHAnsi" w:cstheme="majorHAnsi"/>
          <w:sz w:val="20"/>
          <w:szCs w:val="20"/>
        </w:rPr>
        <w:t xml:space="preserve"> in terminology not at all dissimilar to that of the academics who have studied it from the vantage point of analysing far-right movements. In its 2013 obituary for Gerhard Frey, the </w:t>
      </w:r>
      <w:r w:rsidR="009B3F1D" w:rsidRPr="00461341">
        <w:rPr>
          <w:rFonts w:asciiTheme="majorHAnsi" w:hAnsiTheme="majorHAnsi" w:cstheme="majorHAnsi"/>
          <w:i/>
          <w:sz w:val="20"/>
          <w:szCs w:val="20"/>
        </w:rPr>
        <w:t>Junge Freiheit</w:t>
      </w:r>
      <w:r w:rsidR="009B3F1D" w:rsidRPr="00461341">
        <w:rPr>
          <w:rFonts w:asciiTheme="majorHAnsi" w:hAnsiTheme="majorHAnsi" w:cstheme="majorHAnsi"/>
          <w:sz w:val="20"/>
          <w:szCs w:val="20"/>
        </w:rPr>
        <w:t xml:space="preserve"> (Young Freedom) newspaper, which scholars have called the “true flagship of Germany's New Right”</w:t>
      </w:r>
      <w:r w:rsidR="009B3F1D" w:rsidRPr="00461341">
        <w:rPr>
          <w:rStyle w:val="FootnoteReference"/>
          <w:rFonts w:asciiTheme="majorHAnsi" w:hAnsiTheme="majorHAnsi" w:cstheme="majorHAnsi"/>
          <w:sz w:val="20"/>
          <w:szCs w:val="20"/>
        </w:rPr>
        <w:footnoteReference w:id="38"/>
      </w:r>
      <w:r w:rsidR="009B3F1D" w:rsidRPr="00461341">
        <w:rPr>
          <w:rFonts w:asciiTheme="majorHAnsi" w:hAnsiTheme="majorHAnsi" w:cstheme="majorHAnsi"/>
          <w:sz w:val="20"/>
          <w:szCs w:val="20"/>
        </w:rPr>
        <w:t xml:space="preserve">, expressed this in no uncertain terms: </w:t>
      </w:r>
    </w:p>
    <w:p w:rsidR="00003C3F" w:rsidRPr="00461341" w:rsidRDefault="00003C3F" w:rsidP="007D5488">
      <w:pPr>
        <w:rPr>
          <w:rFonts w:asciiTheme="majorHAnsi" w:hAnsiTheme="majorHAnsi" w:cstheme="majorHAnsi"/>
          <w:color w:val="000000"/>
          <w:sz w:val="20"/>
          <w:szCs w:val="20"/>
          <w:shd w:val="clear" w:color="auto" w:fill="FFFFFF"/>
        </w:rPr>
      </w:pPr>
      <w:r w:rsidRPr="00461341">
        <w:rPr>
          <w:rFonts w:asciiTheme="majorHAnsi" w:hAnsiTheme="majorHAnsi" w:cstheme="majorHAnsi"/>
          <w:color w:val="000000"/>
          <w:sz w:val="20"/>
          <w:szCs w:val="20"/>
          <w:shd w:val="clear" w:color="auto" w:fill="FFFFFF"/>
        </w:rPr>
        <w:t>“</w:t>
      </w:r>
      <w:r w:rsidR="009B3F1D" w:rsidRPr="00461341">
        <w:rPr>
          <w:rFonts w:asciiTheme="majorHAnsi" w:hAnsiTheme="majorHAnsi" w:cstheme="majorHAnsi"/>
          <w:color w:val="000000"/>
          <w:sz w:val="20"/>
          <w:szCs w:val="20"/>
          <w:shd w:val="clear" w:color="auto" w:fill="FFFFFF"/>
        </w:rPr>
        <w:t>Frey</w:t>
      </w:r>
      <w:r w:rsidRPr="00461341">
        <w:rPr>
          <w:rFonts w:asciiTheme="majorHAnsi" w:hAnsiTheme="majorHAnsi" w:cstheme="majorHAnsi"/>
          <w:color w:val="000000"/>
          <w:sz w:val="20"/>
          <w:szCs w:val="20"/>
          <w:shd w:val="clear" w:color="auto" w:fill="FFFFFF"/>
        </w:rPr>
        <w:t xml:space="preserve">´s </w:t>
      </w:r>
      <w:r w:rsidR="009B3F1D" w:rsidRPr="00461341">
        <w:rPr>
          <w:rFonts w:asciiTheme="majorHAnsi" w:hAnsiTheme="majorHAnsi" w:cstheme="majorHAnsi"/>
          <w:color w:val="000000"/>
          <w:sz w:val="20"/>
          <w:szCs w:val="20"/>
          <w:shd w:val="clear" w:color="auto" w:fill="FFFFFF"/>
        </w:rPr>
        <w:t xml:space="preserve">tabloids, with their obsessive fixation on the past, were the mirror image of a neurotic society that refused displaced people [from former German-controlled territories in the East], soldiers, but also politically national or rightwing citizens participation in the discourse of society. </w:t>
      </w:r>
      <w:r w:rsidRPr="00461341">
        <w:rPr>
          <w:rFonts w:asciiTheme="majorHAnsi" w:hAnsiTheme="majorHAnsi" w:cstheme="majorHAnsi"/>
          <w:color w:val="000000"/>
          <w:sz w:val="20"/>
          <w:szCs w:val="20"/>
          <w:shd w:val="clear" w:color="auto" w:fill="FFFFFF"/>
        </w:rPr>
        <w:t>Simultaneouly Frey did not produce any new political consciousness, but reproduced the clichés of an NS-obsessed right, which is out of step with history and the isolation of which he [Frey] in the end used for to sell his papers”</w:t>
      </w:r>
      <w:r w:rsidRPr="00461341">
        <w:rPr>
          <w:rStyle w:val="FootnoteReference"/>
          <w:rFonts w:asciiTheme="majorHAnsi" w:hAnsiTheme="majorHAnsi" w:cstheme="majorHAnsi"/>
          <w:color w:val="000000"/>
          <w:sz w:val="20"/>
          <w:szCs w:val="20"/>
          <w:shd w:val="clear" w:color="auto" w:fill="FFFFFF"/>
        </w:rPr>
        <w:footnoteReference w:id="39"/>
      </w:r>
    </w:p>
    <w:p w:rsidR="00372EDA" w:rsidRPr="00461341" w:rsidRDefault="00372EDA" w:rsidP="007D5488">
      <w:pPr>
        <w:rPr>
          <w:rFonts w:asciiTheme="majorHAnsi" w:hAnsiTheme="majorHAnsi" w:cstheme="majorHAnsi"/>
          <w:sz w:val="20"/>
          <w:szCs w:val="20"/>
        </w:rPr>
      </w:pPr>
      <w:r w:rsidRPr="00461341">
        <w:rPr>
          <w:rFonts w:asciiTheme="majorHAnsi" w:hAnsiTheme="majorHAnsi" w:cstheme="majorHAnsi"/>
          <w:sz w:val="20"/>
          <w:szCs w:val="20"/>
        </w:rPr>
        <w:t>This has profound implications the pathways that are open for productive new studies on Frey and the Constitutional Court case against him: As Frey, his newspaper and his social support base is already beyond well understood, the most productive direction research such as th</w:t>
      </w:r>
      <w:r w:rsidR="006231BB" w:rsidRPr="00461341">
        <w:rPr>
          <w:rFonts w:asciiTheme="majorHAnsi" w:hAnsiTheme="majorHAnsi" w:cstheme="majorHAnsi"/>
          <w:sz w:val="20"/>
          <w:szCs w:val="20"/>
        </w:rPr>
        <w:t>is</w:t>
      </w:r>
      <w:r w:rsidRPr="00461341">
        <w:rPr>
          <w:rFonts w:asciiTheme="majorHAnsi" w:hAnsiTheme="majorHAnsi" w:cstheme="majorHAnsi"/>
          <w:sz w:val="20"/>
          <w:szCs w:val="20"/>
        </w:rPr>
        <w:t xml:space="preserve"> current paper </w:t>
      </w:r>
      <w:r w:rsidR="006231BB" w:rsidRPr="00461341">
        <w:rPr>
          <w:rFonts w:asciiTheme="majorHAnsi" w:hAnsiTheme="majorHAnsi" w:cstheme="majorHAnsi"/>
          <w:sz w:val="20"/>
          <w:szCs w:val="20"/>
        </w:rPr>
        <w:t>can only be to study the other side of the legal proceedings</w:t>
      </w:r>
      <w:r w:rsidR="00707CFC" w:rsidRPr="00461341">
        <w:rPr>
          <w:rFonts w:asciiTheme="majorHAnsi" w:hAnsiTheme="majorHAnsi" w:cstheme="majorHAnsi"/>
          <w:sz w:val="20"/>
          <w:szCs w:val="20"/>
        </w:rPr>
        <w:t>. Beyond think description, nothing would be added to the corpus of knowledge is material from the Grey case files were simply used to flesh out or underscore insights in previous academic literature or in the press at the time</w:t>
      </w:r>
      <w:r w:rsidR="00707CFC" w:rsidRPr="00461341">
        <w:rPr>
          <w:rStyle w:val="FootnoteReference"/>
          <w:rFonts w:asciiTheme="majorHAnsi" w:hAnsiTheme="majorHAnsi" w:cstheme="majorHAnsi"/>
          <w:sz w:val="20"/>
          <w:szCs w:val="20"/>
        </w:rPr>
        <w:footnoteReference w:id="40"/>
      </w:r>
      <w:r w:rsidR="00707CFC" w:rsidRPr="00461341">
        <w:rPr>
          <w:rFonts w:asciiTheme="majorHAnsi" w:hAnsiTheme="majorHAnsi" w:cstheme="majorHAnsi"/>
          <w:sz w:val="20"/>
          <w:szCs w:val="20"/>
        </w:rPr>
        <w:t xml:space="preserve">. </w:t>
      </w:r>
      <w:r w:rsidR="006231BB" w:rsidRPr="00461341">
        <w:rPr>
          <w:rFonts w:asciiTheme="majorHAnsi" w:hAnsiTheme="majorHAnsi" w:cstheme="majorHAnsi"/>
          <w:sz w:val="20"/>
          <w:szCs w:val="20"/>
        </w:rPr>
        <w:t xml:space="preserve">To analyse the case against Frey with a view to understanding the </w:t>
      </w:r>
      <w:r w:rsidR="006231BB" w:rsidRPr="00461341">
        <w:rPr>
          <w:rFonts w:asciiTheme="majorHAnsi" w:hAnsiTheme="majorHAnsi" w:cstheme="majorHAnsi"/>
          <w:sz w:val="20"/>
          <w:szCs w:val="20"/>
        </w:rPr>
        <w:lastRenderedPageBreak/>
        <w:t xml:space="preserve">rationales behind official actions at the time, and the worldview that gave rise to them. </w:t>
      </w:r>
      <w:r w:rsidR="005A3806" w:rsidRPr="00461341">
        <w:rPr>
          <w:rFonts w:asciiTheme="majorHAnsi" w:hAnsiTheme="majorHAnsi" w:cstheme="majorHAnsi"/>
          <w:sz w:val="20"/>
          <w:szCs w:val="20"/>
        </w:rPr>
        <w:t xml:space="preserve">It is here that original insight can be gained. </w:t>
      </w:r>
    </w:p>
    <w:p w:rsidR="00564ADC" w:rsidRPr="00461341" w:rsidRDefault="003E0219" w:rsidP="00390F29">
      <w:pPr>
        <w:rPr>
          <w:rFonts w:asciiTheme="majorHAnsi" w:hAnsiTheme="majorHAnsi" w:cstheme="majorHAnsi"/>
          <w:sz w:val="20"/>
          <w:szCs w:val="20"/>
        </w:rPr>
      </w:pPr>
      <w:r w:rsidRPr="00461341">
        <w:rPr>
          <w:rFonts w:asciiTheme="majorHAnsi" w:hAnsiTheme="majorHAnsi" w:cstheme="majorHAnsi"/>
          <w:sz w:val="20"/>
          <w:szCs w:val="20"/>
        </w:rPr>
        <w:t>The works of the judicial and prosecutorial state apparatus in post-war West Germany, and influences on it, have been subjected to very academic and historical research. In part, as German legal theorists Gawron &amp; Schäfer explained in a ground-breaking 1976 essay, this is because ideologically,</w:t>
      </w:r>
      <w:r w:rsidR="00564ADC" w:rsidRPr="00461341">
        <w:rPr>
          <w:rFonts w:asciiTheme="majorHAnsi" w:hAnsiTheme="majorHAnsi" w:cstheme="majorHAnsi"/>
          <w:sz w:val="20"/>
          <w:szCs w:val="20"/>
        </w:rPr>
        <w:t xml:space="preserve"> in the context of West Germany, </w:t>
      </w:r>
      <w:r w:rsidRPr="00461341">
        <w:rPr>
          <w:rFonts w:asciiTheme="majorHAnsi" w:hAnsiTheme="majorHAnsi" w:cstheme="majorHAnsi"/>
          <w:sz w:val="20"/>
          <w:szCs w:val="20"/>
        </w:rPr>
        <w:t>legal scholars assume the independence of judiciary as an institution, and choose to focus the focus of their attention on those in the political realm who seek to subjugate it forcefully.</w:t>
      </w:r>
      <w:r w:rsidRPr="00461341">
        <w:rPr>
          <w:rStyle w:val="FootnoteReference"/>
          <w:rFonts w:asciiTheme="majorHAnsi" w:hAnsiTheme="majorHAnsi" w:cstheme="majorHAnsi"/>
          <w:sz w:val="20"/>
          <w:szCs w:val="20"/>
        </w:rPr>
        <w:footnoteReference w:id="41"/>
      </w:r>
      <w:r w:rsidR="00564ADC" w:rsidRPr="00461341">
        <w:rPr>
          <w:rFonts w:asciiTheme="majorHAnsi" w:hAnsiTheme="majorHAnsi" w:cstheme="majorHAnsi"/>
          <w:sz w:val="20"/>
          <w:szCs w:val="20"/>
        </w:rPr>
        <w:t xml:space="preserve"> This particular view, that accepts as self-evident the democratic and independent nature of institutions created by Konrad Adenauer after the war in West Germany</w:t>
      </w:r>
      <w:r w:rsidR="00CF729C" w:rsidRPr="00461341">
        <w:rPr>
          <w:rFonts w:asciiTheme="majorHAnsi" w:hAnsiTheme="majorHAnsi" w:cstheme="majorHAnsi"/>
          <w:sz w:val="20"/>
          <w:szCs w:val="20"/>
        </w:rPr>
        <w:t xml:space="preserve">, </w:t>
      </w:r>
      <w:r w:rsidR="00564ADC" w:rsidRPr="00461341">
        <w:rPr>
          <w:rFonts w:asciiTheme="majorHAnsi" w:hAnsiTheme="majorHAnsi" w:cstheme="majorHAnsi"/>
          <w:sz w:val="20"/>
          <w:szCs w:val="20"/>
        </w:rPr>
        <w:t>has also become mainstream in the field of popular history. Martyn Bond expressed it succinctly, writing in 1990 that “one of Adenauer's achievements was to establish democratic institutions in West Germany that would survive any battering from extremist forces”</w:t>
      </w:r>
      <w:r w:rsidR="00564ADC" w:rsidRPr="00461341">
        <w:rPr>
          <w:rStyle w:val="FootnoteReference"/>
          <w:rFonts w:asciiTheme="majorHAnsi" w:hAnsiTheme="majorHAnsi" w:cstheme="majorHAnsi"/>
          <w:sz w:val="20"/>
          <w:szCs w:val="20"/>
        </w:rPr>
        <w:footnoteReference w:id="42"/>
      </w:r>
      <w:r w:rsidR="00564ADC" w:rsidRPr="00461341">
        <w:rPr>
          <w:rFonts w:asciiTheme="majorHAnsi" w:hAnsiTheme="majorHAnsi" w:cstheme="majorHAnsi"/>
          <w:sz w:val="20"/>
          <w:szCs w:val="20"/>
        </w:rPr>
        <w:t>.</w:t>
      </w:r>
    </w:p>
    <w:p w:rsidR="005A3806" w:rsidRPr="00461341" w:rsidRDefault="00CF729C" w:rsidP="00390F29">
      <w:pPr>
        <w:rPr>
          <w:rFonts w:asciiTheme="majorHAnsi" w:hAnsiTheme="majorHAnsi" w:cstheme="majorHAnsi"/>
          <w:sz w:val="20"/>
          <w:szCs w:val="20"/>
        </w:rPr>
      </w:pPr>
      <w:r w:rsidRPr="00461341">
        <w:rPr>
          <w:rFonts w:asciiTheme="majorHAnsi" w:hAnsiTheme="majorHAnsi" w:cstheme="majorHAnsi"/>
          <w:sz w:val="20"/>
          <w:szCs w:val="20"/>
        </w:rPr>
        <w:t xml:space="preserve">However, </w:t>
      </w:r>
      <w:r w:rsidR="002E5FC0" w:rsidRPr="00461341">
        <w:rPr>
          <w:rFonts w:asciiTheme="majorHAnsi" w:hAnsiTheme="majorHAnsi" w:cstheme="majorHAnsi"/>
          <w:sz w:val="20"/>
          <w:szCs w:val="20"/>
        </w:rPr>
        <w:t xml:space="preserve">Gawron &amp; Schäfer </w:t>
      </w:r>
      <w:r w:rsidRPr="00461341">
        <w:rPr>
          <w:rFonts w:asciiTheme="majorHAnsi" w:hAnsiTheme="majorHAnsi" w:cstheme="majorHAnsi"/>
          <w:sz w:val="20"/>
          <w:szCs w:val="20"/>
        </w:rPr>
        <w:t xml:space="preserve">also highlight a practical obstacle to verifying is this popular and appealing assumption is indeed correct; </w:t>
      </w:r>
      <w:r w:rsidR="00390F29" w:rsidRPr="00461341">
        <w:rPr>
          <w:rFonts w:asciiTheme="majorHAnsi" w:hAnsiTheme="majorHAnsi" w:cstheme="majorHAnsi"/>
          <w:sz w:val="20"/>
          <w:szCs w:val="20"/>
        </w:rPr>
        <w:t>“…the extraordinary problems of accessing sources of information: The judicial system is used to stow away their internal matters behind the cover of the obligation of professional confidentiality…”</w:t>
      </w:r>
      <w:r w:rsidR="00390F29" w:rsidRPr="00461341">
        <w:rPr>
          <w:rStyle w:val="FootnoteReference"/>
          <w:rFonts w:asciiTheme="majorHAnsi" w:hAnsiTheme="majorHAnsi" w:cstheme="majorHAnsi"/>
          <w:sz w:val="20"/>
          <w:szCs w:val="20"/>
        </w:rPr>
        <w:footnoteReference w:id="43"/>
      </w:r>
      <w:r w:rsidR="005E4BBF" w:rsidRPr="00461341">
        <w:rPr>
          <w:rFonts w:asciiTheme="majorHAnsi" w:hAnsiTheme="majorHAnsi" w:cstheme="majorHAnsi"/>
          <w:sz w:val="20"/>
          <w:szCs w:val="20"/>
        </w:rPr>
        <w:t xml:space="preserve"> </w:t>
      </w:r>
    </w:p>
    <w:p w:rsidR="005E4BBF" w:rsidRPr="00461341" w:rsidRDefault="005E4BBF" w:rsidP="00390F29">
      <w:pPr>
        <w:rPr>
          <w:rFonts w:asciiTheme="majorHAnsi" w:hAnsiTheme="majorHAnsi" w:cstheme="majorHAnsi"/>
          <w:sz w:val="20"/>
          <w:szCs w:val="20"/>
        </w:rPr>
      </w:pPr>
      <w:r w:rsidRPr="00461341">
        <w:rPr>
          <w:rFonts w:asciiTheme="majorHAnsi" w:hAnsiTheme="majorHAnsi" w:cstheme="majorHAnsi"/>
          <w:sz w:val="20"/>
          <w:szCs w:val="20"/>
        </w:rPr>
        <w:t>The sudden availability of archival files about Frey case at the constitutional court is itself a sign that these times are changing. In 2017, the Federal Archival Law, which governs access solely to archival material held in Federal government collections, was changed.  Prohibitions on accessing files over 30 years old, where the subject</w:t>
      </w:r>
      <w:r w:rsidR="00564ADC" w:rsidRPr="00461341">
        <w:rPr>
          <w:rFonts w:asciiTheme="majorHAnsi" w:hAnsiTheme="majorHAnsi" w:cstheme="majorHAnsi"/>
          <w:sz w:val="20"/>
          <w:szCs w:val="20"/>
        </w:rPr>
        <w:t xml:space="preserve"> of the file</w:t>
      </w:r>
      <w:r w:rsidRPr="00461341">
        <w:rPr>
          <w:rFonts w:asciiTheme="majorHAnsi" w:hAnsiTheme="majorHAnsi" w:cstheme="majorHAnsi"/>
          <w:sz w:val="20"/>
          <w:szCs w:val="20"/>
        </w:rPr>
        <w:t xml:space="preserve"> is either still alive or has died within the last </w:t>
      </w:r>
      <w:r w:rsidR="00564ADC" w:rsidRPr="00461341">
        <w:rPr>
          <w:rFonts w:asciiTheme="majorHAnsi" w:hAnsiTheme="majorHAnsi" w:cstheme="majorHAnsi"/>
          <w:sz w:val="20"/>
          <w:szCs w:val="20"/>
        </w:rPr>
        <w:t>3</w:t>
      </w:r>
      <w:r w:rsidRPr="00461341">
        <w:rPr>
          <w:rFonts w:asciiTheme="majorHAnsi" w:hAnsiTheme="majorHAnsi" w:cstheme="majorHAnsi"/>
          <w:sz w:val="20"/>
          <w:szCs w:val="20"/>
        </w:rPr>
        <w:t>0 years</w:t>
      </w:r>
      <w:r w:rsidR="00564ADC" w:rsidRPr="00461341">
        <w:rPr>
          <w:rFonts w:asciiTheme="majorHAnsi" w:hAnsiTheme="majorHAnsi" w:cstheme="majorHAnsi"/>
          <w:sz w:val="20"/>
          <w:szCs w:val="20"/>
        </w:rPr>
        <w:t>,</w:t>
      </w:r>
      <w:r w:rsidRPr="00461341">
        <w:rPr>
          <w:rFonts w:asciiTheme="majorHAnsi" w:hAnsiTheme="majorHAnsi" w:cstheme="majorHAnsi"/>
          <w:sz w:val="20"/>
          <w:szCs w:val="20"/>
        </w:rPr>
        <w:t xml:space="preserve"> were</w:t>
      </w:r>
      <w:r w:rsidR="00564ADC" w:rsidRPr="00461341">
        <w:rPr>
          <w:rFonts w:asciiTheme="majorHAnsi" w:hAnsiTheme="majorHAnsi" w:cstheme="majorHAnsi"/>
          <w:sz w:val="20"/>
          <w:szCs w:val="20"/>
        </w:rPr>
        <w:t xml:space="preserve"> </w:t>
      </w:r>
      <w:r w:rsidRPr="00461341">
        <w:rPr>
          <w:rFonts w:asciiTheme="majorHAnsi" w:hAnsiTheme="majorHAnsi" w:cstheme="majorHAnsi"/>
          <w:sz w:val="20"/>
          <w:szCs w:val="20"/>
        </w:rPr>
        <w:t>scrapped in cases of persons who played a significant role in public life</w:t>
      </w:r>
      <w:r w:rsidR="00564ADC" w:rsidRPr="00461341">
        <w:rPr>
          <w:rFonts w:asciiTheme="majorHAnsi" w:hAnsiTheme="majorHAnsi" w:cstheme="majorHAnsi"/>
          <w:sz w:val="20"/>
          <w:szCs w:val="20"/>
        </w:rPr>
        <w:t xml:space="preserve"> and shortened to 10 years after death in all others</w:t>
      </w:r>
      <w:r w:rsidR="00564ADC" w:rsidRPr="00461341">
        <w:rPr>
          <w:rStyle w:val="FootnoteReference"/>
          <w:rFonts w:asciiTheme="majorHAnsi" w:hAnsiTheme="majorHAnsi" w:cstheme="majorHAnsi"/>
          <w:sz w:val="20"/>
          <w:szCs w:val="20"/>
        </w:rPr>
        <w:footnoteReference w:id="44"/>
      </w:r>
      <w:r w:rsidRPr="00461341">
        <w:rPr>
          <w:rFonts w:asciiTheme="majorHAnsi" w:hAnsiTheme="majorHAnsi" w:cstheme="majorHAnsi"/>
          <w:sz w:val="20"/>
          <w:szCs w:val="20"/>
        </w:rPr>
        <w:t xml:space="preserve">. After some legal correspondence with this author, the Federal archives in Koblenz accepted that Frey well under this definition, and that the file should be opened under conditions of maintaining the privacy protections of certain others in the file, low-level employees not broadly considered personages of public life.  </w:t>
      </w:r>
      <w:r w:rsidR="00CF729C" w:rsidRPr="00461341">
        <w:rPr>
          <w:rFonts w:asciiTheme="majorHAnsi" w:hAnsiTheme="majorHAnsi" w:cstheme="majorHAnsi"/>
          <w:sz w:val="20"/>
          <w:szCs w:val="20"/>
        </w:rPr>
        <w:t xml:space="preserve">Thus, over 50 years later, it is today for the first time possible to access if the popular beliefs about the independence and democratic resilience of West German institutions in their 1960s hold water. </w:t>
      </w:r>
    </w:p>
    <w:p w:rsidR="009225BF" w:rsidRPr="00461341" w:rsidRDefault="009225BF" w:rsidP="00390F29">
      <w:pPr>
        <w:rPr>
          <w:rFonts w:asciiTheme="majorHAnsi" w:hAnsiTheme="majorHAnsi" w:cstheme="majorHAnsi"/>
          <w:sz w:val="20"/>
          <w:szCs w:val="20"/>
        </w:rPr>
      </w:pPr>
      <w:r w:rsidRPr="00461341">
        <w:rPr>
          <w:rFonts w:asciiTheme="majorHAnsi" w:hAnsiTheme="majorHAnsi" w:cstheme="majorHAnsi"/>
          <w:sz w:val="20"/>
          <w:szCs w:val="20"/>
        </w:rPr>
        <w:t xml:space="preserve">In this regard, the Frey files pain a devastating picture, one that diverges strong from those common assumptions. </w:t>
      </w:r>
      <w:r w:rsidR="00CF729C" w:rsidRPr="00461341">
        <w:rPr>
          <w:rFonts w:asciiTheme="majorHAnsi" w:hAnsiTheme="majorHAnsi" w:cstheme="majorHAnsi"/>
          <w:sz w:val="20"/>
          <w:szCs w:val="20"/>
        </w:rPr>
        <w:t xml:space="preserve"> </w:t>
      </w:r>
      <w:r w:rsidRPr="00461341">
        <w:rPr>
          <w:rFonts w:asciiTheme="majorHAnsi" w:hAnsiTheme="majorHAnsi" w:cstheme="majorHAnsi"/>
          <w:sz w:val="20"/>
          <w:szCs w:val="20"/>
        </w:rPr>
        <w:t>T</w:t>
      </w:r>
      <w:r w:rsidR="00CF729C" w:rsidRPr="00461341">
        <w:rPr>
          <w:rFonts w:asciiTheme="majorHAnsi" w:hAnsiTheme="majorHAnsi" w:cstheme="majorHAnsi"/>
          <w:sz w:val="20"/>
          <w:szCs w:val="20"/>
        </w:rPr>
        <w:t>he Frey files paint a picture of administrative institutions that are unprepared for dealing with the problem of extremism, that are not fully independent even at their highest levels</w:t>
      </w:r>
      <w:r w:rsidRPr="00461341">
        <w:rPr>
          <w:rFonts w:asciiTheme="majorHAnsi" w:hAnsiTheme="majorHAnsi" w:cstheme="majorHAnsi"/>
          <w:sz w:val="20"/>
          <w:szCs w:val="20"/>
        </w:rPr>
        <w:t xml:space="preserve">; </w:t>
      </w:r>
      <w:r w:rsidRPr="00461341">
        <w:rPr>
          <w:rFonts w:asciiTheme="majorHAnsi" w:hAnsiTheme="majorHAnsi" w:cstheme="majorHAnsi"/>
          <w:sz w:val="20"/>
          <w:szCs w:val="20"/>
        </w:rPr>
        <w:lastRenderedPageBreak/>
        <w:t>Institutions that are interested only in their own-power political gain, not in the protection of democracy.</w:t>
      </w:r>
    </w:p>
    <w:p w:rsidR="00912122" w:rsidRPr="00461341" w:rsidRDefault="00912122" w:rsidP="00912122">
      <w:pPr>
        <w:rPr>
          <w:rFonts w:asciiTheme="majorHAnsi" w:hAnsiTheme="majorHAnsi" w:cstheme="majorHAnsi"/>
          <w:sz w:val="20"/>
          <w:szCs w:val="20"/>
        </w:rPr>
      </w:pPr>
      <w:r w:rsidRPr="00461341">
        <w:rPr>
          <w:rFonts w:asciiTheme="majorHAnsi" w:hAnsiTheme="majorHAnsi" w:cstheme="majorHAnsi"/>
          <w:sz w:val="20"/>
          <w:szCs w:val="20"/>
        </w:rPr>
        <w:t>It is not possible to say with precision at which point in time bureaucrats in the Federal Government in Bonn began collecting materials about Mr Frey´s newspaper and its far-right activities; While the files on Frey´s case are labelled as including eight chronologically organised sub-folders, the first of these – the earliest- is missing or may not have ever have existed, according to verbal information from archival staff.</w:t>
      </w:r>
    </w:p>
    <w:p w:rsidR="00DA2729" w:rsidRPr="00461341" w:rsidRDefault="00DA2729" w:rsidP="00912122">
      <w:pPr>
        <w:rPr>
          <w:rFonts w:asciiTheme="majorHAnsi" w:hAnsiTheme="majorHAnsi" w:cstheme="majorHAnsi"/>
          <w:sz w:val="20"/>
          <w:szCs w:val="20"/>
        </w:rPr>
      </w:pPr>
      <w:r w:rsidRPr="00461341">
        <w:rPr>
          <w:rFonts w:asciiTheme="majorHAnsi" w:hAnsiTheme="majorHAnsi" w:cstheme="majorHAnsi"/>
          <w:sz w:val="20"/>
          <w:szCs w:val="20"/>
        </w:rPr>
        <w:t>What is however clear is that by</w:t>
      </w:r>
      <w:r w:rsidR="00912122" w:rsidRPr="00461341">
        <w:rPr>
          <w:rFonts w:asciiTheme="majorHAnsi" w:hAnsiTheme="majorHAnsi" w:cstheme="majorHAnsi"/>
          <w:sz w:val="20"/>
          <w:szCs w:val="20"/>
        </w:rPr>
        <w:t xml:space="preserve"> November 1967</w:t>
      </w:r>
      <w:r w:rsidRPr="00461341">
        <w:rPr>
          <w:rFonts w:asciiTheme="majorHAnsi" w:hAnsiTheme="majorHAnsi" w:cstheme="majorHAnsi"/>
          <w:sz w:val="20"/>
          <w:szCs w:val="20"/>
        </w:rPr>
        <w:t xml:space="preserve">, Federal Officials in Bonn were aware of the DNZ´s extremist content. At this time, started gathering </w:t>
      </w:r>
      <w:r w:rsidR="00912122" w:rsidRPr="00461341">
        <w:rPr>
          <w:rFonts w:asciiTheme="majorHAnsi" w:hAnsiTheme="majorHAnsi" w:cstheme="majorHAnsi"/>
          <w:sz w:val="20"/>
          <w:szCs w:val="20"/>
        </w:rPr>
        <w:t>increasingly large volumes of documentation on the criminal proceedings against Frey at state-level in his home-state of Bavaria</w:t>
      </w:r>
      <w:r w:rsidRPr="00461341">
        <w:rPr>
          <w:rFonts w:asciiTheme="majorHAnsi" w:hAnsiTheme="majorHAnsi" w:cstheme="majorHAnsi"/>
          <w:sz w:val="20"/>
          <w:szCs w:val="20"/>
        </w:rPr>
        <w:t>, where there were attempts to prosecute him for the anti-Semitic content of his news-articles as well as technical violations of press law</w:t>
      </w:r>
      <w:r w:rsidR="00912122" w:rsidRPr="00461341">
        <w:rPr>
          <w:rStyle w:val="FootnoteReference"/>
          <w:rFonts w:asciiTheme="majorHAnsi" w:hAnsiTheme="majorHAnsi" w:cstheme="majorHAnsi"/>
          <w:sz w:val="20"/>
          <w:szCs w:val="20"/>
        </w:rPr>
        <w:footnoteReference w:id="45"/>
      </w:r>
      <w:r w:rsidR="00912122" w:rsidRPr="00461341">
        <w:rPr>
          <w:rFonts w:asciiTheme="majorHAnsi" w:hAnsiTheme="majorHAnsi" w:cstheme="majorHAnsi"/>
          <w:sz w:val="20"/>
          <w:szCs w:val="20"/>
        </w:rPr>
        <w:t>.</w:t>
      </w:r>
      <w:r w:rsidRPr="00461341">
        <w:rPr>
          <w:rFonts w:asciiTheme="majorHAnsi" w:hAnsiTheme="majorHAnsi" w:cstheme="majorHAnsi"/>
          <w:sz w:val="20"/>
          <w:szCs w:val="20"/>
        </w:rPr>
        <w:t xml:space="preserve"> From November onwards</w:t>
      </w:r>
      <w:r w:rsidRPr="00461341">
        <w:rPr>
          <w:rStyle w:val="FootnoteReference"/>
          <w:rFonts w:asciiTheme="majorHAnsi" w:hAnsiTheme="majorHAnsi" w:cstheme="majorHAnsi"/>
          <w:sz w:val="20"/>
          <w:szCs w:val="20"/>
        </w:rPr>
        <w:footnoteReference w:id="46"/>
      </w:r>
      <w:r w:rsidRPr="00461341">
        <w:rPr>
          <w:rFonts w:asciiTheme="majorHAnsi" w:hAnsiTheme="majorHAnsi" w:cstheme="majorHAnsi"/>
          <w:sz w:val="20"/>
          <w:szCs w:val="20"/>
        </w:rPr>
        <w:t xml:space="preserve">, they received from the Federal Office For Constitutional Protections, West Germany´s domestic intelligence agency, numerous such forwarded documents which that office had in </w:t>
      </w:r>
      <w:r w:rsidR="00912122" w:rsidRPr="00461341">
        <w:rPr>
          <w:rFonts w:asciiTheme="majorHAnsi" w:hAnsiTheme="majorHAnsi" w:cstheme="majorHAnsi"/>
          <w:sz w:val="20"/>
          <w:szCs w:val="20"/>
        </w:rPr>
        <w:t>turn collected from state-level prosecutors in Munich, wher</w:t>
      </w:r>
      <w:r w:rsidRPr="00461341">
        <w:rPr>
          <w:rFonts w:asciiTheme="majorHAnsi" w:hAnsiTheme="majorHAnsi" w:cstheme="majorHAnsi"/>
          <w:sz w:val="20"/>
          <w:szCs w:val="20"/>
        </w:rPr>
        <w:t>e</w:t>
      </w:r>
      <w:r w:rsidR="00912122" w:rsidRPr="00461341">
        <w:rPr>
          <w:rFonts w:asciiTheme="majorHAnsi" w:hAnsiTheme="majorHAnsi" w:cstheme="majorHAnsi"/>
          <w:sz w:val="20"/>
          <w:szCs w:val="20"/>
        </w:rPr>
        <w:t xml:space="preserve"> Frey was resident</w:t>
      </w:r>
      <w:r w:rsidRPr="00461341">
        <w:rPr>
          <w:rFonts w:asciiTheme="majorHAnsi" w:hAnsiTheme="majorHAnsi" w:cstheme="majorHAnsi"/>
          <w:sz w:val="20"/>
          <w:szCs w:val="20"/>
        </w:rPr>
        <w:t xml:space="preserve">: The criminal cases in Munich, none of which had resulted in any convictions related to headlines including </w:t>
      </w:r>
      <w:r w:rsidR="00912122" w:rsidRPr="00461341">
        <w:rPr>
          <w:rFonts w:asciiTheme="majorHAnsi" w:hAnsiTheme="majorHAnsi" w:cstheme="majorHAnsi"/>
          <w:sz w:val="20"/>
          <w:szCs w:val="20"/>
        </w:rPr>
        <w:t>“We accuse Israel – Mass Murder and Ethnic Cleansing”, “ The Nazis of Israel – Will Bonn Continue To Finance Israeli Crimes”, “Israel´s Mass-Murderers as Heroes – But Zionists Chase German Murderers”, “Israel´s Blood Guilt – Chronicle of Israeli Crimes”,  “Israel´s Auschwitz In The Desert – The Mass Murder Of Arabs – Dayan In The Footsteps Of Hitler”</w:t>
      </w:r>
      <w:r w:rsidR="00912122" w:rsidRPr="00461341">
        <w:rPr>
          <w:rStyle w:val="FootnoteReference"/>
          <w:rFonts w:asciiTheme="majorHAnsi" w:hAnsiTheme="majorHAnsi" w:cstheme="majorHAnsi"/>
          <w:sz w:val="20"/>
          <w:szCs w:val="20"/>
        </w:rPr>
        <w:footnoteReference w:id="47"/>
      </w:r>
      <w:r w:rsidR="00912122" w:rsidRPr="00461341">
        <w:rPr>
          <w:rFonts w:asciiTheme="majorHAnsi" w:hAnsiTheme="majorHAnsi" w:cstheme="majorHAnsi"/>
          <w:sz w:val="20"/>
          <w:szCs w:val="20"/>
        </w:rPr>
        <w:t xml:space="preserve">.  Further dossiers containing updated information on the criminal proceedings in Munich, were sent by the Federal Office </w:t>
      </w:r>
      <w:proofErr w:type="gramStart"/>
      <w:r w:rsidR="00912122" w:rsidRPr="00461341">
        <w:rPr>
          <w:rFonts w:asciiTheme="majorHAnsi" w:hAnsiTheme="majorHAnsi" w:cstheme="majorHAnsi"/>
          <w:sz w:val="20"/>
          <w:szCs w:val="20"/>
        </w:rPr>
        <w:t>For</w:t>
      </w:r>
      <w:proofErr w:type="gramEnd"/>
      <w:r w:rsidR="00912122" w:rsidRPr="00461341">
        <w:rPr>
          <w:rFonts w:asciiTheme="majorHAnsi" w:hAnsiTheme="majorHAnsi" w:cstheme="majorHAnsi"/>
          <w:sz w:val="20"/>
          <w:szCs w:val="20"/>
        </w:rPr>
        <w:t xml:space="preserve"> Constitutional Protection and the Federal Ministry of Justice to the Federal Ministry Of The Interior in December 1967</w:t>
      </w:r>
      <w:r w:rsidR="00912122" w:rsidRPr="00461341">
        <w:rPr>
          <w:rStyle w:val="FootnoteReference"/>
          <w:rFonts w:asciiTheme="majorHAnsi" w:hAnsiTheme="majorHAnsi" w:cstheme="majorHAnsi"/>
          <w:sz w:val="20"/>
          <w:szCs w:val="20"/>
        </w:rPr>
        <w:footnoteReference w:id="48"/>
      </w:r>
      <w:r w:rsidR="00912122" w:rsidRPr="00461341">
        <w:rPr>
          <w:rFonts w:asciiTheme="majorHAnsi" w:hAnsiTheme="majorHAnsi" w:cstheme="majorHAnsi"/>
          <w:sz w:val="20"/>
          <w:szCs w:val="20"/>
        </w:rPr>
        <w:t>, and in January 1968.</w:t>
      </w:r>
      <w:r w:rsidR="00912122" w:rsidRPr="00461341">
        <w:rPr>
          <w:rStyle w:val="FootnoteReference"/>
          <w:rFonts w:asciiTheme="majorHAnsi" w:hAnsiTheme="majorHAnsi" w:cstheme="majorHAnsi"/>
          <w:sz w:val="20"/>
          <w:szCs w:val="20"/>
        </w:rPr>
        <w:footnoteReference w:id="49"/>
      </w:r>
      <w:r w:rsidR="00912122" w:rsidRPr="00461341">
        <w:rPr>
          <w:rFonts w:asciiTheme="majorHAnsi" w:hAnsiTheme="majorHAnsi" w:cstheme="majorHAnsi"/>
          <w:sz w:val="20"/>
          <w:szCs w:val="20"/>
        </w:rPr>
        <w:t xml:space="preserve"> </w:t>
      </w:r>
      <w:r w:rsidRPr="00461341">
        <w:rPr>
          <w:rFonts w:asciiTheme="majorHAnsi" w:hAnsiTheme="majorHAnsi" w:cstheme="majorHAnsi"/>
          <w:sz w:val="20"/>
          <w:szCs w:val="20"/>
        </w:rPr>
        <w:t xml:space="preserve">But from the material that is preserved, it is very clear that officials at this stage were only monitoring proceedings. There is no evidence here that suggests they were in any way trying to prepare a case of their own for submission directly to the Constitutional Court, or for that matter, take any other kind of action designed to address the DNZ´s ongoing incitement. Had they done so, given the volume and nature of the other material preserved, notes of meetings, and consultations with external experts would inevitably have found their way into the files. </w:t>
      </w:r>
    </w:p>
    <w:p w:rsidR="00912122" w:rsidRPr="00461341" w:rsidRDefault="00DA2729" w:rsidP="00912122">
      <w:pPr>
        <w:rPr>
          <w:rFonts w:asciiTheme="majorHAnsi" w:hAnsiTheme="majorHAnsi" w:cstheme="majorHAnsi"/>
          <w:sz w:val="20"/>
          <w:szCs w:val="20"/>
        </w:rPr>
      </w:pPr>
      <w:r w:rsidRPr="00461341">
        <w:rPr>
          <w:rFonts w:asciiTheme="majorHAnsi" w:hAnsiTheme="majorHAnsi" w:cstheme="majorHAnsi"/>
          <w:sz w:val="20"/>
          <w:szCs w:val="20"/>
        </w:rPr>
        <w:t>In fact, a rare</w:t>
      </w:r>
      <w:r w:rsidR="00912122" w:rsidRPr="00461341">
        <w:rPr>
          <w:rFonts w:asciiTheme="majorHAnsi" w:hAnsiTheme="majorHAnsi" w:cstheme="majorHAnsi"/>
          <w:sz w:val="20"/>
          <w:szCs w:val="20"/>
        </w:rPr>
        <w:t xml:space="preserve"> handwritten note by a Bonn </w:t>
      </w:r>
      <w:r w:rsidRPr="00461341">
        <w:rPr>
          <w:rFonts w:asciiTheme="majorHAnsi" w:hAnsiTheme="majorHAnsi" w:cstheme="majorHAnsi"/>
          <w:sz w:val="20"/>
          <w:szCs w:val="20"/>
        </w:rPr>
        <w:t xml:space="preserve">federal </w:t>
      </w:r>
      <w:r w:rsidR="00912122" w:rsidRPr="00461341">
        <w:rPr>
          <w:rFonts w:asciiTheme="majorHAnsi" w:hAnsiTheme="majorHAnsi" w:cstheme="majorHAnsi"/>
          <w:sz w:val="20"/>
          <w:szCs w:val="20"/>
        </w:rPr>
        <w:t xml:space="preserve">official on the back of the January correspondence </w:t>
      </w:r>
      <w:r w:rsidRPr="00461341">
        <w:rPr>
          <w:rFonts w:asciiTheme="majorHAnsi" w:hAnsiTheme="majorHAnsi" w:cstheme="majorHAnsi"/>
          <w:sz w:val="20"/>
          <w:szCs w:val="20"/>
        </w:rPr>
        <w:t>adds further weight</w:t>
      </w:r>
      <w:r w:rsidR="00912122" w:rsidRPr="00461341">
        <w:rPr>
          <w:rFonts w:asciiTheme="majorHAnsi" w:hAnsiTheme="majorHAnsi" w:cstheme="majorHAnsi"/>
          <w:sz w:val="20"/>
          <w:szCs w:val="20"/>
        </w:rPr>
        <w:t xml:space="preserve"> to the impression that officials were at that time merely monitoring the state-level cases in Munich, rather than trying to formulate a strategy or analysis of their own. In the note, the official merely describes the legal stage at which two of the cases in Munich are at (one terminated, but with prosecutors appealing the termination, other´s admissibility undecided). The only addition to the summary is a note of that one of the Munich documents “is not yet available to us in </w:t>
      </w:r>
      <w:r w:rsidR="00912122" w:rsidRPr="00461341">
        <w:rPr>
          <w:rFonts w:asciiTheme="majorHAnsi" w:hAnsiTheme="majorHAnsi" w:cstheme="majorHAnsi"/>
          <w:sz w:val="20"/>
          <w:szCs w:val="20"/>
        </w:rPr>
        <w:lastRenderedPageBreak/>
        <w:t>written”</w:t>
      </w:r>
      <w:r w:rsidR="00912122" w:rsidRPr="00461341">
        <w:rPr>
          <w:rStyle w:val="FootnoteReference"/>
          <w:rFonts w:asciiTheme="majorHAnsi" w:hAnsiTheme="majorHAnsi" w:cstheme="majorHAnsi"/>
          <w:sz w:val="20"/>
          <w:szCs w:val="20"/>
        </w:rPr>
        <w:footnoteReference w:id="50"/>
      </w:r>
      <w:r w:rsidR="00912122" w:rsidRPr="00461341">
        <w:rPr>
          <w:rFonts w:asciiTheme="majorHAnsi" w:hAnsiTheme="majorHAnsi" w:cstheme="majorHAnsi"/>
          <w:sz w:val="20"/>
          <w:szCs w:val="20"/>
        </w:rPr>
        <w:t xml:space="preserve">, and two future dates in 1968, which may represent days when the official believed a decision on the cases would be made. </w:t>
      </w:r>
    </w:p>
    <w:p w:rsidR="00912122" w:rsidRPr="00461341" w:rsidRDefault="00DA2729" w:rsidP="00912122">
      <w:pPr>
        <w:rPr>
          <w:rFonts w:asciiTheme="majorHAnsi" w:hAnsiTheme="majorHAnsi" w:cstheme="majorHAnsi"/>
          <w:sz w:val="20"/>
          <w:szCs w:val="20"/>
        </w:rPr>
      </w:pPr>
      <w:r w:rsidRPr="00461341">
        <w:rPr>
          <w:rFonts w:asciiTheme="majorHAnsi" w:hAnsiTheme="majorHAnsi" w:cstheme="majorHAnsi"/>
          <w:sz w:val="20"/>
          <w:szCs w:val="20"/>
        </w:rPr>
        <w:t>Even when, in February 1968</w:t>
      </w:r>
      <w:r w:rsidR="00912122" w:rsidRPr="00461341">
        <w:rPr>
          <w:rStyle w:val="FootnoteReference"/>
          <w:rFonts w:asciiTheme="majorHAnsi" w:hAnsiTheme="majorHAnsi" w:cstheme="majorHAnsi"/>
          <w:sz w:val="20"/>
          <w:szCs w:val="20"/>
        </w:rPr>
        <w:footnoteReference w:id="51"/>
      </w:r>
      <w:r w:rsidRPr="00461341">
        <w:rPr>
          <w:rFonts w:asciiTheme="majorHAnsi" w:hAnsiTheme="majorHAnsi" w:cstheme="majorHAnsi"/>
          <w:sz w:val="20"/>
          <w:szCs w:val="20"/>
        </w:rPr>
        <w:t>, Interior ministry</w:t>
      </w:r>
      <w:r w:rsidR="00472573" w:rsidRPr="00461341">
        <w:rPr>
          <w:rFonts w:asciiTheme="majorHAnsi" w:hAnsiTheme="majorHAnsi" w:cstheme="majorHAnsi"/>
          <w:sz w:val="20"/>
          <w:szCs w:val="20"/>
        </w:rPr>
        <w:t xml:space="preserve"> officials are informed that a parliamentary select committee of the Bundestag (federal lower house of parliament) is demanding a report on action against the DNZ, this triggers little other than a further summary of the </w:t>
      </w:r>
      <w:r w:rsidR="00912122" w:rsidRPr="00461341">
        <w:rPr>
          <w:rFonts w:asciiTheme="majorHAnsi" w:hAnsiTheme="majorHAnsi" w:cstheme="majorHAnsi"/>
          <w:sz w:val="20"/>
          <w:szCs w:val="20"/>
        </w:rPr>
        <w:t>updated state of the proceedings in Munich.</w:t>
      </w:r>
      <w:r w:rsidR="00912122" w:rsidRPr="00461341">
        <w:rPr>
          <w:rStyle w:val="FootnoteReference"/>
          <w:rFonts w:asciiTheme="majorHAnsi" w:hAnsiTheme="majorHAnsi" w:cstheme="majorHAnsi"/>
          <w:sz w:val="20"/>
          <w:szCs w:val="20"/>
        </w:rPr>
        <w:footnoteReference w:id="52"/>
      </w:r>
      <w:r w:rsidR="00912122" w:rsidRPr="00461341">
        <w:rPr>
          <w:rFonts w:asciiTheme="majorHAnsi" w:hAnsiTheme="majorHAnsi" w:cstheme="majorHAnsi"/>
          <w:sz w:val="20"/>
          <w:szCs w:val="20"/>
        </w:rPr>
        <w:t xml:space="preserve"> </w:t>
      </w:r>
      <w:r w:rsidR="00472573" w:rsidRPr="00461341">
        <w:rPr>
          <w:rFonts w:asciiTheme="majorHAnsi" w:hAnsiTheme="majorHAnsi" w:cstheme="majorHAnsi"/>
          <w:sz w:val="20"/>
          <w:szCs w:val="20"/>
        </w:rPr>
        <w:t>Uncommented upon transfers of material to federal Interior ministry officials resume shortly thereafter</w:t>
      </w:r>
      <w:r w:rsidR="00912122" w:rsidRPr="00461341">
        <w:rPr>
          <w:rStyle w:val="FootnoteReference"/>
          <w:rFonts w:asciiTheme="majorHAnsi" w:hAnsiTheme="majorHAnsi" w:cstheme="majorHAnsi"/>
          <w:sz w:val="20"/>
          <w:szCs w:val="20"/>
        </w:rPr>
        <w:footnoteReference w:id="53"/>
      </w:r>
      <w:r w:rsidR="00905E7D" w:rsidRPr="00461341">
        <w:rPr>
          <w:rFonts w:asciiTheme="majorHAnsi" w:hAnsiTheme="majorHAnsi" w:cstheme="majorHAnsi"/>
          <w:sz w:val="20"/>
          <w:szCs w:val="20"/>
        </w:rPr>
        <w:t xml:space="preserve"> </w:t>
      </w:r>
      <w:r w:rsidR="00912122" w:rsidRPr="00461341">
        <w:rPr>
          <w:rStyle w:val="FootnoteReference"/>
          <w:rFonts w:asciiTheme="majorHAnsi" w:hAnsiTheme="majorHAnsi" w:cstheme="majorHAnsi"/>
          <w:sz w:val="20"/>
          <w:szCs w:val="20"/>
        </w:rPr>
        <w:footnoteReference w:id="54"/>
      </w:r>
      <w:r w:rsidR="00472573" w:rsidRPr="00461341">
        <w:rPr>
          <w:rFonts w:asciiTheme="majorHAnsi" w:hAnsiTheme="majorHAnsi" w:cstheme="majorHAnsi"/>
          <w:sz w:val="20"/>
          <w:szCs w:val="20"/>
        </w:rPr>
        <w:t xml:space="preserve">. </w:t>
      </w:r>
    </w:p>
    <w:p w:rsidR="00472573" w:rsidRPr="00461341" w:rsidRDefault="00472573" w:rsidP="00912122">
      <w:pPr>
        <w:rPr>
          <w:rFonts w:asciiTheme="majorHAnsi" w:hAnsiTheme="majorHAnsi" w:cstheme="majorHAnsi"/>
          <w:sz w:val="20"/>
          <w:szCs w:val="20"/>
        </w:rPr>
      </w:pPr>
      <w:r w:rsidRPr="00461341">
        <w:rPr>
          <w:rFonts w:asciiTheme="majorHAnsi" w:hAnsiTheme="majorHAnsi" w:cstheme="majorHAnsi"/>
          <w:sz w:val="20"/>
          <w:szCs w:val="20"/>
        </w:rPr>
        <w:t xml:space="preserve">What comes clear from this months-long waiting game of official inanity is that, in themselves, for a period of months, even when confronted with the </w:t>
      </w:r>
      <w:proofErr w:type="gramStart"/>
      <w:r w:rsidRPr="00461341">
        <w:rPr>
          <w:rFonts w:asciiTheme="majorHAnsi" w:hAnsiTheme="majorHAnsi" w:cstheme="majorHAnsi"/>
          <w:sz w:val="20"/>
          <w:szCs w:val="20"/>
        </w:rPr>
        <w:t>most grave</w:t>
      </w:r>
      <w:proofErr w:type="gramEnd"/>
      <w:r w:rsidRPr="00461341">
        <w:rPr>
          <w:rFonts w:asciiTheme="majorHAnsi" w:hAnsiTheme="majorHAnsi" w:cstheme="majorHAnsi"/>
          <w:sz w:val="20"/>
          <w:szCs w:val="20"/>
        </w:rPr>
        <w:t xml:space="preserve"> incitement, official institutions in Bonn did not have engaged in a planned response, as one expect would be inherent to officials from effective institutions working for the defines of democracy.</w:t>
      </w:r>
    </w:p>
    <w:p w:rsidR="0016140F" w:rsidRPr="00461341" w:rsidRDefault="00472573" w:rsidP="00912122">
      <w:pPr>
        <w:rPr>
          <w:rFonts w:asciiTheme="majorHAnsi" w:hAnsiTheme="majorHAnsi" w:cstheme="majorHAnsi"/>
          <w:sz w:val="20"/>
          <w:szCs w:val="20"/>
        </w:rPr>
      </w:pPr>
      <w:r w:rsidRPr="00461341">
        <w:rPr>
          <w:rFonts w:asciiTheme="majorHAnsi" w:hAnsiTheme="majorHAnsi" w:cstheme="majorHAnsi"/>
          <w:sz w:val="20"/>
          <w:szCs w:val="20"/>
        </w:rPr>
        <w:t>In Summer 1968, however, officials were spurred into action. Not though by any realisation of the threat the DNZ posed to democracy, but by far more power-politically opportunistic factors and pressure from external civic institutions that formed a powerful part of the state-system.</w:t>
      </w:r>
      <w:r w:rsidR="0016140F" w:rsidRPr="00461341">
        <w:rPr>
          <w:rFonts w:asciiTheme="majorHAnsi" w:hAnsiTheme="majorHAnsi" w:cstheme="majorHAnsi"/>
          <w:sz w:val="20"/>
          <w:szCs w:val="20"/>
        </w:rPr>
        <w:t xml:space="preserve"> </w:t>
      </w:r>
    </w:p>
    <w:p w:rsidR="00472573" w:rsidRPr="00461341" w:rsidRDefault="0016140F" w:rsidP="00912122">
      <w:pPr>
        <w:rPr>
          <w:rFonts w:asciiTheme="majorHAnsi" w:hAnsiTheme="majorHAnsi" w:cstheme="majorHAnsi"/>
          <w:sz w:val="20"/>
          <w:szCs w:val="20"/>
        </w:rPr>
      </w:pPr>
      <w:r w:rsidRPr="00461341">
        <w:rPr>
          <w:rFonts w:asciiTheme="majorHAnsi" w:hAnsiTheme="majorHAnsi" w:cstheme="majorHAnsi"/>
          <w:sz w:val="20"/>
          <w:szCs w:val="20"/>
        </w:rPr>
        <w:t>Frist, though, it is worth-understanding that at the start of summer, officials still approached the idea of acting with reluctance. On May 24</w:t>
      </w:r>
      <w:r w:rsidRPr="00461341">
        <w:rPr>
          <w:rFonts w:asciiTheme="majorHAnsi" w:hAnsiTheme="majorHAnsi" w:cstheme="majorHAnsi"/>
          <w:sz w:val="20"/>
          <w:szCs w:val="20"/>
          <w:vertAlign w:val="superscript"/>
        </w:rPr>
        <w:t>th</w:t>
      </w:r>
      <w:r w:rsidRPr="00461341">
        <w:rPr>
          <w:rFonts w:asciiTheme="majorHAnsi" w:hAnsiTheme="majorHAnsi" w:cstheme="majorHAnsi"/>
          <w:sz w:val="20"/>
          <w:szCs w:val="20"/>
        </w:rPr>
        <w:t xml:space="preserve"> 1968, officials received a petition from the “German Coordination Council Of The Society For Christian-Jewish Cooperation”, urging a change in the constitution to allow the banning of the DNZ.</w:t>
      </w:r>
      <w:r w:rsidRPr="00461341">
        <w:rPr>
          <w:rStyle w:val="FootnoteReference"/>
          <w:rFonts w:asciiTheme="majorHAnsi" w:hAnsiTheme="majorHAnsi" w:cstheme="majorHAnsi"/>
          <w:sz w:val="20"/>
          <w:szCs w:val="20"/>
        </w:rPr>
        <w:footnoteReference w:id="55"/>
      </w:r>
      <w:r w:rsidRPr="00461341">
        <w:rPr>
          <w:rFonts w:asciiTheme="majorHAnsi" w:hAnsiTheme="majorHAnsi" w:cstheme="majorHAnsi"/>
          <w:sz w:val="20"/>
          <w:szCs w:val="20"/>
        </w:rPr>
        <w:t>In an official response attached to a letter confirming receipt of the petition, officials attach a statement raising strong doubts about the judicial wisdom of changing the constitution, but also suggesting no kind of alternative course of action to dealing with the DNZ</w:t>
      </w:r>
      <w:r w:rsidR="00BD1F68" w:rsidRPr="00461341">
        <w:rPr>
          <w:rFonts w:asciiTheme="majorHAnsi" w:hAnsiTheme="majorHAnsi" w:cstheme="majorHAnsi"/>
          <w:sz w:val="20"/>
          <w:szCs w:val="20"/>
        </w:rPr>
        <w:t>, suggesting that alternative paths of action had not yet been explored</w:t>
      </w:r>
      <w:r w:rsidRPr="00461341">
        <w:rPr>
          <w:rStyle w:val="FootnoteReference"/>
          <w:rFonts w:asciiTheme="majorHAnsi" w:hAnsiTheme="majorHAnsi" w:cstheme="majorHAnsi"/>
          <w:sz w:val="20"/>
          <w:szCs w:val="20"/>
        </w:rPr>
        <w:footnoteReference w:id="56"/>
      </w:r>
      <w:r w:rsidRPr="00461341">
        <w:rPr>
          <w:rFonts w:asciiTheme="majorHAnsi" w:hAnsiTheme="majorHAnsi" w:cstheme="majorHAnsi"/>
          <w:sz w:val="20"/>
          <w:szCs w:val="20"/>
        </w:rPr>
        <w:t xml:space="preserve">. </w:t>
      </w:r>
    </w:p>
    <w:p w:rsidR="0016140F" w:rsidRPr="00461341" w:rsidRDefault="00BD1F68" w:rsidP="00BD1F68">
      <w:pPr>
        <w:rPr>
          <w:rFonts w:asciiTheme="majorHAnsi" w:hAnsiTheme="majorHAnsi" w:cstheme="majorHAnsi"/>
          <w:sz w:val="20"/>
          <w:szCs w:val="20"/>
        </w:rPr>
      </w:pPr>
      <w:r w:rsidRPr="00461341">
        <w:rPr>
          <w:rFonts w:asciiTheme="majorHAnsi" w:hAnsiTheme="majorHAnsi" w:cstheme="majorHAnsi"/>
          <w:sz w:val="20"/>
          <w:szCs w:val="20"/>
        </w:rPr>
        <w:t>However, this situation soon changes as the summer goes on. On the 27</w:t>
      </w:r>
      <w:r w:rsidRPr="00461341">
        <w:rPr>
          <w:rFonts w:asciiTheme="majorHAnsi" w:hAnsiTheme="majorHAnsi" w:cstheme="majorHAnsi"/>
          <w:sz w:val="20"/>
          <w:szCs w:val="20"/>
          <w:vertAlign w:val="superscript"/>
        </w:rPr>
        <w:t>th</w:t>
      </w:r>
      <w:r w:rsidRPr="00461341">
        <w:rPr>
          <w:rFonts w:asciiTheme="majorHAnsi" w:hAnsiTheme="majorHAnsi" w:cstheme="majorHAnsi"/>
          <w:sz w:val="20"/>
          <w:szCs w:val="20"/>
        </w:rPr>
        <w:t xml:space="preserve"> May 1968, officials receive an “urgent letter” from German diplomats in Tel Aviv, Israel. The letter, which couches the need to act against the DNZ only in the terms of trying to achieve reputational foreign policy advantages stated: </w:t>
      </w:r>
    </w:p>
    <w:p w:rsidR="0016140F" w:rsidRPr="00461341" w:rsidRDefault="0016140F" w:rsidP="0016140F">
      <w:pPr>
        <w:rPr>
          <w:rFonts w:asciiTheme="majorHAnsi" w:hAnsiTheme="majorHAnsi" w:cstheme="majorHAnsi"/>
          <w:i/>
          <w:sz w:val="20"/>
          <w:szCs w:val="20"/>
        </w:rPr>
      </w:pPr>
      <w:r w:rsidRPr="00461341">
        <w:rPr>
          <w:rFonts w:asciiTheme="majorHAnsi" w:hAnsiTheme="majorHAnsi" w:cstheme="majorHAnsi"/>
          <w:i/>
          <w:sz w:val="20"/>
          <w:szCs w:val="20"/>
        </w:rPr>
        <w:t xml:space="preserve">“The National </w:t>
      </w:r>
      <w:proofErr w:type="gramStart"/>
      <w:r w:rsidRPr="00461341">
        <w:rPr>
          <w:rFonts w:asciiTheme="majorHAnsi" w:hAnsiTheme="majorHAnsi" w:cstheme="majorHAnsi"/>
          <w:i/>
          <w:sz w:val="20"/>
          <w:szCs w:val="20"/>
        </w:rPr>
        <w:t>And</w:t>
      </w:r>
      <w:proofErr w:type="gramEnd"/>
      <w:r w:rsidRPr="00461341">
        <w:rPr>
          <w:rFonts w:asciiTheme="majorHAnsi" w:hAnsiTheme="majorHAnsi" w:cstheme="majorHAnsi"/>
          <w:i/>
          <w:sz w:val="20"/>
          <w:szCs w:val="20"/>
        </w:rPr>
        <w:t xml:space="preserve"> Soldiers Newspaper, always been an annoyance here. Since the far-right electoral successes it is becoming politically damaging. In recent time, I have been repeatedly told that Frey, who evidently has significant financial resources, is buying up regional papers und is making them take his editorial line.</w:t>
      </w:r>
    </w:p>
    <w:p w:rsidR="0016140F" w:rsidRPr="00461341" w:rsidRDefault="0016140F" w:rsidP="0016140F">
      <w:pPr>
        <w:rPr>
          <w:rFonts w:asciiTheme="majorHAnsi" w:hAnsiTheme="majorHAnsi" w:cstheme="majorHAnsi"/>
          <w:i/>
          <w:sz w:val="20"/>
          <w:szCs w:val="20"/>
        </w:rPr>
      </w:pPr>
      <w:r w:rsidRPr="00461341">
        <w:rPr>
          <w:rFonts w:asciiTheme="majorHAnsi" w:hAnsiTheme="majorHAnsi" w:cstheme="majorHAnsi"/>
          <w:i/>
          <w:sz w:val="20"/>
          <w:szCs w:val="20"/>
        </w:rPr>
        <w:t xml:space="preserve">The neuralgia, with which one, for understandable reasons, reacts to German far-right radicalism here, causes the similarities with the language of the NS-Press and the defamatory accusations towards Israel and the Jews to awaken terrible memories. The </w:t>
      </w:r>
      <w:proofErr w:type="gramStart"/>
      <w:r w:rsidRPr="00461341">
        <w:rPr>
          <w:rFonts w:asciiTheme="majorHAnsi" w:hAnsiTheme="majorHAnsi" w:cstheme="majorHAnsi"/>
          <w:i/>
          <w:sz w:val="20"/>
          <w:szCs w:val="20"/>
        </w:rPr>
        <w:t>never ending</w:t>
      </w:r>
      <w:proofErr w:type="gramEnd"/>
      <w:r w:rsidRPr="00461341">
        <w:rPr>
          <w:rFonts w:asciiTheme="majorHAnsi" w:hAnsiTheme="majorHAnsi" w:cstheme="majorHAnsi"/>
          <w:i/>
          <w:sz w:val="20"/>
          <w:szCs w:val="20"/>
        </w:rPr>
        <w:t xml:space="preserve"> incitement to hatred seems </w:t>
      </w:r>
      <w:r w:rsidRPr="00461341">
        <w:rPr>
          <w:rFonts w:asciiTheme="majorHAnsi" w:hAnsiTheme="majorHAnsi" w:cstheme="majorHAnsi"/>
          <w:i/>
          <w:sz w:val="20"/>
          <w:szCs w:val="20"/>
        </w:rPr>
        <w:lastRenderedPageBreak/>
        <w:t xml:space="preserve">in light of the growing far-right radicalism as a threat. Almost every page in this newspaper offers our far-right and far-left opponents in Israel material for their constant claim that the Germans are still the old, unchanged criminals. </w:t>
      </w:r>
    </w:p>
    <w:p w:rsidR="0016140F" w:rsidRPr="00461341" w:rsidRDefault="0016140F" w:rsidP="0016140F">
      <w:pPr>
        <w:rPr>
          <w:rFonts w:asciiTheme="majorHAnsi" w:hAnsiTheme="majorHAnsi" w:cstheme="majorHAnsi"/>
          <w:i/>
          <w:sz w:val="20"/>
          <w:szCs w:val="20"/>
        </w:rPr>
      </w:pPr>
      <w:r w:rsidRPr="00461341">
        <w:rPr>
          <w:rFonts w:asciiTheme="majorHAnsi" w:hAnsiTheme="majorHAnsi" w:cstheme="majorHAnsi"/>
          <w:i/>
          <w:sz w:val="20"/>
          <w:szCs w:val="20"/>
        </w:rPr>
        <w:t xml:space="preserve">Worse even is that those circles that are open-minded towards us cannot understand, that a newspaper that fulfils the criminal definition of racial and ethnic hatred every week remains permitted. </w:t>
      </w:r>
    </w:p>
    <w:p w:rsidR="0016140F" w:rsidRPr="00461341" w:rsidRDefault="0016140F" w:rsidP="0016140F">
      <w:pPr>
        <w:rPr>
          <w:rFonts w:asciiTheme="majorHAnsi" w:hAnsiTheme="majorHAnsi" w:cstheme="majorHAnsi"/>
          <w:i/>
          <w:sz w:val="20"/>
          <w:szCs w:val="20"/>
        </w:rPr>
      </w:pPr>
      <w:r w:rsidRPr="00461341">
        <w:rPr>
          <w:rFonts w:asciiTheme="majorHAnsi" w:hAnsiTheme="majorHAnsi" w:cstheme="majorHAnsi"/>
          <w:i/>
          <w:sz w:val="20"/>
          <w:szCs w:val="20"/>
        </w:rPr>
        <w:t>To the suggestion the total freedom of expression and freedom of the press in Germany limited the possibilities of a ban, it is replied that the Weimar republic, in pursuit of perfection in the rule of law, allowed the arch-enemies of democracy to abuse its rules until democracy itself died.</w:t>
      </w:r>
    </w:p>
    <w:p w:rsidR="0016140F" w:rsidRPr="00461341" w:rsidRDefault="0016140F" w:rsidP="00BD1F68">
      <w:pPr>
        <w:rPr>
          <w:rFonts w:asciiTheme="majorHAnsi" w:hAnsiTheme="majorHAnsi" w:cstheme="majorHAnsi"/>
          <w:i/>
          <w:sz w:val="20"/>
          <w:szCs w:val="20"/>
        </w:rPr>
      </w:pPr>
      <w:r w:rsidRPr="00461341">
        <w:rPr>
          <w:rFonts w:asciiTheme="majorHAnsi" w:hAnsiTheme="majorHAnsi" w:cstheme="majorHAnsi"/>
          <w:i/>
          <w:sz w:val="20"/>
          <w:szCs w:val="20"/>
        </w:rPr>
        <w:t xml:space="preserve">From here, it would </w:t>
      </w:r>
      <w:proofErr w:type="gramStart"/>
      <w:r w:rsidRPr="00461341">
        <w:rPr>
          <w:rFonts w:asciiTheme="majorHAnsi" w:hAnsiTheme="majorHAnsi" w:cstheme="majorHAnsi"/>
          <w:i/>
          <w:sz w:val="20"/>
          <w:szCs w:val="20"/>
        </w:rPr>
        <w:t>be seen as</w:t>
      </w:r>
      <w:proofErr w:type="gramEnd"/>
      <w:r w:rsidRPr="00461341">
        <w:rPr>
          <w:rFonts w:asciiTheme="majorHAnsi" w:hAnsiTheme="majorHAnsi" w:cstheme="majorHAnsi"/>
          <w:i/>
          <w:sz w:val="20"/>
          <w:szCs w:val="20"/>
        </w:rPr>
        <w:t xml:space="preserve"> a determined defence of democracy, if this organ, which leaves such a devastating impression through its characterial similarity to the NS-press, would be silenced. A ban on the paper would </w:t>
      </w:r>
      <w:r w:rsidR="003701CF" w:rsidRPr="00461341">
        <w:rPr>
          <w:rFonts w:asciiTheme="majorHAnsi" w:hAnsiTheme="majorHAnsi" w:cstheme="majorHAnsi"/>
          <w:i/>
          <w:sz w:val="20"/>
          <w:szCs w:val="20"/>
        </w:rPr>
        <w:t xml:space="preserve">constitute </w:t>
      </w:r>
      <w:r w:rsidRPr="00461341">
        <w:rPr>
          <w:rFonts w:asciiTheme="majorHAnsi" w:hAnsiTheme="majorHAnsi" w:cstheme="majorHAnsi"/>
          <w:i/>
          <w:sz w:val="20"/>
          <w:szCs w:val="20"/>
        </w:rPr>
        <w:t>a foreign policy success here, and probably far beyond Israel</w:t>
      </w:r>
      <w:r w:rsidR="00BD1F68" w:rsidRPr="00461341">
        <w:rPr>
          <w:rFonts w:asciiTheme="majorHAnsi" w:hAnsiTheme="majorHAnsi" w:cstheme="majorHAnsi"/>
          <w:i/>
          <w:sz w:val="20"/>
          <w:szCs w:val="20"/>
        </w:rPr>
        <w:t>.</w:t>
      </w:r>
      <w:r w:rsidRPr="00461341">
        <w:rPr>
          <w:rFonts w:asciiTheme="majorHAnsi" w:hAnsiTheme="majorHAnsi" w:cstheme="majorHAnsi"/>
          <w:i/>
          <w:sz w:val="20"/>
          <w:szCs w:val="20"/>
        </w:rPr>
        <w:t>”</w:t>
      </w:r>
      <w:r w:rsidR="00BD1F68" w:rsidRPr="00461341">
        <w:rPr>
          <w:rStyle w:val="FootnoteReference"/>
          <w:rFonts w:asciiTheme="majorHAnsi" w:hAnsiTheme="majorHAnsi" w:cstheme="majorHAnsi"/>
          <w:i/>
          <w:sz w:val="20"/>
          <w:szCs w:val="20"/>
        </w:rPr>
        <w:footnoteReference w:id="57"/>
      </w:r>
      <w:r w:rsidRPr="00461341">
        <w:rPr>
          <w:rFonts w:asciiTheme="majorHAnsi" w:hAnsiTheme="majorHAnsi" w:cstheme="majorHAnsi"/>
          <w:i/>
          <w:sz w:val="20"/>
          <w:szCs w:val="20"/>
        </w:rPr>
        <w:t xml:space="preserve"> </w:t>
      </w:r>
    </w:p>
    <w:p w:rsidR="003701CF" w:rsidRPr="00461341" w:rsidRDefault="00BD1F68" w:rsidP="0016140F">
      <w:pPr>
        <w:rPr>
          <w:rFonts w:asciiTheme="majorHAnsi" w:hAnsiTheme="majorHAnsi" w:cstheme="majorHAnsi"/>
          <w:sz w:val="20"/>
          <w:szCs w:val="20"/>
        </w:rPr>
      </w:pPr>
      <w:r w:rsidRPr="00461341">
        <w:rPr>
          <w:rFonts w:asciiTheme="majorHAnsi" w:hAnsiTheme="majorHAnsi" w:cstheme="majorHAnsi"/>
          <w:sz w:val="20"/>
          <w:szCs w:val="20"/>
        </w:rPr>
        <w:t xml:space="preserve">What is noteworthy in the letters text, which can only be understood </w:t>
      </w:r>
      <w:proofErr w:type="gramStart"/>
      <w:r w:rsidRPr="00461341">
        <w:rPr>
          <w:rFonts w:asciiTheme="majorHAnsi" w:hAnsiTheme="majorHAnsi" w:cstheme="majorHAnsi"/>
          <w:sz w:val="20"/>
          <w:szCs w:val="20"/>
        </w:rPr>
        <w:t>as a whole is</w:t>
      </w:r>
      <w:proofErr w:type="gramEnd"/>
      <w:r w:rsidRPr="00461341">
        <w:rPr>
          <w:rFonts w:asciiTheme="majorHAnsi" w:hAnsiTheme="majorHAnsi" w:cstheme="majorHAnsi"/>
          <w:sz w:val="20"/>
          <w:szCs w:val="20"/>
        </w:rPr>
        <w:t xml:space="preserve"> that officials were only viewing the activities of the DNZ through the prism of Germany´s reputation in the world. As far as it came to the </w:t>
      </w:r>
      <w:r w:rsidR="003E3E05" w:rsidRPr="00461341">
        <w:rPr>
          <w:rFonts w:asciiTheme="majorHAnsi" w:hAnsiTheme="majorHAnsi" w:cstheme="majorHAnsi"/>
          <w:sz w:val="20"/>
          <w:szCs w:val="20"/>
        </w:rPr>
        <w:t>DNZ´s incitement of hatred, they appear unable to even recognise its dangers, qualifying it nature with the word</w:t>
      </w:r>
      <w:r w:rsidR="003701CF" w:rsidRPr="00461341">
        <w:rPr>
          <w:rFonts w:asciiTheme="majorHAnsi" w:hAnsiTheme="majorHAnsi" w:cstheme="majorHAnsi"/>
          <w:sz w:val="20"/>
          <w:szCs w:val="20"/>
        </w:rPr>
        <w:t xml:space="preserve"> ´seems</w:t>
      </w:r>
      <w:proofErr w:type="gramStart"/>
      <w:r w:rsidR="003701CF" w:rsidRPr="00461341">
        <w:rPr>
          <w:rFonts w:asciiTheme="majorHAnsi" w:hAnsiTheme="majorHAnsi" w:cstheme="majorHAnsi"/>
          <w:sz w:val="20"/>
          <w:szCs w:val="20"/>
        </w:rPr>
        <w:t>´(</w:t>
      </w:r>
      <w:proofErr w:type="gramEnd"/>
      <w:r w:rsidR="003701CF" w:rsidRPr="00461341">
        <w:rPr>
          <w:rFonts w:asciiTheme="majorHAnsi" w:hAnsiTheme="majorHAnsi" w:cstheme="majorHAnsi"/>
          <w:sz w:val="20"/>
          <w:szCs w:val="20"/>
        </w:rPr>
        <w:t>wirkt, in German).</w:t>
      </w:r>
    </w:p>
    <w:p w:rsidR="003701CF" w:rsidRPr="00461341" w:rsidRDefault="003701CF" w:rsidP="0016140F">
      <w:pPr>
        <w:rPr>
          <w:rFonts w:asciiTheme="majorHAnsi" w:hAnsiTheme="majorHAnsi" w:cstheme="majorHAnsi"/>
          <w:sz w:val="20"/>
          <w:szCs w:val="20"/>
        </w:rPr>
      </w:pPr>
      <w:r w:rsidRPr="00461341">
        <w:rPr>
          <w:rFonts w:asciiTheme="majorHAnsi" w:hAnsiTheme="majorHAnsi" w:cstheme="majorHAnsi"/>
          <w:sz w:val="20"/>
          <w:szCs w:val="20"/>
        </w:rPr>
        <w:t xml:space="preserve">Less than three weeks later, Interior ministry officials send a formal reply to the German Foreign Office, first time where in the extant Frey files, the possibility of Article 18 legal proceedings against Frey are mentioned, although, given the evidence, making the bizarre claim that they have been investigating this possibly “for a longer </w:t>
      </w:r>
      <w:proofErr w:type="gramStart"/>
      <w:r w:rsidRPr="00461341">
        <w:rPr>
          <w:rFonts w:asciiTheme="majorHAnsi" w:hAnsiTheme="majorHAnsi" w:cstheme="majorHAnsi"/>
          <w:sz w:val="20"/>
          <w:szCs w:val="20"/>
        </w:rPr>
        <w:t>period of time</w:t>
      </w:r>
      <w:proofErr w:type="gramEnd"/>
      <w:r w:rsidRPr="00461341">
        <w:rPr>
          <w:rFonts w:asciiTheme="majorHAnsi" w:hAnsiTheme="majorHAnsi" w:cstheme="majorHAnsi"/>
          <w:sz w:val="20"/>
          <w:szCs w:val="20"/>
        </w:rPr>
        <w:t>”</w:t>
      </w:r>
      <w:r w:rsidRPr="00461341">
        <w:rPr>
          <w:rStyle w:val="FootnoteReference"/>
          <w:rFonts w:asciiTheme="majorHAnsi" w:hAnsiTheme="majorHAnsi" w:cstheme="majorHAnsi"/>
          <w:sz w:val="20"/>
          <w:szCs w:val="20"/>
        </w:rPr>
        <w:footnoteReference w:id="58"/>
      </w:r>
      <w:r w:rsidRPr="00461341">
        <w:rPr>
          <w:rFonts w:asciiTheme="majorHAnsi" w:hAnsiTheme="majorHAnsi" w:cstheme="majorHAnsi"/>
          <w:sz w:val="20"/>
          <w:szCs w:val="20"/>
        </w:rPr>
        <w:t xml:space="preserve"> .</w:t>
      </w:r>
    </w:p>
    <w:p w:rsidR="002F2664" w:rsidRPr="00461341" w:rsidRDefault="003701CF" w:rsidP="0016140F">
      <w:pPr>
        <w:rPr>
          <w:rFonts w:asciiTheme="majorHAnsi" w:hAnsiTheme="majorHAnsi" w:cstheme="majorHAnsi"/>
          <w:sz w:val="20"/>
          <w:szCs w:val="20"/>
        </w:rPr>
      </w:pPr>
      <w:r w:rsidRPr="00461341">
        <w:rPr>
          <w:rFonts w:asciiTheme="majorHAnsi" w:hAnsiTheme="majorHAnsi" w:cstheme="majorHAnsi"/>
          <w:sz w:val="20"/>
          <w:szCs w:val="20"/>
        </w:rPr>
        <w:t xml:space="preserve">As the Frey case moves, from then on, forward on its trajectory to being officially filed in 1969, it is noteworthy that civic groups seeking to push the government into action shift their approach from one that highlights the moral urgency of acting against the DNZ to one that highlights the political gain, or potential loss by not acting, for Germany. At the beginning of June 1968, Ludwig Rosenberg, the Chairman of the official German association of Trade Unions sends a letter </w:t>
      </w:r>
      <w:r w:rsidR="002F2664" w:rsidRPr="00461341">
        <w:rPr>
          <w:rFonts w:asciiTheme="majorHAnsi" w:hAnsiTheme="majorHAnsi" w:cstheme="majorHAnsi"/>
          <w:sz w:val="20"/>
          <w:szCs w:val="20"/>
        </w:rPr>
        <w:t>to Interior Minister Benda, warning in stark moral terms of the need not to delay dealing with the DNZ´s fascist incitement “until the first shots are fired… until it is really too late”</w:t>
      </w:r>
      <w:r w:rsidR="002F2664" w:rsidRPr="00461341">
        <w:rPr>
          <w:rStyle w:val="FootnoteReference"/>
          <w:rFonts w:asciiTheme="majorHAnsi" w:hAnsiTheme="majorHAnsi" w:cstheme="majorHAnsi"/>
          <w:sz w:val="20"/>
          <w:szCs w:val="20"/>
        </w:rPr>
        <w:footnoteReference w:id="59"/>
      </w:r>
      <w:r w:rsidR="002F2664" w:rsidRPr="00461341">
        <w:rPr>
          <w:rFonts w:asciiTheme="majorHAnsi" w:hAnsiTheme="majorHAnsi" w:cstheme="majorHAnsi"/>
          <w:sz w:val="20"/>
          <w:szCs w:val="20"/>
        </w:rPr>
        <w:t>.  Later that summer, Herman Beerman, another leading official for the same official association of trade unions, writes again to Minister Benda, making similar moral pleas.</w:t>
      </w:r>
      <w:r w:rsidR="002F2664" w:rsidRPr="00461341">
        <w:rPr>
          <w:rStyle w:val="FootnoteReference"/>
          <w:rFonts w:asciiTheme="majorHAnsi" w:hAnsiTheme="majorHAnsi" w:cstheme="majorHAnsi"/>
          <w:sz w:val="20"/>
          <w:szCs w:val="20"/>
        </w:rPr>
        <w:footnoteReference w:id="60"/>
      </w:r>
      <w:r w:rsidR="002F2664" w:rsidRPr="00461341">
        <w:rPr>
          <w:rFonts w:asciiTheme="majorHAnsi" w:hAnsiTheme="majorHAnsi" w:cstheme="majorHAnsi"/>
          <w:sz w:val="20"/>
          <w:szCs w:val="20"/>
        </w:rPr>
        <w:t xml:space="preserve"> However, this time, the letter ends with a significantly more cynical, utilitarian, and demeaning assertion. Beerman writes “It is not about protecting the few Jews that still live in the Federal Republic. It is about much more – about all those things wish we already lost once before”</w:t>
      </w:r>
      <w:r w:rsidR="002F2664" w:rsidRPr="00461341">
        <w:rPr>
          <w:rStyle w:val="FootnoteReference"/>
          <w:rFonts w:asciiTheme="majorHAnsi" w:hAnsiTheme="majorHAnsi" w:cstheme="majorHAnsi"/>
          <w:sz w:val="20"/>
          <w:szCs w:val="20"/>
        </w:rPr>
        <w:footnoteReference w:id="61"/>
      </w:r>
      <w:r w:rsidR="002F2664" w:rsidRPr="00461341">
        <w:rPr>
          <w:rFonts w:asciiTheme="majorHAnsi" w:hAnsiTheme="majorHAnsi" w:cstheme="majorHAnsi"/>
          <w:sz w:val="20"/>
          <w:szCs w:val="20"/>
        </w:rPr>
        <w:t xml:space="preserve">. In order to make the case for acting against Frey appealing, it is clearly being couched here in discourses about the loss of </w:t>
      </w:r>
      <w:proofErr w:type="gramStart"/>
      <w:r w:rsidR="002F2664" w:rsidRPr="00461341">
        <w:rPr>
          <w:rFonts w:asciiTheme="majorHAnsi" w:hAnsiTheme="majorHAnsi" w:cstheme="majorHAnsi"/>
          <w:sz w:val="20"/>
          <w:szCs w:val="20"/>
        </w:rPr>
        <w:t>prosperity  and</w:t>
      </w:r>
      <w:proofErr w:type="gramEnd"/>
      <w:r w:rsidR="002F2664" w:rsidRPr="00461341">
        <w:rPr>
          <w:rFonts w:asciiTheme="majorHAnsi" w:hAnsiTheme="majorHAnsi" w:cstheme="majorHAnsi"/>
          <w:sz w:val="20"/>
          <w:szCs w:val="20"/>
        </w:rPr>
        <w:t xml:space="preserve"> </w:t>
      </w:r>
      <w:r w:rsidR="002F2664" w:rsidRPr="00461341">
        <w:rPr>
          <w:rFonts w:asciiTheme="majorHAnsi" w:hAnsiTheme="majorHAnsi" w:cstheme="majorHAnsi"/>
          <w:sz w:val="20"/>
          <w:szCs w:val="20"/>
        </w:rPr>
        <w:lastRenderedPageBreak/>
        <w:t xml:space="preserve">international standing after Germany´s experiment with Hitlerian fascism, not its genocidal human devastation. </w:t>
      </w:r>
    </w:p>
    <w:p w:rsidR="00C7594D" w:rsidRPr="00461341" w:rsidRDefault="002F2664" w:rsidP="00C7594D">
      <w:pPr>
        <w:rPr>
          <w:rFonts w:asciiTheme="majorHAnsi" w:hAnsiTheme="majorHAnsi" w:cstheme="majorHAnsi"/>
          <w:sz w:val="20"/>
          <w:szCs w:val="20"/>
        </w:rPr>
      </w:pPr>
      <w:r w:rsidRPr="00461341">
        <w:rPr>
          <w:rFonts w:asciiTheme="majorHAnsi" w:hAnsiTheme="majorHAnsi" w:cstheme="majorHAnsi"/>
          <w:sz w:val="20"/>
          <w:szCs w:val="20"/>
        </w:rPr>
        <w:t>Through the case preparation of the case against Frey, one can see how the federal bureaucracy sought to re-shape the case into an attempt to increase and assert its own power. Officials a</w:t>
      </w:r>
      <w:r w:rsidR="00C7594D" w:rsidRPr="00461341">
        <w:rPr>
          <w:rFonts w:asciiTheme="majorHAnsi" w:hAnsiTheme="majorHAnsi" w:cstheme="majorHAnsi"/>
          <w:sz w:val="20"/>
          <w:szCs w:val="20"/>
        </w:rPr>
        <w:t xml:space="preserve">re in possession, since the earliest stage of the case, of media analysis that highlights that ultimately, it is the racist, Pro-Nazi social constituency that the DNZ´s plays too, not the DNZ itself that is the risk to German democracy. As a Radio Bremen broadcast archived by interior ministry </w:t>
      </w:r>
      <w:proofErr w:type="gramStart"/>
      <w:r w:rsidR="00C7594D" w:rsidRPr="00461341">
        <w:rPr>
          <w:rFonts w:asciiTheme="majorHAnsi" w:hAnsiTheme="majorHAnsi" w:cstheme="majorHAnsi"/>
          <w:sz w:val="20"/>
          <w:szCs w:val="20"/>
        </w:rPr>
        <w:t>bureaucrats</w:t>
      </w:r>
      <w:proofErr w:type="gramEnd"/>
      <w:r w:rsidR="00C7594D" w:rsidRPr="00461341">
        <w:rPr>
          <w:rFonts w:asciiTheme="majorHAnsi" w:hAnsiTheme="majorHAnsi" w:cstheme="majorHAnsi"/>
          <w:sz w:val="20"/>
          <w:szCs w:val="20"/>
        </w:rPr>
        <w:t xml:space="preserve"> states “In the end, the problem is not the DNZ, but its readers.”</w:t>
      </w:r>
      <w:r w:rsidR="00C7594D" w:rsidRPr="00461341">
        <w:rPr>
          <w:rStyle w:val="FootnoteReference"/>
          <w:rFonts w:asciiTheme="majorHAnsi" w:hAnsiTheme="majorHAnsi" w:cstheme="majorHAnsi"/>
          <w:sz w:val="20"/>
          <w:szCs w:val="20"/>
        </w:rPr>
        <w:footnoteReference w:id="62"/>
      </w:r>
      <w:r w:rsidR="00C7594D" w:rsidRPr="00461341">
        <w:rPr>
          <w:rFonts w:asciiTheme="majorHAnsi" w:hAnsiTheme="majorHAnsi" w:cstheme="majorHAnsi"/>
          <w:sz w:val="20"/>
          <w:szCs w:val="20"/>
        </w:rPr>
        <w:t xml:space="preserve"> </w:t>
      </w:r>
      <w:r w:rsidR="00C7594D" w:rsidRPr="00461341">
        <w:rPr>
          <w:rFonts w:asciiTheme="majorHAnsi" w:hAnsiTheme="majorHAnsi" w:cstheme="majorHAnsi"/>
          <w:sz w:val="20"/>
          <w:szCs w:val="20"/>
        </w:rPr>
        <w:t>Yet officials never take or even discuss any kind of action to deal with this constituency through public outreach, radicalisation measures or political education.</w:t>
      </w:r>
    </w:p>
    <w:p w:rsidR="00C7594D" w:rsidRPr="00461341" w:rsidRDefault="00C7594D" w:rsidP="00C7594D">
      <w:pPr>
        <w:rPr>
          <w:rFonts w:asciiTheme="majorHAnsi" w:hAnsiTheme="majorHAnsi" w:cstheme="majorHAnsi"/>
          <w:sz w:val="20"/>
          <w:szCs w:val="20"/>
        </w:rPr>
      </w:pPr>
      <w:r w:rsidRPr="00461341">
        <w:rPr>
          <w:rFonts w:asciiTheme="majorHAnsi" w:hAnsiTheme="majorHAnsi" w:cstheme="majorHAnsi"/>
          <w:sz w:val="20"/>
          <w:szCs w:val="20"/>
        </w:rPr>
        <w:t>When the Article 18 GG Petition is eventually filed against Gerhard Frey in 1969, one of the first paragraph´s of the text to the court, makes a utilitarian, not a legal or moral, argument about Frey´s DNZ diminishing Germany´s standing in the world. It states</w:t>
      </w:r>
    </w:p>
    <w:p w:rsidR="00C7594D" w:rsidRPr="00461341" w:rsidRDefault="00C7594D" w:rsidP="00C7594D">
      <w:pPr>
        <w:rPr>
          <w:rFonts w:asciiTheme="majorHAnsi" w:hAnsiTheme="majorHAnsi" w:cstheme="majorHAnsi"/>
          <w:i/>
          <w:sz w:val="20"/>
          <w:szCs w:val="20"/>
        </w:rPr>
      </w:pPr>
      <w:r w:rsidRPr="00461341">
        <w:rPr>
          <w:rFonts w:asciiTheme="majorHAnsi" w:hAnsiTheme="majorHAnsi" w:cstheme="majorHAnsi"/>
          <w:i/>
          <w:sz w:val="20"/>
          <w:szCs w:val="20"/>
        </w:rPr>
        <w:t>“</w:t>
      </w:r>
      <w:r w:rsidRPr="00461341">
        <w:rPr>
          <w:rFonts w:asciiTheme="majorHAnsi" w:hAnsiTheme="majorHAnsi" w:cstheme="majorHAnsi"/>
          <w:i/>
          <w:sz w:val="20"/>
          <w:szCs w:val="20"/>
        </w:rPr>
        <w:t>“The DNZ attracts significant attention domestically and in foreign countries through its nationalist, anti-Semitic, and racist published texts. It constantly gives the anti-German propaganda new arguments for the accusation of neo-fascism, revanchism, and militarism.”</w:t>
      </w:r>
      <w:r w:rsidRPr="00461341">
        <w:rPr>
          <w:rStyle w:val="FootnoteReference"/>
          <w:rFonts w:asciiTheme="majorHAnsi" w:hAnsiTheme="majorHAnsi" w:cstheme="majorHAnsi"/>
          <w:i/>
          <w:sz w:val="20"/>
          <w:szCs w:val="20"/>
        </w:rPr>
        <w:footnoteReference w:id="63"/>
      </w:r>
      <w:r w:rsidRPr="00461341">
        <w:rPr>
          <w:rFonts w:asciiTheme="majorHAnsi" w:hAnsiTheme="majorHAnsi" w:cstheme="majorHAnsi"/>
          <w:i/>
          <w:sz w:val="20"/>
          <w:szCs w:val="20"/>
        </w:rPr>
        <w:t xml:space="preserve"> </w:t>
      </w:r>
      <w:r w:rsidRPr="00461341">
        <w:rPr>
          <w:rFonts w:asciiTheme="majorHAnsi" w:hAnsiTheme="majorHAnsi" w:cstheme="majorHAnsi"/>
          <w:i/>
          <w:sz w:val="20"/>
          <w:szCs w:val="20"/>
        </w:rPr>
        <w:t xml:space="preserve">  </w:t>
      </w:r>
    </w:p>
    <w:p w:rsidR="003E7E25" w:rsidRPr="00461341" w:rsidRDefault="003E7E25" w:rsidP="00C7594D">
      <w:pPr>
        <w:rPr>
          <w:rFonts w:asciiTheme="majorHAnsi" w:hAnsiTheme="majorHAnsi" w:cstheme="majorHAnsi"/>
          <w:sz w:val="20"/>
          <w:szCs w:val="20"/>
        </w:rPr>
      </w:pPr>
      <w:r w:rsidRPr="00461341">
        <w:rPr>
          <w:rFonts w:asciiTheme="majorHAnsi" w:hAnsiTheme="majorHAnsi" w:cstheme="majorHAnsi"/>
          <w:sz w:val="20"/>
          <w:szCs w:val="20"/>
        </w:rPr>
        <w:t>From this, it can be clearly deduced that in the view of the very officials themselves, Constitutional Court judges would be susceptible to arguments about Germany´s national interests in a more significant way than ones about legal limited to free speech and incitement. This low view of the motivations and rationales of Constitutional Court Judges is borne out by later correspondence with shows the lead Constitutional Court Judge on the Case, Dr Rieck, offering confidential “informal” advice to the government on how to improve its arguments</w:t>
      </w:r>
      <w:r w:rsidRPr="00461341">
        <w:rPr>
          <w:rStyle w:val="FootnoteReference"/>
          <w:rFonts w:asciiTheme="majorHAnsi" w:hAnsiTheme="majorHAnsi" w:cstheme="majorHAnsi"/>
          <w:sz w:val="20"/>
          <w:szCs w:val="20"/>
        </w:rPr>
        <w:footnoteReference w:id="64"/>
      </w:r>
      <w:r w:rsidRPr="00461341">
        <w:rPr>
          <w:rFonts w:asciiTheme="majorHAnsi" w:hAnsiTheme="majorHAnsi" w:cstheme="majorHAnsi"/>
          <w:sz w:val="20"/>
          <w:szCs w:val="20"/>
        </w:rPr>
        <w:t xml:space="preserve">, a breach of judicial independence so strong, and so voluntary that it suggests the prominent Constitutional Court judge saw himself not as a servant of an independent democracy, but as an assistant to the government political powers. Also noteworthy is that despite this advice, the government never improved their petition in the suggested way; By then they had been advised by the Office for constitutional protection that the filing of the case </w:t>
      </w:r>
      <w:r w:rsidR="00461341" w:rsidRPr="00461341">
        <w:rPr>
          <w:rFonts w:asciiTheme="majorHAnsi" w:hAnsiTheme="majorHAnsi" w:cstheme="majorHAnsi"/>
          <w:sz w:val="20"/>
          <w:szCs w:val="20"/>
        </w:rPr>
        <w:t>had caused Frey to moderate his tone</w:t>
      </w:r>
      <w:r w:rsidR="00461341" w:rsidRPr="00461341">
        <w:rPr>
          <w:rStyle w:val="FootnoteReference"/>
          <w:rFonts w:asciiTheme="majorHAnsi" w:hAnsiTheme="majorHAnsi" w:cstheme="majorHAnsi"/>
          <w:sz w:val="20"/>
          <w:szCs w:val="20"/>
        </w:rPr>
        <w:footnoteReference w:id="65"/>
      </w:r>
      <w:r w:rsidR="00461341" w:rsidRPr="00461341">
        <w:rPr>
          <w:rFonts w:asciiTheme="majorHAnsi" w:hAnsiTheme="majorHAnsi" w:cstheme="majorHAnsi"/>
          <w:sz w:val="20"/>
          <w:szCs w:val="20"/>
        </w:rPr>
        <w:t xml:space="preserve">, and after this they seem to have lost interest. </w:t>
      </w:r>
    </w:p>
    <w:p w:rsidR="00461341" w:rsidRPr="00461341" w:rsidRDefault="00461341" w:rsidP="007D5488">
      <w:pPr>
        <w:rPr>
          <w:rFonts w:asciiTheme="majorHAnsi" w:hAnsiTheme="majorHAnsi" w:cstheme="majorHAnsi"/>
          <w:sz w:val="20"/>
          <w:szCs w:val="20"/>
        </w:rPr>
      </w:pPr>
      <w:r w:rsidRPr="00461341">
        <w:rPr>
          <w:rFonts w:asciiTheme="majorHAnsi" w:hAnsiTheme="majorHAnsi" w:cstheme="majorHAnsi"/>
          <w:sz w:val="20"/>
          <w:szCs w:val="20"/>
        </w:rPr>
        <w:t>The insights from the files ought to make us reconsider the question of whether institutions in Post-war West Germany were either independent or well-equipped to deal with extremism. They portray a very different reality, one that comes closer to now forgotten radical criticisms of the West German legal order.</w:t>
      </w:r>
    </w:p>
    <w:p w:rsidR="003E7315" w:rsidRPr="00461341" w:rsidRDefault="007D5488" w:rsidP="007D5488">
      <w:pPr>
        <w:rPr>
          <w:rFonts w:asciiTheme="majorHAnsi" w:hAnsiTheme="majorHAnsi" w:cstheme="majorHAnsi"/>
          <w:sz w:val="20"/>
          <w:szCs w:val="20"/>
        </w:rPr>
      </w:pPr>
      <w:r w:rsidRPr="00461341">
        <w:rPr>
          <w:rFonts w:asciiTheme="majorHAnsi" w:hAnsiTheme="majorHAnsi" w:cstheme="majorHAnsi"/>
          <w:sz w:val="20"/>
          <w:szCs w:val="20"/>
        </w:rPr>
        <w:t xml:space="preserve"> 195</w:t>
      </w:r>
      <w:r w:rsidR="00474E22" w:rsidRPr="00461341">
        <w:rPr>
          <w:rFonts w:asciiTheme="majorHAnsi" w:hAnsiTheme="majorHAnsi" w:cstheme="majorHAnsi"/>
          <w:sz w:val="20"/>
          <w:szCs w:val="20"/>
        </w:rPr>
        <w:t>9</w:t>
      </w:r>
      <w:r w:rsidRPr="00461341">
        <w:rPr>
          <w:rFonts w:asciiTheme="majorHAnsi" w:hAnsiTheme="majorHAnsi" w:cstheme="majorHAnsi"/>
          <w:sz w:val="20"/>
          <w:szCs w:val="20"/>
        </w:rPr>
        <w:t>, the socialist West Germany legal theorist Wolfgang Abendroth coined the term “</w:t>
      </w:r>
      <w:r w:rsidR="003E7315" w:rsidRPr="00461341">
        <w:rPr>
          <w:rFonts w:asciiTheme="majorHAnsi" w:hAnsiTheme="majorHAnsi" w:cstheme="majorHAnsi"/>
          <w:sz w:val="20"/>
          <w:szCs w:val="20"/>
        </w:rPr>
        <w:t>c</w:t>
      </w:r>
      <w:r w:rsidRPr="00461341">
        <w:rPr>
          <w:rFonts w:asciiTheme="majorHAnsi" w:hAnsiTheme="majorHAnsi" w:cstheme="majorHAnsi"/>
          <w:sz w:val="20"/>
          <w:szCs w:val="20"/>
        </w:rPr>
        <w:t xml:space="preserve">onstitutional </w:t>
      </w:r>
      <w:r w:rsidR="003E7315" w:rsidRPr="00461341">
        <w:rPr>
          <w:rFonts w:asciiTheme="majorHAnsi" w:hAnsiTheme="majorHAnsi" w:cstheme="majorHAnsi"/>
          <w:sz w:val="20"/>
          <w:szCs w:val="20"/>
        </w:rPr>
        <w:t>r</w:t>
      </w:r>
      <w:r w:rsidRPr="00461341">
        <w:rPr>
          <w:rFonts w:asciiTheme="majorHAnsi" w:hAnsiTheme="majorHAnsi" w:cstheme="majorHAnsi"/>
          <w:sz w:val="20"/>
          <w:szCs w:val="20"/>
        </w:rPr>
        <w:t>eality</w:t>
      </w:r>
      <w:r w:rsidR="00380A0E" w:rsidRPr="00461341">
        <w:rPr>
          <w:rFonts w:asciiTheme="majorHAnsi" w:hAnsiTheme="majorHAnsi" w:cstheme="majorHAnsi"/>
          <w:sz w:val="20"/>
          <w:szCs w:val="20"/>
        </w:rPr>
        <w:t>”</w:t>
      </w:r>
      <w:r w:rsidR="003F5EB0" w:rsidRPr="00461341">
        <w:rPr>
          <w:rFonts w:asciiTheme="majorHAnsi" w:hAnsiTheme="majorHAnsi" w:cstheme="majorHAnsi"/>
          <w:sz w:val="20"/>
          <w:szCs w:val="20"/>
        </w:rPr>
        <w:t xml:space="preserve"> (Verfassungswirklichkeit)</w:t>
      </w:r>
      <w:r w:rsidR="003F5EB0" w:rsidRPr="00461341">
        <w:rPr>
          <w:rStyle w:val="FootnoteReference"/>
          <w:rFonts w:asciiTheme="majorHAnsi" w:hAnsiTheme="majorHAnsi" w:cstheme="majorHAnsi"/>
          <w:sz w:val="20"/>
          <w:szCs w:val="20"/>
        </w:rPr>
        <w:footnoteReference w:id="66"/>
      </w:r>
      <w:r w:rsidR="003F5EB0" w:rsidRPr="00461341">
        <w:rPr>
          <w:rFonts w:asciiTheme="majorHAnsi" w:hAnsiTheme="majorHAnsi" w:cstheme="majorHAnsi"/>
          <w:sz w:val="20"/>
          <w:szCs w:val="20"/>
        </w:rPr>
        <w:t xml:space="preserve">. He used </w:t>
      </w:r>
      <w:r w:rsidR="003F5EB0" w:rsidRPr="00461341">
        <w:rPr>
          <w:rFonts w:asciiTheme="majorHAnsi" w:hAnsiTheme="majorHAnsi" w:cstheme="majorHAnsi"/>
          <w:sz w:val="20"/>
          <w:szCs w:val="20"/>
        </w:rPr>
        <w:lastRenderedPageBreak/>
        <w:t>the term to denote the d</w:t>
      </w:r>
      <w:r w:rsidR="003E7315" w:rsidRPr="00461341">
        <w:rPr>
          <w:rFonts w:asciiTheme="majorHAnsi" w:hAnsiTheme="majorHAnsi" w:cstheme="majorHAnsi"/>
          <w:sz w:val="20"/>
          <w:szCs w:val="20"/>
        </w:rPr>
        <w:t>ichotomy</w:t>
      </w:r>
      <w:r w:rsidR="003F5EB0" w:rsidRPr="00461341">
        <w:rPr>
          <w:rFonts w:asciiTheme="majorHAnsi" w:hAnsiTheme="majorHAnsi" w:cstheme="majorHAnsi"/>
          <w:sz w:val="20"/>
          <w:szCs w:val="20"/>
        </w:rPr>
        <w:t xml:space="preserve"> between </w:t>
      </w:r>
      <w:r w:rsidR="003E7315" w:rsidRPr="00461341">
        <w:rPr>
          <w:rFonts w:asciiTheme="majorHAnsi" w:hAnsiTheme="majorHAnsi" w:cstheme="majorHAnsi"/>
          <w:sz w:val="20"/>
          <w:szCs w:val="20"/>
        </w:rPr>
        <w:t xml:space="preserve">the </w:t>
      </w:r>
      <w:r w:rsidR="003F5EB0" w:rsidRPr="00461341">
        <w:rPr>
          <w:rFonts w:asciiTheme="majorHAnsi" w:hAnsiTheme="majorHAnsi" w:cstheme="majorHAnsi"/>
          <w:sz w:val="20"/>
          <w:szCs w:val="20"/>
        </w:rPr>
        <w:t>“formal constitutional laws of a social democracy”</w:t>
      </w:r>
      <w:r w:rsidR="003F5EB0" w:rsidRPr="00461341">
        <w:rPr>
          <w:rStyle w:val="FootnoteReference"/>
          <w:rFonts w:asciiTheme="majorHAnsi" w:hAnsiTheme="majorHAnsi" w:cstheme="majorHAnsi"/>
          <w:sz w:val="20"/>
          <w:szCs w:val="20"/>
        </w:rPr>
        <w:footnoteReference w:id="67"/>
      </w:r>
      <w:r w:rsidR="003F5EB0" w:rsidRPr="00461341">
        <w:rPr>
          <w:rFonts w:asciiTheme="majorHAnsi" w:hAnsiTheme="majorHAnsi" w:cstheme="majorHAnsi"/>
          <w:sz w:val="20"/>
          <w:szCs w:val="20"/>
        </w:rPr>
        <w:t xml:space="preserve"> as they had been established in</w:t>
      </w:r>
      <w:r w:rsidR="003E7315" w:rsidRPr="00461341">
        <w:rPr>
          <w:rFonts w:asciiTheme="majorHAnsi" w:hAnsiTheme="majorHAnsi" w:cstheme="majorHAnsi"/>
          <w:sz w:val="20"/>
          <w:szCs w:val="20"/>
        </w:rPr>
        <w:t xml:space="preserve"> the letter of</w:t>
      </w:r>
      <w:r w:rsidR="003F5EB0" w:rsidRPr="00461341">
        <w:rPr>
          <w:rFonts w:asciiTheme="majorHAnsi" w:hAnsiTheme="majorHAnsi" w:cstheme="majorHAnsi"/>
          <w:sz w:val="20"/>
          <w:szCs w:val="20"/>
        </w:rPr>
        <w:t xml:space="preserve"> the post-war </w:t>
      </w:r>
      <w:r w:rsidR="003E7315" w:rsidRPr="00461341">
        <w:rPr>
          <w:rFonts w:asciiTheme="majorHAnsi" w:hAnsiTheme="majorHAnsi" w:cstheme="majorHAnsi"/>
          <w:sz w:val="20"/>
          <w:szCs w:val="20"/>
        </w:rPr>
        <w:t xml:space="preserve">Basic Law of western Germany, and the everyday realities of law as it was applied and practiced by the authoritarian, elite-driven, national-conservative state-system that existed in West Germany in the 1950s and 60s. </w:t>
      </w:r>
    </w:p>
    <w:p w:rsidR="00B41AE3" w:rsidRPr="00461341" w:rsidRDefault="003E7315" w:rsidP="007D5488">
      <w:pPr>
        <w:rPr>
          <w:rFonts w:asciiTheme="majorHAnsi" w:hAnsiTheme="majorHAnsi" w:cstheme="majorHAnsi"/>
          <w:sz w:val="20"/>
          <w:szCs w:val="20"/>
        </w:rPr>
      </w:pPr>
      <w:r w:rsidRPr="00461341">
        <w:rPr>
          <w:rFonts w:asciiTheme="majorHAnsi" w:hAnsiTheme="majorHAnsi" w:cstheme="majorHAnsi"/>
          <w:sz w:val="20"/>
          <w:szCs w:val="20"/>
        </w:rPr>
        <w:t>To Aben</w:t>
      </w:r>
      <w:r w:rsidR="00B41AE3" w:rsidRPr="00461341">
        <w:rPr>
          <w:rFonts w:asciiTheme="majorHAnsi" w:hAnsiTheme="majorHAnsi" w:cstheme="majorHAnsi"/>
          <w:sz w:val="20"/>
          <w:szCs w:val="20"/>
        </w:rPr>
        <w:t>d</w:t>
      </w:r>
      <w:r w:rsidRPr="00461341">
        <w:rPr>
          <w:rFonts w:asciiTheme="majorHAnsi" w:hAnsiTheme="majorHAnsi" w:cstheme="majorHAnsi"/>
          <w:sz w:val="20"/>
          <w:szCs w:val="20"/>
        </w:rPr>
        <w:t xml:space="preserve">roth, </w:t>
      </w:r>
      <w:r w:rsidR="00B41AE3" w:rsidRPr="00461341">
        <w:rPr>
          <w:rFonts w:asciiTheme="majorHAnsi" w:hAnsiTheme="majorHAnsi" w:cstheme="majorHAnsi"/>
          <w:sz w:val="20"/>
          <w:szCs w:val="20"/>
        </w:rPr>
        <w:t>this sharp</w:t>
      </w:r>
      <w:r w:rsidRPr="00461341">
        <w:rPr>
          <w:rFonts w:asciiTheme="majorHAnsi" w:hAnsiTheme="majorHAnsi" w:cstheme="majorHAnsi"/>
          <w:sz w:val="20"/>
          <w:szCs w:val="20"/>
        </w:rPr>
        <w:t xml:space="preserve"> con</w:t>
      </w:r>
      <w:r w:rsidR="00B41AE3" w:rsidRPr="00461341">
        <w:rPr>
          <w:rFonts w:asciiTheme="majorHAnsi" w:hAnsiTheme="majorHAnsi" w:cstheme="majorHAnsi"/>
          <w:sz w:val="20"/>
          <w:szCs w:val="20"/>
        </w:rPr>
        <w:t>trast between</w:t>
      </w:r>
      <w:r w:rsidRPr="00461341">
        <w:rPr>
          <w:rFonts w:asciiTheme="majorHAnsi" w:hAnsiTheme="majorHAnsi" w:cstheme="majorHAnsi"/>
          <w:sz w:val="20"/>
          <w:szCs w:val="20"/>
        </w:rPr>
        <w:t xml:space="preserve"> ´constitutional law´ and ´constitutional reality`</w:t>
      </w:r>
      <w:r w:rsidR="00B41AE3" w:rsidRPr="00461341">
        <w:rPr>
          <w:rFonts w:asciiTheme="majorHAnsi" w:hAnsiTheme="majorHAnsi" w:cstheme="majorHAnsi"/>
          <w:sz w:val="20"/>
          <w:szCs w:val="20"/>
        </w:rPr>
        <w:t xml:space="preserve"> was a result of attempts by the old Imperial- and Nazi-era elites to re-</w:t>
      </w:r>
      <w:r w:rsidR="006A5FCB" w:rsidRPr="00461341">
        <w:rPr>
          <w:rFonts w:asciiTheme="majorHAnsi" w:hAnsiTheme="majorHAnsi" w:cstheme="majorHAnsi"/>
          <w:sz w:val="20"/>
          <w:szCs w:val="20"/>
        </w:rPr>
        <w:t>assert</w:t>
      </w:r>
      <w:r w:rsidR="00B41AE3" w:rsidRPr="00461341">
        <w:rPr>
          <w:rFonts w:asciiTheme="majorHAnsi" w:hAnsiTheme="majorHAnsi" w:cstheme="majorHAnsi"/>
          <w:sz w:val="20"/>
          <w:szCs w:val="20"/>
        </w:rPr>
        <w:t xml:space="preserve"> their dominance in the new post-war West German order, </w:t>
      </w:r>
      <w:r w:rsidR="0037508E" w:rsidRPr="00461341">
        <w:rPr>
          <w:rFonts w:asciiTheme="majorHAnsi" w:hAnsiTheme="majorHAnsi" w:cstheme="majorHAnsi"/>
          <w:sz w:val="20"/>
          <w:szCs w:val="20"/>
        </w:rPr>
        <w:t xml:space="preserve">risking the </w:t>
      </w:r>
      <w:r w:rsidR="00B41AE3" w:rsidRPr="00461341">
        <w:rPr>
          <w:rFonts w:asciiTheme="majorHAnsi" w:hAnsiTheme="majorHAnsi" w:cstheme="majorHAnsi"/>
          <w:sz w:val="20"/>
          <w:szCs w:val="20"/>
        </w:rPr>
        <w:t>alienat</w:t>
      </w:r>
      <w:r w:rsidR="0037508E" w:rsidRPr="00461341">
        <w:rPr>
          <w:rFonts w:asciiTheme="majorHAnsi" w:hAnsiTheme="majorHAnsi" w:cstheme="majorHAnsi"/>
          <w:sz w:val="20"/>
          <w:szCs w:val="20"/>
        </w:rPr>
        <w:t>ion of</w:t>
      </w:r>
      <w:r w:rsidR="00B41AE3" w:rsidRPr="00461341">
        <w:rPr>
          <w:rFonts w:asciiTheme="majorHAnsi" w:hAnsiTheme="majorHAnsi" w:cstheme="majorHAnsi"/>
          <w:sz w:val="20"/>
          <w:szCs w:val="20"/>
        </w:rPr>
        <w:t xml:space="preserve"> Germany awa</w:t>
      </w:r>
      <w:r w:rsidR="0037508E" w:rsidRPr="00461341">
        <w:rPr>
          <w:rFonts w:asciiTheme="majorHAnsi" w:hAnsiTheme="majorHAnsi" w:cstheme="majorHAnsi"/>
          <w:sz w:val="20"/>
          <w:szCs w:val="20"/>
        </w:rPr>
        <w:t>y from its post-totalitarian path towards p</w:t>
      </w:r>
      <w:r w:rsidR="00B41AE3" w:rsidRPr="00461341">
        <w:rPr>
          <w:rFonts w:asciiTheme="majorHAnsi" w:hAnsiTheme="majorHAnsi" w:cstheme="majorHAnsi"/>
          <w:sz w:val="20"/>
          <w:szCs w:val="20"/>
        </w:rPr>
        <w:t>articipatory social-democracy.  Adendroth</w:t>
      </w:r>
      <w:r w:rsidR="0037508E" w:rsidRPr="00461341">
        <w:rPr>
          <w:rFonts w:asciiTheme="majorHAnsi" w:hAnsiTheme="majorHAnsi" w:cstheme="majorHAnsi"/>
          <w:sz w:val="20"/>
          <w:szCs w:val="20"/>
        </w:rPr>
        <w:t xml:space="preserve">, who warned of potential parallels with the Weimer republic, characterised the nature of this reassertion of the dominance of the old, authoritarian elites thus: </w:t>
      </w:r>
    </w:p>
    <w:p w:rsidR="00B64334" w:rsidRPr="00461341" w:rsidRDefault="00B41AE3" w:rsidP="007D5488">
      <w:pPr>
        <w:rPr>
          <w:rFonts w:asciiTheme="majorHAnsi" w:hAnsiTheme="majorHAnsi" w:cstheme="majorHAnsi"/>
          <w:i/>
          <w:sz w:val="20"/>
          <w:szCs w:val="20"/>
        </w:rPr>
      </w:pPr>
      <w:r w:rsidRPr="00461341">
        <w:rPr>
          <w:rFonts w:asciiTheme="majorHAnsi" w:hAnsiTheme="majorHAnsi" w:cstheme="majorHAnsi"/>
          <w:i/>
          <w:sz w:val="20"/>
          <w:szCs w:val="20"/>
        </w:rPr>
        <w:t>“The constitutional reality in the Federal Republic yet again – like once in the Weimar Republic</w:t>
      </w:r>
      <w:r w:rsidR="006A5FCB" w:rsidRPr="00461341">
        <w:rPr>
          <w:rFonts w:asciiTheme="majorHAnsi" w:hAnsiTheme="majorHAnsi" w:cstheme="majorHAnsi"/>
          <w:i/>
          <w:sz w:val="20"/>
          <w:szCs w:val="20"/>
        </w:rPr>
        <w:t xml:space="preserve"> – deviated from the aims of its constitutional law significantly. </w:t>
      </w:r>
      <w:r w:rsidR="00B64334" w:rsidRPr="00461341">
        <w:rPr>
          <w:rFonts w:asciiTheme="majorHAnsi" w:hAnsiTheme="majorHAnsi" w:cstheme="majorHAnsi"/>
          <w:i/>
          <w:sz w:val="20"/>
          <w:szCs w:val="20"/>
        </w:rPr>
        <w:t>I</w:t>
      </w:r>
      <w:r w:rsidR="006A5FCB" w:rsidRPr="00461341">
        <w:rPr>
          <w:rFonts w:asciiTheme="majorHAnsi" w:hAnsiTheme="majorHAnsi" w:cstheme="majorHAnsi"/>
          <w:i/>
          <w:sz w:val="20"/>
          <w:szCs w:val="20"/>
        </w:rPr>
        <w:t>n the aftermath of currency reform those social relations of power which had caused the collapse of the Weimar Democ</w:t>
      </w:r>
      <w:r w:rsidR="00B64334" w:rsidRPr="00461341">
        <w:rPr>
          <w:rFonts w:asciiTheme="majorHAnsi" w:hAnsiTheme="majorHAnsi" w:cstheme="majorHAnsi"/>
          <w:i/>
          <w:sz w:val="20"/>
          <w:szCs w:val="20"/>
        </w:rPr>
        <w:t xml:space="preserve">racy and in the economic crisis after 1930 brought Nazi barbarism to victory, have reconstituted themselves. Similarly, certain social groups were able to re-enter the political sphere, in the judiciary and the administration, in the machinery of science and even in the political parties, the parliaments and governments at federal and at state-level, certain social forces were able to play a role again. Those social groups were ones which did not just serve the Presidential dictatorship that existed after 1930 and the National-Socialist barbarism after 1933, but which were ideologically submitted to it or which played a leading role in it. </w:t>
      </w:r>
      <w:r w:rsidR="0037508E" w:rsidRPr="00461341">
        <w:rPr>
          <w:rFonts w:asciiTheme="majorHAnsi" w:hAnsiTheme="majorHAnsi" w:cstheme="majorHAnsi"/>
          <w:i/>
          <w:sz w:val="20"/>
          <w:szCs w:val="20"/>
        </w:rPr>
        <w:t>Today, just as in the Weimar period, political thought supporting a top-down authoritarian state, often enough even totalitarian-fascist political thinking, subverts the civil service, the judiciary and the academic interpretation of constitutional and administrative law.”</w:t>
      </w:r>
      <w:r w:rsidR="0037508E" w:rsidRPr="00461341">
        <w:rPr>
          <w:rStyle w:val="FootnoteReference"/>
          <w:rFonts w:asciiTheme="majorHAnsi" w:hAnsiTheme="majorHAnsi" w:cstheme="majorHAnsi"/>
          <w:i/>
          <w:sz w:val="20"/>
          <w:szCs w:val="20"/>
        </w:rPr>
        <w:footnoteReference w:id="68"/>
      </w:r>
    </w:p>
    <w:p w:rsidR="007D5488" w:rsidRPr="00461341" w:rsidRDefault="0037508E" w:rsidP="00461341">
      <w:pPr>
        <w:rPr>
          <w:rFonts w:asciiTheme="majorHAnsi" w:hAnsiTheme="majorHAnsi" w:cstheme="majorHAnsi"/>
          <w:sz w:val="20"/>
          <w:szCs w:val="20"/>
        </w:rPr>
      </w:pPr>
      <w:r w:rsidRPr="00461341">
        <w:rPr>
          <w:rFonts w:asciiTheme="majorHAnsi" w:hAnsiTheme="majorHAnsi" w:cstheme="majorHAnsi"/>
          <w:sz w:val="20"/>
          <w:szCs w:val="20"/>
        </w:rPr>
        <w:t>In contemporary historical scholarship, which is often fixated with questions of narrative and discourse rather than material social reality and class relations, Abendroth´s words</w:t>
      </w:r>
      <w:r w:rsidR="00596EE9" w:rsidRPr="00461341">
        <w:rPr>
          <w:rFonts w:asciiTheme="majorHAnsi" w:hAnsiTheme="majorHAnsi" w:cstheme="majorHAnsi"/>
          <w:sz w:val="20"/>
          <w:szCs w:val="20"/>
        </w:rPr>
        <w:t xml:space="preserve"> once widely read words</w:t>
      </w:r>
      <w:r w:rsidRPr="00461341">
        <w:rPr>
          <w:rFonts w:asciiTheme="majorHAnsi" w:hAnsiTheme="majorHAnsi" w:cstheme="majorHAnsi"/>
          <w:sz w:val="20"/>
          <w:szCs w:val="20"/>
        </w:rPr>
        <w:t xml:space="preserve"> have largely fallen into oblivion, outside of a small set of </w:t>
      </w:r>
      <w:proofErr w:type="gramStart"/>
      <w:r w:rsidRPr="00461341">
        <w:rPr>
          <w:rFonts w:asciiTheme="majorHAnsi" w:hAnsiTheme="majorHAnsi" w:cstheme="majorHAnsi"/>
          <w:sz w:val="20"/>
          <w:szCs w:val="20"/>
        </w:rPr>
        <w:t>fringe</w:t>
      </w:r>
      <w:proofErr w:type="gramEnd"/>
      <w:r w:rsidRPr="00461341">
        <w:rPr>
          <w:rFonts w:asciiTheme="majorHAnsi" w:hAnsiTheme="majorHAnsi" w:cstheme="majorHAnsi"/>
          <w:sz w:val="20"/>
          <w:szCs w:val="20"/>
        </w:rPr>
        <w:t xml:space="preserve">, </w:t>
      </w:r>
      <w:r w:rsidR="00596EE9" w:rsidRPr="00461341">
        <w:rPr>
          <w:rFonts w:asciiTheme="majorHAnsi" w:hAnsiTheme="majorHAnsi" w:cstheme="majorHAnsi"/>
          <w:sz w:val="20"/>
          <w:szCs w:val="20"/>
        </w:rPr>
        <w:t xml:space="preserve">German-language </w:t>
      </w:r>
      <w:r w:rsidRPr="00461341">
        <w:rPr>
          <w:rFonts w:asciiTheme="majorHAnsi" w:hAnsiTheme="majorHAnsi" w:cstheme="majorHAnsi"/>
          <w:sz w:val="20"/>
          <w:szCs w:val="20"/>
        </w:rPr>
        <w:t>far-left</w:t>
      </w:r>
      <w:r w:rsidR="00474E22" w:rsidRPr="00461341">
        <w:rPr>
          <w:rFonts w:asciiTheme="majorHAnsi" w:hAnsiTheme="majorHAnsi" w:cstheme="majorHAnsi"/>
          <w:sz w:val="20"/>
          <w:szCs w:val="20"/>
        </w:rPr>
        <w:t xml:space="preserve"> </w:t>
      </w:r>
      <w:r w:rsidRPr="00461341">
        <w:rPr>
          <w:rFonts w:asciiTheme="majorHAnsi" w:hAnsiTheme="majorHAnsi" w:cstheme="majorHAnsi"/>
          <w:sz w:val="20"/>
          <w:szCs w:val="20"/>
        </w:rPr>
        <w:t>publications.</w:t>
      </w:r>
      <w:r w:rsidRPr="00461341">
        <w:rPr>
          <w:rStyle w:val="FootnoteReference"/>
          <w:rFonts w:asciiTheme="majorHAnsi" w:hAnsiTheme="majorHAnsi" w:cstheme="majorHAnsi"/>
          <w:sz w:val="20"/>
          <w:szCs w:val="20"/>
        </w:rPr>
        <w:footnoteReference w:id="69"/>
      </w:r>
    </w:p>
    <w:p w:rsidR="00461341" w:rsidRPr="00461341" w:rsidRDefault="00461341" w:rsidP="00461341">
      <w:pPr>
        <w:rPr>
          <w:rFonts w:asciiTheme="majorHAnsi" w:hAnsiTheme="majorHAnsi" w:cstheme="majorHAnsi"/>
          <w:sz w:val="20"/>
          <w:szCs w:val="20"/>
        </w:rPr>
      </w:pPr>
      <w:r w:rsidRPr="00461341">
        <w:rPr>
          <w:rFonts w:asciiTheme="majorHAnsi" w:hAnsiTheme="majorHAnsi" w:cstheme="majorHAnsi"/>
          <w:sz w:val="20"/>
          <w:szCs w:val="20"/>
        </w:rPr>
        <w:t>But the Frey case shows that there was in fact an authoritarian, power-centric constitutional reality in 1960s Germany, one that differed from the myth of Independent Institutions</w:t>
      </w:r>
      <w:r>
        <w:rPr>
          <w:rFonts w:asciiTheme="majorHAnsi" w:hAnsiTheme="majorHAnsi" w:cstheme="majorHAnsi"/>
          <w:sz w:val="20"/>
          <w:szCs w:val="20"/>
        </w:rPr>
        <w:t>, one  that would today be called judicial abuse of power, judicial thuggery.</w:t>
      </w:r>
      <w:bookmarkStart w:id="2" w:name="_GoBack"/>
      <w:bookmarkEnd w:id="2"/>
    </w:p>
    <w:p w:rsidR="007D5488" w:rsidRPr="00461341" w:rsidRDefault="007D5488"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7D5488" w:rsidRPr="00461341" w:rsidRDefault="007D5488" w:rsidP="00665647">
      <w:pPr>
        <w:jc w:val="center"/>
        <w:rPr>
          <w:rFonts w:asciiTheme="majorHAnsi" w:hAnsiTheme="majorHAnsi" w:cstheme="majorHAnsi"/>
          <w:sz w:val="20"/>
          <w:szCs w:val="20"/>
        </w:rPr>
      </w:pPr>
    </w:p>
    <w:p w:rsidR="007D5488" w:rsidRPr="00461341" w:rsidRDefault="007D5488" w:rsidP="00665647">
      <w:pPr>
        <w:jc w:val="center"/>
        <w:rPr>
          <w:rFonts w:asciiTheme="majorHAnsi" w:hAnsiTheme="majorHAnsi" w:cstheme="majorHAnsi"/>
          <w:sz w:val="20"/>
          <w:szCs w:val="20"/>
        </w:rPr>
      </w:pPr>
    </w:p>
    <w:p w:rsidR="007D5488" w:rsidRPr="00461341" w:rsidRDefault="007D5488" w:rsidP="00665647">
      <w:pPr>
        <w:jc w:val="center"/>
        <w:rPr>
          <w:rFonts w:asciiTheme="majorHAnsi" w:hAnsiTheme="majorHAnsi" w:cstheme="majorHAnsi"/>
          <w:sz w:val="20"/>
          <w:szCs w:val="20"/>
        </w:rPr>
      </w:pPr>
    </w:p>
    <w:p w:rsidR="007D5488" w:rsidRPr="00461341" w:rsidRDefault="007D5488" w:rsidP="00665647">
      <w:pPr>
        <w:jc w:val="center"/>
        <w:rPr>
          <w:rFonts w:asciiTheme="majorHAnsi" w:hAnsiTheme="majorHAnsi" w:cstheme="majorHAnsi"/>
          <w:sz w:val="20"/>
          <w:szCs w:val="20"/>
        </w:rPr>
      </w:pPr>
    </w:p>
    <w:p w:rsidR="007D5488" w:rsidRPr="00461341" w:rsidRDefault="007D5488" w:rsidP="00665647">
      <w:pPr>
        <w:jc w:val="center"/>
        <w:rPr>
          <w:rFonts w:asciiTheme="majorHAnsi" w:hAnsiTheme="majorHAnsi" w:cstheme="majorHAnsi"/>
          <w:sz w:val="20"/>
          <w:szCs w:val="20"/>
        </w:rPr>
      </w:pPr>
    </w:p>
    <w:p w:rsidR="007D5488" w:rsidRPr="00461341" w:rsidRDefault="007D5488"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Pr="00461341" w:rsidRDefault="00461341" w:rsidP="00665647">
      <w:pPr>
        <w:jc w:val="center"/>
        <w:rPr>
          <w:rFonts w:asciiTheme="majorHAnsi" w:hAnsiTheme="majorHAnsi" w:cstheme="majorHAnsi"/>
          <w:sz w:val="20"/>
          <w:szCs w:val="20"/>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461341" w:rsidRDefault="00461341" w:rsidP="00461341">
      <w:pPr>
        <w:rPr>
          <w:rFonts w:ascii="Brother Deluxe 1350 Font" w:hAnsi="Brother Deluxe 1350 Font"/>
          <w:sz w:val="16"/>
          <w:szCs w:val="16"/>
        </w:rPr>
      </w:pPr>
    </w:p>
    <w:p w:rsidR="007D5488" w:rsidRDefault="007D5488" w:rsidP="00665647">
      <w:pPr>
        <w:jc w:val="center"/>
        <w:rPr>
          <w:rFonts w:ascii="Brother Deluxe 1350 Font" w:hAnsi="Brother Deluxe 1350 Font"/>
          <w:sz w:val="28"/>
          <w:szCs w:val="28"/>
        </w:rPr>
      </w:pPr>
      <w:r>
        <w:rPr>
          <w:noProof/>
        </w:rPr>
        <w:drawing>
          <wp:anchor distT="0" distB="0" distL="114300" distR="114300" simplePos="0" relativeHeight="251659264" behindDoc="0" locked="0" layoutInCell="1" allowOverlap="1" wp14:anchorId="11CFDD13">
            <wp:simplePos x="0" y="0"/>
            <wp:positionH relativeFrom="page">
              <wp:align>right</wp:align>
            </wp:positionH>
            <wp:positionV relativeFrom="paragraph">
              <wp:posOffset>248285</wp:posOffset>
            </wp:positionV>
            <wp:extent cx="7559040" cy="3783209"/>
            <wp:effectExtent l="0" t="0" r="381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BEBA8EAE-BF5A-486C-A8C5-ECC9F3942E4B}">
                          <a14:imgProps xmlns:a14="http://schemas.microsoft.com/office/drawing/2010/main">
                            <a14:imgLayer r:embed="rId13">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7559040" cy="3783209"/>
                    </a:xfrm>
                    <a:prstGeom prst="rect">
                      <a:avLst/>
                    </a:prstGeom>
                  </pic:spPr>
                </pic:pic>
              </a:graphicData>
            </a:graphic>
            <wp14:sizeRelH relativeFrom="page">
              <wp14:pctWidth>0</wp14:pctWidth>
            </wp14:sizeRelH>
            <wp14:sizeRelV relativeFrom="page">
              <wp14:pctHeight>0</wp14:pctHeight>
            </wp14:sizeRelV>
          </wp:anchor>
        </w:drawing>
      </w:r>
      <w:r w:rsidRPr="007D5488">
        <w:rPr>
          <w:rFonts w:ascii="Brother Deluxe 1350 Font" w:hAnsi="Brother Deluxe 1350 Font"/>
          <w:sz w:val="28"/>
          <w:szCs w:val="28"/>
        </w:rPr>
        <w:t>Bibliography</w:t>
      </w: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28"/>
          <w:szCs w:val="28"/>
        </w:rPr>
      </w:pPr>
    </w:p>
    <w:p w:rsidR="007D5488" w:rsidRDefault="007D5488" w:rsidP="00665647">
      <w:pPr>
        <w:jc w:val="center"/>
        <w:rPr>
          <w:rFonts w:ascii="Brother Deluxe 1350 Font" w:hAnsi="Brother Deluxe 1350 Font"/>
          <w:sz w:val="16"/>
          <w:szCs w:val="16"/>
        </w:rPr>
      </w:pPr>
    </w:p>
    <w:p w:rsidR="007D5488" w:rsidRPr="007D5488" w:rsidRDefault="007D5488" w:rsidP="00665647">
      <w:pPr>
        <w:jc w:val="center"/>
        <w:rPr>
          <w:rFonts w:ascii="Brother Deluxe 1350 Font" w:hAnsi="Brother Deluxe 1350 Font"/>
          <w:sz w:val="16"/>
          <w:szCs w:val="16"/>
        </w:rPr>
      </w:pPr>
      <w:r w:rsidRPr="007D5488">
        <w:rPr>
          <w:rFonts w:ascii="Brother Deluxe 1350 Font" w:hAnsi="Brother Deluxe 1350 Font"/>
          <w:sz w:val="16"/>
          <w:szCs w:val="16"/>
        </w:rPr>
        <w:t>The</w:t>
      </w:r>
      <w:r>
        <w:rPr>
          <w:rFonts w:ascii="Brother Deluxe 1350 Font" w:hAnsi="Brother Deluxe 1350 Font"/>
          <w:sz w:val="16"/>
          <w:szCs w:val="16"/>
        </w:rPr>
        <w:t xml:space="preserve"> archival</w:t>
      </w:r>
      <w:r w:rsidRPr="007D5488">
        <w:rPr>
          <w:rFonts w:ascii="Brother Deluxe 1350 Font" w:hAnsi="Brother Deluxe 1350 Font"/>
          <w:sz w:val="16"/>
          <w:szCs w:val="16"/>
        </w:rPr>
        <w:t xml:space="preserve"> files relating to the legal proceedings against Gerhard Frey</w:t>
      </w:r>
    </w:p>
    <w:p w:rsidR="007D5488" w:rsidRPr="007D5488" w:rsidRDefault="007D5488" w:rsidP="00665647">
      <w:pPr>
        <w:jc w:val="center"/>
        <w:rPr>
          <w:rFonts w:ascii="Brother Deluxe 1350 Font" w:hAnsi="Brother Deluxe 1350 Font"/>
          <w:sz w:val="10"/>
          <w:szCs w:val="10"/>
        </w:rPr>
      </w:pPr>
      <w:r w:rsidRPr="007D5488">
        <w:rPr>
          <w:rFonts w:ascii="Brother Deluxe 1350 Font" w:hAnsi="Brother Deluxe 1350 Font"/>
          <w:sz w:val="10"/>
          <w:szCs w:val="10"/>
        </w:rPr>
        <w:t>(source: personal photograph, the author, subject to graphical enhancement)</w:t>
      </w:r>
    </w:p>
    <w:p w:rsidR="007D5488" w:rsidRPr="00461341" w:rsidRDefault="007D5488" w:rsidP="00665647">
      <w:pPr>
        <w:jc w:val="center"/>
        <w:rPr>
          <w:rFonts w:asciiTheme="majorHAnsi" w:hAnsiTheme="majorHAnsi" w:cstheme="majorHAnsi"/>
        </w:rPr>
      </w:pPr>
    </w:p>
    <w:p w:rsidR="007D5488" w:rsidRPr="00461341" w:rsidRDefault="007D5488" w:rsidP="00665647">
      <w:pPr>
        <w:jc w:val="center"/>
        <w:rPr>
          <w:rFonts w:asciiTheme="majorHAnsi" w:hAnsiTheme="majorHAnsi" w:cstheme="majorHAnsi"/>
        </w:rPr>
      </w:pPr>
      <w:r w:rsidRPr="00461341">
        <w:rPr>
          <w:rFonts w:asciiTheme="majorHAnsi" w:hAnsiTheme="majorHAnsi" w:cstheme="majorHAnsi"/>
        </w:rPr>
        <w:t>Original Sources</w:t>
      </w:r>
    </w:p>
    <w:p w:rsidR="007D5488" w:rsidRPr="00461341" w:rsidRDefault="007D5488" w:rsidP="00665647">
      <w:pPr>
        <w:jc w:val="center"/>
        <w:rPr>
          <w:rFonts w:asciiTheme="majorHAnsi" w:hAnsiTheme="majorHAnsi" w:cstheme="majorHAnsi"/>
        </w:rPr>
      </w:pPr>
      <w:r w:rsidRPr="00461341">
        <w:rPr>
          <w:rFonts w:asciiTheme="majorHAnsi" w:hAnsiTheme="majorHAnsi" w:cstheme="majorHAnsi"/>
        </w:rPr>
        <w:t xml:space="preserve">Archival File </w:t>
      </w:r>
      <w:r w:rsidR="00752D7A" w:rsidRPr="00461341">
        <w:rPr>
          <w:rFonts w:asciiTheme="majorHAnsi" w:hAnsiTheme="majorHAnsi" w:cstheme="majorHAnsi"/>
        </w:rPr>
        <w:t>B3-2017/A-3093 (</w:t>
      </w:r>
      <w:r w:rsidRPr="00461341">
        <w:rPr>
          <w:rFonts w:asciiTheme="majorHAnsi" w:hAnsiTheme="majorHAnsi" w:cstheme="majorHAnsi"/>
        </w:rPr>
        <w:t>BMI 601 029/1</w:t>
      </w:r>
      <w:r w:rsidR="00752D7A" w:rsidRPr="00461341">
        <w:rPr>
          <w:rFonts w:asciiTheme="majorHAnsi" w:hAnsiTheme="majorHAnsi" w:cstheme="majorHAnsi"/>
        </w:rPr>
        <w:t>)</w:t>
      </w:r>
      <w:r w:rsidRPr="00461341">
        <w:rPr>
          <w:rFonts w:asciiTheme="majorHAnsi" w:hAnsiTheme="majorHAnsi" w:cstheme="majorHAnsi"/>
        </w:rPr>
        <w:t xml:space="preserve"> Volumes 1-8. Koblenz: Federal Main Archives (1967-1970)</w:t>
      </w:r>
    </w:p>
    <w:p w:rsidR="007D5488" w:rsidRPr="00461341" w:rsidRDefault="007D5488" w:rsidP="00665647">
      <w:pPr>
        <w:jc w:val="center"/>
        <w:rPr>
          <w:rFonts w:asciiTheme="majorHAnsi" w:hAnsiTheme="majorHAnsi" w:cstheme="majorHAnsi"/>
        </w:rPr>
      </w:pPr>
      <w:r w:rsidRPr="00461341">
        <w:rPr>
          <w:rFonts w:asciiTheme="majorHAnsi" w:hAnsiTheme="majorHAnsi" w:cstheme="majorHAnsi"/>
        </w:rPr>
        <w:t>Secondary Materials</w:t>
      </w:r>
    </w:p>
    <w:p w:rsidR="00474E22" w:rsidRPr="00461341" w:rsidRDefault="00474E22" w:rsidP="00665647">
      <w:pPr>
        <w:jc w:val="center"/>
        <w:rPr>
          <w:rFonts w:asciiTheme="majorHAnsi" w:hAnsiTheme="majorHAnsi" w:cstheme="majorHAnsi"/>
        </w:rPr>
      </w:pPr>
      <w:r w:rsidRPr="00461341">
        <w:rPr>
          <w:rFonts w:asciiTheme="majorHAnsi" w:hAnsiTheme="majorHAnsi" w:cstheme="majorHAnsi"/>
        </w:rPr>
        <w:t xml:space="preserve">Abendroth, Wolfgang (1959) Obrigkeitsstaat Oder Soziale Demokratie? Gewerkschaftliche Monatshefte. Vol </w:t>
      </w:r>
      <w:proofErr w:type="gramStart"/>
      <w:r w:rsidRPr="00461341">
        <w:rPr>
          <w:rFonts w:asciiTheme="majorHAnsi" w:hAnsiTheme="majorHAnsi" w:cstheme="majorHAnsi"/>
        </w:rPr>
        <w:t>6.P</w:t>
      </w:r>
      <w:proofErr w:type="gramEnd"/>
      <w:r w:rsidRPr="00461341">
        <w:rPr>
          <w:rFonts w:asciiTheme="majorHAnsi" w:hAnsiTheme="majorHAnsi" w:cstheme="majorHAnsi"/>
        </w:rPr>
        <w:t>343-352</w:t>
      </w:r>
    </w:p>
    <w:p w:rsidR="00C53998" w:rsidRPr="00461341" w:rsidRDefault="00C53998" w:rsidP="00665647">
      <w:pPr>
        <w:jc w:val="center"/>
        <w:rPr>
          <w:rFonts w:asciiTheme="majorHAnsi" w:hAnsiTheme="majorHAnsi" w:cstheme="majorHAnsi"/>
        </w:rPr>
      </w:pPr>
      <w:r w:rsidRPr="00461341">
        <w:rPr>
          <w:rFonts w:asciiTheme="majorHAnsi" w:hAnsiTheme="majorHAnsi" w:cstheme="majorHAnsi"/>
        </w:rPr>
        <w:t>Backes, U., &amp; Moreau, P. (1994). Die extreme Rechte in Deutschland:</w:t>
      </w:r>
      <w:r w:rsidR="00647C8F" w:rsidRPr="00461341">
        <w:rPr>
          <w:rFonts w:asciiTheme="majorHAnsi" w:hAnsiTheme="majorHAnsi" w:cstheme="majorHAnsi"/>
        </w:rPr>
        <w:t xml:space="preserve"> </w:t>
      </w:r>
      <w:r w:rsidRPr="00461341">
        <w:rPr>
          <w:rFonts w:asciiTheme="majorHAnsi" w:hAnsiTheme="majorHAnsi" w:cstheme="majorHAnsi"/>
        </w:rPr>
        <w:t xml:space="preserve">Geschichte - gegenwärtige Gefahren - Ursachen -Gegenmaßnahmen. München: </w:t>
      </w:r>
      <w:proofErr w:type="gramStart"/>
      <w:r w:rsidRPr="00461341">
        <w:rPr>
          <w:rFonts w:asciiTheme="majorHAnsi" w:hAnsiTheme="majorHAnsi" w:cstheme="majorHAnsi"/>
        </w:rPr>
        <w:t>Akad.-</w:t>
      </w:r>
      <w:proofErr w:type="gramEnd"/>
      <w:r w:rsidRPr="00461341">
        <w:rPr>
          <w:rFonts w:asciiTheme="majorHAnsi" w:hAnsiTheme="majorHAnsi" w:cstheme="majorHAnsi"/>
        </w:rPr>
        <w:t>Verl.</w:t>
      </w:r>
    </w:p>
    <w:p w:rsidR="00647C8F" w:rsidRPr="00461341" w:rsidRDefault="00647C8F" w:rsidP="00665647">
      <w:pPr>
        <w:jc w:val="center"/>
        <w:rPr>
          <w:rFonts w:asciiTheme="majorHAnsi" w:hAnsiTheme="majorHAnsi" w:cstheme="majorHAnsi"/>
        </w:rPr>
      </w:pPr>
      <w:r w:rsidRPr="00461341">
        <w:rPr>
          <w:rFonts w:asciiTheme="majorHAnsi" w:hAnsiTheme="majorHAnsi" w:cstheme="majorHAnsi"/>
        </w:rPr>
        <w:t>Backes, U., &amp; Jesse, E. (1989). Politischer Extremismus in der Bundesrepublik Deutschland. Cologne: Verlag Wissenschaft und Politik.</w:t>
      </w:r>
    </w:p>
    <w:p w:rsidR="00CF729C" w:rsidRPr="00461341" w:rsidRDefault="00CF729C" w:rsidP="00665647">
      <w:pPr>
        <w:jc w:val="center"/>
        <w:rPr>
          <w:rFonts w:asciiTheme="majorHAnsi" w:hAnsiTheme="majorHAnsi" w:cstheme="majorHAnsi"/>
        </w:rPr>
      </w:pPr>
      <w:r w:rsidRPr="00461341">
        <w:rPr>
          <w:rFonts w:asciiTheme="majorHAnsi" w:hAnsiTheme="majorHAnsi" w:cstheme="majorHAnsi"/>
        </w:rPr>
        <w:t>Bond, M et al (1990). A tale of two Germanys. Wilmington, DE: Atomium Books.</w:t>
      </w:r>
    </w:p>
    <w:p w:rsidR="00FA4CC5" w:rsidRPr="00461341" w:rsidRDefault="00FA4CC5" w:rsidP="00FA4CC5">
      <w:pPr>
        <w:jc w:val="center"/>
        <w:rPr>
          <w:rFonts w:asciiTheme="majorHAnsi" w:hAnsiTheme="majorHAnsi" w:cstheme="majorHAnsi"/>
          <w:color w:val="000000"/>
          <w:shd w:val="clear" w:color="auto" w:fill="FFFFFF"/>
        </w:rPr>
      </w:pPr>
      <w:r w:rsidRPr="00461341">
        <w:rPr>
          <w:rFonts w:asciiTheme="majorHAnsi" w:hAnsiTheme="majorHAnsi" w:cstheme="majorHAnsi"/>
          <w:color w:val="000000"/>
          <w:shd w:val="clear" w:color="auto" w:fill="FFFFFF"/>
        </w:rPr>
        <w:lastRenderedPageBreak/>
        <w:t xml:space="preserve">Bumke, C &amp; Voßkuhle, </w:t>
      </w:r>
      <w:proofErr w:type="gramStart"/>
      <w:r w:rsidRPr="00461341">
        <w:rPr>
          <w:rFonts w:asciiTheme="majorHAnsi" w:hAnsiTheme="majorHAnsi" w:cstheme="majorHAnsi"/>
          <w:color w:val="000000"/>
          <w:shd w:val="clear" w:color="auto" w:fill="FFFFFF"/>
        </w:rPr>
        <w:t>A.(</w:t>
      </w:r>
      <w:proofErr w:type="gramEnd"/>
      <w:r w:rsidRPr="00461341">
        <w:rPr>
          <w:rFonts w:asciiTheme="majorHAnsi" w:hAnsiTheme="majorHAnsi" w:cstheme="majorHAnsi"/>
          <w:color w:val="000000"/>
          <w:shd w:val="clear" w:color="auto" w:fill="FFFFFF"/>
        </w:rPr>
        <w:t>2015). </w:t>
      </w:r>
      <w:r w:rsidRPr="00461341">
        <w:rPr>
          <w:rFonts w:asciiTheme="majorHAnsi" w:hAnsiTheme="majorHAnsi" w:cstheme="majorHAnsi"/>
          <w:i/>
          <w:iCs/>
          <w:color w:val="000000"/>
          <w:shd w:val="clear" w:color="auto" w:fill="FFFFFF"/>
        </w:rPr>
        <w:t>Casebook Verfassungsrecht</w:t>
      </w:r>
      <w:r w:rsidRPr="00461341">
        <w:rPr>
          <w:rFonts w:asciiTheme="majorHAnsi" w:hAnsiTheme="majorHAnsi" w:cstheme="majorHAnsi"/>
          <w:color w:val="000000"/>
          <w:shd w:val="clear" w:color="auto" w:fill="FFFFFF"/>
        </w:rPr>
        <w:t>. Tübingen: Mohr Siebeck. Section 1509.</w:t>
      </w:r>
    </w:p>
    <w:p w:rsidR="008406BD" w:rsidRPr="00461341" w:rsidRDefault="008406BD" w:rsidP="00FA4CC5">
      <w:pPr>
        <w:jc w:val="center"/>
        <w:rPr>
          <w:rFonts w:asciiTheme="majorHAnsi" w:hAnsiTheme="majorHAnsi" w:cstheme="majorHAnsi"/>
        </w:rPr>
      </w:pPr>
      <w:r w:rsidRPr="00461341">
        <w:rPr>
          <w:rFonts w:asciiTheme="majorHAnsi" w:hAnsiTheme="majorHAnsi" w:cstheme="majorHAnsi"/>
        </w:rPr>
        <w:t>De Burca G., &amp; Scott, J. (2002). The EU and the WTO: Legal and Constitutional Issues. Oxford: Hart Publishing Limited.</w:t>
      </w:r>
    </w:p>
    <w:p w:rsidR="00F50A8D" w:rsidRPr="00461341" w:rsidRDefault="00F50A8D" w:rsidP="00FA4CC5">
      <w:pPr>
        <w:jc w:val="center"/>
        <w:rPr>
          <w:rFonts w:asciiTheme="majorHAnsi" w:hAnsiTheme="majorHAnsi" w:cstheme="majorHAnsi"/>
        </w:rPr>
      </w:pPr>
      <w:r w:rsidRPr="00461341">
        <w:rPr>
          <w:rFonts w:asciiTheme="majorHAnsi" w:hAnsiTheme="majorHAnsi" w:cstheme="majorHAnsi"/>
        </w:rPr>
        <w:t>Cornils, I. (2016). Writing the revolution: The Construction of "1968" in Germany. New York: Camden House</w:t>
      </w:r>
    </w:p>
    <w:p w:rsidR="00CC7936" w:rsidRPr="00461341" w:rsidRDefault="00CC7936" w:rsidP="00FA4CC5">
      <w:pPr>
        <w:jc w:val="center"/>
        <w:rPr>
          <w:rFonts w:asciiTheme="majorHAnsi" w:hAnsiTheme="majorHAnsi" w:cstheme="majorHAnsi"/>
        </w:rPr>
      </w:pPr>
      <w:r w:rsidRPr="00461341">
        <w:rPr>
          <w:rFonts w:asciiTheme="majorHAnsi" w:hAnsiTheme="majorHAnsi" w:cstheme="majorHAnsi"/>
        </w:rPr>
        <w:t>Pendas, D. (2006). The Frankfurt Auschwitz trial: 1963-</w:t>
      </w:r>
      <w:proofErr w:type="gramStart"/>
      <w:r w:rsidRPr="00461341">
        <w:rPr>
          <w:rFonts w:asciiTheme="majorHAnsi" w:hAnsiTheme="majorHAnsi" w:cstheme="majorHAnsi"/>
        </w:rPr>
        <w:t>1965 :</w:t>
      </w:r>
      <w:proofErr w:type="gramEnd"/>
      <w:r w:rsidRPr="00461341">
        <w:rPr>
          <w:rFonts w:asciiTheme="majorHAnsi" w:hAnsiTheme="majorHAnsi" w:cstheme="majorHAnsi"/>
        </w:rPr>
        <w:t xml:space="preserve"> genocide, history, and the limits of the law. England: Cambridge Univ. Press</w:t>
      </w:r>
    </w:p>
    <w:p w:rsidR="003E0219" w:rsidRPr="00461341" w:rsidRDefault="003E0219" w:rsidP="00FA4CC5">
      <w:pPr>
        <w:jc w:val="center"/>
        <w:rPr>
          <w:rFonts w:asciiTheme="majorHAnsi" w:hAnsiTheme="majorHAnsi" w:cstheme="majorHAnsi"/>
        </w:rPr>
      </w:pPr>
      <w:r w:rsidRPr="00461341">
        <w:rPr>
          <w:rFonts w:asciiTheme="majorHAnsi" w:hAnsiTheme="majorHAnsi" w:cstheme="majorHAnsi"/>
        </w:rPr>
        <w:t>Denecken, H. (2000). " ... Ihr dürft ihn nie vergessen!": Der Ludwig-Marum-Preis 1988-1999. Karlsruhe: Info-Verl.</w:t>
      </w:r>
    </w:p>
    <w:p w:rsidR="00474E22" w:rsidRPr="00461341" w:rsidRDefault="00474E22" w:rsidP="00665647">
      <w:pPr>
        <w:jc w:val="center"/>
        <w:rPr>
          <w:rFonts w:asciiTheme="majorHAnsi" w:hAnsiTheme="majorHAnsi" w:cstheme="majorHAnsi"/>
        </w:rPr>
      </w:pPr>
      <w:r w:rsidRPr="00461341">
        <w:rPr>
          <w:rFonts w:asciiTheme="majorHAnsi" w:hAnsiTheme="majorHAnsi" w:cstheme="majorHAnsi"/>
        </w:rPr>
        <w:t>Diers, Andreas (2005). Staat, Recht und Politik bei Wolfgang Abendroth. Zeitschrift Marxistische Erneuerung. Vol 64. Digitalised, Pages not numbered</w:t>
      </w:r>
    </w:p>
    <w:p w:rsidR="002E5FC0" w:rsidRPr="00461341" w:rsidRDefault="002E5FC0" w:rsidP="00665647">
      <w:pPr>
        <w:jc w:val="center"/>
        <w:rPr>
          <w:rFonts w:asciiTheme="majorHAnsi" w:hAnsiTheme="majorHAnsi" w:cstheme="majorHAnsi"/>
        </w:rPr>
      </w:pPr>
      <w:bookmarkStart w:id="3" w:name="_Hlk505168764"/>
      <w:r w:rsidRPr="00461341">
        <w:rPr>
          <w:rFonts w:asciiTheme="majorHAnsi" w:hAnsiTheme="majorHAnsi" w:cstheme="majorHAnsi"/>
        </w:rPr>
        <w:t>Gawron, T. &amp; Schäfer, R. (1976). Justiz und organisierte Interessen in der BRD. Legitimationsprobleme politischer Systeme: Politische Vierteljahresschrift Sonderhefte. Vol 7. P217-269</w:t>
      </w:r>
    </w:p>
    <w:bookmarkEnd w:id="3"/>
    <w:p w:rsidR="00172244" w:rsidRPr="00461341" w:rsidRDefault="00172244" w:rsidP="00665647">
      <w:pPr>
        <w:jc w:val="center"/>
        <w:rPr>
          <w:rFonts w:asciiTheme="majorHAnsi" w:hAnsiTheme="majorHAnsi" w:cstheme="majorHAnsi"/>
        </w:rPr>
      </w:pPr>
      <w:r w:rsidRPr="00461341">
        <w:rPr>
          <w:rFonts w:asciiTheme="majorHAnsi" w:hAnsiTheme="majorHAnsi" w:cstheme="majorHAnsi"/>
        </w:rPr>
        <w:t>Glajar, V., &amp; Teodorescu, J. (2011). Local History, Transnational Memory in the Romanian Holocaust. New York: Palgrave Macmillan US</w:t>
      </w:r>
    </w:p>
    <w:p w:rsidR="008406BD" w:rsidRPr="00461341" w:rsidRDefault="008406BD" w:rsidP="00665647">
      <w:pPr>
        <w:jc w:val="center"/>
        <w:rPr>
          <w:rFonts w:asciiTheme="majorHAnsi" w:hAnsiTheme="majorHAnsi" w:cstheme="majorHAnsi"/>
        </w:rPr>
      </w:pPr>
      <w:r w:rsidRPr="00461341">
        <w:rPr>
          <w:rFonts w:asciiTheme="majorHAnsi" w:hAnsiTheme="majorHAnsi" w:cstheme="majorHAnsi"/>
        </w:rPr>
        <w:t>Feinberg, J. (2014). Rights, Justice, and the Bounds of Liberty: Essays in Social Philosophy. Princeton: Princeton University Press.</w:t>
      </w:r>
    </w:p>
    <w:p w:rsidR="003E0219" w:rsidRPr="00461341" w:rsidRDefault="003E0219" w:rsidP="003E0219">
      <w:pPr>
        <w:jc w:val="center"/>
        <w:rPr>
          <w:rFonts w:asciiTheme="majorHAnsi" w:hAnsiTheme="majorHAnsi" w:cstheme="majorHAnsi"/>
        </w:rPr>
      </w:pPr>
      <w:r w:rsidRPr="00461341">
        <w:rPr>
          <w:rFonts w:asciiTheme="majorHAnsi" w:hAnsiTheme="majorHAnsi" w:cstheme="majorHAnsi"/>
        </w:rPr>
        <w:t>Karner, C. (2016). Negotiating national identities: Between globalization, the past and 'the other'. London: Routledge.</w:t>
      </w:r>
    </w:p>
    <w:p w:rsidR="003E0219" w:rsidRPr="00461341" w:rsidRDefault="003E0219" w:rsidP="003E0219">
      <w:pPr>
        <w:jc w:val="center"/>
        <w:rPr>
          <w:rFonts w:asciiTheme="majorHAnsi" w:hAnsiTheme="majorHAnsi" w:cstheme="majorHAnsi"/>
        </w:rPr>
      </w:pPr>
      <w:r w:rsidRPr="00461341">
        <w:rPr>
          <w:rFonts w:asciiTheme="majorHAnsi" w:hAnsiTheme="majorHAnsi" w:cstheme="majorHAnsi"/>
        </w:rPr>
        <w:t xml:space="preserve">Hentges G. (2002) Das Plädoyer für eine „deutsche </w:t>
      </w:r>
      <w:proofErr w:type="gramStart"/>
      <w:r w:rsidRPr="00461341">
        <w:rPr>
          <w:rFonts w:asciiTheme="majorHAnsi" w:hAnsiTheme="majorHAnsi" w:cstheme="majorHAnsi"/>
        </w:rPr>
        <w:t>Leitkultur“ —</w:t>
      </w:r>
      <w:proofErr w:type="gramEnd"/>
      <w:r w:rsidRPr="00461341">
        <w:rPr>
          <w:rFonts w:asciiTheme="majorHAnsi" w:hAnsiTheme="majorHAnsi" w:cstheme="majorHAnsi"/>
        </w:rPr>
        <w:t xml:space="preserve"> Steilvorlage für die extreme Rechte?. In: Themen der Rechten — Themen der Mitte. VS Verlag für Sozialwissenschaften, Wiesbaden</w:t>
      </w:r>
    </w:p>
    <w:p w:rsidR="0033334A" w:rsidRPr="00461341" w:rsidRDefault="0033334A" w:rsidP="00665647">
      <w:pPr>
        <w:jc w:val="center"/>
        <w:rPr>
          <w:rFonts w:asciiTheme="majorHAnsi" w:hAnsiTheme="majorHAnsi" w:cstheme="majorHAnsi"/>
        </w:rPr>
      </w:pPr>
      <w:r w:rsidRPr="00461341">
        <w:rPr>
          <w:rFonts w:asciiTheme="majorHAnsi" w:hAnsiTheme="majorHAnsi" w:cstheme="majorHAnsi"/>
        </w:rPr>
        <w:t xml:space="preserve">Jander, M &amp; Reimer, J (trans) (2017). Antisemitism and Anti-Zionism in West Germany in the 1970s: Lessons for Today.  Fathom Magazine. Washington: BICOM. </w:t>
      </w:r>
      <w:hyperlink r:id="rId14" w:history="1">
        <w:r w:rsidR="006231BB" w:rsidRPr="00461341">
          <w:rPr>
            <w:rStyle w:val="Hyperlink"/>
            <w:rFonts w:asciiTheme="majorHAnsi" w:hAnsiTheme="majorHAnsi" w:cstheme="majorHAnsi"/>
          </w:rPr>
          <w:t>http://fathomjournal.org/antisemitism-and-anti-zionism-in-west-germany-in-the-1970s-lessons-for-today/</w:t>
        </w:r>
      </w:hyperlink>
    </w:p>
    <w:p w:rsidR="006231BB" w:rsidRPr="00461341" w:rsidRDefault="006231BB" w:rsidP="00665647">
      <w:pPr>
        <w:jc w:val="center"/>
        <w:rPr>
          <w:rFonts w:asciiTheme="majorHAnsi" w:hAnsiTheme="majorHAnsi" w:cstheme="majorHAnsi"/>
        </w:rPr>
      </w:pPr>
      <w:r w:rsidRPr="00461341">
        <w:rPr>
          <w:rFonts w:asciiTheme="majorHAnsi" w:hAnsiTheme="majorHAnsi" w:cstheme="majorHAnsi"/>
          <w:lang w:val="fr-FR"/>
        </w:rPr>
        <w:t xml:space="preserve">Mcgowan, L. E. E. (2017). Radical Right In </w:t>
      </w:r>
      <w:proofErr w:type="gramStart"/>
      <w:r w:rsidRPr="00461341">
        <w:rPr>
          <w:rFonts w:asciiTheme="majorHAnsi" w:hAnsiTheme="majorHAnsi" w:cstheme="majorHAnsi"/>
          <w:lang w:val="fr-FR"/>
        </w:rPr>
        <w:t>Germany:</w:t>
      </w:r>
      <w:proofErr w:type="gramEnd"/>
      <w:r w:rsidRPr="00461341">
        <w:rPr>
          <w:rFonts w:asciiTheme="majorHAnsi" w:hAnsiTheme="majorHAnsi" w:cstheme="majorHAnsi"/>
          <w:lang w:val="fr-FR"/>
        </w:rPr>
        <w:t xml:space="preserve"> 1870 To The Present. New Hampshire, </w:t>
      </w:r>
      <w:proofErr w:type="gramStart"/>
      <w:r w:rsidRPr="00461341">
        <w:rPr>
          <w:rFonts w:asciiTheme="majorHAnsi" w:hAnsiTheme="majorHAnsi" w:cstheme="majorHAnsi"/>
          <w:lang w:val="fr-FR"/>
        </w:rPr>
        <w:t>USA:</w:t>
      </w:r>
      <w:proofErr w:type="gramEnd"/>
      <w:r w:rsidRPr="00461341">
        <w:rPr>
          <w:rFonts w:asciiTheme="majorHAnsi" w:hAnsiTheme="majorHAnsi" w:cstheme="majorHAnsi"/>
          <w:lang w:val="fr-FR"/>
        </w:rPr>
        <w:t xml:space="preserve"> Routledge </w:t>
      </w:r>
    </w:p>
    <w:p w:rsidR="00383D4C" w:rsidRPr="00461341" w:rsidRDefault="00383D4C" w:rsidP="00665647">
      <w:pPr>
        <w:jc w:val="center"/>
        <w:rPr>
          <w:rFonts w:asciiTheme="majorHAnsi" w:hAnsiTheme="majorHAnsi" w:cstheme="majorHAnsi"/>
        </w:rPr>
      </w:pPr>
      <w:r w:rsidRPr="00461341">
        <w:rPr>
          <w:rFonts w:asciiTheme="majorHAnsi" w:hAnsiTheme="majorHAnsi" w:cstheme="majorHAnsi"/>
        </w:rPr>
        <w:t>Merkl, P. (1989). </w:t>
      </w:r>
      <w:r w:rsidRPr="00461341">
        <w:rPr>
          <w:rFonts w:asciiTheme="majorHAnsi" w:hAnsiTheme="majorHAnsi" w:cstheme="majorHAnsi"/>
          <w:i/>
          <w:iCs/>
        </w:rPr>
        <w:t>The Federal Republic of Germany at forty</w:t>
      </w:r>
      <w:r w:rsidRPr="00461341">
        <w:rPr>
          <w:rFonts w:asciiTheme="majorHAnsi" w:hAnsiTheme="majorHAnsi" w:cstheme="majorHAnsi"/>
        </w:rPr>
        <w:t>. New York: New York University Press.</w:t>
      </w:r>
    </w:p>
    <w:p w:rsidR="00564ADC" w:rsidRPr="00461341" w:rsidRDefault="00564ADC" w:rsidP="00665647">
      <w:pPr>
        <w:jc w:val="center"/>
        <w:rPr>
          <w:rFonts w:asciiTheme="majorHAnsi" w:hAnsiTheme="majorHAnsi" w:cstheme="majorHAnsi"/>
        </w:rPr>
      </w:pPr>
      <w:r w:rsidRPr="00461341">
        <w:rPr>
          <w:rFonts w:asciiTheme="majorHAnsi" w:hAnsiTheme="majorHAnsi" w:cstheme="majorHAnsi"/>
        </w:rPr>
        <w:t xml:space="preserve">Stulz-Herrnstadt, M. et al (2017). Neues Bundesarchivgesetz in Kraft getreten. Berlin:  DLA Piper Law Briefings. </w:t>
      </w:r>
      <w:hyperlink r:id="rId15" w:history="1">
        <w:r w:rsidRPr="00461341">
          <w:rPr>
            <w:rStyle w:val="Hyperlink"/>
            <w:rFonts w:asciiTheme="majorHAnsi" w:hAnsiTheme="majorHAnsi" w:cstheme="majorHAnsi"/>
          </w:rPr>
          <w:t>http://blogs.dlapiper.com/iptgermany/2017/03/24/neues-bundesarchivgesetz-in-kraft-getreten</w:t>
        </w:r>
      </w:hyperlink>
    </w:p>
    <w:p w:rsidR="009B3F1D" w:rsidRPr="00461341" w:rsidRDefault="009B3F1D" w:rsidP="00564ADC">
      <w:pPr>
        <w:rPr>
          <w:rFonts w:asciiTheme="majorHAnsi" w:hAnsiTheme="majorHAnsi" w:cstheme="majorHAnsi"/>
        </w:rPr>
      </w:pPr>
      <w:r w:rsidRPr="00461341">
        <w:rPr>
          <w:rFonts w:asciiTheme="majorHAnsi" w:hAnsiTheme="majorHAnsi" w:cstheme="majorHAnsi"/>
        </w:rPr>
        <w:lastRenderedPageBreak/>
        <w:t>Skenderovic, D. (2009). The radical right in Switzerland: Continuity and change, 1945-2000. New York: Berghahn Books.</w:t>
      </w:r>
    </w:p>
    <w:p w:rsidR="005A00C1" w:rsidRPr="00461341" w:rsidRDefault="005A00C1" w:rsidP="00665647">
      <w:pPr>
        <w:jc w:val="center"/>
        <w:rPr>
          <w:rFonts w:asciiTheme="majorHAnsi" w:hAnsiTheme="majorHAnsi" w:cstheme="majorHAnsi"/>
        </w:rPr>
      </w:pPr>
      <w:bookmarkStart w:id="4" w:name="_Hlk505147513"/>
      <w:r w:rsidRPr="00461341">
        <w:rPr>
          <w:rFonts w:asciiTheme="majorHAnsi" w:hAnsiTheme="majorHAnsi" w:cstheme="majorHAnsi"/>
        </w:rPr>
        <w:t>Staff Correspondents (1969). Frey-Stil. Der Spiegel Magazine Vol. 8 P64-65.</w:t>
      </w:r>
      <w:r w:rsidR="007A344F" w:rsidRPr="00461341">
        <w:rPr>
          <w:rFonts w:asciiTheme="majorHAnsi" w:hAnsiTheme="majorHAnsi" w:cstheme="majorHAnsi"/>
        </w:rPr>
        <w:t xml:space="preserve"> Hamburg: Springer-P60-64</w:t>
      </w:r>
    </w:p>
    <w:bookmarkEnd w:id="4"/>
    <w:p w:rsidR="007A344F" w:rsidRPr="00461341" w:rsidRDefault="007A344F" w:rsidP="00665647">
      <w:pPr>
        <w:jc w:val="center"/>
        <w:rPr>
          <w:rFonts w:asciiTheme="majorHAnsi" w:hAnsiTheme="majorHAnsi" w:cstheme="majorHAnsi"/>
        </w:rPr>
      </w:pPr>
      <w:r w:rsidRPr="00461341">
        <w:rPr>
          <w:rFonts w:asciiTheme="majorHAnsi" w:hAnsiTheme="majorHAnsi" w:cstheme="majorHAnsi"/>
        </w:rPr>
        <w:t xml:space="preserve">Staff Correspondents (1967). Kreuz Im Kopf. Der Spiegel Magazine Vol. 33 P64-65. Hamburg: Springer. P28 </w:t>
      </w:r>
      <w:r w:rsidR="00306909" w:rsidRPr="00461341">
        <w:rPr>
          <w:rFonts w:asciiTheme="majorHAnsi" w:hAnsiTheme="majorHAnsi" w:cstheme="majorHAnsi"/>
        </w:rPr>
        <w:t>–</w:t>
      </w:r>
      <w:r w:rsidRPr="00461341">
        <w:rPr>
          <w:rFonts w:asciiTheme="majorHAnsi" w:hAnsiTheme="majorHAnsi" w:cstheme="majorHAnsi"/>
        </w:rPr>
        <w:t xml:space="preserve"> 32</w:t>
      </w:r>
    </w:p>
    <w:p w:rsidR="00306909" w:rsidRPr="00461341" w:rsidRDefault="00306909" w:rsidP="00665647">
      <w:pPr>
        <w:jc w:val="center"/>
        <w:rPr>
          <w:rFonts w:asciiTheme="majorHAnsi" w:hAnsiTheme="majorHAnsi" w:cstheme="majorHAnsi"/>
        </w:rPr>
      </w:pPr>
      <w:r w:rsidRPr="00461341">
        <w:rPr>
          <w:rFonts w:asciiTheme="majorHAnsi" w:hAnsiTheme="majorHAnsi" w:cstheme="majorHAnsi"/>
        </w:rPr>
        <w:t>Staff Correspondents (1963). Deutsche National Zeitung: Sprachrohr Des Volkes. Der Spiegel</w:t>
      </w:r>
      <w:r w:rsidR="00CC7D12" w:rsidRPr="00461341">
        <w:rPr>
          <w:rFonts w:asciiTheme="majorHAnsi" w:hAnsiTheme="majorHAnsi" w:cstheme="majorHAnsi"/>
        </w:rPr>
        <w:t xml:space="preserve"> Magazine</w:t>
      </w:r>
      <w:r w:rsidRPr="00461341">
        <w:rPr>
          <w:rFonts w:asciiTheme="majorHAnsi" w:hAnsiTheme="majorHAnsi" w:cstheme="majorHAnsi"/>
        </w:rPr>
        <w:t xml:space="preserve"> Vol. 11 P46-52</w:t>
      </w:r>
    </w:p>
    <w:p w:rsidR="00003C3F" w:rsidRPr="00461341" w:rsidRDefault="00003C3F" w:rsidP="00665647">
      <w:pPr>
        <w:jc w:val="center"/>
        <w:rPr>
          <w:rFonts w:asciiTheme="majorHAnsi" w:hAnsiTheme="majorHAnsi" w:cstheme="majorHAnsi"/>
        </w:rPr>
      </w:pPr>
      <w:r w:rsidRPr="00461341">
        <w:rPr>
          <w:rFonts w:asciiTheme="majorHAnsi" w:hAnsiTheme="majorHAnsi" w:cstheme="majorHAnsi"/>
        </w:rPr>
        <w:t>Stein, D. (2013). Aus Der Zeit Gefallen. Junge Freiheit. Vol: 10. Berlin: JF Verlag.</w:t>
      </w:r>
    </w:p>
    <w:p w:rsidR="00306909" w:rsidRPr="00461341" w:rsidRDefault="00306909" w:rsidP="00665647">
      <w:pPr>
        <w:jc w:val="center"/>
        <w:rPr>
          <w:rFonts w:asciiTheme="majorHAnsi" w:hAnsiTheme="majorHAnsi" w:cstheme="majorHAnsi"/>
        </w:rPr>
      </w:pPr>
      <w:r w:rsidRPr="00461341">
        <w:rPr>
          <w:rFonts w:asciiTheme="majorHAnsi" w:hAnsiTheme="majorHAnsi" w:cstheme="majorHAnsi"/>
        </w:rPr>
        <w:t>Strothmann, D (1969). Angeklagt: Die National Zeitung.  Zeit Newspaper: Vol 36. Hamburg: Zeitverlag Gerd Bucerius</w:t>
      </w:r>
    </w:p>
    <w:p w:rsidR="00011DB5" w:rsidRPr="00461341" w:rsidRDefault="00011DB5" w:rsidP="00665647">
      <w:pPr>
        <w:jc w:val="center"/>
        <w:rPr>
          <w:rFonts w:asciiTheme="majorHAnsi" w:hAnsiTheme="majorHAnsi" w:cstheme="majorHAnsi"/>
        </w:rPr>
      </w:pPr>
      <w:r w:rsidRPr="00461341">
        <w:rPr>
          <w:rFonts w:asciiTheme="majorHAnsi" w:hAnsiTheme="majorHAnsi" w:cstheme="majorHAnsi"/>
        </w:rPr>
        <w:t>Tomushat, Ch. Et al. (trans.)  (2017) German Basic Law. Berlin: Federal Ministry of Justice</w:t>
      </w:r>
    </w:p>
    <w:p w:rsidR="00A35559" w:rsidRPr="00461341" w:rsidRDefault="00A35559" w:rsidP="00665647">
      <w:pPr>
        <w:jc w:val="center"/>
        <w:rPr>
          <w:rFonts w:asciiTheme="majorHAnsi" w:hAnsiTheme="majorHAnsi" w:cstheme="majorHAnsi"/>
        </w:rPr>
      </w:pPr>
      <w:r w:rsidRPr="00461341">
        <w:rPr>
          <w:rFonts w:asciiTheme="majorHAnsi" w:hAnsiTheme="majorHAnsi" w:cstheme="majorHAnsi"/>
        </w:rPr>
        <w:t>Pallade, Yves (2008). Antisemitism and Right-Wing Extremism in Germany: New Discourses. Israel Journal of Foreign Affairs Vol. 2: Iss. 1.</w:t>
      </w:r>
    </w:p>
    <w:p w:rsidR="00647C8F" w:rsidRPr="00461341" w:rsidRDefault="00647C8F" w:rsidP="00665647">
      <w:pPr>
        <w:jc w:val="center"/>
        <w:rPr>
          <w:rFonts w:asciiTheme="majorHAnsi" w:hAnsiTheme="majorHAnsi" w:cstheme="majorHAnsi"/>
        </w:rPr>
      </w:pPr>
      <w:r w:rsidRPr="00461341">
        <w:rPr>
          <w:rFonts w:asciiTheme="majorHAnsi" w:hAnsiTheme="majorHAnsi" w:cstheme="majorHAnsi"/>
        </w:rPr>
        <w:t>Paschner, G. (1967). Falsches Gewissen der Nation: Deutsche National-Zeitung und Soldaten-Zeitung. Mainz: Hase &amp; Koehler.</w:t>
      </w:r>
    </w:p>
    <w:p w:rsidR="00383D4C" w:rsidRPr="00461341" w:rsidRDefault="00383D4C" w:rsidP="00665647">
      <w:pPr>
        <w:jc w:val="center"/>
        <w:rPr>
          <w:rFonts w:asciiTheme="majorHAnsi" w:hAnsiTheme="majorHAnsi" w:cstheme="majorHAnsi"/>
        </w:rPr>
      </w:pPr>
      <w:r w:rsidRPr="00461341">
        <w:rPr>
          <w:rFonts w:asciiTheme="majorHAnsi" w:hAnsiTheme="majorHAnsi" w:cstheme="majorHAnsi"/>
        </w:rPr>
        <w:t>Pendas, D. (2006). The Frankfurt Auschwitz trial: 1963-</w:t>
      </w:r>
      <w:proofErr w:type="gramStart"/>
      <w:r w:rsidRPr="00461341">
        <w:rPr>
          <w:rFonts w:asciiTheme="majorHAnsi" w:hAnsiTheme="majorHAnsi" w:cstheme="majorHAnsi"/>
        </w:rPr>
        <w:t>1965 :</w:t>
      </w:r>
      <w:proofErr w:type="gramEnd"/>
      <w:r w:rsidRPr="00461341">
        <w:rPr>
          <w:rFonts w:asciiTheme="majorHAnsi" w:hAnsiTheme="majorHAnsi" w:cstheme="majorHAnsi"/>
        </w:rPr>
        <w:t xml:space="preserve"> genocide, history, and the limits of the law. England: Cambridge Univ. Press. P278-280</w:t>
      </w:r>
    </w:p>
    <w:p w:rsidR="001B2D1E" w:rsidRPr="00461341" w:rsidRDefault="001B2D1E" w:rsidP="00665647">
      <w:pPr>
        <w:jc w:val="center"/>
        <w:rPr>
          <w:rFonts w:asciiTheme="majorHAnsi" w:hAnsiTheme="majorHAnsi" w:cstheme="majorHAnsi"/>
        </w:rPr>
      </w:pPr>
      <w:r w:rsidRPr="00461341">
        <w:rPr>
          <w:rFonts w:asciiTheme="majorHAnsi" w:hAnsiTheme="majorHAnsi" w:cstheme="majorHAnsi"/>
        </w:rPr>
        <w:t>Westemeier, J. (2012). Himmlers Krieger: Joachim Peiper und die Junkerschulgeneration der Waffen-SS in Krieg und Nachkriegszeit Germany: Schöninghaus Verlag.</w:t>
      </w:r>
    </w:p>
    <w:p w:rsidR="00647C8F" w:rsidRPr="00461341" w:rsidRDefault="00647C8F"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461341" w:rsidRDefault="004A66C0" w:rsidP="00665647">
      <w:pPr>
        <w:jc w:val="center"/>
        <w:rPr>
          <w:rFonts w:asciiTheme="majorHAnsi" w:hAnsiTheme="majorHAnsi" w:cstheme="majorHAnsi"/>
        </w:rPr>
      </w:pPr>
    </w:p>
    <w:p w:rsidR="004A66C0" w:rsidRPr="007D5488" w:rsidRDefault="004A66C0" w:rsidP="00665647">
      <w:pPr>
        <w:jc w:val="center"/>
        <w:rPr>
          <w:rFonts w:ascii="Brother Deluxe 1350 Font" w:hAnsi="Brother Deluxe 1350 Font"/>
          <w:sz w:val="28"/>
          <w:szCs w:val="28"/>
        </w:rPr>
      </w:pPr>
    </w:p>
    <w:sectPr w:rsidR="004A66C0" w:rsidRPr="007D5488" w:rsidSect="00417B1D">
      <w:pgSz w:w="11906" w:h="16838"/>
      <w:pgMar w:top="1440" w:right="2880" w:bottom="1440" w:left="28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1623" w:rsidRDefault="00331623" w:rsidP="007D5488">
      <w:pPr>
        <w:spacing w:after="0" w:line="240" w:lineRule="auto"/>
      </w:pPr>
      <w:r>
        <w:separator/>
      </w:r>
    </w:p>
  </w:endnote>
  <w:endnote w:type="continuationSeparator" w:id="0">
    <w:p w:rsidR="00331623" w:rsidRDefault="00331623" w:rsidP="007D5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Liberation Serif">
    <w:panose1 w:val="02020603050405020304"/>
    <w:charset w:val="00"/>
    <w:family w:val="roman"/>
    <w:pitch w:val="variable"/>
    <w:sig w:usb0="E0000AFF" w:usb1="500078FF" w:usb2="00000021" w:usb3="00000000" w:csb0="000001BF" w:csb1="00000000"/>
  </w:font>
  <w:font w:name="Lucida Sans">
    <w:panose1 w:val="020B0602030504020204"/>
    <w:charset w:val="00"/>
    <w:family w:val="swiss"/>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rother Deluxe 1350 Font">
    <w:panose1 w:val="02000506000000020000"/>
    <w:charset w:val="00"/>
    <w:family w:val="auto"/>
    <w:pitch w:val="variable"/>
    <w:sig w:usb0="00000003" w:usb1="00000000" w:usb2="00000000" w:usb3="00000000" w:csb0="00000001" w:csb1="00000000"/>
  </w:font>
  <w:font w:name="Californian FB">
    <w:panose1 w:val="0207040306080B030204"/>
    <w:charset w:val="00"/>
    <w:family w:val="roman"/>
    <w:pitch w:val="variable"/>
    <w:sig w:usb0="00000003" w:usb1="00000000" w:usb2="00000000" w:usb3="00000000" w:csb0="00000001" w:csb1="00000000"/>
  </w:font>
  <w:font w:name="Poor Richard">
    <w:panose1 w:val="02080502050505020702"/>
    <w:charset w:val="00"/>
    <w:family w:val="roman"/>
    <w:pitch w:val="variable"/>
    <w:sig w:usb0="00000003" w:usb1="00000000" w:usb2="00000000" w:usb3="00000000" w:csb0="00000001" w:csb1="00000000"/>
  </w:font>
  <w:font w:name="Bodoni MT">
    <w:panose1 w:val="020706030806060202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1623" w:rsidRDefault="00331623" w:rsidP="007D5488">
      <w:pPr>
        <w:spacing w:after="0" w:line="240" w:lineRule="auto"/>
      </w:pPr>
      <w:r>
        <w:separator/>
      </w:r>
    </w:p>
  </w:footnote>
  <w:footnote w:type="continuationSeparator" w:id="0">
    <w:p w:rsidR="00331623" w:rsidRDefault="00331623" w:rsidP="007D5488">
      <w:pPr>
        <w:spacing w:after="0" w:line="240" w:lineRule="auto"/>
      </w:pPr>
      <w:r>
        <w:continuationSeparator/>
      </w:r>
    </w:p>
  </w:footnote>
  <w:footnote w:id="1">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t>
      </w:r>
      <w:r w:rsidRPr="00461341">
        <w:rPr>
          <w:rFonts w:asciiTheme="majorHAnsi" w:hAnsiTheme="majorHAnsi" w:cstheme="majorHAnsi"/>
          <w:i/>
          <w:iCs/>
          <w:sz w:val="18"/>
          <w:szCs w:val="18"/>
        </w:rPr>
        <w:t xml:space="preserve"> </w:t>
      </w:r>
      <w:r w:rsidRPr="00461341">
        <w:rPr>
          <w:rFonts w:asciiTheme="majorHAnsi" w:hAnsiTheme="majorHAnsi" w:cstheme="majorHAnsi"/>
          <w:sz w:val="18"/>
          <w:szCs w:val="18"/>
        </w:rPr>
        <w:t>Tomushat, Ch. Et al. (trans.)  (2017) German Basic Law. Berlin: Federal Ministry of Justice.</w:t>
      </w:r>
    </w:p>
  </w:footnote>
  <w:footnote w:id="2">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Staff Correspondents (1969). Frey-Stil. Der Spiegel Magazine Vol. 8 P64-65. Hamburg: Springer</w:t>
      </w:r>
    </w:p>
  </w:footnote>
  <w:footnote w:id="3">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w:t>
      </w:r>
    </w:p>
  </w:footnote>
  <w:footnote w:id="4">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BfV to BMI. II/A-4-061-S-50142-196/67 VS-NfD. 27 November 1967. Band 2</w:t>
      </w:r>
    </w:p>
  </w:footnote>
  <w:footnote w:id="5">
    <w:p w:rsidR="00BD1F68" w:rsidRPr="00461341" w:rsidRDefault="00BD1F68" w:rsidP="007A344F">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Staff Correspondents (1967). Kreuz Im Kopf. Der Spiegel Magazine Vol. 33 P64-65. Hamburg: Springer. P28 - 32</w:t>
      </w:r>
    </w:p>
    <w:p w:rsidR="00BD1F68" w:rsidRPr="00461341" w:rsidRDefault="00BD1F68">
      <w:pPr>
        <w:pStyle w:val="FootnoteText"/>
        <w:rPr>
          <w:rFonts w:asciiTheme="majorHAnsi" w:hAnsiTheme="majorHAnsi" w:cstheme="majorHAnsi"/>
          <w:sz w:val="18"/>
          <w:szCs w:val="18"/>
        </w:rPr>
      </w:pPr>
    </w:p>
  </w:footnote>
  <w:footnote w:id="6">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Munich Administrative Judge Interview Under Oath With Former DNZ Employee (1967</w:t>
      </w:r>
      <w:proofErr w:type="gramStart"/>
      <w:r w:rsidRPr="00461341">
        <w:rPr>
          <w:rFonts w:asciiTheme="majorHAnsi" w:hAnsiTheme="majorHAnsi" w:cstheme="majorHAnsi"/>
          <w:sz w:val="18"/>
          <w:szCs w:val="18"/>
        </w:rPr>
        <w:t>) ,</w:t>
      </w:r>
      <w:proofErr w:type="gramEnd"/>
      <w:r w:rsidRPr="00461341">
        <w:rPr>
          <w:rFonts w:asciiTheme="majorHAnsi" w:hAnsiTheme="majorHAnsi" w:cstheme="majorHAnsi"/>
          <w:sz w:val="18"/>
          <w:szCs w:val="18"/>
        </w:rPr>
        <w:t xml:space="preserve"> attached to BfV to BMI. II/A-4-061-S-50142-196/67 VS-NfD. 27 November 1967. Band 2</w:t>
      </w:r>
    </w:p>
  </w:footnote>
  <w:footnote w:id="7">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Munich Administrative Judge Interview Under Oath With Former DNZ Employee (1967</w:t>
      </w:r>
      <w:proofErr w:type="gramStart"/>
      <w:r w:rsidRPr="00461341">
        <w:rPr>
          <w:rFonts w:asciiTheme="majorHAnsi" w:hAnsiTheme="majorHAnsi" w:cstheme="majorHAnsi"/>
          <w:sz w:val="18"/>
          <w:szCs w:val="18"/>
        </w:rPr>
        <w:t>) ,</w:t>
      </w:r>
      <w:proofErr w:type="gramEnd"/>
      <w:r w:rsidRPr="00461341">
        <w:rPr>
          <w:rFonts w:asciiTheme="majorHAnsi" w:hAnsiTheme="majorHAnsi" w:cstheme="majorHAnsi"/>
          <w:sz w:val="18"/>
          <w:szCs w:val="18"/>
        </w:rPr>
        <w:t xml:space="preserve"> attached to BfV to BMI. II/A-4-061-S-50142-196/67 VS-NfD. 27 November 1967. Band 2</w:t>
      </w:r>
    </w:p>
  </w:footnote>
  <w:footnote w:id="8">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Staff Correspondents (1969). Frey-Stil. Der Spiegel Magazine Vol. 8 P64-65.</w:t>
      </w:r>
    </w:p>
  </w:footnote>
  <w:footnote w:id="9">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t>
      </w:r>
    </w:p>
  </w:footnote>
  <w:footnote w:id="10">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Strothmann, D (1969). Angeklagt: Die National Zeitung.  Zeit Newspaper: Vol 36. Hamburg: Zeitverlag Gerd Bucerius</w:t>
      </w:r>
    </w:p>
  </w:footnote>
  <w:footnote w:id="11">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Staff Correspondents (1963). Deutsche National Zeitung: Sprachrohr Des Volkes. Der Spiegel Vol. 11 P46-52</w:t>
      </w:r>
    </w:p>
  </w:footnote>
  <w:footnote w:id="12">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BMI Department ÖS1 to BMI – Minister. </w:t>
      </w:r>
      <w:r w:rsidRPr="00461341">
        <w:rPr>
          <w:rFonts w:asciiTheme="majorHAnsi" w:hAnsiTheme="majorHAnsi" w:cstheme="majorHAnsi"/>
          <w:i/>
          <w:sz w:val="18"/>
          <w:szCs w:val="18"/>
        </w:rPr>
        <w:t xml:space="preserve"> ÖS1 – 601 029 / 1</w:t>
      </w:r>
      <w:r w:rsidRPr="00461341">
        <w:rPr>
          <w:rFonts w:asciiTheme="majorHAnsi" w:hAnsiTheme="majorHAnsi" w:cstheme="majorHAnsi"/>
          <w:sz w:val="18"/>
          <w:szCs w:val="18"/>
        </w:rPr>
        <w:t>. 12 November 1969. Band 8</w:t>
      </w:r>
    </w:p>
  </w:footnote>
  <w:footnote w:id="13">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t>
      </w:r>
      <w:r w:rsidRPr="00461341">
        <w:rPr>
          <w:rFonts w:asciiTheme="majorHAnsi" w:hAnsiTheme="majorHAnsi" w:cstheme="majorHAnsi"/>
          <w:color w:val="000000"/>
          <w:sz w:val="18"/>
          <w:szCs w:val="18"/>
          <w:shd w:val="clear" w:color="auto" w:fill="FFFFFF"/>
        </w:rPr>
        <w:t xml:space="preserve">Bumke, C &amp; Voßkuhle, </w:t>
      </w:r>
      <w:proofErr w:type="gramStart"/>
      <w:r w:rsidRPr="00461341">
        <w:rPr>
          <w:rFonts w:asciiTheme="majorHAnsi" w:hAnsiTheme="majorHAnsi" w:cstheme="majorHAnsi"/>
          <w:color w:val="000000"/>
          <w:sz w:val="18"/>
          <w:szCs w:val="18"/>
          <w:shd w:val="clear" w:color="auto" w:fill="FFFFFF"/>
        </w:rPr>
        <w:t>A.(</w:t>
      </w:r>
      <w:proofErr w:type="gramEnd"/>
      <w:r w:rsidRPr="00461341">
        <w:rPr>
          <w:rFonts w:asciiTheme="majorHAnsi" w:hAnsiTheme="majorHAnsi" w:cstheme="majorHAnsi"/>
          <w:color w:val="000000"/>
          <w:sz w:val="18"/>
          <w:szCs w:val="18"/>
          <w:shd w:val="clear" w:color="auto" w:fill="FFFFFF"/>
        </w:rPr>
        <w:t>2015). </w:t>
      </w:r>
      <w:r w:rsidRPr="00461341">
        <w:rPr>
          <w:rFonts w:asciiTheme="majorHAnsi" w:hAnsiTheme="majorHAnsi" w:cstheme="majorHAnsi"/>
          <w:i/>
          <w:iCs/>
          <w:color w:val="000000"/>
          <w:sz w:val="18"/>
          <w:szCs w:val="18"/>
          <w:shd w:val="clear" w:color="auto" w:fill="FFFFFF"/>
        </w:rPr>
        <w:t>Casebook Verfassungsrecht</w:t>
      </w:r>
      <w:r w:rsidRPr="00461341">
        <w:rPr>
          <w:rFonts w:asciiTheme="majorHAnsi" w:hAnsiTheme="majorHAnsi" w:cstheme="majorHAnsi"/>
          <w:color w:val="000000"/>
          <w:sz w:val="18"/>
          <w:szCs w:val="18"/>
          <w:shd w:val="clear" w:color="auto" w:fill="FFFFFF"/>
        </w:rPr>
        <w:t>. Tübingen: Mohr Siebeck. Section 1508.</w:t>
      </w:r>
    </w:p>
  </w:footnote>
  <w:footnote w:id="14">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t>
      </w:r>
      <w:bookmarkStart w:id="0" w:name="_Hlk505147543"/>
      <w:r w:rsidRPr="00461341">
        <w:rPr>
          <w:rFonts w:asciiTheme="majorHAnsi" w:hAnsiTheme="majorHAnsi" w:cstheme="majorHAnsi"/>
          <w:sz w:val="18"/>
          <w:szCs w:val="18"/>
        </w:rPr>
        <w:t xml:space="preserve">Backes, U., &amp; Moreau, P. (1994). Die extreme Rechte in Deutschland: Geschichte - gegenwärtige Gefahren - Ursachen - Gegenmaßnahmen. München: </w:t>
      </w:r>
      <w:proofErr w:type="gramStart"/>
      <w:r w:rsidRPr="00461341">
        <w:rPr>
          <w:rFonts w:asciiTheme="majorHAnsi" w:hAnsiTheme="majorHAnsi" w:cstheme="majorHAnsi"/>
          <w:sz w:val="18"/>
          <w:szCs w:val="18"/>
        </w:rPr>
        <w:t>Akad.-</w:t>
      </w:r>
      <w:proofErr w:type="gramEnd"/>
      <w:r w:rsidRPr="00461341">
        <w:rPr>
          <w:rFonts w:asciiTheme="majorHAnsi" w:hAnsiTheme="majorHAnsi" w:cstheme="majorHAnsi"/>
          <w:sz w:val="18"/>
          <w:szCs w:val="18"/>
        </w:rPr>
        <w:t>Verl. P6</w:t>
      </w:r>
      <w:bookmarkEnd w:id="0"/>
    </w:p>
  </w:footnote>
  <w:footnote w:id="15">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t>
      </w:r>
      <w:r w:rsidRPr="00461341">
        <w:rPr>
          <w:rFonts w:asciiTheme="majorHAnsi" w:hAnsiTheme="majorHAnsi" w:cstheme="majorHAnsi"/>
          <w:color w:val="000000"/>
          <w:sz w:val="18"/>
          <w:szCs w:val="18"/>
          <w:shd w:val="clear" w:color="auto" w:fill="FFFFFF"/>
        </w:rPr>
        <w:t xml:space="preserve">Bumke, C &amp; Voßkuhle, </w:t>
      </w:r>
      <w:proofErr w:type="gramStart"/>
      <w:r w:rsidRPr="00461341">
        <w:rPr>
          <w:rFonts w:asciiTheme="majorHAnsi" w:hAnsiTheme="majorHAnsi" w:cstheme="majorHAnsi"/>
          <w:color w:val="000000"/>
          <w:sz w:val="18"/>
          <w:szCs w:val="18"/>
          <w:shd w:val="clear" w:color="auto" w:fill="FFFFFF"/>
        </w:rPr>
        <w:t>A.(</w:t>
      </w:r>
      <w:proofErr w:type="gramEnd"/>
      <w:r w:rsidRPr="00461341">
        <w:rPr>
          <w:rFonts w:asciiTheme="majorHAnsi" w:hAnsiTheme="majorHAnsi" w:cstheme="majorHAnsi"/>
          <w:color w:val="000000"/>
          <w:sz w:val="18"/>
          <w:szCs w:val="18"/>
          <w:shd w:val="clear" w:color="auto" w:fill="FFFFFF"/>
        </w:rPr>
        <w:t>2015). </w:t>
      </w:r>
      <w:r w:rsidRPr="00461341">
        <w:rPr>
          <w:rFonts w:asciiTheme="majorHAnsi" w:hAnsiTheme="majorHAnsi" w:cstheme="majorHAnsi"/>
          <w:i/>
          <w:iCs/>
          <w:color w:val="000000"/>
          <w:sz w:val="18"/>
          <w:szCs w:val="18"/>
          <w:shd w:val="clear" w:color="auto" w:fill="FFFFFF"/>
        </w:rPr>
        <w:t>Casebook Verfassungsrecht</w:t>
      </w:r>
      <w:r w:rsidRPr="00461341">
        <w:rPr>
          <w:rFonts w:asciiTheme="majorHAnsi" w:hAnsiTheme="majorHAnsi" w:cstheme="majorHAnsi"/>
          <w:color w:val="000000"/>
          <w:sz w:val="18"/>
          <w:szCs w:val="18"/>
          <w:shd w:val="clear" w:color="auto" w:fill="FFFFFF"/>
        </w:rPr>
        <w:t>. Tübingen: Mohr Siebeck. Section 1509.</w:t>
      </w:r>
    </w:p>
  </w:footnote>
  <w:footnote w:id="16">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t>
      </w:r>
      <w:bookmarkStart w:id="1" w:name="_Hlk505151088"/>
      <w:r w:rsidRPr="00461341">
        <w:rPr>
          <w:rFonts w:asciiTheme="majorHAnsi" w:hAnsiTheme="majorHAnsi" w:cstheme="majorHAnsi"/>
          <w:sz w:val="18"/>
          <w:szCs w:val="18"/>
        </w:rPr>
        <w:t>Staff Correspondents (1969). Frey-Stil. Der Spiegel Magazine Vol. 8 Hamburg: Springer-P64-65</w:t>
      </w:r>
      <w:bookmarkEnd w:id="1"/>
    </w:p>
  </w:footnote>
  <w:footnote w:id="17">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Feinberg, J. (2014). Rights, Justice, and the Bounds of Liberty: Essays in Social Philosophy. Princeton: Princeton University Press. 241</w:t>
      </w:r>
    </w:p>
  </w:footnote>
  <w:footnote w:id="18">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De Burca G., &amp; Scott, J. (2002). The EU and the WTO: Legal and Constitutional Issues. Oxford: Hart Publishing Limited. P84</w:t>
      </w:r>
    </w:p>
  </w:footnote>
  <w:footnote w:id="19">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Seuffert, Geiger, W., &amp; Leibholz, G (eds.) (1974). Menschenwürde und freiheitliche Rechtsordnung: Festschrift für Willi Geiger zum 65. Geburtstag. Tübingen: Mohr.</w:t>
      </w:r>
    </w:p>
  </w:footnote>
  <w:footnote w:id="20">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Staff Correspondents (1969). Frey-Stil. Der Spiegel Magazine Vol. 8 Hamburg: Springer-P64-65</w:t>
      </w:r>
    </w:p>
  </w:footnote>
  <w:footnote w:id="21">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BMI Department ÖS1 to BMI – Minister. </w:t>
      </w:r>
      <w:r w:rsidRPr="00461341">
        <w:rPr>
          <w:rFonts w:asciiTheme="majorHAnsi" w:hAnsiTheme="majorHAnsi" w:cstheme="majorHAnsi"/>
          <w:i/>
          <w:sz w:val="18"/>
          <w:szCs w:val="18"/>
        </w:rPr>
        <w:t xml:space="preserve"> ÖS1 – 601 029 / 1</w:t>
      </w:r>
      <w:r w:rsidRPr="00461341">
        <w:rPr>
          <w:rFonts w:asciiTheme="majorHAnsi" w:hAnsiTheme="majorHAnsi" w:cstheme="majorHAnsi"/>
          <w:sz w:val="18"/>
          <w:szCs w:val="18"/>
        </w:rPr>
        <w:t>. 12 November 1969. Band 8</w:t>
      </w:r>
    </w:p>
  </w:footnote>
  <w:footnote w:id="22">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Cornils, I. (2016). Writing the revolution: The Construction of "1968" in Germany. New York: Camden House Inc. P201</w:t>
      </w:r>
    </w:p>
  </w:footnote>
  <w:footnote w:id="23">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Glajar, V., &amp; Teodorescu, J. (2011). Local History, Transnational Memory in the Romanian Holocaust. New York: Palgrave Macmillan US. P219. Footnote 3 </w:t>
      </w:r>
    </w:p>
  </w:footnote>
  <w:footnote w:id="24">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Westemeier, J. (2012). Himmlers Krieger: Joachim Peiper und die Junkerschulgeneration der Waffen-SS in Krieg und Nachkriegszeit Germany: Schöninghaus Verlag. P597</w:t>
      </w:r>
    </w:p>
  </w:footnote>
  <w:footnote w:id="25">
    <w:p w:rsidR="00BD1F68" w:rsidRPr="00461341" w:rsidRDefault="00BD1F68" w:rsidP="006231BB">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lang w:val="fr-FR"/>
        </w:rPr>
        <w:t xml:space="preserve"> For a chart with a breakdown of NPD election successes in the late 1960s, see Mcgowan, L. E. E. (2017). Radical Right In </w:t>
      </w:r>
      <w:proofErr w:type="gramStart"/>
      <w:r w:rsidRPr="00461341">
        <w:rPr>
          <w:rFonts w:asciiTheme="majorHAnsi" w:hAnsiTheme="majorHAnsi" w:cstheme="majorHAnsi"/>
          <w:sz w:val="18"/>
          <w:szCs w:val="18"/>
          <w:lang w:val="fr-FR"/>
        </w:rPr>
        <w:t>Germany:</w:t>
      </w:r>
      <w:proofErr w:type="gramEnd"/>
      <w:r w:rsidRPr="00461341">
        <w:rPr>
          <w:rFonts w:asciiTheme="majorHAnsi" w:hAnsiTheme="majorHAnsi" w:cstheme="majorHAnsi"/>
          <w:sz w:val="18"/>
          <w:szCs w:val="18"/>
          <w:lang w:val="fr-FR"/>
        </w:rPr>
        <w:t xml:space="preserve"> 1870 To The Present. New Hampshire, </w:t>
      </w:r>
      <w:proofErr w:type="gramStart"/>
      <w:r w:rsidRPr="00461341">
        <w:rPr>
          <w:rFonts w:asciiTheme="majorHAnsi" w:hAnsiTheme="majorHAnsi" w:cstheme="majorHAnsi"/>
          <w:sz w:val="18"/>
          <w:szCs w:val="18"/>
          <w:lang w:val="fr-FR"/>
        </w:rPr>
        <w:t>USA:</w:t>
      </w:r>
      <w:proofErr w:type="gramEnd"/>
      <w:r w:rsidRPr="00461341">
        <w:rPr>
          <w:rFonts w:asciiTheme="majorHAnsi" w:hAnsiTheme="majorHAnsi" w:cstheme="majorHAnsi"/>
          <w:sz w:val="18"/>
          <w:szCs w:val="18"/>
          <w:lang w:val="fr-FR"/>
        </w:rPr>
        <w:t xml:space="preserve"> Routledge P156</w:t>
      </w:r>
    </w:p>
    <w:p w:rsidR="00BD1F68" w:rsidRPr="00461341" w:rsidRDefault="00BD1F68">
      <w:pPr>
        <w:pStyle w:val="FootnoteText"/>
        <w:rPr>
          <w:rFonts w:asciiTheme="majorHAnsi" w:hAnsiTheme="majorHAnsi" w:cstheme="majorHAnsi"/>
          <w:sz w:val="18"/>
          <w:szCs w:val="18"/>
        </w:rPr>
      </w:pPr>
    </w:p>
  </w:footnote>
  <w:footnote w:id="26">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Jenni-Preihs</w:t>
      </w:r>
      <w:proofErr w:type="gramStart"/>
      <w:r w:rsidRPr="00461341">
        <w:rPr>
          <w:rFonts w:asciiTheme="majorHAnsi" w:hAnsiTheme="majorHAnsi" w:cstheme="majorHAnsi"/>
          <w:sz w:val="18"/>
          <w:szCs w:val="18"/>
        </w:rPr>
        <w:t>, .</w:t>
      </w:r>
      <w:proofErr w:type="gramEnd"/>
      <w:r w:rsidRPr="00461341">
        <w:rPr>
          <w:rFonts w:asciiTheme="majorHAnsi" w:hAnsiTheme="majorHAnsi" w:cstheme="majorHAnsi"/>
          <w:sz w:val="18"/>
          <w:szCs w:val="18"/>
        </w:rPr>
        <w:t xml:space="preserve"> (2013). Gerhard Richter und die Geschichte Deutschlands. Münster: LIT-Verlag. P68</w:t>
      </w:r>
    </w:p>
  </w:footnote>
  <w:footnote w:id="27">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Denecken, H. (2000). " ... Ihr dürft ihn nie vergessen!": Der Ludwig-Marum-Preis 1988-1999. Karlsruhe: Info-Verl. P98</w:t>
      </w:r>
    </w:p>
  </w:footnote>
  <w:footnote w:id="28">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For further reference, consult a full list of Spiegel articles about Frey in the bibliography of this paper.</w:t>
      </w:r>
    </w:p>
  </w:footnote>
  <w:footnote w:id="29">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Laqueur, Walter (1967). Bonn Is Not Weimar. Commentary Magazine. Vol: 43. New York: AJC. Digitalised.</w:t>
      </w:r>
    </w:p>
  </w:footnote>
  <w:footnote w:id="30">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Paschner, G. (1967). Falsches Gewissen der Nation: Deutsche National-Zeitung und Soldaten-Zeitung. Mainz: Hase &amp; Koehler.</w:t>
      </w:r>
    </w:p>
  </w:footnote>
  <w:footnote w:id="31">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Backes, U., &amp; Jesse, E. (1989). Politischer Extremismus in der Bundesrepublik Deutschland. Cologne: Verlag Wissenschaft und Politik. P101 Footnote 75.</w:t>
      </w:r>
    </w:p>
  </w:footnote>
  <w:footnote w:id="32">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Merkl, P. (1989). </w:t>
      </w:r>
      <w:r w:rsidRPr="00461341">
        <w:rPr>
          <w:rFonts w:asciiTheme="majorHAnsi" w:hAnsiTheme="majorHAnsi" w:cstheme="majorHAnsi"/>
          <w:i/>
          <w:iCs/>
          <w:sz w:val="18"/>
          <w:szCs w:val="18"/>
        </w:rPr>
        <w:t>The Federal Republic of Germany at forty</w:t>
      </w:r>
      <w:r w:rsidRPr="00461341">
        <w:rPr>
          <w:rFonts w:asciiTheme="majorHAnsi" w:hAnsiTheme="majorHAnsi" w:cstheme="majorHAnsi"/>
          <w:sz w:val="18"/>
          <w:szCs w:val="18"/>
        </w:rPr>
        <w:t>. New York: New York University Press. P454</w:t>
      </w:r>
    </w:p>
  </w:footnote>
  <w:footnote w:id="33">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Pendas, D. (2006). The Frankfurt Auschwitz trial: 1963-</w:t>
      </w:r>
      <w:proofErr w:type="gramStart"/>
      <w:r w:rsidRPr="00461341">
        <w:rPr>
          <w:rFonts w:asciiTheme="majorHAnsi" w:hAnsiTheme="majorHAnsi" w:cstheme="majorHAnsi"/>
          <w:sz w:val="18"/>
          <w:szCs w:val="18"/>
        </w:rPr>
        <w:t>1965 :</w:t>
      </w:r>
      <w:proofErr w:type="gramEnd"/>
      <w:r w:rsidRPr="00461341">
        <w:rPr>
          <w:rFonts w:asciiTheme="majorHAnsi" w:hAnsiTheme="majorHAnsi" w:cstheme="majorHAnsi"/>
          <w:sz w:val="18"/>
          <w:szCs w:val="18"/>
        </w:rPr>
        <w:t xml:space="preserve"> genocide, history, and the limits of the law. England: Cambridge Univ. Press. P278-280</w:t>
      </w:r>
    </w:p>
  </w:footnote>
  <w:footnote w:id="34">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Karner, C. (2016). Negotiating national identities: Between globalization, the past and 'the other'. London: Routledge. P30</w:t>
      </w:r>
    </w:p>
  </w:footnote>
  <w:footnote w:id="35">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Pallade, Yves (2008). Antisemitism and Right-Wing Extremism in Germany: New Discourses. Israel Journal of Foreign Affairs Vol. 2: Iss. 1. Pnn. </w:t>
      </w:r>
    </w:p>
  </w:footnote>
  <w:footnote w:id="36">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Jander, M &amp; Reimer, J (trans) (2017). Antisemitism and Anti-Zionism in West Germany in the 1970s: Lessons for Today.  Fathom Magazine. Washington: BICOM. </w:t>
      </w:r>
      <w:hyperlink r:id="rId1" w:history="1">
        <w:r w:rsidRPr="00461341">
          <w:rPr>
            <w:rStyle w:val="Hyperlink"/>
            <w:rFonts w:asciiTheme="majorHAnsi" w:hAnsiTheme="majorHAnsi" w:cstheme="majorHAnsi"/>
            <w:sz w:val="18"/>
            <w:szCs w:val="18"/>
          </w:rPr>
          <w:t>http://fathomjournal.org/antisemitism-and-anti-zionism-in-west-germany-in-the-1970s-lessons-for-today/</w:t>
        </w:r>
      </w:hyperlink>
      <w:r w:rsidRPr="00461341">
        <w:rPr>
          <w:rFonts w:asciiTheme="majorHAnsi" w:hAnsiTheme="majorHAnsi" w:cstheme="majorHAnsi"/>
          <w:sz w:val="18"/>
          <w:szCs w:val="18"/>
        </w:rPr>
        <w:t xml:space="preserve"> </w:t>
      </w:r>
    </w:p>
  </w:footnote>
  <w:footnote w:id="37">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Hentges G. (2002) Das Plädoyer für eine „deutsche </w:t>
      </w:r>
      <w:proofErr w:type="gramStart"/>
      <w:r w:rsidRPr="00461341">
        <w:rPr>
          <w:rFonts w:asciiTheme="majorHAnsi" w:hAnsiTheme="majorHAnsi" w:cstheme="majorHAnsi"/>
          <w:sz w:val="18"/>
          <w:szCs w:val="18"/>
        </w:rPr>
        <w:t>Leitkultur“ —</w:t>
      </w:r>
      <w:proofErr w:type="gramEnd"/>
      <w:r w:rsidRPr="00461341">
        <w:rPr>
          <w:rFonts w:asciiTheme="majorHAnsi" w:hAnsiTheme="majorHAnsi" w:cstheme="majorHAnsi"/>
          <w:sz w:val="18"/>
          <w:szCs w:val="18"/>
        </w:rPr>
        <w:t xml:space="preserve"> Steilvorlage für die extreme Rechte?. In: Themen der Rechten — Themen der Mitte. VS Verlag für Sozialwissenschaften, Wiesbaden</w:t>
      </w:r>
    </w:p>
  </w:footnote>
  <w:footnote w:id="38">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Skenderovic, D. (2009). The radical right in Switzerland: Continuity and change, 1945-2000. New York: Berghahn Books. P190</w:t>
      </w:r>
    </w:p>
  </w:footnote>
  <w:footnote w:id="39">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Stein, D. (2013). Aus Der Zeit Gefallen. Junge Freiheit. Vol: 10. Berlin: JF Verlag. Digitally Archived. </w:t>
      </w:r>
    </w:p>
  </w:footnote>
  <w:footnote w:id="40">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There would, for example, in the end be almost no new insight gained from focusing for example on one of the most detailed documents in the Frey files, the 1968 statistics on DNZ readership by social class, produced by the Federal Press Office </w:t>
      </w:r>
      <w:proofErr w:type="gramStart"/>
      <w:r w:rsidRPr="00461341">
        <w:rPr>
          <w:rFonts w:asciiTheme="majorHAnsi" w:hAnsiTheme="majorHAnsi" w:cstheme="majorHAnsi"/>
          <w:sz w:val="18"/>
          <w:szCs w:val="18"/>
        </w:rPr>
        <w:t>For</w:t>
      </w:r>
      <w:proofErr w:type="gramEnd"/>
      <w:r w:rsidRPr="00461341">
        <w:rPr>
          <w:rFonts w:asciiTheme="majorHAnsi" w:hAnsiTheme="majorHAnsi" w:cstheme="majorHAnsi"/>
          <w:sz w:val="18"/>
          <w:szCs w:val="18"/>
        </w:rPr>
        <w:t xml:space="preserve"> the Chancellor´s office. In the end, while providing slightly more nuanced and far more detail, they reconfirm widespread assumptions at the time about the readership of the paper coming disproportionately from the circles of displaced persons and from the upper-middle class of officers. Presse und Informationsamt </w:t>
      </w:r>
      <w:proofErr w:type="gramStart"/>
      <w:r w:rsidRPr="00461341">
        <w:rPr>
          <w:rFonts w:asciiTheme="majorHAnsi" w:hAnsiTheme="majorHAnsi" w:cstheme="majorHAnsi"/>
          <w:sz w:val="18"/>
          <w:szCs w:val="18"/>
        </w:rPr>
        <w:t>Der</w:t>
      </w:r>
      <w:proofErr w:type="gramEnd"/>
      <w:r w:rsidRPr="00461341">
        <w:rPr>
          <w:rFonts w:asciiTheme="majorHAnsi" w:hAnsiTheme="majorHAnsi" w:cstheme="majorHAnsi"/>
          <w:sz w:val="18"/>
          <w:szCs w:val="18"/>
        </w:rPr>
        <w:t xml:space="preserve"> Bundesregierung, Bonn. Dem 20/68. 4 May 1968. Band 3. </w:t>
      </w:r>
    </w:p>
  </w:footnote>
  <w:footnote w:id="41">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Gawron, T. &amp; Schäfer, R. (1976). Justiz und organisierte Interessen in der BRD. Legitimationsprobleme politischer Systeme: Politische Vierteljahresschrift Sonderhefte. Vol 7. P217-269</w:t>
      </w:r>
    </w:p>
  </w:footnote>
  <w:footnote w:id="42">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Bond, M et al (1990). A tale of two Germanys. Wilmington, DE: Atomium Books. P28</w:t>
      </w:r>
    </w:p>
  </w:footnote>
  <w:footnote w:id="43">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 P217</w:t>
      </w:r>
    </w:p>
  </w:footnote>
  <w:footnote w:id="44">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Stulz-Herrnstadt, M. et al (2017). Neues Bundesarchivgesetz in Kraft getreten. Berlin:  DLA Piper Law Briefings. http://blogs.dlapiper.com/iptgermany/2017/03/24/neues-bundesarchivgesetz-in-kraft-getreten/</w:t>
      </w:r>
    </w:p>
  </w:footnote>
  <w:footnote w:id="45">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BfV to BMI. II/A-4-061-S-50142-196/67 VS-NfD. 27 November 1967. Band 2</w:t>
      </w:r>
    </w:p>
  </w:footnote>
  <w:footnote w:id="46">
    <w:p w:rsidR="00BD1F68" w:rsidRPr="00461341" w:rsidRDefault="00BD1F68" w:rsidP="00DA2729">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BfV to BMI. II/A-4-061-S-50142-196/67 VS-NfD. 27 November 1967. Band 2</w:t>
      </w:r>
    </w:p>
  </w:footnote>
  <w:footnote w:id="47">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 </w:t>
      </w:r>
    </w:p>
  </w:footnote>
  <w:footnote w:id="48">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BfV to BMI. II/A-4-061-S-50142-204/67 VS-NfD 13 December 1967. Band 2</w:t>
      </w:r>
    </w:p>
  </w:footnote>
  <w:footnote w:id="49">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BMJ to BMI. 4021E (216) – 45/67 VS. 15 January 1968. </w:t>
      </w:r>
    </w:p>
  </w:footnote>
  <w:footnote w:id="50">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 Handwritten, illegibly initially note on the back-side. </w:t>
      </w:r>
    </w:p>
  </w:footnote>
  <w:footnote w:id="51">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BMJ TO BMI</w:t>
      </w:r>
      <w:proofErr w:type="gramStart"/>
      <w:r w:rsidRPr="00461341">
        <w:rPr>
          <w:rFonts w:asciiTheme="majorHAnsi" w:hAnsiTheme="majorHAnsi" w:cstheme="majorHAnsi"/>
          <w:sz w:val="18"/>
          <w:szCs w:val="18"/>
        </w:rPr>
        <w:t>. .</w:t>
      </w:r>
      <w:proofErr w:type="gramEnd"/>
      <w:r w:rsidRPr="00461341">
        <w:rPr>
          <w:rFonts w:asciiTheme="majorHAnsi" w:hAnsiTheme="majorHAnsi" w:cstheme="majorHAnsi"/>
          <w:sz w:val="18"/>
          <w:szCs w:val="18"/>
        </w:rPr>
        <w:t xml:space="preserve"> 4021E (216) – 45/67 VS. 22. February 1968. Band 2</w:t>
      </w:r>
    </w:p>
  </w:footnote>
  <w:footnote w:id="52">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BMJ to BMI. 4021E (216) – 45/67 VS. 8 March 1968. Band 2</w:t>
      </w:r>
    </w:p>
    <w:p w:rsidR="00BD1F68" w:rsidRPr="00461341" w:rsidRDefault="00BD1F68" w:rsidP="00912122">
      <w:pPr>
        <w:pStyle w:val="FootnoteText"/>
        <w:rPr>
          <w:rFonts w:asciiTheme="majorHAnsi" w:hAnsiTheme="majorHAnsi" w:cstheme="majorHAnsi"/>
          <w:sz w:val="18"/>
          <w:szCs w:val="18"/>
        </w:rPr>
      </w:pPr>
    </w:p>
  </w:footnote>
  <w:footnote w:id="53">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BMJ to BMI. 4021E (216) – 45/67 VS. 10 April 1968. Band 2</w:t>
      </w:r>
    </w:p>
  </w:footnote>
  <w:footnote w:id="54">
    <w:p w:rsidR="00BD1F68" w:rsidRPr="00461341" w:rsidRDefault="00BD1F68" w:rsidP="00912122">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BMJ to BMI. 4021E (216) – 45/67 VS. 15 April 1968. Band 2</w:t>
      </w:r>
    </w:p>
  </w:footnote>
  <w:footnote w:id="55">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BMI to BMI. K8 -340 100 – 1/3. 24 May 1968. Band 2.</w:t>
      </w:r>
    </w:p>
  </w:footnote>
  <w:footnote w:id="56">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 Attached Statement</w:t>
      </w:r>
    </w:p>
  </w:footnote>
  <w:footnote w:id="57">
    <w:p w:rsidR="00BD1F68" w:rsidRPr="00461341" w:rsidRDefault="00BD1F68">
      <w:pPr>
        <w:pStyle w:val="FootnoteText"/>
        <w:rPr>
          <w:rFonts w:asciiTheme="majorHAnsi" w:hAnsiTheme="majorHAnsi" w:cstheme="majorHAnsi"/>
          <w: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w:t>
      </w:r>
      <w:r w:rsidRPr="00461341">
        <w:rPr>
          <w:rFonts w:asciiTheme="majorHAnsi" w:hAnsiTheme="majorHAnsi" w:cstheme="majorHAnsi"/>
          <w:i/>
          <w:sz w:val="18"/>
          <w:szCs w:val="18"/>
        </w:rPr>
        <w:t>AA to BMI. V3 – 81.33. 24 May 1968. Band 2.</w:t>
      </w:r>
    </w:p>
  </w:footnote>
  <w:footnote w:id="58">
    <w:p w:rsidR="003701CF" w:rsidRPr="00461341" w:rsidRDefault="003701CF">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BMI to AA. ÖS I 1 601 029 / 1. 5 June 1968. </w:t>
      </w:r>
    </w:p>
  </w:footnote>
  <w:footnote w:id="59">
    <w:p w:rsidR="002F2664" w:rsidRPr="00461341" w:rsidRDefault="002F2664">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Rosenberg L. to BMI. 05I1601029/</w:t>
      </w:r>
      <w:proofErr w:type="gramStart"/>
      <w:r w:rsidRPr="00461341">
        <w:rPr>
          <w:rFonts w:asciiTheme="majorHAnsi" w:hAnsiTheme="majorHAnsi" w:cstheme="majorHAnsi"/>
          <w:sz w:val="18"/>
          <w:szCs w:val="18"/>
        </w:rPr>
        <w:t>1 .</w:t>
      </w:r>
      <w:proofErr w:type="gramEnd"/>
      <w:r w:rsidRPr="00461341">
        <w:rPr>
          <w:rFonts w:asciiTheme="majorHAnsi" w:hAnsiTheme="majorHAnsi" w:cstheme="majorHAnsi"/>
          <w:sz w:val="18"/>
          <w:szCs w:val="18"/>
        </w:rPr>
        <w:t xml:space="preserve"> 8 June 1968.</w:t>
      </w:r>
    </w:p>
  </w:footnote>
  <w:footnote w:id="60">
    <w:p w:rsidR="002F2664" w:rsidRPr="00461341" w:rsidRDefault="002F2664">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Beerman, H. to BMI. 05I1601029/1 DGB. 12 August 1968. </w:t>
      </w:r>
    </w:p>
  </w:footnote>
  <w:footnote w:id="61">
    <w:p w:rsidR="002F2664" w:rsidRPr="00461341" w:rsidRDefault="002F2664">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w:t>
      </w:r>
    </w:p>
  </w:footnote>
  <w:footnote w:id="62">
    <w:p w:rsidR="00C7594D" w:rsidRPr="00461341" w:rsidRDefault="00C7594D">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BMI. Beispiele der Rechtspresse. Radio Bremen – Feature Redaktion. 20 November 1967. Band 2 and 3.</w:t>
      </w:r>
    </w:p>
  </w:footnote>
  <w:footnote w:id="63">
    <w:p w:rsidR="00C7594D" w:rsidRPr="00461341" w:rsidRDefault="00C7594D">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BMI to BVG. </w:t>
      </w:r>
      <w:r w:rsidR="003E7E25" w:rsidRPr="00461341">
        <w:rPr>
          <w:rFonts w:asciiTheme="majorHAnsi" w:hAnsiTheme="majorHAnsi" w:cstheme="majorHAnsi"/>
          <w:sz w:val="18"/>
          <w:szCs w:val="18"/>
        </w:rPr>
        <w:t>ÖS I 1 612 400 D3</w:t>
      </w:r>
      <w:r w:rsidR="003E7E25" w:rsidRPr="00461341">
        <w:rPr>
          <w:rFonts w:asciiTheme="majorHAnsi" w:hAnsiTheme="majorHAnsi" w:cstheme="majorHAnsi"/>
          <w:sz w:val="18"/>
          <w:szCs w:val="18"/>
        </w:rPr>
        <w:t>. 1969. Band 6.</w:t>
      </w:r>
    </w:p>
  </w:footnote>
  <w:footnote w:id="64">
    <w:p w:rsidR="003E7E25" w:rsidRPr="00461341" w:rsidRDefault="003E7E25">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BMI to BMI ÖS I 1 601 029 /01. 31 October 1969.</w:t>
      </w:r>
    </w:p>
  </w:footnote>
  <w:footnote w:id="65">
    <w:p w:rsidR="00461341" w:rsidRPr="00461341" w:rsidRDefault="00461341">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BfV to BMI. II/A 4 061 S 50 142 187 69. 21 November 1969.</w:t>
      </w:r>
    </w:p>
  </w:footnote>
  <w:footnote w:id="66">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Abendroth, Wolfgang (1959) Obrigkeitsstaat Oder Soziale Demokratie? Gewerkschaftliche Monatshefte. Vol 6. P343-352</w:t>
      </w:r>
    </w:p>
  </w:footnote>
  <w:footnote w:id="67">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 P348</w:t>
      </w:r>
    </w:p>
  </w:footnote>
  <w:footnote w:id="68">
    <w:p w:rsidR="00BD1F68" w:rsidRPr="00461341" w:rsidRDefault="00BD1F68">
      <w:pPr>
        <w:pStyle w:val="FootnoteText"/>
        <w:rPr>
          <w:rFonts w:asciiTheme="majorHAnsi" w:hAnsiTheme="majorHAnsi" w:cstheme="majorHAnsi"/>
          <w:sz w:val="18"/>
          <w:szCs w:val="18"/>
        </w:rPr>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Ibid. P351</w:t>
      </w:r>
    </w:p>
  </w:footnote>
  <w:footnote w:id="69">
    <w:p w:rsidR="00BD1F68" w:rsidRDefault="00BD1F68">
      <w:pPr>
        <w:pStyle w:val="FootnoteText"/>
      </w:pPr>
      <w:r w:rsidRPr="00461341">
        <w:rPr>
          <w:rStyle w:val="FootnoteReference"/>
          <w:rFonts w:asciiTheme="majorHAnsi" w:hAnsiTheme="majorHAnsi" w:cstheme="majorHAnsi"/>
          <w:sz w:val="18"/>
          <w:szCs w:val="18"/>
        </w:rPr>
        <w:footnoteRef/>
      </w:r>
      <w:r w:rsidRPr="00461341">
        <w:rPr>
          <w:rFonts w:asciiTheme="majorHAnsi" w:hAnsiTheme="majorHAnsi" w:cstheme="majorHAnsi"/>
          <w:sz w:val="18"/>
          <w:szCs w:val="18"/>
        </w:rPr>
        <w:t xml:space="preserve"> Diers, Andreas (2005). Staat, Recht und Politik bei Wolfgang Abendroth. Zeitschrift Marxistische Erneuerung. Vol 64. Digitalised, Pages not numbered.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3A71CA"/>
    <w:multiLevelType w:val="hybridMultilevel"/>
    <w:tmpl w:val="2D0458B8"/>
    <w:lvl w:ilvl="0" w:tplc="09C65D1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8C63A3"/>
    <w:multiLevelType w:val="hybridMultilevel"/>
    <w:tmpl w:val="E138D242"/>
    <w:lvl w:ilvl="0" w:tplc="5CC66D0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6B6986"/>
    <w:multiLevelType w:val="hybridMultilevel"/>
    <w:tmpl w:val="EE74689A"/>
    <w:lvl w:ilvl="0" w:tplc="C4BA874C">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647"/>
    <w:rsid w:val="00003C3F"/>
    <w:rsid w:val="00011DB5"/>
    <w:rsid w:val="00025DB6"/>
    <w:rsid w:val="000400E8"/>
    <w:rsid w:val="0016140F"/>
    <w:rsid w:val="00172244"/>
    <w:rsid w:val="001B2D1E"/>
    <w:rsid w:val="001C23E0"/>
    <w:rsid w:val="0020282A"/>
    <w:rsid w:val="002E5FC0"/>
    <w:rsid w:val="002F2664"/>
    <w:rsid w:val="00305A37"/>
    <w:rsid w:val="00306909"/>
    <w:rsid w:val="00331623"/>
    <w:rsid w:val="0033334A"/>
    <w:rsid w:val="0035318A"/>
    <w:rsid w:val="003540C9"/>
    <w:rsid w:val="003558C2"/>
    <w:rsid w:val="003701CF"/>
    <w:rsid w:val="00372EDA"/>
    <w:rsid w:val="0037508E"/>
    <w:rsid w:val="00380A0E"/>
    <w:rsid w:val="00383D4C"/>
    <w:rsid w:val="00390F29"/>
    <w:rsid w:val="003E0219"/>
    <w:rsid w:val="003E3E05"/>
    <w:rsid w:val="003E4ACF"/>
    <w:rsid w:val="003E7315"/>
    <w:rsid w:val="003E7E25"/>
    <w:rsid w:val="003F5EB0"/>
    <w:rsid w:val="00403FCB"/>
    <w:rsid w:val="00417B1D"/>
    <w:rsid w:val="00461341"/>
    <w:rsid w:val="00472573"/>
    <w:rsid w:val="00474440"/>
    <w:rsid w:val="00474E22"/>
    <w:rsid w:val="00490C14"/>
    <w:rsid w:val="004A66C0"/>
    <w:rsid w:val="004E4D18"/>
    <w:rsid w:val="00502204"/>
    <w:rsid w:val="00521D52"/>
    <w:rsid w:val="005577AD"/>
    <w:rsid w:val="00564ADC"/>
    <w:rsid w:val="005776C0"/>
    <w:rsid w:val="005806D1"/>
    <w:rsid w:val="0059282A"/>
    <w:rsid w:val="00596EE9"/>
    <w:rsid w:val="005A00C1"/>
    <w:rsid w:val="005A3806"/>
    <w:rsid w:val="005B6349"/>
    <w:rsid w:val="005D4163"/>
    <w:rsid w:val="005E4BBF"/>
    <w:rsid w:val="005E6B44"/>
    <w:rsid w:val="005F3E25"/>
    <w:rsid w:val="00610A14"/>
    <w:rsid w:val="006231BB"/>
    <w:rsid w:val="0062392F"/>
    <w:rsid w:val="00631295"/>
    <w:rsid w:val="00647C8F"/>
    <w:rsid w:val="00665647"/>
    <w:rsid w:val="006A5FCB"/>
    <w:rsid w:val="006E34D5"/>
    <w:rsid w:val="00707CFC"/>
    <w:rsid w:val="00712D8A"/>
    <w:rsid w:val="00721C07"/>
    <w:rsid w:val="00736E9E"/>
    <w:rsid w:val="00743C9F"/>
    <w:rsid w:val="00752D7A"/>
    <w:rsid w:val="00764178"/>
    <w:rsid w:val="00783414"/>
    <w:rsid w:val="007A344F"/>
    <w:rsid w:val="007D5488"/>
    <w:rsid w:val="007F1486"/>
    <w:rsid w:val="00811785"/>
    <w:rsid w:val="008162C0"/>
    <w:rsid w:val="008406BD"/>
    <w:rsid w:val="008636C1"/>
    <w:rsid w:val="008B0518"/>
    <w:rsid w:val="008C4B93"/>
    <w:rsid w:val="008C59F4"/>
    <w:rsid w:val="00905E7D"/>
    <w:rsid w:val="00912122"/>
    <w:rsid w:val="009225BF"/>
    <w:rsid w:val="009659CF"/>
    <w:rsid w:val="00975F35"/>
    <w:rsid w:val="009B3F1D"/>
    <w:rsid w:val="009E2144"/>
    <w:rsid w:val="00A1319F"/>
    <w:rsid w:val="00A306C2"/>
    <w:rsid w:val="00A35559"/>
    <w:rsid w:val="00A4091E"/>
    <w:rsid w:val="00A637FA"/>
    <w:rsid w:val="00A93D19"/>
    <w:rsid w:val="00AC162E"/>
    <w:rsid w:val="00B41AE3"/>
    <w:rsid w:val="00B64334"/>
    <w:rsid w:val="00B72611"/>
    <w:rsid w:val="00BB47BE"/>
    <w:rsid w:val="00BD1F68"/>
    <w:rsid w:val="00C53998"/>
    <w:rsid w:val="00C55947"/>
    <w:rsid w:val="00C57F9C"/>
    <w:rsid w:val="00C7594D"/>
    <w:rsid w:val="00C81BCD"/>
    <w:rsid w:val="00C834B7"/>
    <w:rsid w:val="00CC2849"/>
    <w:rsid w:val="00CC7936"/>
    <w:rsid w:val="00CC7D12"/>
    <w:rsid w:val="00CF6B0D"/>
    <w:rsid w:val="00CF729C"/>
    <w:rsid w:val="00D01F89"/>
    <w:rsid w:val="00D95917"/>
    <w:rsid w:val="00DA2729"/>
    <w:rsid w:val="00DD1273"/>
    <w:rsid w:val="00DE55EE"/>
    <w:rsid w:val="00E5452C"/>
    <w:rsid w:val="00E55B5E"/>
    <w:rsid w:val="00E55E21"/>
    <w:rsid w:val="00EC192C"/>
    <w:rsid w:val="00EE1B08"/>
    <w:rsid w:val="00F50A8D"/>
    <w:rsid w:val="00F92A9D"/>
    <w:rsid w:val="00FA4CC5"/>
    <w:rsid w:val="00FC3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2D941"/>
  <w15:chartTrackingRefBased/>
  <w15:docId w15:val="{66C3AA9E-A86A-4B98-B8D2-B9EDBD5C8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764178"/>
    <w:pPr>
      <w:keepNext/>
      <w:spacing w:before="240" w:after="60" w:line="240" w:lineRule="auto"/>
      <w:outlineLvl w:val="0"/>
    </w:pPr>
    <w:rPr>
      <w:rFonts w:ascii="Arial" w:eastAsia="SimSun" w:hAnsi="Arial" w:cs="Arial"/>
      <w:b/>
      <w:bCs/>
      <w:kern w:val="32"/>
      <w:sz w:val="32"/>
      <w:szCs w:val="32"/>
      <w:lang w:eastAsia="zh-CN"/>
    </w:rPr>
  </w:style>
  <w:style w:type="paragraph" w:styleId="Heading2">
    <w:name w:val="heading 2"/>
    <w:basedOn w:val="Normal"/>
    <w:next w:val="Normal"/>
    <w:link w:val="Heading2Char"/>
    <w:uiPriority w:val="9"/>
    <w:semiHidden/>
    <w:unhideWhenUsed/>
    <w:qFormat/>
    <w:rsid w:val="008162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76417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D54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D5488"/>
    <w:rPr>
      <w:sz w:val="20"/>
      <w:szCs w:val="20"/>
    </w:rPr>
  </w:style>
  <w:style w:type="character" w:styleId="FootnoteReference">
    <w:name w:val="footnote reference"/>
    <w:basedOn w:val="DefaultParagraphFont"/>
    <w:uiPriority w:val="99"/>
    <w:semiHidden/>
    <w:unhideWhenUsed/>
    <w:rsid w:val="007D5488"/>
    <w:rPr>
      <w:vertAlign w:val="superscript"/>
    </w:rPr>
  </w:style>
  <w:style w:type="paragraph" w:styleId="NormalWeb">
    <w:name w:val="Normal (Web)"/>
    <w:basedOn w:val="Normal"/>
    <w:uiPriority w:val="99"/>
    <w:unhideWhenUsed/>
    <w:rsid w:val="004A66C0"/>
    <w:pPr>
      <w:spacing w:before="100" w:beforeAutospacing="1" w:after="142" w:line="288" w:lineRule="auto"/>
    </w:pPr>
    <w:rPr>
      <w:rFonts w:ascii="Times New Roman" w:eastAsia="Times New Roman" w:hAnsi="Times New Roman" w:cs="Times New Roman"/>
      <w:sz w:val="24"/>
      <w:szCs w:val="24"/>
      <w:lang w:eastAsia="en-GB"/>
    </w:rPr>
  </w:style>
  <w:style w:type="paragraph" w:customStyle="1" w:styleId="Standard">
    <w:name w:val="Standard"/>
    <w:rsid w:val="004A66C0"/>
    <w:pPr>
      <w:suppressAutoHyphens/>
      <w:autoSpaceDN w:val="0"/>
      <w:spacing w:after="0" w:line="240" w:lineRule="auto"/>
      <w:textAlignment w:val="baseline"/>
    </w:pPr>
    <w:rPr>
      <w:rFonts w:ascii="Liberation Serif" w:eastAsia="SimSun" w:hAnsi="Liberation Serif" w:cs="Lucida Sans"/>
      <w:kern w:val="3"/>
      <w:sz w:val="24"/>
      <w:szCs w:val="24"/>
      <w:lang w:eastAsia="zh-CN" w:bidi="hi-IN"/>
    </w:rPr>
  </w:style>
  <w:style w:type="paragraph" w:styleId="ListParagraph">
    <w:name w:val="List Paragraph"/>
    <w:basedOn w:val="Normal"/>
    <w:uiPriority w:val="34"/>
    <w:qFormat/>
    <w:rsid w:val="004A66C0"/>
    <w:pPr>
      <w:ind w:left="720"/>
      <w:contextualSpacing/>
    </w:pPr>
  </w:style>
  <w:style w:type="character" w:customStyle="1" w:styleId="Heading1Char">
    <w:name w:val="Heading 1 Char"/>
    <w:basedOn w:val="DefaultParagraphFont"/>
    <w:link w:val="Heading1"/>
    <w:rsid w:val="0076417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764178"/>
    <w:rPr>
      <w:rFonts w:ascii="Tahoma" w:eastAsia="SimSun" w:hAnsi="Tahoma" w:cs="Tahoma"/>
      <w:b/>
      <w:bCs/>
      <w:sz w:val="20"/>
      <w:szCs w:val="20"/>
      <w:lang w:eastAsia="zh-CN"/>
    </w:rPr>
  </w:style>
  <w:style w:type="character" w:customStyle="1" w:styleId="Heading2Char">
    <w:name w:val="Heading 2 Char"/>
    <w:basedOn w:val="DefaultParagraphFont"/>
    <w:link w:val="Heading2"/>
    <w:uiPriority w:val="9"/>
    <w:semiHidden/>
    <w:rsid w:val="008162C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3334A"/>
    <w:rPr>
      <w:color w:val="0563C1" w:themeColor="hyperlink"/>
      <w:u w:val="single"/>
    </w:rPr>
  </w:style>
  <w:style w:type="character" w:styleId="UnresolvedMention">
    <w:name w:val="Unresolved Mention"/>
    <w:basedOn w:val="DefaultParagraphFont"/>
    <w:uiPriority w:val="99"/>
    <w:semiHidden/>
    <w:unhideWhenUsed/>
    <w:rsid w:val="0033334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9909">
      <w:bodyDiv w:val="1"/>
      <w:marLeft w:val="0"/>
      <w:marRight w:val="0"/>
      <w:marTop w:val="0"/>
      <w:marBottom w:val="0"/>
      <w:divBdr>
        <w:top w:val="none" w:sz="0" w:space="0" w:color="auto"/>
        <w:left w:val="none" w:sz="0" w:space="0" w:color="auto"/>
        <w:bottom w:val="none" w:sz="0" w:space="0" w:color="auto"/>
        <w:right w:val="none" w:sz="0" w:space="0" w:color="auto"/>
      </w:divBdr>
      <w:divsChild>
        <w:div w:id="767774755">
          <w:marLeft w:val="0"/>
          <w:marRight w:val="0"/>
          <w:marTop w:val="0"/>
          <w:marBottom w:val="0"/>
          <w:divBdr>
            <w:top w:val="none" w:sz="0" w:space="0" w:color="auto"/>
            <w:left w:val="none" w:sz="0" w:space="0" w:color="auto"/>
            <w:bottom w:val="single" w:sz="6" w:space="3" w:color="D0D4D7"/>
            <w:right w:val="none" w:sz="0" w:space="0" w:color="auto"/>
          </w:divBdr>
          <w:divsChild>
            <w:div w:id="1511871018">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37234117">
      <w:bodyDiv w:val="1"/>
      <w:marLeft w:val="0"/>
      <w:marRight w:val="0"/>
      <w:marTop w:val="0"/>
      <w:marBottom w:val="0"/>
      <w:divBdr>
        <w:top w:val="none" w:sz="0" w:space="0" w:color="auto"/>
        <w:left w:val="none" w:sz="0" w:space="0" w:color="auto"/>
        <w:bottom w:val="none" w:sz="0" w:space="0" w:color="auto"/>
        <w:right w:val="none" w:sz="0" w:space="0" w:color="auto"/>
      </w:divBdr>
      <w:divsChild>
        <w:div w:id="1778402330">
          <w:marLeft w:val="0"/>
          <w:marRight w:val="0"/>
          <w:marTop w:val="0"/>
          <w:marBottom w:val="0"/>
          <w:divBdr>
            <w:top w:val="none" w:sz="0" w:space="0" w:color="auto"/>
            <w:left w:val="none" w:sz="0" w:space="0" w:color="auto"/>
            <w:bottom w:val="single" w:sz="6" w:space="3" w:color="D0D4D7"/>
            <w:right w:val="none" w:sz="0" w:space="0" w:color="auto"/>
          </w:divBdr>
          <w:divsChild>
            <w:div w:id="1906525071">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274673154">
      <w:bodyDiv w:val="1"/>
      <w:marLeft w:val="0"/>
      <w:marRight w:val="0"/>
      <w:marTop w:val="0"/>
      <w:marBottom w:val="0"/>
      <w:divBdr>
        <w:top w:val="none" w:sz="0" w:space="0" w:color="auto"/>
        <w:left w:val="none" w:sz="0" w:space="0" w:color="auto"/>
        <w:bottom w:val="none" w:sz="0" w:space="0" w:color="auto"/>
        <w:right w:val="none" w:sz="0" w:space="0" w:color="auto"/>
      </w:divBdr>
    </w:div>
    <w:div w:id="486173601">
      <w:bodyDiv w:val="1"/>
      <w:marLeft w:val="0"/>
      <w:marRight w:val="0"/>
      <w:marTop w:val="0"/>
      <w:marBottom w:val="0"/>
      <w:divBdr>
        <w:top w:val="none" w:sz="0" w:space="0" w:color="auto"/>
        <w:left w:val="none" w:sz="0" w:space="0" w:color="auto"/>
        <w:bottom w:val="none" w:sz="0" w:space="0" w:color="auto"/>
        <w:right w:val="none" w:sz="0" w:space="0" w:color="auto"/>
      </w:divBdr>
      <w:divsChild>
        <w:div w:id="694699090">
          <w:marLeft w:val="0"/>
          <w:marRight w:val="0"/>
          <w:marTop w:val="0"/>
          <w:marBottom w:val="300"/>
          <w:divBdr>
            <w:top w:val="none" w:sz="0" w:space="0" w:color="auto"/>
            <w:left w:val="none" w:sz="0" w:space="0" w:color="auto"/>
            <w:bottom w:val="none" w:sz="0" w:space="0" w:color="auto"/>
            <w:right w:val="none" w:sz="0" w:space="0" w:color="auto"/>
          </w:divBdr>
          <w:divsChild>
            <w:div w:id="301349062">
              <w:marLeft w:val="0"/>
              <w:marRight w:val="0"/>
              <w:marTop w:val="0"/>
              <w:marBottom w:val="0"/>
              <w:divBdr>
                <w:top w:val="single" w:sz="6" w:space="11" w:color="E2E2E2"/>
                <w:left w:val="none" w:sz="0" w:space="0" w:color="auto"/>
                <w:bottom w:val="single" w:sz="6" w:space="12" w:color="E2E2E2"/>
                <w:right w:val="none" w:sz="0" w:space="0" w:color="auto"/>
              </w:divBdr>
              <w:divsChild>
                <w:div w:id="694892411">
                  <w:marLeft w:val="0"/>
                  <w:marRight w:val="0"/>
                  <w:marTop w:val="0"/>
                  <w:marBottom w:val="0"/>
                  <w:divBdr>
                    <w:top w:val="none" w:sz="0" w:space="0" w:color="auto"/>
                    <w:left w:val="none" w:sz="0" w:space="0" w:color="auto"/>
                    <w:bottom w:val="none" w:sz="0" w:space="0" w:color="auto"/>
                    <w:right w:val="none" w:sz="0" w:space="0" w:color="auto"/>
                  </w:divBdr>
                  <w:divsChild>
                    <w:div w:id="177085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793763">
          <w:marLeft w:val="0"/>
          <w:marRight w:val="0"/>
          <w:marTop w:val="0"/>
          <w:marBottom w:val="0"/>
          <w:divBdr>
            <w:top w:val="none" w:sz="0" w:space="0" w:color="auto"/>
            <w:left w:val="none" w:sz="0" w:space="0" w:color="auto"/>
            <w:bottom w:val="none" w:sz="0" w:space="0" w:color="auto"/>
            <w:right w:val="none" w:sz="0" w:space="0" w:color="auto"/>
          </w:divBdr>
          <w:divsChild>
            <w:div w:id="635379850">
              <w:marLeft w:val="0"/>
              <w:marRight w:val="0"/>
              <w:marTop w:val="0"/>
              <w:marBottom w:val="0"/>
              <w:divBdr>
                <w:top w:val="none" w:sz="0" w:space="0" w:color="auto"/>
                <w:left w:val="none" w:sz="0" w:space="0" w:color="auto"/>
                <w:bottom w:val="none" w:sz="0" w:space="0" w:color="auto"/>
                <w:right w:val="none" w:sz="0" w:space="0" w:color="auto"/>
              </w:divBdr>
            </w:div>
          </w:divsChild>
        </w:div>
        <w:div w:id="1452438954">
          <w:marLeft w:val="0"/>
          <w:marRight w:val="0"/>
          <w:marTop w:val="0"/>
          <w:marBottom w:val="0"/>
          <w:divBdr>
            <w:top w:val="none" w:sz="0" w:space="0" w:color="auto"/>
            <w:left w:val="none" w:sz="0" w:space="0" w:color="auto"/>
            <w:bottom w:val="none" w:sz="0" w:space="0" w:color="auto"/>
            <w:right w:val="none" w:sz="0" w:space="0" w:color="auto"/>
          </w:divBdr>
          <w:divsChild>
            <w:div w:id="1140995585">
              <w:marLeft w:val="0"/>
              <w:marRight w:val="0"/>
              <w:marTop w:val="0"/>
              <w:marBottom w:val="0"/>
              <w:divBdr>
                <w:top w:val="none" w:sz="0" w:space="0" w:color="auto"/>
                <w:left w:val="none" w:sz="0" w:space="0" w:color="auto"/>
                <w:bottom w:val="none" w:sz="0" w:space="0" w:color="auto"/>
                <w:right w:val="none" w:sz="0" w:space="0" w:color="auto"/>
              </w:divBdr>
              <w:divsChild>
                <w:div w:id="1484666115">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 w:id="1651321249">
          <w:marLeft w:val="0"/>
          <w:marRight w:val="0"/>
          <w:marTop w:val="0"/>
          <w:marBottom w:val="0"/>
          <w:divBdr>
            <w:top w:val="none" w:sz="0" w:space="0" w:color="auto"/>
            <w:left w:val="none" w:sz="0" w:space="0" w:color="auto"/>
            <w:bottom w:val="none" w:sz="0" w:space="0" w:color="auto"/>
            <w:right w:val="none" w:sz="0" w:space="0" w:color="auto"/>
          </w:divBdr>
          <w:divsChild>
            <w:div w:id="452754093">
              <w:marLeft w:val="0"/>
              <w:marRight w:val="0"/>
              <w:marTop w:val="0"/>
              <w:marBottom w:val="0"/>
              <w:divBdr>
                <w:top w:val="none" w:sz="0" w:space="0" w:color="auto"/>
                <w:left w:val="none" w:sz="0" w:space="0" w:color="auto"/>
                <w:bottom w:val="none" w:sz="0" w:space="0" w:color="auto"/>
                <w:right w:val="none" w:sz="0" w:space="0" w:color="auto"/>
              </w:divBdr>
              <w:divsChild>
                <w:div w:id="74291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561414">
          <w:marLeft w:val="0"/>
          <w:marRight w:val="0"/>
          <w:marTop w:val="0"/>
          <w:marBottom w:val="0"/>
          <w:divBdr>
            <w:top w:val="none" w:sz="0" w:space="0" w:color="auto"/>
            <w:left w:val="none" w:sz="0" w:space="0" w:color="auto"/>
            <w:bottom w:val="none" w:sz="0" w:space="0" w:color="auto"/>
            <w:right w:val="none" w:sz="0" w:space="0" w:color="auto"/>
          </w:divBdr>
          <w:divsChild>
            <w:div w:id="1856459044">
              <w:marLeft w:val="0"/>
              <w:marRight w:val="0"/>
              <w:marTop w:val="0"/>
              <w:marBottom w:val="0"/>
              <w:divBdr>
                <w:top w:val="none" w:sz="0" w:space="0" w:color="auto"/>
                <w:left w:val="none" w:sz="0" w:space="0" w:color="auto"/>
                <w:bottom w:val="none" w:sz="0" w:space="0" w:color="auto"/>
                <w:right w:val="none" w:sz="0" w:space="0" w:color="auto"/>
              </w:divBdr>
              <w:divsChild>
                <w:div w:id="54383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913111">
          <w:marLeft w:val="0"/>
          <w:marRight w:val="0"/>
          <w:marTop w:val="0"/>
          <w:marBottom w:val="0"/>
          <w:divBdr>
            <w:top w:val="none" w:sz="0" w:space="0" w:color="auto"/>
            <w:left w:val="none" w:sz="0" w:space="0" w:color="auto"/>
            <w:bottom w:val="none" w:sz="0" w:space="0" w:color="auto"/>
            <w:right w:val="none" w:sz="0" w:space="0" w:color="auto"/>
          </w:divBdr>
          <w:divsChild>
            <w:div w:id="684132111">
              <w:marLeft w:val="0"/>
              <w:marRight w:val="0"/>
              <w:marTop w:val="0"/>
              <w:marBottom w:val="0"/>
              <w:divBdr>
                <w:top w:val="none" w:sz="0" w:space="0" w:color="auto"/>
                <w:left w:val="none" w:sz="0" w:space="0" w:color="E2E2E2"/>
                <w:bottom w:val="none" w:sz="0" w:space="0" w:color="E2E2E2"/>
                <w:right w:val="none" w:sz="0" w:space="0" w:color="E2E2E2"/>
              </w:divBdr>
            </w:div>
            <w:div w:id="2081363516">
              <w:marLeft w:val="0"/>
              <w:marRight w:val="0"/>
              <w:marTop w:val="0"/>
              <w:marBottom w:val="0"/>
              <w:divBdr>
                <w:top w:val="none" w:sz="0" w:space="0" w:color="auto"/>
                <w:left w:val="none" w:sz="0" w:space="0" w:color="E2E2E2"/>
                <w:bottom w:val="none" w:sz="0" w:space="0" w:color="E2E2E2"/>
                <w:right w:val="none" w:sz="0" w:space="0" w:color="E2E2E2"/>
              </w:divBdr>
            </w:div>
            <w:div w:id="1295329587">
              <w:marLeft w:val="0"/>
              <w:marRight w:val="0"/>
              <w:marTop w:val="0"/>
              <w:marBottom w:val="0"/>
              <w:divBdr>
                <w:top w:val="none" w:sz="0" w:space="0" w:color="auto"/>
                <w:left w:val="none" w:sz="0" w:space="0" w:color="E2E2E2"/>
                <w:bottom w:val="none" w:sz="0" w:space="0" w:color="E2E2E2"/>
                <w:right w:val="none" w:sz="0" w:space="0" w:color="E2E2E2"/>
              </w:divBdr>
            </w:div>
            <w:div w:id="854541437">
              <w:marLeft w:val="0"/>
              <w:marRight w:val="0"/>
              <w:marTop w:val="0"/>
              <w:marBottom w:val="0"/>
              <w:divBdr>
                <w:top w:val="none" w:sz="0" w:space="0" w:color="auto"/>
                <w:left w:val="none" w:sz="0" w:space="0" w:color="E2E2E2"/>
                <w:bottom w:val="none" w:sz="0" w:space="0" w:color="E2E2E2"/>
                <w:right w:val="none" w:sz="0" w:space="0" w:color="E2E2E2"/>
              </w:divBdr>
            </w:div>
            <w:div w:id="431702358">
              <w:marLeft w:val="0"/>
              <w:marRight w:val="0"/>
              <w:marTop w:val="0"/>
              <w:marBottom w:val="0"/>
              <w:divBdr>
                <w:top w:val="none" w:sz="0" w:space="0" w:color="auto"/>
                <w:left w:val="none" w:sz="0" w:space="0" w:color="E2E2E2"/>
                <w:bottom w:val="none" w:sz="0" w:space="0" w:color="E2E2E2"/>
                <w:right w:val="none" w:sz="0" w:space="0" w:color="E2E2E2"/>
              </w:divBdr>
            </w:div>
            <w:div w:id="869104408">
              <w:marLeft w:val="690"/>
              <w:marRight w:val="0"/>
              <w:marTop w:val="0"/>
              <w:marBottom w:val="0"/>
              <w:divBdr>
                <w:top w:val="none" w:sz="0" w:space="0" w:color="auto"/>
                <w:left w:val="none" w:sz="0" w:space="0" w:color="E2E2E2"/>
                <w:bottom w:val="none" w:sz="0" w:space="0" w:color="E2E2E2"/>
                <w:right w:val="none" w:sz="0" w:space="0" w:color="E2E2E2"/>
              </w:divBdr>
            </w:div>
          </w:divsChild>
        </w:div>
      </w:divsChild>
    </w:div>
    <w:div w:id="519048188">
      <w:bodyDiv w:val="1"/>
      <w:marLeft w:val="0"/>
      <w:marRight w:val="0"/>
      <w:marTop w:val="0"/>
      <w:marBottom w:val="0"/>
      <w:divBdr>
        <w:top w:val="none" w:sz="0" w:space="0" w:color="auto"/>
        <w:left w:val="none" w:sz="0" w:space="0" w:color="auto"/>
        <w:bottom w:val="none" w:sz="0" w:space="0" w:color="auto"/>
        <w:right w:val="none" w:sz="0" w:space="0" w:color="auto"/>
      </w:divBdr>
      <w:divsChild>
        <w:div w:id="1946769697">
          <w:marLeft w:val="0"/>
          <w:marRight w:val="0"/>
          <w:marTop w:val="0"/>
          <w:marBottom w:val="0"/>
          <w:divBdr>
            <w:top w:val="none" w:sz="0" w:space="0" w:color="auto"/>
            <w:left w:val="none" w:sz="0" w:space="0" w:color="auto"/>
            <w:bottom w:val="single" w:sz="6" w:space="3" w:color="D0D4D7"/>
            <w:right w:val="none" w:sz="0" w:space="0" w:color="auto"/>
          </w:divBdr>
          <w:divsChild>
            <w:div w:id="1445080807">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540825441">
      <w:bodyDiv w:val="1"/>
      <w:marLeft w:val="0"/>
      <w:marRight w:val="0"/>
      <w:marTop w:val="0"/>
      <w:marBottom w:val="0"/>
      <w:divBdr>
        <w:top w:val="none" w:sz="0" w:space="0" w:color="auto"/>
        <w:left w:val="none" w:sz="0" w:space="0" w:color="auto"/>
        <w:bottom w:val="none" w:sz="0" w:space="0" w:color="auto"/>
        <w:right w:val="none" w:sz="0" w:space="0" w:color="auto"/>
      </w:divBdr>
      <w:divsChild>
        <w:div w:id="119543120">
          <w:marLeft w:val="0"/>
          <w:marRight w:val="0"/>
          <w:marTop w:val="0"/>
          <w:marBottom w:val="0"/>
          <w:divBdr>
            <w:top w:val="none" w:sz="0" w:space="0" w:color="auto"/>
            <w:left w:val="none" w:sz="0" w:space="0" w:color="auto"/>
            <w:bottom w:val="single" w:sz="6" w:space="3" w:color="D0D4D7"/>
            <w:right w:val="none" w:sz="0" w:space="0" w:color="auto"/>
          </w:divBdr>
          <w:divsChild>
            <w:div w:id="1274745584">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579413986">
      <w:bodyDiv w:val="1"/>
      <w:marLeft w:val="0"/>
      <w:marRight w:val="0"/>
      <w:marTop w:val="0"/>
      <w:marBottom w:val="0"/>
      <w:divBdr>
        <w:top w:val="none" w:sz="0" w:space="0" w:color="auto"/>
        <w:left w:val="none" w:sz="0" w:space="0" w:color="auto"/>
        <w:bottom w:val="none" w:sz="0" w:space="0" w:color="auto"/>
        <w:right w:val="none" w:sz="0" w:space="0" w:color="auto"/>
      </w:divBdr>
      <w:divsChild>
        <w:div w:id="1702709708">
          <w:marLeft w:val="0"/>
          <w:marRight w:val="0"/>
          <w:marTop w:val="0"/>
          <w:marBottom w:val="0"/>
          <w:divBdr>
            <w:top w:val="none" w:sz="0" w:space="0" w:color="auto"/>
            <w:left w:val="none" w:sz="0" w:space="0" w:color="auto"/>
            <w:bottom w:val="single" w:sz="6" w:space="3" w:color="D0D4D7"/>
            <w:right w:val="none" w:sz="0" w:space="0" w:color="auto"/>
          </w:divBdr>
          <w:divsChild>
            <w:div w:id="1289700986">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581598377">
      <w:bodyDiv w:val="1"/>
      <w:marLeft w:val="0"/>
      <w:marRight w:val="0"/>
      <w:marTop w:val="0"/>
      <w:marBottom w:val="0"/>
      <w:divBdr>
        <w:top w:val="none" w:sz="0" w:space="0" w:color="auto"/>
        <w:left w:val="none" w:sz="0" w:space="0" w:color="auto"/>
        <w:bottom w:val="none" w:sz="0" w:space="0" w:color="auto"/>
        <w:right w:val="none" w:sz="0" w:space="0" w:color="auto"/>
      </w:divBdr>
    </w:div>
    <w:div w:id="585193948">
      <w:bodyDiv w:val="1"/>
      <w:marLeft w:val="0"/>
      <w:marRight w:val="0"/>
      <w:marTop w:val="0"/>
      <w:marBottom w:val="0"/>
      <w:divBdr>
        <w:top w:val="none" w:sz="0" w:space="0" w:color="auto"/>
        <w:left w:val="none" w:sz="0" w:space="0" w:color="auto"/>
        <w:bottom w:val="none" w:sz="0" w:space="0" w:color="auto"/>
        <w:right w:val="none" w:sz="0" w:space="0" w:color="auto"/>
      </w:divBdr>
    </w:div>
    <w:div w:id="721292843">
      <w:bodyDiv w:val="1"/>
      <w:marLeft w:val="0"/>
      <w:marRight w:val="0"/>
      <w:marTop w:val="0"/>
      <w:marBottom w:val="0"/>
      <w:divBdr>
        <w:top w:val="none" w:sz="0" w:space="0" w:color="auto"/>
        <w:left w:val="none" w:sz="0" w:space="0" w:color="auto"/>
        <w:bottom w:val="none" w:sz="0" w:space="0" w:color="auto"/>
        <w:right w:val="none" w:sz="0" w:space="0" w:color="auto"/>
      </w:divBdr>
      <w:divsChild>
        <w:div w:id="903183524">
          <w:marLeft w:val="0"/>
          <w:marRight w:val="0"/>
          <w:marTop w:val="0"/>
          <w:marBottom w:val="0"/>
          <w:divBdr>
            <w:top w:val="none" w:sz="0" w:space="0" w:color="auto"/>
            <w:left w:val="none" w:sz="0" w:space="0" w:color="auto"/>
            <w:bottom w:val="single" w:sz="6" w:space="3" w:color="D0D4D7"/>
            <w:right w:val="none" w:sz="0" w:space="0" w:color="auto"/>
          </w:divBdr>
          <w:divsChild>
            <w:div w:id="193275534">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757020392">
      <w:bodyDiv w:val="1"/>
      <w:marLeft w:val="0"/>
      <w:marRight w:val="0"/>
      <w:marTop w:val="0"/>
      <w:marBottom w:val="0"/>
      <w:divBdr>
        <w:top w:val="none" w:sz="0" w:space="0" w:color="auto"/>
        <w:left w:val="none" w:sz="0" w:space="0" w:color="auto"/>
        <w:bottom w:val="none" w:sz="0" w:space="0" w:color="auto"/>
        <w:right w:val="none" w:sz="0" w:space="0" w:color="auto"/>
      </w:divBdr>
      <w:divsChild>
        <w:div w:id="2031565734">
          <w:marLeft w:val="0"/>
          <w:marRight w:val="0"/>
          <w:marTop w:val="0"/>
          <w:marBottom w:val="0"/>
          <w:divBdr>
            <w:top w:val="none" w:sz="0" w:space="0" w:color="auto"/>
            <w:left w:val="none" w:sz="0" w:space="0" w:color="auto"/>
            <w:bottom w:val="single" w:sz="6" w:space="3" w:color="D0D4D7"/>
            <w:right w:val="none" w:sz="0" w:space="0" w:color="auto"/>
          </w:divBdr>
          <w:divsChild>
            <w:div w:id="1165317002">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820855596">
      <w:bodyDiv w:val="1"/>
      <w:marLeft w:val="0"/>
      <w:marRight w:val="0"/>
      <w:marTop w:val="0"/>
      <w:marBottom w:val="0"/>
      <w:divBdr>
        <w:top w:val="none" w:sz="0" w:space="0" w:color="auto"/>
        <w:left w:val="none" w:sz="0" w:space="0" w:color="auto"/>
        <w:bottom w:val="none" w:sz="0" w:space="0" w:color="auto"/>
        <w:right w:val="none" w:sz="0" w:space="0" w:color="auto"/>
      </w:divBdr>
    </w:div>
    <w:div w:id="859974464">
      <w:bodyDiv w:val="1"/>
      <w:marLeft w:val="0"/>
      <w:marRight w:val="0"/>
      <w:marTop w:val="0"/>
      <w:marBottom w:val="0"/>
      <w:divBdr>
        <w:top w:val="none" w:sz="0" w:space="0" w:color="auto"/>
        <w:left w:val="none" w:sz="0" w:space="0" w:color="auto"/>
        <w:bottom w:val="none" w:sz="0" w:space="0" w:color="auto"/>
        <w:right w:val="none" w:sz="0" w:space="0" w:color="auto"/>
      </w:divBdr>
      <w:divsChild>
        <w:div w:id="1373069199">
          <w:marLeft w:val="0"/>
          <w:marRight w:val="0"/>
          <w:marTop w:val="0"/>
          <w:marBottom w:val="0"/>
          <w:divBdr>
            <w:top w:val="none" w:sz="0" w:space="0" w:color="auto"/>
            <w:left w:val="none" w:sz="0" w:space="0" w:color="auto"/>
            <w:bottom w:val="single" w:sz="6" w:space="3" w:color="D0D4D7"/>
            <w:right w:val="none" w:sz="0" w:space="0" w:color="auto"/>
          </w:divBdr>
          <w:divsChild>
            <w:div w:id="115609123">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942104948">
      <w:bodyDiv w:val="1"/>
      <w:marLeft w:val="0"/>
      <w:marRight w:val="0"/>
      <w:marTop w:val="0"/>
      <w:marBottom w:val="0"/>
      <w:divBdr>
        <w:top w:val="none" w:sz="0" w:space="0" w:color="auto"/>
        <w:left w:val="none" w:sz="0" w:space="0" w:color="auto"/>
        <w:bottom w:val="none" w:sz="0" w:space="0" w:color="auto"/>
        <w:right w:val="none" w:sz="0" w:space="0" w:color="auto"/>
      </w:divBdr>
    </w:div>
    <w:div w:id="1021004811">
      <w:bodyDiv w:val="1"/>
      <w:marLeft w:val="0"/>
      <w:marRight w:val="0"/>
      <w:marTop w:val="0"/>
      <w:marBottom w:val="0"/>
      <w:divBdr>
        <w:top w:val="none" w:sz="0" w:space="0" w:color="auto"/>
        <w:left w:val="none" w:sz="0" w:space="0" w:color="auto"/>
        <w:bottom w:val="none" w:sz="0" w:space="0" w:color="auto"/>
        <w:right w:val="none" w:sz="0" w:space="0" w:color="auto"/>
      </w:divBdr>
    </w:div>
    <w:div w:id="1054695758">
      <w:bodyDiv w:val="1"/>
      <w:marLeft w:val="0"/>
      <w:marRight w:val="0"/>
      <w:marTop w:val="0"/>
      <w:marBottom w:val="0"/>
      <w:divBdr>
        <w:top w:val="none" w:sz="0" w:space="0" w:color="auto"/>
        <w:left w:val="none" w:sz="0" w:space="0" w:color="auto"/>
        <w:bottom w:val="none" w:sz="0" w:space="0" w:color="auto"/>
        <w:right w:val="none" w:sz="0" w:space="0" w:color="auto"/>
      </w:divBdr>
      <w:divsChild>
        <w:div w:id="553584404">
          <w:marLeft w:val="0"/>
          <w:marRight w:val="0"/>
          <w:marTop w:val="0"/>
          <w:marBottom w:val="0"/>
          <w:divBdr>
            <w:top w:val="none" w:sz="0" w:space="0" w:color="auto"/>
            <w:left w:val="none" w:sz="0" w:space="0" w:color="auto"/>
            <w:bottom w:val="single" w:sz="6" w:space="3" w:color="D0D4D7"/>
            <w:right w:val="none" w:sz="0" w:space="0" w:color="auto"/>
          </w:divBdr>
          <w:divsChild>
            <w:div w:id="1021468326">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154637811">
      <w:bodyDiv w:val="1"/>
      <w:marLeft w:val="0"/>
      <w:marRight w:val="0"/>
      <w:marTop w:val="0"/>
      <w:marBottom w:val="0"/>
      <w:divBdr>
        <w:top w:val="none" w:sz="0" w:space="0" w:color="auto"/>
        <w:left w:val="none" w:sz="0" w:space="0" w:color="auto"/>
        <w:bottom w:val="none" w:sz="0" w:space="0" w:color="auto"/>
        <w:right w:val="none" w:sz="0" w:space="0" w:color="auto"/>
      </w:divBdr>
      <w:divsChild>
        <w:div w:id="1866674306">
          <w:marLeft w:val="0"/>
          <w:marRight w:val="0"/>
          <w:marTop w:val="0"/>
          <w:marBottom w:val="0"/>
          <w:divBdr>
            <w:top w:val="none" w:sz="0" w:space="0" w:color="auto"/>
            <w:left w:val="none" w:sz="0" w:space="0" w:color="auto"/>
            <w:bottom w:val="single" w:sz="6" w:space="3" w:color="D0D4D7"/>
            <w:right w:val="none" w:sz="0" w:space="0" w:color="auto"/>
          </w:divBdr>
          <w:divsChild>
            <w:div w:id="1901596993">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175419457">
      <w:bodyDiv w:val="1"/>
      <w:marLeft w:val="0"/>
      <w:marRight w:val="0"/>
      <w:marTop w:val="0"/>
      <w:marBottom w:val="0"/>
      <w:divBdr>
        <w:top w:val="none" w:sz="0" w:space="0" w:color="auto"/>
        <w:left w:val="none" w:sz="0" w:space="0" w:color="auto"/>
        <w:bottom w:val="none" w:sz="0" w:space="0" w:color="auto"/>
        <w:right w:val="none" w:sz="0" w:space="0" w:color="auto"/>
      </w:divBdr>
      <w:divsChild>
        <w:div w:id="977422501">
          <w:marLeft w:val="0"/>
          <w:marRight w:val="0"/>
          <w:marTop w:val="0"/>
          <w:marBottom w:val="0"/>
          <w:divBdr>
            <w:top w:val="none" w:sz="0" w:space="0" w:color="auto"/>
            <w:left w:val="none" w:sz="0" w:space="0" w:color="auto"/>
            <w:bottom w:val="single" w:sz="6" w:space="3" w:color="D0D4D7"/>
            <w:right w:val="none" w:sz="0" w:space="0" w:color="auto"/>
          </w:divBdr>
          <w:divsChild>
            <w:div w:id="1261719489">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204050982">
      <w:bodyDiv w:val="1"/>
      <w:marLeft w:val="0"/>
      <w:marRight w:val="0"/>
      <w:marTop w:val="0"/>
      <w:marBottom w:val="0"/>
      <w:divBdr>
        <w:top w:val="none" w:sz="0" w:space="0" w:color="auto"/>
        <w:left w:val="none" w:sz="0" w:space="0" w:color="auto"/>
        <w:bottom w:val="none" w:sz="0" w:space="0" w:color="auto"/>
        <w:right w:val="none" w:sz="0" w:space="0" w:color="auto"/>
      </w:divBdr>
      <w:divsChild>
        <w:div w:id="1326711432">
          <w:marLeft w:val="0"/>
          <w:marRight w:val="0"/>
          <w:marTop w:val="0"/>
          <w:marBottom w:val="0"/>
          <w:divBdr>
            <w:top w:val="none" w:sz="0" w:space="0" w:color="auto"/>
            <w:left w:val="none" w:sz="0" w:space="0" w:color="auto"/>
            <w:bottom w:val="single" w:sz="6" w:space="3" w:color="D0D4D7"/>
            <w:right w:val="none" w:sz="0" w:space="0" w:color="auto"/>
          </w:divBdr>
          <w:divsChild>
            <w:div w:id="791902465">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309554118">
      <w:bodyDiv w:val="1"/>
      <w:marLeft w:val="0"/>
      <w:marRight w:val="0"/>
      <w:marTop w:val="0"/>
      <w:marBottom w:val="0"/>
      <w:divBdr>
        <w:top w:val="none" w:sz="0" w:space="0" w:color="auto"/>
        <w:left w:val="none" w:sz="0" w:space="0" w:color="auto"/>
        <w:bottom w:val="none" w:sz="0" w:space="0" w:color="auto"/>
        <w:right w:val="none" w:sz="0" w:space="0" w:color="auto"/>
      </w:divBdr>
      <w:divsChild>
        <w:div w:id="106049749">
          <w:marLeft w:val="0"/>
          <w:marRight w:val="0"/>
          <w:marTop w:val="0"/>
          <w:marBottom w:val="0"/>
          <w:divBdr>
            <w:top w:val="none" w:sz="0" w:space="0" w:color="auto"/>
            <w:left w:val="none" w:sz="0" w:space="0" w:color="auto"/>
            <w:bottom w:val="single" w:sz="6" w:space="3" w:color="D0D4D7"/>
            <w:right w:val="none" w:sz="0" w:space="0" w:color="auto"/>
          </w:divBdr>
          <w:divsChild>
            <w:div w:id="1810632348">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317147199">
      <w:bodyDiv w:val="1"/>
      <w:marLeft w:val="0"/>
      <w:marRight w:val="0"/>
      <w:marTop w:val="0"/>
      <w:marBottom w:val="0"/>
      <w:divBdr>
        <w:top w:val="none" w:sz="0" w:space="0" w:color="auto"/>
        <w:left w:val="none" w:sz="0" w:space="0" w:color="auto"/>
        <w:bottom w:val="none" w:sz="0" w:space="0" w:color="auto"/>
        <w:right w:val="none" w:sz="0" w:space="0" w:color="auto"/>
      </w:divBdr>
    </w:div>
    <w:div w:id="1355381859">
      <w:bodyDiv w:val="1"/>
      <w:marLeft w:val="0"/>
      <w:marRight w:val="0"/>
      <w:marTop w:val="0"/>
      <w:marBottom w:val="0"/>
      <w:divBdr>
        <w:top w:val="none" w:sz="0" w:space="0" w:color="auto"/>
        <w:left w:val="none" w:sz="0" w:space="0" w:color="auto"/>
        <w:bottom w:val="none" w:sz="0" w:space="0" w:color="auto"/>
        <w:right w:val="none" w:sz="0" w:space="0" w:color="auto"/>
      </w:divBdr>
    </w:div>
    <w:div w:id="1387293890">
      <w:bodyDiv w:val="1"/>
      <w:marLeft w:val="0"/>
      <w:marRight w:val="0"/>
      <w:marTop w:val="0"/>
      <w:marBottom w:val="0"/>
      <w:divBdr>
        <w:top w:val="none" w:sz="0" w:space="0" w:color="auto"/>
        <w:left w:val="none" w:sz="0" w:space="0" w:color="auto"/>
        <w:bottom w:val="none" w:sz="0" w:space="0" w:color="auto"/>
        <w:right w:val="none" w:sz="0" w:space="0" w:color="auto"/>
      </w:divBdr>
    </w:div>
    <w:div w:id="1710911945">
      <w:bodyDiv w:val="1"/>
      <w:marLeft w:val="0"/>
      <w:marRight w:val="0"/>
      <w:marTop w:val="0"/>
      <w:marBottom w:val="0"/>
      <w:divBdr>
        <w:top w:val="none" w:sz="0" w:space="0" w:color="auto"/>
        <w:left w:val="none" w:sz="0" w:space="0" w:color="auto"/>
        <w:bottom w:val="none" w:sz="0" w:space="0" w:color="auto"/>
        <w:right w:val="none" w:sz="0" w:space="0" w:color="auto"/>
      </w:divBdr>
    </w:div>
    <w:div w:id="1723753661">
      <w:bodyDiv w:val="1"/>
      <w:marLeft w:val="0"/>
      <w:marRight w:val="0"/>
      <w:marTop w:val="0"/>
      <w:marBottom w:val="0"/>
      <w:divBdr>
        <w:top w:val="none" w:sz="0" w:space="0" w:color="auto"/>
        <w:left w:val="none" w:sz="0" w:space="0" w:color="auto"/>
        <w:bottom w:val="none" w:sz="0" w:space="0" w:color="auto"/>
        <w:right w:val="none" w:sz="0" w:space="0" w:color="auto"/>
      </w:divBdr>
      <w:divsChild>
        <w:div w:id="210312971">
          <w:marLeft w:val="0"/>
          <w:marRight w:val="0"/>
          <w:marTop w:val="0"/>
          <w:marBottom w:val="0"/>
          <w:divBdr>
            <w:top w:val="none" w:sz="0" w:space="0" w:color="auto"/>
            <w:left w:val="none" w:sz="0" w:space="0" w:color="auto"/>
            <w:bottom w:val="single" w:sz="6" w:space="3" w:color="D0D4D7"/>
            <w:right w:val="none" w:sz="0" w:space="0" w:color="auto"/>
          </w:divBdr>
          <w:divsChild>
            <w:div w:id="1731346410">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800880109">
      <w:bodyDiv w:val="1"/>
      <w:marLeft w:val="0"/>
      <w:marRight w:val="0"/>
      <w:marTop w:val="0"/>
      <w:marBottom w:val="0"/>
      <w:divBdr>
        <w:top w:val="none" w:sz="0" w:space="0" w:color="auto"/>
        <w:left w:val="none" w:sz="0" w:space="0" w:color="auto"/>
        <w:bottom w:val="none" w:sz="0" w:space="0" w:color="auto"/>
        <w:right w:val="none" w:sz="0" w:space="0" w:color="auto"/>
      </w:divBdr>
    </w:div>
    <w:div w:id="1848522749">
      <w:bodyDiv w:val="1"/>
      <w:marLeft w:val="0"/>
      <w:marRight w:val="0"/>
      <w:marTop w:val="0"/>
      <w:marBottom w:val="0"/>
      <w:divBdr>
        <w:top w:val="none" w:sz="0" w:space="0" w:color="auto"/>
        <w:left w:val="none" w:sz="0" w:space="0" w:color="auto"/>
        <w:bottom w:val="none" w:sz="0" w:space="0" w:color="auto"/>
        <w:right w:val="none" w:sz="0" w:space="0" w:color="auto"/>
      </w:divBdr>
      <w:divsChild>
        <w:div w:id="1011759629">
          <w:marLeft w:val="0"/>
          <w:marRight w:val="0"/>
          <w:marTop w:val="0"/>
          <w:marBottom w:val="0"/>
          <w:divBdr>
            <w:top w:val="none" w:sz="0" w:space="0" w:color="auto"/>
            <w:left w:val="none" w:sz="0" w:space="0" w:color="auto"/>
            <w:bottom w:val="single" w:sz="6" w:space="3" w:color="D0D4D7"/>
            <w:right w:val="none" w:sz="0" w:space="0" w:color="auto"/>
          </w:divBdr>
          <w:divsChild>
            <w:div w:id="1288388674">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1849442368">
      <w:bodyDiv w:val="1"/>
      <w:marLeft w:val="0"/>
      <w:marRight w:val="0"/>
      <w:marTop w:val="0"/>
      <w:marBottom w:val="0"/>
      <w:divBdr>
        <w:top w:val="none" w:sz="0" w:space="0" w:color="auto"/>
        <w:left w:val="none" w:sz="0" w:space="0" w:color="auto"/>
        <w:bottom w:val="none" w:sz="0" w:space="0" w:color="auto"/>
        <w:right w:val="none" w:sz="0" w:space="0" w:color="auto"/>
      </w:divBdr>
      <w:divsChild>
        <w:div w:id="426392710">
          <w:marLeft w:val="0"/>
          <w:marRight w:val="0"/>
          <w:marTop w:val="0"/>
          <w:marBottom w:val="0"/>
          <w:divBdr>
            <w:top w:val="none" w:sz="0" w:space="0" w:color="auto"/>
            <w:left w:val="none" w:sz="0" w:space="0" w:color="auto"/>
            <w:bottom w:val="single" w:sz="6" w:space="3" w:color="D0D4D7"/>
            <w:right w:val="none" w:sz="0" w:space="0" w:color="auto"/>
          </w:divBdr>
          <w:divsChild>
            <w:div w:id="1297488855">
              <w:marLeft w:val="0"/>
              <w:marRight w:val="0"/>
              <w:marTop w:val="60"/>
              <w:marBottom w:val="0"/>
              <w:divBdr>
                <w:top w:val="single" w:sz="6" w:space="2" w:color="6A7780"/>
                <w:left w:val="single" w:sz="6" w:space="5" w:color="6A7780"/>
                <w:bottom w:val="single" w:sz="6" w:space="2" w:color="6A7780"/>
                <w:right w:val="single" w:sz="6" w:space="5" w:color="6A7780"/>
              </w:divBdr>
            </w:div>
          </w:divsChild>
        </w:div>
      </w:divsChild>
    </w:div>
    <w:div w:id="2063868272">
      <w:bodyDiv w:val="1"/>
      <w:marLeft w:val="0"/>
      <w:marRight w:val="0"/>
      <w:marTop w:val="0"/>
      <w:marBottom w:val="0"/>
      <w:divBdr>
        <w:top w:val="none" w:sz="0" w:space="0" w:color="auto"/>
        <w:left w:val="none" w:sz="0" w:space="0" w:color="auto"/>
        <w:bottom w:val="none" w:sz="0" w:space="0" w:color="auto"/>
        <w:right w:val="none" w:sz="0" w:space="0" w:color="auto"/>
      </w:divBdr>
      <w:divsChild>
        <w:div w:id="913275500">
          <w:marLeft w:val="0"/>
          <w:marRight w:val="0"/>
          <w:marTop w:val="0"/>
          <w:marBottom w:val="3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2.wd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hyperlink" Target="http://blogs.dlapiper.com/iptgermany/2017/03/24/neues-bundesarchivgesetz-in-kraft-getreten"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fathomjournal.org/antisemitism-and-anti-zionism-in-west-germany-in-the-1970s-lessons-for-today/"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fathomjournal.org/antisemitism-and-anti-zionism-in-west-germany-in-the-1970s-lessons-for-to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84CAA-53BC-4F23-B18F-5B6269639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3872</TotalTime>
  <Pages>22</Pages>
  <Words>6081</Words>
  <Characters>33875</Characters>
  <Application>Microsoft Office Word</Application>
  <DocSecurity>0</DocSecurity>
  <Lines>826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Cortbus</dc:creator>
  <cp:keywords/>
  <dc:description/>
  <cp:lastModifiedBy>Colin Cortbus</cp:lastModifiedBy>
  <cp:revision>61</cp:revision>
  <dcterms:created xsi:type="dcterms:W3CDTF">2018-01-27T18:12:00Z</dcterms:created>
  <dcterms:modified xsi:type="dcterms:W3CDTF">2018-01-31T14:59:00Z</dcterms:modified>
</cp:coreProperties>
</file>