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400" w:lineRule="auto"/>
        <w:jc w:val="center"/>
        <w:rPr/>
      </w:pPr>
      <w:r w:rsidDel="00000000" w:rsidR="00000000" w:rsidRPr="00000000">
        <w:rPr>
          <w:rFonts w:ascii="Arial" w:cs="Arial" w:eastAsia="Arial" w:hAnsi="Arial"/>
          <w:b w:val="1"/>
          <w:bCs w:val="1"/>
          <w:color w:val="1f3864"/>
          <w:sz w:val="36"/>
          <w:szCs w:val="36"/>
          <w:rtl w:val="0"/>
        </w:rPr>
        <w:t xml:space="preserve">DBA Module Knowledge Check</w:t>
      </w:r>
      <w:r w:rsidDel="00000000" w:rsidR="00000000" w:rsidRPr="00000000">
        <w:rPr>
          <w:rtl w:val="0"/>
        </w:rPr>
      </w:r>
    </w:p>
    <w:p w:rsidR="00000000" w:rsidDel="00000000" w:rsidP="00000000" w:rsidRDefault="00000000" w:rsidRPr="00000000" w14:paraId="00000002">
      <w:pPr>
        <w:spacing w:after="300" w:before="100" w:lineRule="auto"/>
        <w:jc w:val="center"/>
        <w:rPr/>
      </w:pPr>
      <w:r w:rsidDel="00000000" w:rsidR="00000000" w:rsidRPr="00000000">
        <w:rPr>
          <w:rFonts w:ascii="Arial" w:cs="Arial" w:eastAsia="Arial" w:hAnsi="Arial"/>
          <w:b w:val="1"/>
          <w:bCs w:val="1"/>
          <w:color w:val="1f3864"/>
          <w:sz w:val="44"/>
          <w:szCs w:val="44"/>
          <w:rtl w:val="0"/>
        </w:rPr>
        <w:t xml:space="preserve">Tutor Answer Sheet</w:t>
      </w:r>
      <w:r w:rsidDel="00000000" w:rsidR="00000000" w:rsidRPr="00000000">
        <w:rPr>
          <w:rtl w:val="0"/>
        </w:rPr>
      </w:r>
    </w:p>
    <w:p w:rsidR="00000000" w:rsidDel="00000000" w:rsidP="00000000" w:rsidRDefault="00000000" w:rsidRPr="00000000" w14:paraId="00000003">
      <w:pPr>
        <w:pBdr>
          <w:bottom w:color="1f3864" w:space="0" w:sz="6" w:val="single"/>
        </w:pBdr>
        <w:spacing w:after="60" w:before="60" w:lineRule="auto"/>
        <w:rPr/>
      </w:pPr>
      <w:r w:rsidDel="00000000" w:rsidR="00000000" w:rsidRPr="00000000">
        <w:rPr>
          <w:rtl w:val="0"/>
        </w:rPr>
      </w:r>
    </w:p>
    <w:p w:rsidR="00000000" w:rsidDel="00000000" w:rsidP="00000000" w:rsidRDefault="00000000" w:rsidRPr="00000000" w14:paraId="00000004">
      <w:pPr>
        <w:spacing w:after="80" w:before="80" w:lineRule="auto"/>
        <w:rPr/>
      </w:pPr>
      <w:r w:rsidDel="00000000" w:rsidR="00000000" w:rsidRPr="00000000">
        <w:rPr>
          <w:rtl w:val="0"/>
        </w:rPr>
      </w:r>
    </w:p>
    <w:p w:rsidR="00000000" w:rsidDel="00000000" w:rsidP="00000000" w:rsidRDefault="00000000" w:rsidRPr="00000000" w14:paraId="00000005">
      <w:pPr>
        <w:spacing w:after="80" w:before="80" w:lineRule="auto"/>
        <w:rPr/>
      </w:pPr>
      <w:r w:rsidDel="00000000" w:rsidR="00000000" w:rsidRPr="00000000">
        <w:rPr>
          <w:rFonts w:ascii="Arial" w:cs="Arial" w:eastAsia="Arial" w:hAnsi="Arial"/>
          <w:b w:val="1"/>
          <w:bCs w:val="1"/>
          <w:i w:val="1"/>
          <w:iCs w:val="1"/>
          <w:color w:val="a00000"/>
          <w:sz w:val="20"/>
          <w:szCs w:val="20"/>
          <w:rtl w:val="0"/>
        </w:rPr>
        <w:t xml:space="preserve">STRICTLY FOR TUTOR USE. Not for distribution to students prior to assessment.</w:t>
      </w:r>
      <w:r w:rsidDel="00000000" w:rsidR="00000000" w:rsidRPr="00000000">
        <w:rPr>
          <w:rtl w:val="0"/>
        </w:rPr>
      </w:r>
    </w:p>
    <w:p w:rsidR="00000000" w:rsidDel="00000000" w:rsidP="00000000" w:rsidRDefault="00000000" w:rsidRPr="00000000" w14:paraId="00000006">
      <w:pPr>
        <w:spacing w:after="80" w:before="80" w:lineRule="auto"/>
        <w:rPr/>
      </w:pPr>
      <w:r w:rsidDel="00000000" w:rsidR="00000000" w:rsidRPr="00000000">
        <w:rPr>
          <w:rtl w:val="0"/>
        </w:rPr>
      </w:r>
    </w:p>
    <w:p w:rsidR="00000000" w:rsidDel="00000000" w:rsidP="00000000" w:rsidRDefault="00000000" w:rsidRPr="00000000" w14:paraId="00000007">
      <w:pPr>
        <w:spacing w:after="80" w:before="80" w:lineRule="auto"/>
        <w:rPr/>
      </w:pPr>
      <w:r w:rsidDel="00000000" w:rsidR="00000000" w:rsidRPr="00000000">
        <w:rPr>
          <w:rFonts w:ascii="Arial" w:cs="Arial" w:eastAsia="Arial" w:hAnsi="Arial"/>
          <w:b w:val="0"/>
          <w:bCs w:val="0"/>
          <w:i w:val="0"/>
          <w:iCs w:val="0"/>
          <w:color w:val="000000"/>
          <w:sz w:val="20"/>
          <w:szCs w:val="20"/>
          <w:rtl w:val="0"/>
        </w:rPr>
        <w:t xml:space="preserve">MCQ answers: One mark per correct response. For open-ended questions, marks are awarded holistically on the basis of: accuracy of content, engagement with theory, critical analysis, and clarity of expression. The guidance below indicates the key points expected at doctoral level; it is not exhaustive.</w:t>
      </w:r>
      <w:r w:rsidDel="00000000" w:rsidR="00000000" w:rsidRPr="00000000">
        <w:rPr>
          <w:rtl w:val="0"/>
        </w:rPr>
      </w:r>
    </w:p>
    <w:p w:rsidR="00000000" w:rsidDel="00000000" w:rsidP="00000000" w:rsidRDefault="00000000" w:rsidRPr="00000000" w14:paraId="00000008">
      <w:pPr>
        <w:spacing w:after="80" w:before="80" w:lineRule="auto"/>
        <w:rPr/>
      </w:pPr>
      <w:r w:rsidDel="00000000" w:rsidR="00000000" w:rsidRPr="00000000">
        <w:rPr>
          <w:rtl w:val="0"/>
        </w:rPr>
      </w:r>
    </w:p>
    <w:p w:rsidR="00000000" w:rsidDel="00000000" w:rsidP="00000000" w:rsidRDefault="00000000" w:rsidRPr="00000000" w14:paraId="00000009">
      <w:pPr>
        <w:pBdr>
          <w:bottom w:color="1f3864" w:space="0" w:sz="6" w:val="single"/>
        </w:pBdr>
        <w:spacing w:after="60" w:before="60" w:lineRule="auto"/>
        <w:rPr/>
      </w:pPr>
      <w:r w:rsidDel="00000000" w:rsidR="00000000" w:rsidRPr="00000000">
        <w:rPr>
          <w:rtl w:val="0"/>
        </w:rPr>
      </w:r>
    </w:p>
    <w:p w:rsidR="00000000" w:rsidDel="00000000" w:rsidP="00000000" w:rsidRDefault="00000000" w:rsidRPr="00000000" w14:paraId="0000000A">
      <w:pPr>
        <w:spacing w:after="160" w:before="400" w:lineRule="auto"/>
        <w:rPr/>
      </w:pPr>
      <w:r w:rsidDel="00000000" w:rsidR="00000000" w:rsidRPr="00000000">
        <w:rPr>
          <w:rFonts w:ascii="Arial" w:cs="Arial" w:eastAsia="Arial" w:hAnsi="Arial"/>
          <w:b w:val="1"/>
          <w:bCs w:val="1"/>
          <w:color w:val="1f3864"/>
          <w:sz w:val="32"/>
          <w:szCs w:val="32"/>
          <w:rtl w:val="0"/>
        </w:rPr>
        <w:t xml:space="preserve">LCDB7007  —  Research Principles and Philosophy</w:t>
      </w:r>
      <w:r w:rsidDel="00000000" w:rsidR="00000000" w:rsidRPr="00000000">
        <w:rPr>
          <w:rtl w:val="0"/>
        </w:rPr>
      </w:r>
    </w:p>
    <w:p w:rsidR="00000000" w:rsidDel="00000000" w:rsidP="00000000" w:rsidRDefault="00000000" w:rsidRPr="00000000" w14:paraId="0000000B">
      <w:pPr>
        <w:spacing w:after="80" w:before="80" w:lineRule="auto"/>
        <w:rPr/>
      </w:pPr>
      <w:r w:rsidDel="00000000" w:rsidR="00000000" w:rsidRPr="00000000">
        <w:rPr>
          <w:rFonts w:ascii="Arial" w:cs="Arial" w:eastAsia="Arial" w:hAnsi="Arial"/>
          <w:b w:val="1"/>
          <w:bCs w:val="1"/>
          <w:i w:val="0"/>
          <w:iCs w:val="0"/>
          <w:color w:val="185fa5"/>
          <w:sz w:val="22"/>
          <w:szCs w:val="22"/>
          <w:rtl w:val="0"/>
        </w:rPr>
        <w:t xml:space="preserve">Section A: Multiple choice answers</w:t>
      </w:r>
      <w:r w:rsidDel="00000000" w:rsidR="00000000" w:rsidRPr="00000000">
        <w:rPr>
          <w:rtl w:val="0"/>
        </w:rPr>
      </w:r>
    </w:p>
    <w:p w:rsidR="00000000" w:rsidDel="00000000" w:rsidP="00000000" w:rsidRDefault="00000000" w:rsidRPr="00000000" w14:paraId="0000000C">
      <w:pPr>
        <w:spacing w:after="80" w:before="80" w:lineRule="auto"/>
        <w:rPr/>
      </w:pPr>
      <w:r w:rsidDel="00000000" w:rsidR="00000000" w:rsidRPr="00000000">
        <w:rPr>
          <w:rtl w:val="0"/>
        </w:rPr>
      </w:r>
    </w:p>
    <w:tbl>
      <w:tblPr>
        <w:tblStyle w:val="Table1"/>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0"/>
        <w:gridCol w:w="8360"/>
        <w:tblGridChange w:id="0">
          <w:tblGrid>
            <w:gridCol w:w="700"/>
            <w:gridCol w:w="83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85fa5" w:val="clear"/>
            <w:tcMar>
              <w:top w:w="100.0" w:type="dxa"/>
              <w:left w:w="150.0" w:type="dxa"/>
              <w:bottom w:w="100.0" w:type="dxa"/>
              <w:right w:w="150.0" w:type="dxa"/>
            </w:tcMar>
          </w:tcPr>
          <w:p w:rsidR="00000000" w:rsidDel="00000000" w:rsidP="00000000" w:rsidRDefault="00000000" w:rsidRPr="00000000" w14:paraId="0000000D">
            <w:pPr>
              <w:spacing w:after="60" w:before="60" w:lineRule="auto"/>
              <w:rPr/>
            </w:pPr>
            <w:r w:rsidDel="00000000" w:rsidR="00000000" w:rsidRPr="00000000">
              <w:rPr>
                <w:rFonts w:ascii="Arial" w:cs="Arial" w:eastAsia="Arial" w:hAnsi="Arial"/>
                <w:b w:val="1"/>
                <w:bCs w:val="1"/>
                <w:i w:val="0"/>
                <w:iCs w:val="0"/>
                <w:color w:val="ffffff"/>
                <w:sz w:val="19"/>
                <w:szCs w:val="19"/>
                <w:rtl w:val="0"/>
              </w:rPr>
              <w:t xml:space="preserve">Q</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85fa5" w:val="clear"/>
            <w:tcMar>
              <w:top w:w="100.0" w:type="dxa"/>
              <w:left w:w="150.0" w:type="dxa"/>
              <w:bottom w:w="100.0" w:type="dxa"/>
              <w:right w:w="150.0" w:type="dxa"/>
            </w:tcMar>
          </w:tcPr>
          <w:p w:rsidR="00000000" w:rsidDel="00000000" w:rsidP="00000000" w:rsidRDefault="00000000" w:rsidRPr="00000000" w14:paraId="0000000E">
            <w:pPr>
              <w:spacing w:after="60" w:before="60" w:lineRule="auto"/>
              <w:rPr/>
            </w:pPr>
            <w:r w:rsidDel="00000000" w:rsidR="00000000" w:rsidRPr="00000000">
              <w:rPr>
                <w:rFonts w:ascii="Arial" w:cs="Arial" w:eastAsia="Arial" w:hAnsi="Arial"/>
                <w:b w:val="1"/>
                <w:bCs w:val="1"/>
                <w:i w:val="0"/>
                <w:iCs w:val="0"/>
                <w:color w:val="ffffff"/>
                <w:sz w:val="19"/>
                <w:szCs w:val="19"/>
                <w:rtl w:val="0"/>
              </w:rPr>
              <w:t xml:space="preserve">Answer / Mark scheme guidance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0F">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0">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Relativism — the claim that reality is multiple, constructed, and context-dependent aligns with an interpretivist/constructivist ontology. Naïve realism (A) and critical realism (C) are both plausible distractors; the scenario's emphasis on attributed meanings points to relativism.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1">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2">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Researcher reflexivity — the statement describes the ongoing critical self-examination of how professional background and assumptions shape inquiry. This is axiological awareness enacted through reflexive practice, not neutrality or triangulation.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3">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4">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Social constructionism (Berger and Luckmann) locates knowledge in collective language and social interaction; constructivism (Piaget, Kelly) emphasises the individual's active cognitive construction of meaning. Option A reverses the definitions — a common error.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5">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6">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An audit trail — comprehensive documentation of methodological decisions — is the dependability strategy proposed by Lincoln and Guba. Inter-rater reliability (C) and Cronbach's alpha (A) are quantitative reliability measures, not qualitative analogues.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7">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8">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Post-positivism (Popper, Phillips) accepts that perfect objectivity is unattainable but retains the scientific ambition of approximating reality through rigorous method and systematic bias reduction. It does not embrace full subjectivity (C) or abandon quantitative methods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9">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A">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The double hermeneutic (Smith, Flowers and Larkin) refers to the researcher interpreting the participant who is already interpreting their lived experience — two nested layers of sense-making. Options A, C, and D are procedural misconceptions.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B">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C">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Critics (Braun and Clarke; O'Reilly and Parker) argue that saturation imports a positivist assumption of a finite, discoverable dataset into an interpretivist framework where further data would always yield new nuance. Option C is factually accurate but does not capture the deeper epistemological critique.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D">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Q8</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1E">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Abduction (Peirce; Blaikie) is iterative — the researcher moves between data and theory, using each to refine the other. This distinguishes it from induction (theory-free from data, C) and deduction (hypothesis-testing,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1F">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Q9</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0">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Critical Theory (Habermas; Freire) holds that research must serve emancipatory ends — understanding is necessary but insufficient without a commitment to transforming oppressive structures. Interpretivism seeks understanding; critical theory demands transformation.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1">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2">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Revising and re-piloting the question is the correct methodological response. The pilot study exists precisely to identify such problems before full data collection. Retaining flawed data (A) or abandoning the study (B) would be methodologically indefensible.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3">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4">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Pragmatists acknowledge values and their influence but evaluate them instrumentally — by their contribution to practical, useful outcomes. They neither bracket values entirely (A, the positivist position) nor foreground them as a primary analytical resource (B, the interpretivist/critical position).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5">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6">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Purposive sampling — participants are deliberately selected because their specific characteristics (senior role, merger experience) are directly relevant to the research question. Theoretical sampling (D) differs: it is iterative, driven by emerging theory during analysis (Grounded Theory).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7">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8">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The Research Onion encourages layer-by-layer selection without demonstrating the epistemological coherence that doctoral methodology requires. It is a pedagogical tool, not a philosophical framework — doctoral candidates need to argue ontological and epistemological alignment, not just tick boxes.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9">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A">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Prolonged engagement builds trust, reduces reactivity, and enables the researcher to develop and test working hypotheses — all contributing to credibility. It is not primarily about sample size (A) or ethics compliance (C).</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B">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C">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Insider familiarity risks interpretive closure — seeing what one expects rather than what is there. This requires heightened reflexivity, not reduced scrutiny. BERA does not prohibit insider research (A); member checking remains necessary (B); insider status creates the same risks in qualitative as any other paradigm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D">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2E">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ontology = the study of the nature of reality (what exists); positivism — one objective reality independent of the observer; interpretivism — reality is multiple, socially constructed, and context-dependent. Candidates should explain why this matters for research design (it determines epistemological approach, method choice, and how findings are claimed). Doctoral-level responses will critique the positions rather than merely define them.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2F">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0">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positivism — one reality, objective knowledge, value-free; interpretivism — multiple realities, knowledge co-constructed, values acknowledged. Implications: positivism favours surveys, deduction; interpretivism favours interviews, observation, induction. Candidates should demonstrate understanding that paradigmatic choice shapes every subsequent design decision.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1">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Q18</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2">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reflexivity = ongoing critical self-examination of how the researcher's identity, values, and assumptions shape the inquiry. The example should show a specific positionality (e.g. insider researcher in own organisation) and trace its effect on data collection (access, rapport, data interpretation). Doctoral responses will go beyond describing reflexivity to analysing its epistemological function.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3">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Q19</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4">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pilot study tests feasibility of design, instruments, protocols, sampling, and ethics. Two concrete examples of refinements: e.g. rephrasing ambiguous interview questions; discovering recruitment strategy inadequate and revising; finding a sensitive topic requires additional ethical safeguards. Doctoral responses will link pilot outcomes to methodological rigour and Lincoln and Guba's criteria.</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5">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Q20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6">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credibility (prolonged engagement, triangulation, member checking); transferability (thick description, purposive sampling); dependability (audit trail); confirmability (reflexive journal, bracketing). Comparison with reliability/validity should note that these quantitative criteria assume one objective reality — inappropriate for interpretivist inquiry. Doctoral responses will evaluate critically rather than list.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7">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Q21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8">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purposive — participants chosen for relevance to research question; theoretical — participants chosen iteratively to develop emerging theory (Grounded Theory). Purposive: appropriate for IPA, case study, phenomenology. Theoretical: Grounded Theory. Implications for generalisability: neither supports statistical generalisation; theoretical/analytical transferability is the appropriate claim.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9">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Q22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A">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constructivism — individual actively constructs meaning through experience (Piaget); social constructionism — meaning is collectively produced through language, discourse, and social interaction (Berger and Luckmann). Methodological implications: constructivism may focus on individual accounts; social constructionism privileges discourse analysis, focus groups, or conversational data. Candidates should reference the Seven Aliens framework accurately.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B">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Q23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C">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saturation = the point at which further data yields no new codes/themes. Reaching it: ongoing comparison of new data to existing coding until no new categories emerge. Criticisms: not always achievable in small IPA samples; Braun and Clarke argue saturation is not always the appropriate criterion for TA; it can lead to premature closure. Doctoral responses will engage with Fusch and Ness (2015) or similar.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D">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Q24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3E">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paradigm = the overarching worldview shaping all research decisions (ontology, epistemology, axiology, methodology). Foundational because: changes to the paradigm change the entire logic of the study. Argument for interpretivism in DBA: managerial experience is contextual, subjective, and meaning-laden; objective measurement is insufficient; requires rich, insider accounts; trustworthiness replaces validity. Doctoral responses will defend the choice critically, not descriptively.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4f0" w:val="clear"/>
            <w:tcMar>
              <w:top w:w="100.0" w:type="dxa"/>
              <w:left w:w="150.0" w:type="dxa"/>
              <w:bottom w:w="100.0" w:type="dxa"/>
              <w:right w:w="150.0" w:type="dxa"/>
            </w:tcMar>
          </w:tcPr>
          <w:p w:rsidR="00000000" w:rsidDel="00000000" w:rsidP="00000000" w:rsidRDefault="00000000" w:rsidRPr="00000000" w14:paraId="0000003F">
            <w:pPr>
              <w:spacing w:after="60" w:before="60" w:lineRule="auto"/>
              <w:rPr/>
            </w:pPr>
            <w:r w:rsidDel="00000000" w:rsidR="00000000" w:rsidRPr="00000000">
              <w:rPr>
                <w:rFonts w:ascii="Arial" w:cs="Arial" w:eastAsia="Arial" w:hAnsi="Arial"/>
                <w:b w:val="1"/>
                <w:bCs w:val="1"/>
                <w:i w:val="0"/>
                <w:iCs w:val="0"/>
                <w:color w:val="185fa5"/>
                <w:sz w:val="19"/>
                <w:szCs w:val="19"/>
                <w:rtl w:val="0"/>
              </w:rPr>
              <w:t xml:space="preserve">Q25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40">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engage with positivist critique (subjectivity, lack of replicability, small samples). Counter-arguments: interpretivism uses different but rigorous standards (Lincoln and Guba); paradigm should match the nature of the phenomenon; qualitative research has produced foundational knowledge in management (Eisenhardt, Strauss and Corbin). Draw on pragmatism as a middle position; critical theory as an explicitly political but rigorous stance. Doctoral responses will engage with the philosophy of science debate.</w:t>
            </w:r>
            <w:r w:rsidDel="00000000" w:rsidR="00000000" w:rsidRPr="00000000">
              <w:rPr>
                <w:rtl w:val="0"/>
              </w:rPr>
            </w:r>
          </w:p>
        </w:tc>
      </w:tr>
    </w:tbl>
    <w:p w:rsidR="00000000" w:rsidDel="00000000" w:rsidP="00000000" w:rsidRDefault="00000000" w:rsidRPr="00000000" w14:paraId="00000041">
      <w:pPr>
        <w:spacing w:after="80" w:before="80" w:lineRule="auto"/>
        <w:rPr/>
      </w:pPr>
      <w:r w:rsidDel="00000000" w:rsidR="00000000" w:rsidRPr="00000000">
        <w:rPr>
          <w:rtl w:val="0"/>
        </w:rPr>
      </w:r>
    </w:p>
    <w:p w:rsidR="00000000" w:rsidDel="00000000" w:rsidP="00000000" w:rsidRDefault="00000000" w:rsidRPr="00000000" w14:paraId="00000042">
      <w:pPr>
        <w:rPr/>
      </w:pPr>
      <w:r w:rsidDel="00000000" w:rsidR="00000000" w:rsidRPr="00000000">
        <w:br w:type="page"/>
      </w:r>
      <w:r w:rsidDel="00000000" w:rsidR="00000000" w:rsidRPr="00000000">
        <w:rPr>
          <w:rtl w:val="0"/>
        </w:rPr>
      </w:r>
    </w:p>
    <w:p w:rsidR="00000000" w:rsidDel="00000000" w:rsidP="00000000" w:rsidRDefault="00000000" w:rsidRPr="00000000" w14:paraId="00000043">
      <w:pPr>
        <w:spacing w:after="160" w:before="200" w:lineRule="auto"/>
        <w:rPr/>
      </w:pPr>
      <w:r w:rsidDel="00000000" w:rsidR="00000000" w:rsidRPr="00000000">
        <w:rPr>
          <w:rFonts w:ascii="Arial" w:cs="Arial" w:eastAsia="Arial" w:hAnsi="Arial"/>
          <w:b w:val="1"/>
          <w:bCs w:val="1"/>
          <w:color w:val="1d6b72"/>
          <w:sz w:val="32"/>
          <w:szCs w:val="32"/>
          <w:rtl w:val="0"/>
        </w:rPr>
        <w:t xml:space="preserve">LCDB7010  —  Converting Research into Practice</w:t>
      </w:r>
      <w:r w:rsidDel="00000000" w:rsidR="00000000" w:rsidRPr="00000000">
        <w:rPr>
          <w:rtl w:val="0"/>
        </w:rPr>
      </w:r>
    </w:p>
    <w:p w:rsidR="00000000" w:rsidDel="00000000" w:rsidP="00000000" w:rsidRDefault="00000000" w:rsidRPr="00000000" w14:paraId="00000044">
      <w:pPr>
        <w:spacing w:after="80" w:before="80" w:lineRule="auto"/>
        <w:rPr/>
      </w:pPr>
      <w:r w:rsidDel="00000000" w:rsidR="00000000" w:rsidRPr="00000000">
        <w:rPr>
          <w:rFonts w:ascii="Arial" w:cs="Arial" w:eastAsia="Arial" w:hAnsi="Arial"/>
          <w:b w:val="1"/>
          <w:bCs w:val="1"/>
          <w:i w:val="0"/>
          <w:iCs w:val="0"/>
          <w:color w:val="27500a"/>
          <w:sz w:val="22"/>
          <w:szCs w:val="22"/>
          <w:rtl w:val="0"/>
        </w:rPr>
        <w:t xml:space="preserve">Section A: Multiple choice answers</w:t>
      </w:r>
      <w:r w:rsidDel="00000000" w:rsidR="00000000" w:rsidRPr="00000000">
        <w:rPr>
          <w:rtl w:val="0"/>
        </w:rPr>
      </w:r>
    </w:p>
    <w:p w:rsidR="00000000" w:rsidDel="00000000" w:rsidP="00000000" w:rsidRDefault="00000000" w:rsidRPr="00000000" w14:paraId="00000045">
      <w:pPr>
        <w:spacing w:after="80" w:before="80" w:lineRule="auto"/>
        <w:rPr/>
      </w:pPr>
      <w:r w:rsidDel="00000000" w:rsidR="00000000" w:rsidRPr="00000000">
        <w:rPr>
          <w:rtl w:val="0"/>
        </w:rPr>
      </w:r>
    </w:p>
    <w:tbl>
      <w:tblPr>
        <w:tblStyle w:val="Table2"/>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0"/>
        <w:gridCol w:w="8360"/>
        <w:tblGridChange w:id="0">
          <w:tblGrid>
            <w:gridCol w:w="700"/>
            <w:gridCol w:w="83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27500a" w:val="clear"/>
            <w:tcMar>
              <w:top w:w="100.0" w:type="dxa"/>
              <w:left w:w="150.0" w:type="dxa"/>
              <w:bottom w:w="100.0" w:type="dxa"/>
              <w:right w:w="150.0" w:type="dxa"/>
            </w:tcMar>
          </w:tcPr>
          <w:p w:rsidR="00000000" w:rsidDel="00000000" w:rsidP="00000000" w:rsidRDefault="00000000" w:rsidRPr="00000000" w14:paraId="00000046">
            <w:pPr>
              <w:spacing w:after="60" w:before="60" w:lineRule="auto"/>
              <w:rPr/>
            </w:pPr>
            <w:r w:rsidDel="00000000" w:rsidR="00000000" w:rsidRPr="00000000">
              <w:rPr>
                <w:rFonts w:ascii="Arial" w:cs="Arial" w:eastAsia="Arial" w:hAnsi="Arial"/>
                <w:b w:val="1"/>
                <w:bCs w:val="1"/>
                <w:i w:val="0"/>
                <w:iCs w:val="0"/>
                <w:color w:val="ffffff"/>
                <w:sz w:val="19"/>
                <w:szCs w:val="19"/>
                <w:rtl w:val="0"/>
              </w:rPr>
              <w:t xml:space="preserve">Q</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27500a" w:val="clear"/>
            <w:tcMar>
              <w:top w:w="100.0" w:type="dxa"/>
              <w:left w:w="150.0" w:type="dxa"/>
              <w:bottom w:w="100.0" w:type="dxa"/>
              <w:right w:w="150.0" w:type="dxa"/>
            </w:tcMar>
          </w:tcPr>
          <w:p w:rsidR="00000000" w:rsidDel="00000000" w:rsidP="00000000" w:rsidRDefault="00000000" w:rsidRPr="00000000" w14:paraId="00000047">
            <w:pPr>
              <w:spacing w:after="60" w:before="60" w:lineRule="auto"/>
              <w:rPr/>
            </w:pPr>
            <w:r w:rsidDel="00000000" w:rsidR="00000000" w:rsidRPr="00000000">
              <w:rPr>
                <w:rFonts w:ascii="Arial" w:cs="Arial" w:eastAsia="Arial" w:hAnsi="Arial"/>
                <w:b w:val="1"/>
                <w:bCs w:val="1"/>
                <w:i w:val="0"/>
                <w:iCs w:val="0"/>
                <w:color w:val="ffffff"/>
                <w:sz w:val="19"/>
                <w:szCs w:val="19"/>
                <w:rtl w:val="0"/>
              </w:rPr>
              <w:t xml:space="preserve">Answer / Mark scheme guidance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48">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49">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A genuine doctoral research gap requires theoretical justification, not geographical novelty alone. The candidate must demonstrate why existing frameworks are conceptually insufficient — not merely absent in that setting.</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4A">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4B">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Thick description enables transferability by embedding findings in rich context, allowing readers to judge relevance to their own settings. It is not about verbatim transcription (C) or autobiography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4C">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4D">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Member checking (respondent validation) — sharing interpretations with participants and revising analysis in response. Triangulation (A) uses multiple data sources; peer debriefing (B) uses a critical colleague; negative case analysis (D) seeks disconfirming data.</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4E">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4F">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Theoretical framework = established theories used as a lens; conceptual framework = the researcher's own representation of how key concepts relate in their specific study. They are not interchangeable (A), and the sequencing claim in (D) is incorrect.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0">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1">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Dual role conflict — participants may feel unable to decline or to speak freely, undermining voluntary participation and data authenticity. This is the primary ethical risk, superseding practical concerns about sample size (A) or time management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2">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3">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Latent analysis interprets the underlying assumptions and ideologies implicit in accounts, moving beyond what was said (semantic, A) to why it was said that way. It is not frequency analysis (C) or a priori coding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4">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5">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Lincoln and Guba are explicit: transferability is the receiving context's judgement, enabled by the researcher's thick description — the researcher cannot assert it. Options A (wrong — transferability is a qualitative concept) and D (wrong — no minimum sample) reflect common misconceptions.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6">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Q8</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7">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Memos serve analytical and reflexive purposes — they externalise evolving interpretations and contribute to the audit trail. They are not primarily an ethics compliance record (A), transcription substitute (C), or triangulation tool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8">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Q9</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9">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Non-maleficence extends to potential as well as actual harm, and encompasses psychological, social, professional, and reputational dimensions — not only physical or immediate harm (A/B).</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A">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B">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IPA's idiographic commitment requires case-by-case analysis before cross-case comparison — this sequential movement from individual to pattern is a defining procedural feature distinguishing IPA from other qualitative approaches.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C">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D">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Informed consent requires comprehension, not just signature. Language must be accessible to the specific participant group. Option C reflects a common misconception; option D is ethically and procedurally incorrect.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5E">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5F">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The theory-practice gap arises from the tension between contextual depth and the demand for universal prescription. DBA researchers must translate nuanced, contextualised findings into situated, evidence-based recommendations rather than generalisable rules.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0">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1">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Negative case analysis is a credibility strategy — deliberately seeking disconfirming evidence prevents confirmation bias and demonstrates that the researcher has tested interpretations against contrary data. It is not about excluding outliers (A) or justifying sample size (D).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2">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3">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C. A conceptual framework must articulate the theoretical provenance of each construct and the direction of proposed relationships — without this, it is a diagram rather than a scholarly argument. Ontological position (B) belongs in the methodology section, not the framework itself.</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4">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5">
            <w:pPr>
              <w:spacing w:after="60" w:before="60" w:lineRule="auto"/>
              <w:rPr/>
            </w:pPr>
            <w:r w:rsidDel="00000000" w:rsidR="00000000" w:rsidRPr="00000000">
              <w:rPr>
                <w:rFonts w:ascii="Arial" w:cs="Arial" w:eastAsia="Arial" w:hAnsi="Arial"/>
                <w:b w:val="1"/>
                <w:bCs w:val="1"/>
                <w:i w:val="0"/>
                <w:iCs w:val="0"/>
                <w:color w:val="000000"/>
                <w:sz w:val="19"/>
                <w:szCs w:val="19"/>
                <w:rtl w:val="0"/>
              </w:rPr>
              <w:t xml:space="preserve">B. Confirmability requires documentary evidence — an audit trail, reflexive journal, and accessible raw data — that another researcher could use to trace the interpretive logic from data to conclusion. Colleague endorsement (A) and NVivo alone (D) do not constitute confirmability.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6">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7">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theoretical framework = the existing theories used as a lens (e.g. Kolb's experiential learning; Nonaka's SECI model); conceptual framework = the candidate's own representation of how the key concepts in their specific study relate to each other. Both are necessary: the theoretical framework grounds the study in established scholarship; the conceptual framework operationalises it for the specific inquiry. Doctoral responses will include a worked example rather than abstract definition.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8">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9">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a gap is not simply an absence — it may be a theoretical gap (concept untested in context), contextual gap (UK research applied to China), methodological gap (only quantitative studies exist on a qualitative phenomenon). The example must be specific to the student's DBA topic, identifying specific literature and explaining why qualitative inquiry (rather than quantitative) is the appropriate response to the gap.</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A">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Q18</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B">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the literature review in a pilot study maps the conceptual territory, identifies the gap, and justifies the methodology. Risk of descriptive approach: becomes a catalogue of studies rather than a critical synthesis; fails to demonstrate analytical capability required at doctoral level; misses conceptual contradictions and debates. Doctoral responses will distinguish between description, summary, synthesis, and critical analysis.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C">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Q19</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D">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informed consent — full disclosure, voluntary, ongoing (not a one-off signature), capacity to consent; confidentiality — anonymisation, data storage (GDPR), agreed limits (e.g. safeguarding exceptions); right to withdraw — at any time, without penalty, clear process for data removal. In senior manager DBA context: consider power dynamics, gatekeeper issues, organisational confidentiality, and anonymisation of organisations as well as individuals.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6E">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Q20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6F">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TA (Braun and Clarke) — flexible, not tied to a paradigm, suitable for identifying patterns across a dataset; IPA — phenomenological, idiographic, explores meaning-making, requires homogeneous purposive sample, small N. TA appropriate when: seeking thematic patterns across a broader dataset, constructivist or social constructionist paradigm. IPA appropriate when: exploring lived experience in depth, interpretivist paradigm, small homogeneous sample. Doctoral responses will evaluate rather than describe.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70">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Q21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71">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theory-practice gap = findings are rich conceptually but difficult to implement. Strategies: participatory research involving practitioners in design; writing recommendations in plain language alongside academic conclusions; using practitioner-facing dissemination (reports, briefings); action research; ensuring research questions were co-constructed with practice from the outset. DBA specifically bridges this gap by design — candidates should engage with the DBA's applied professional doctorate purpose.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72">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Q22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73">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thick description goes beyond surface reporting to include context, intention, and meaning (Geertz, 1973); it enables transferability — readers judge whether findings apply to their context. Example: rather than reporting "the manager said communication was difficult," thick description would contextualise the remark within the organisational culture, the participant's role history, and the conditions of the interview. Doctoral responses will show application, not just definition.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74">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Q23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75">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memoing = the practice of recording the researcher's thoughts, emerging interpretations, methodological decisions, and reflexive observations throughout analysis. Supports reflexivity by making the researcher's analytical process visible. Contributes to dependability: the memo trail constitutes the audit trail Lincoln and Guba require for dependability — it documents why analytical decisions were made. Doctoral responses will distinguish between different types of memos (theoretical, methodological, observational).</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76">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Q24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77">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Key points: PIS limitations — language accessibility for non-English speakers; power imbalance meaning participants feel unable to decline; procedural compliance (signing without understanding); online consent challenges; voluntary participation under organisational pressure. Genuine informed consent: plain language, participant's home language where needed; verbal explanation alongside written; revisiting consent at each data collection point; ensuring gatekeeper has not coerced participation. Doctoral responses will engage with the ethics literature critically.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d6" w:val="clear"/>
            <w:tcMar>
              <w:top w:w="100.0" w:type="dxa"/>
              <w:left w:w="150.0" w:type="dxa"/>
              <w:bottom w:w="100.0" w:type="dxa"/>
              <w:right w:w="150.0" w:type="dxa"/>
            </w:tcMar>
          </w:tcPr>
          <w:p w:rsidR="00000000" w:rsidDel="00000000" w:rsidP="00000000" w:rsidRDefault="00000000" w:rsidRPr="00000000" w14:paraId="00000078">
            <w:pPr>
              <w:spacing w:after="60" w:before="60" w:lineRule="auto"/>
              <w:rPr/>
            </w:pPr>
            <w:r w:rsidDel="00000000" w:rsidR="00000000" w:rsidRPr="00000000">
              <w:rPr>
                <w:rFonts w:ascii="Arial" w:cs="Arial" w:eastAsia="Arial" w:hAnsi="Arial"/>
                <w:b w:val="1"/>
                <w:bCs w:val="1"/>
                <w:i w:val="0"/>
                <w:iCs w:val="0"/>
                <w:color w:val="27500a"/>
                <w:sz w:val="19"/>
                <w:szCs w:val="19"/>
                <w:rtl w:val="0"/>
              </w:rPr>
              <w:t xml:space="preserve">Q25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50.0" w:type="dxa"/>
              <w:bottom w:w="100.0" w:type="dxa"/>
              <w:right w:w="150.0" w:type="dxa"/>
            </w:tcMar>
          </w:tcPr>
          <w:p w:rsidR="00000000" w:rsidDel="00000000" w:rsidP="00000000" w:rsidRDefault="00000000" w:rsidRPr="00000000" w14:paraId="00000079">
            <w:pPr>
              <w:spacing w:after="60" w:before="60" w:lineRule="auto"/>
              <w:rPr/>
            </w:pPr>
            <w:r w:rsidDel="00000000" w:rsidR="00000000" w:rsidRPr="00000000">
              <w:rPr>
                <w:rFonts w:ascii="Arial" w:cs="Arial" w:eastAsia="Arial" w:hAnsi="Arial"/>
                <w:b w:val="0"/>
                <w:bCs w:val="0"/>
                <w:i w:val="0"/>
                <w:iCs w:val="0"/>
                <w:color w:val="000000"/>
                <w:sz w:val="19"/>
                <w:szCs w:val="19"/>
                <w:rtl w:val="0"/>
              </w:rPr>
              <w:t xml:space="preserve">This is a synthesis question. Doctoral-level answers should: name the paradigm and justify alignment with the research problem; specify data collection method and explain why it is epistemologically coherent with the paradigm; specify analytical approach (e.g. IPA, TA, constructivist TA) and justify; address trustworthiness explicitly using Lincoln and Guba's criteria and explain how each will be achieved in their specific study. Reward specificity, integration, and critical self-awareness over generic description.</w:t>
            </w:r>
            <w:r w:rsidDel="00000000" w:rsidR="00000000" w:rsidRPr="00000000">
              <w:rPr>
                <w:rtl w:val="0"/>
              </w:rPr>
            </w:r>
          </w:p>
        </w:tc>
      </w:tr>
    </w:tbl>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pgSz w:h="16838" w:w="11906" w:orient="portrait"/>
      <w:pgMar w:bottom="1200" w:top="1200" w:left="1200" w:right="12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