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3C34ED" w14:textId="77777777" w:rsidR="00BC4F42" w:rsidRPr="00D67BF8" w:rsidRDefault="00BC4F42" w:rsidP="00BC4F42">
      <w:pPr>
        <w:pStyle w:val="NormalWeb"/>
        <w:spacing w:before="0" w:beforeAutospacing="0" w:after="0" w:afterAutospacing="0"/>
        <w:ind w:right="-334"/>
        <w:rPr>
          <w:rFonts w:ascii="Trebuchet MS" w:hAnsi="Trebuchet MS" w:cs="Tahoma"/>
          <w:bCs/>
          <w:sz w:val="24"/>
          <w:szCs w:val="24"/>
        </w:rPr>
      </w:pPr>
    </w:p>
    <w:p w14:paraId="57C72D7B" w14:textId="77777777" w:rsidR="00BC4F42" w:rsidRDefault="00BC4F42" w:rsidP="00BC4F42">
      <w:pPr>
        <w:pStyle w:val="NormalWeb"/>
        <w:spacing w:before="0" w:beforeAutospacing="0" w:after="0" w:afterAutospacing="0"/>
        <w:ind w:left="-180" w:right="-334"/>
      </w:pPr>
      <w:r>
        <w:rPr>
          <w:noProof/>
        </w:rPr>
        <w:drawing>
          <wp:inline distT="0" distB="0" distL="0" distR="0" wp14:anchorId="0AED692A" wp14:editId="50E823A8">
            <wp:extent cx="1905635" cy="649605"/>
            <wp:effectExtent l="25400" t="25400" r="12065" b="10795"/>
            <wp:docPr id="98195044" name="Picture 98195044" descr="A black and white logo&#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8195044" name="Picture 98195044" descr="A black and white logo&#10;&#10;Description automatically generated"/>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635" cy="649605"/>
                    </a:xfrm>
                    <a:prstGeom prst="rect">
                      <a:avLst/>
                    </a:prstGeom>
                    <a:noFill/>
                    <a:ln w="19050" cmpd="sng">
                      <a:solidFill>
                        <a:srgbClr val="000000"/>
                      </a:solidFill>
                      <a:miter lim="800000"/>
                      <a:headEnd/>
                      <a:tailEnd/>
                    </a:ln>
                    <a:effectLst/>
                  </pic:spPr>
                </pic:pic>
              </a:graphicData>
            </a:graphic>
          </wp:inline>
        </w:drawing>
      </w:r>
    </w:p>
    <w:p w14:paraId="0F28A92B" w14:textId="77777777" w:rsidR="00BC4F42" w:rsidRDefault="00BC4F42" w:rsidP="00BC4F42">
      <w:pPr>
        <w:pStyle w:val="NormalWeb"/>
        <w:spacing w:before="0" w:beforeAutospacing="0" w:after="0" w:afterAutospacing="0"/>
        <w:ind w:left="-180" w:right="-334"/>
      </w:pPr>
    </w:p>
    <w:p w14:paraId="25EE962A" w14:textId="77777777" w:rsidR="00BC4F42" w:rsidRDefault="00BC4F42" w:rsidP="00BC4F42">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4D037DEF" w14:textId="77777777" w:rsidR="00BC4F42" w:rsidRPr="00230F35" w:rsidRDefault="00BC4F42" w:rsidP="00BC4F42">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1A0307E7" w14:textId="77777777" w:rsidR="00BC4F42" w:rsidRPr="00230F35" w:rsidRDefault="00BC4F42" w:rsidP="00BC4F42">
      <w:pPr>
        <w:rPr>
          <w:rFonts w:ascii="Arial" w:hAnsi="Arial" w:cs="Arial"/>
          <w:sz w:val="28"/>
          <w:szCs w:val="28"/>
          <w:lang w:val="cy-GB"/>
        </w:rPr>
      </w:pPr>
    </w:p>
    <w:p w14:paraId="0152E6BD" w14:textId="77777777" w:rsidR="00BC4F42" w:rsidRDefault="00BC4F42" w:rsidP="00BC4F42">
      <w:pPr>
        <w:pStyle w:val="Heading3"/>
        <w:jc w:val="center"/>
        <w:rPr>
          <w:lang w:val="cy-GB"/>
        </w:rPr>
      </w:pPr>
      <w:r>
        <w:rPr>
          <w:lang w:val="cy-GB"/>
        </w:rPr>
        <w:t>THIS SHEET MUST BE THE FIRST PAGE OF THE ASSIGNMENT YOU ARE SUBMITTING  (DO NOT SEND AS A SEPARATE FILE)</w:t>
      </w:r>
    </w:p>
    <w:p w14:paraId="646A8E84" w14:textId="77777777" w:rsidR="00BC4F42" w:rsidRDefault="00BC4F42" w:rsidP="00BC4F42">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BC4F42" w:rsidRPr="00230F35" w14:paraId="435CB905" w14:textId="77777777" w:rsidTr="00EA6B3B">
        <w:trPr>
          <w:trHeight w:val="614"/>
        </w:trPr>
        <w:tc>
          <w:tcPr>
            <w:tcW w:w="8856" w:type="dxa"/>
            <w:gridSpan w:val="5"/>
          </w:tcPr>
          <w:p w14:paraId="66EA3E16" w14:textId="77777777" w:rsidR="00BC4F42" w:rsidRPr="00230F35" w:rsidRDefault="00BC4F42" w:rsidP="00EA6B3B">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BC4F42" w:rsidRPr="00230F35" w14:paraId="53D35B89" w14:textId="77777777" w:rsidTr="00EA6B3B">
        <w:trPr>
          <w:trHeight w:val="718"/>
        </w:trPr>
        <w:tc>
          <w:tcPr>
            <w:tcW w:w="8856" w:type="dxa"/>
            <w:gridSpan w:val="5"/>
          </w:tcPr>
          <w:p w14:paraId="5732C54A" w14:textId="77777777" w:rsidR="00BC4F42" w:rsidRDefault="00BC4F42" w:rsidP="00EA6B3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Luke Collin</w:t>
            </w:r>
          </w:p>
          <w:p w14:paraId="51C784DE" w14:textId="77777777" w:rsidR="00BC4F42" w:rsidRPr="00230F35" w:rsidRDefault="00BC4F42" w:rsidP="00EA6B3B">
            <w:pPr>
              <w:pStyle w:val="NormalWeb"/>
              <w:spacing w:before="0" w:beforeAutospacing="0" w:after="0" w:afterAutospacing="0"/>
              <w:ind w:right="34"/>
              <w:rPr>
                <w:rFonts w:ascii="Arial" w:hAnsi="Arial" w:cs="Arial"/>
                <w:sz w:val="22"/>
                <w:szCs w:val="22"/>
              </w:rPr>
            </w:pPr>
          </w:p>
          <w:p w14:paraId="6E412272" w14:textId="77777777" w:rsidR="00BC4F42" w:rsidRPr="00230F35" w:rsidRDefault="00BC4F42" w:rsidP="00EA6B3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2307915@student.uwtsd.ac.uk</w:t>
            </w:r>
          </w:p>
        </w:tc>
      </w:tr>
      <w:tr w:rsidR="00BC4F42" w:rsidRPr="00230F35" w14:paraId="5B124180" w14:textId="77777777" w:rsidTr="00EA6B3B">
        <w:trPr>
          <w:trHeight w:val="849"/>
        </w:trPr>
        <w:tc>
          <w:tcPr>
            <w:tcW w:w="4788" w:type="dxa"/>
          </w:tcPr>
          <w:p w14:paraId="6E6B74CD" w14:textId="77777777" w:rsidR="00BC4F42" w:rsidRPr="00230F35" w:rsidRDefault="00BC4F42" w:rsidP="00EA6B3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HPCA7015</w:t>
            </w:r>
          </w:p>
          <w:p w14:paraId="2B6CDB1A" w14:textId="77777777" w:rsidR="00BC4F42" w:rsidRPr="00230F35" w:rsidRDefault="00BC4F42" w:rsidP="00EA6B3B">
            <w:pPr>
              <w:pStyle w:val="NormalWeb"/>
              <w:spacing w:before="0" w:beforeAutospacing="0" w:after="0" w:afterAutospacing="0"/>
              <w:ind w:right="34"/>
              <w:rPr>
                <w:rFonts w:ascii="Arial" w:hAnsi="Arial" w:cs="Arial"/>
                <w:sz w:val="22"/>
                <w:szCs w:val="22"/>
              </w:rPr>
            </w:pPr>
          </w:p>
          <w:p w14:paraId="0A1E4D64" w14:textId="77777777" w:rsidR="00BC4F42" w:rsidRDefault="00BC4F42" w:rsidP="00EA6B3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t xml:space="preserve"> </w:t>
            </w:r>
            <w:r>
              <w:rPr>
                <w:rFonts w:ascii="Arial" w:hAnsi="Arial" w:cs="Arial"/>
                <w:sz w:val="22"/>
                <w:szCs w:val="22"/>
              </w:rPr>
              <w:t>Foundations in Cultural Astronomy and Astrology</w:t>
            </w:r>
          </w:p>
          <w:p w14:paraId="478B99BE" w14:textId="77777777" w:rsidR="00BC4F42" w:rsidRDefault="00BC4F42" w:rsidP="00EA6B3B">
            <w:pPr>
              <w:pStyle w:val="NormalWeb"/>
              <w:spacing w:before="0" w:beforeAutospacing="0" w:after="0" w:afterAutospacing="0"/>
              <w:ind w:right="34"/>
              <w:rPr>
                <w:rFonts w:ascii="Arial" w:hAnsi="Arial" w:cs="Arial"/>
                <w:sz w:val="22"/>
                <w:szCs w:val="22"/>
              </w:rPr>
            </w:pPr>
          </w:p>
          <w:p w14:paraId="5195F280" w14:textId="77777777" w:rsidR="00BC4F42" w:rsidRPr="00230F35" w:rsidRDefault="00BC4F42" w:rsidP="00EA6B3B">
            <w:pPr>
              <w:pStyle w:val="NormalWeb"/>
              <w:spacing w:before="0" w:beforeAutospacing="0" w:after="0" w:afterAutospacing="0"/>
              <w:ind w:right="34"/>
              <w:rPr>
                <w:rFonts w:ascii="Arial" w:hAnsi="Arial" w:cs="Arial"/>
                <w:sz w:val="22"/>
                <w:szCs w:val="22"/>
              </w:rPr>
            </w:pPr>
          </w:p>
        </w:tc>
        <w:tc>
          <w:tcPr>
            <w:tcW w:w="2266" w:type="dxa"/>
            <w:gridSpan w:val="3"/>
          </w:tcPr>
          <w:p w14:paraId="00850899" w14:textId="77777777" w:rsidR="00BC4F42" w:rsidRDefault="00BC4F42" w:rsidP="00EA6B3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0AA77EDF" w14:textId="77777777" w:rsidR="00BC4F42" w:rsidRPr="00230F35" w:rsidRDefault="00BC4F42" w:rsidP="00EA6B3B">
            <w:pPr>
              <w:pStyle w:val="NormalWeb"/>
              <w:spacing w:before="0" w:beforeAutospacing="0" w:after="0" w:afterAutospacing="0"/>
              <w:ind w:right="34"/>
              <w:rPr>
                <w:rFonts w:ascii="Arial" w:hAnsi="Arial" w:cs="Arial"/>
                <w:sz w:val="22"/>
                <w:szCs w:val="22"/>
              </w:rPr>
            </w:pPr>
            <w:r>
              <w:rPr>
                <w:rFonts w:ascii="Arial" w:hAnsi="Arial" w:cs="Arial"/>
                <w:sz w:val="22"/>
                <w:szCs w:val="22"/>
              </w:rPr>
              <w:t>2307915</w:t>
            </w:r>
          </w:p>
        </w:tc>
        <w:tc>
          <w:tcPr>
            <w:tcW w:w="1802" w:type="dxa"/>
          </w:tcPr>
          <w:p w14:paraId="56BAE7B6" w14:textId="77777777" w:rsidR="00BC4F42" w:rsidRPr="00230F35" w:rsidRDefault="00BC4F42" w:rsidP="00EA6B3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5B580705" w14:textId="77777777" w:rsidR="00BC4F42" w:rsidRPr="00230F35" w:rsidRDefault="00BC4F42" w:rsidP="00EA6B3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BC4F42" w:rsidRPr="00230F35" w14:paraId="740DE383" w14:textId="77777777" w:rsidTr="00EA6B3B">
        <w:trPr>
          <w:trHeight w:val="1139"/>
        </w:trPr>
        <w:tc>
          <w:tcPr>
            <w:tcW w:w="8856" w:type="dxa"/>
            <w:gridSpan w:val="5"/>
          </w:tcPr>
          <w:p w14:paraId="6667C0E9" w14:textId="42C19FED" w:rsidR="00BC4F42" w:rsidRPr="00F43577" w:rsidRDefault="00BC4F42" w:rsidP="00BC4F42">
            <w:pPr>
              <w:pStyle w:val="NormalWeb"/>
              <w:shd w:val="clear" w:color="auto" w:fill="FFFFFF"/>
              <w:rPr>
                <w:rFonts w:eastAsia="Times New Roman"/>
                <w:lang w:eastAsia="en-GB"/>
              </w:rPr>
            </w:pPr>
            <w:r w:rsidRPr="00230F35">
              <w:rPr>
                <w:rFonts w:ascii="Arial" w:hAnsi="Arial" w:cs="Arial"/>
                <w:sz w:val="22"/>
                <w:szCs w:val="22"/>
              </w:rPr>
              <w:t>Assignment title:</w:t>
            </w:r>
            <w:r>
              <w:rPr>
                <w:rFonts w:ascii="Arial" w:hAnsi="Arial" w:cs="Arial"/>
                <w:sz w:val="22"/>
                <w:szCs w:val="22"/>
              </w:rPr>
              <w:t xml:space="preserve"> </w:t>
            </w:r>
            <w:r w:rsidRPr="00BC4F42">
              <w:rPr>
                <w:rFonts w:ascii="Arial" w:hAnsi="Arial" w:cs="Arial"/>
                <w:sz w:val="22"/>
                <w:szCs w:val="22"/>
              </w:rPr>
              <w:t>Compare and contrast two sky myths from two different cultures</w:t>
            </w:r>
          </w:p>
          <w:p w14:paraId="35609CB0" w14:textId="77777777" w:rsidR="00BC4F42" w:rsidRPr="00230F35" w:rsidRDefault="00BC4F42" w:rsidP="00EA6B3B">
            <w:pPr>
              <w:pStyle w:val="NormalWeb"/>
              <w:spacing w:before="0" w:beforeAutospacing="0" w:after="0" w:afterAutospacing="0"/>
              <w:ind w:right="34"/>
              <w:rPr>
                <w:rFonts w:ascii="Arial" w:hAnsi="Arial" w:cs="Arial"/>
                <w:sz w:val="22"/>
                <w:szCs w:val="22"/>
              </w:rPr>
            </w:pPr>
          </w:p>
          <w:p w14:paraId="5667D0F2" w14:textId="77777777" w:rsidR="00BC4F42" w:rsidRDefault="00BC4F42" w:rsidP="00EA6B3B">
            <w:pPr>
              <w:pStyle w:val="NormalWeb"/>
              <w:spacing w:before="0" w:beforeAutospacing="0" w:after="0" w:afterAutospacing="0"/>
              <w:ind w:right="34"/>
              <w:rPr>
                <w:rFonts w:ascii="Arial" w:hAnsi="Arial" w:cs="Arial"/>
                <w:sz w:val="22"/>
                <w:szCs w:val="22"/>
              </w:rPr>
            </w:pPr>
          </w:p>
          <w:p w14:paraId="67C7B8EA" w14:textId="6D1744B0" w:rsidR="00BC4F42" w:rsidRPr="00230F35" w:rsidRDefault="00BC4F42" w:rsidP="00EA6B3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Pr>
                <w:rFonts w:ascii="Arial" w:hAnsi="Arial" w:cs="Arial"/>
                <w:sz w:val="22"/>
                <w:szCs w:val="22"/>
              </w:rPr>
              <w:t>6</w:t>
            </w:r>
            <w:r w:rsidRPr="00BC4F42">
              <w:rPr>
                <w:rFonts w:ascii="Arial" w:hAnsi="Arial" w:cs="Arial"/>
                <w:sz w:val="22"/>
                <w:szCs w:val="22"/>
                <w:vertAlign w:val="superscript"/>
              </w:rPr>
              <w:t>th</w:t>
            </w:r>
            <w:r>
              <w:rPr>
                <w:rFonts w:ascii="Arial" w:hAnsi="Arial" w:cs="Arial"/>
                <w:sz w:val="22"/>
                <w:szCs w:val="22"/>
              </w:rPr>
              <w:t xml:space="preserve"> January</w:t>
            </w:r>
            <w:r>
              <w:rPr>
                <w:rFonts w:ascii="Arial" w:hAnsi="Arial" w:cs="Arial"/>
                <w:sz w:val="22"/>
                <w:szCs w:val="22"/>
              </w:rPr>
              <w:t xml:space="preserve"> 202</w:t>
            </w:r>
            <w:r>
              <w:rPr>
                <w:rFonts w:ascii="Arial" w:hAnsi="Arial" w:cs="Arial"/>
                <w:sz w:val="22"/>
                <w:szCs w:val="22"/>
              </w:rPr>
              <w:t>5</w:t>
            </w:r>
          </w:p>
        </w:tc>
      </w:tr>
      <w:tr w:rsidR="00BC4F42" w:rsidRPr="00230F35" w14:paraId="0A5016BC" w14:textId="77777777" w:rsidTr="00EA6B3B">
        <w:trPr>
          <w:trHeight w:val="978"/>
        </w:trPr>
        <w:tc>
          <w:tcPr>
            <w:tcW w:w="8856" w:type="dxa"/>
            <w:gridSpan w:val="5"/>
            <w:tcBorders>
              <w:bottom w:val="single" w:sz="4" w:space="0" w:color="000000"/>
            </w:tcBorders>
          </w:tcPr>
          <w:p w14:paraId="53DE181E" w14:textId="77777777" w:rsidR="00BC4F42" w:rsidRPr="00230F35" w:rsidRDefault="00BC4F42" w:rsidP="00EA6B3B">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Pr>
                <w:rFonts w:ascii="Arial" w:hAnsi="Arial" w:cs="Arial"/>
                <w:sz w:val="22"/>
                <w:szCs w:val="22"/>
              </w:rPr>
              <w:t>x</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BC4F42" w:rsidRPr="00230F35" w14:paraId="3331287E" w14:textId="77777777" w:rsidTr="00EA6B3B">
        <w:trPr>
          <w:trHeight w:val="978"/>
        </w:trPr>
        <w:tc>
          <w:tcPr>
            <w:tcW w:w="8856" w:type="dxa"/>
            <w:gridSpan w:val="5"/>
            <w:shd w:val="clear" w:color="auto" w:fill="D9D9D9"/>
          </w:tcPr>
          <w:p w14:paraId="3D84E9FD" w14:textId="77777777" w:rsidR="00BC4F42" w:rsidRPr="00230F35" w:rsidRDefault="00BC4F42" w:rsidP="00EA6B3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2F115186" w14:textId="77777777" w:rsidR="00BC4F42" w:rsidRDefault="00BC4F42" w:rsidP="00EA6B3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roofErr w:type="spellStart"/>
            <w:proofErr w:type="gramStart"/>
            <w:r>
              <w:rPr>
                <w:rFonts w:ascii="Arial" w:hAnsi="Arial" w:cs="Arial"/>
                <w:sz w:val="22"/>
                <w:szCs w:val="22"/>
              </w:rPr>
              <w:t>L.Collin</w:t>
            </w:r>
            <w:proofErr w:type="spellEnd"/>
            <w:proofErr w:type="gramEnd"/>
            <w:r w:rsidRPr="00230F35">
              <w:rPr>
                <w:rFonts w:ascii="Arial" w:hAnsi="Arial" w:cs="Arial"/>
                <w:sz w:val="22"/>
                <w:szCs w:val="22"/>
              </w:rPr>
              <w:t>………………………………………</w:t>
            </w:r>
          </w:p>
          <w:p w14:paraId="46714783" w14:textId="77777777" w:rsidR="00BC4F42" w:rsidRDefault="00BC4F42" w:rsidP="00EA6B3B">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sidRPr="005979EE">
              <w:rPr>
                <w:rFonts w:ascii="Calibri" w:hAnsi="Calibri" w:cs="Calibri"/>
                <w:b/>
                <w:sz w:val="44"/>
                <w:szCs w:val="44"/>
              </w:rPr>
              <w:t>□</w:t>
            </w:r>
          </w:p>
          <w:p w14:paraId="02D15186" w14:textId="77777777" w:rsidR="00BC4F42" w:rsidRPr="00230F35" w:rsidRDefault="00BC4F42" w:rsidP="00EA6B3B">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BC4F42" w:rsidRPr="00230F35" w14:paraId="3E183E87" w14:textId="77777777" w:rsidTr="00EA6B3B">
        <w:trPr>
          <w:trHeight w:val="3972"/>
        </w:trPr>
        <w:tc>
          <w:tcPr>
            <w:tcW w:w="8856" w:type="dxa"/>
            <w:gridSpan w:val="5"/>
          </w:tcPr>
          <w:p w14:paraId="7FEB470F" w14:textId="77777777" w:rsidR="00BC4F42" w:rsidRDefault="00BC4F42" w:rsidP="00EA6B3B">
            <w:pPr>
              <w:rPr>
                <w:rFonts w:ascii="Arial" w:hAnsi="Arial"/>
                <w:b/>
              </w:rPr>
            </w:pPr>
          </w:p>
          <w:p w14:paraId="001200C4" w14:textId="77777777" w:rsidR="00BC4F42" w:rsidRPr="00116CE6" w:rsidRDefault="00BC4F42" w:rsidP="00EA6B3B">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BC4F42" w:rsidRPr="00116CE6" w14:paraId="5C209DFF" w14:textId="77777777" w:rsidTr="00EA6B3B">
              <w:tc>
                <w:tcPr>
                  <w:tcW w:w="6970" w:type="dxa"/>
                </w:tcPr>
                <w:p w14:paraId="4DB40B7C" w14:textId="77777777" w:rsidR="00BC4F42" w:rsidRPr="00116CE6" w:rsidRDefault="00BC4F42" w:rsidP="00EA6B3B">
                  <w:pPr>
                    <w:rPr>
                      <w:rFonts w:ascii="Arial" w:hAnsi="Arial"/>
                      <w:sz w:val="20"/>
                      <w:szCs w:val="20"/>
                    </w:rPr>
                  </w:pPr>
                </w:p>
                <w:p w14:paraId="0F297B4E" w14:textId="77777777" w:rsidR="00BC4F42" w:rsidRPr="00116CE6" w:rsidRDefault="00BC4F42" w:rsidP="00EA6B3B">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456C05A0" w14:textId="77777777" w:rsidR="00BC4F42" w:rsidRPr="00116CE6" w:rsidRDefault="00BC4F42" w:rsidP="00EA6B3B">
                  <w:pPr>
                    <w:rPr>
                      <w:rFonts w:ascii="Arial" w:hAnsi="Arial"/>
                      <w:sz w:val="20"/>
                      <w:szCs w:val="20"/>
                    </w:rPr>
                  </w:pPr>
                </w:p>
              </w:tc>
            </w:tr>
            <w:tr w:rsidR="00BC4F42" w:rsidRPr="00116CE6" w14:paraId="534C2008" w14:textId="77777777" w:rsidTr="00EA6B3B">
              <w:tc>
                <w:tcPr>
                  <w:tcW w:w="6970" w:type="dxa"/>
                </w:tcPr>
                <w:p w14:paraId="6A5A156D" w14:textId="77777777" w:rsidR="00BC4F42" w:rsidRPr="00116CE6" w:rsidRDefault="00BC4F42" w:rsidP="00EA6B3B">
                  <w:pPr>
                    <w:rPr>
                      <w:rFonts w:ascii="Arial" w:hAnsi="Arial"/>
                      <w:sz w:val="20"/>
                      <w:szCs w:val="20"/>
                    </w:rPr>
                  </w:pPr>
                </w:p>
                <w:p w14:paraId="1CF4F5FA" w14:textId="77777777" w:rsidR="00BC4F42" w:rsidRPr="00116CE6" w:rsidRDefault="00BC4F42" w:rsidP="00EA6B3B">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7C8D4990" w14:textId="77777777" w:rsidR="00BC4F42" w:rsidRPr="00116CE6" w:rsidRDefault="00BC4F42" w:rsidP="00EA6B3B">
                  <w:pPr>
                    <w:rPr>
                      <w:rFonts w:ascii="Arial" w:hAnsi="Arial"/>
                      <w:sz w:val="20"/>
                      <w:szCs w:val="20"/>
                    </w:rPr>
                  </w:pPr>
                </w:p>
              </w:tc>
            </w:tr>
            <w:tr w:rsidR="00BC4F42" w:rsidRPr="00116CE6" w14:paraId="597B10F9" w14:textId="77777777" w:rsidTr="00EA6B3B">
              <w:tc>
                <w:tcPr>
                  <w:tcW w:w="6970" w:type="dxa"/>
                </w:tcPr>
                <w:p w14:paraId="2A75C386" w14:textId="77777777" w:rsidR="00BC4F42" w:rsidRPr="00116CE6" w:rsidRDefault="00BC4F42" w:rsidP="00EA6B3B">
                  <w:pPr>
                    <w:rPr>
                      <w:rFonts w:ascii="Arial" w:hAnsi="Arial"/>
                      <w:sz w:val="20"/>
                      <w:szCs w:val="20"/>
                    </w:rPr>
                  </w:pPr>
                </w:p>
                <w:p w14:paraId="02DAC5BF" w14:textId="77777777" w:rsidR="00BC4F42" w:rsidRPr="00116CE6" w:rsidRDefault="00BC4F42" w:rsidP="00EA6B3B">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1DE0F09A" w14:textId="77777777" w:rsidR="00BC4F42" w:rsidRPr="00116CE6" w:rsidRDefault="00BC4F42" w:rsidP="00EA6B3B">
                  <w:pPr>
                    <w:rPr>
                      <w:rFonts w:ascii="Arial" w:hAnsi="Arial"/>
                      <w:sz w:val="20"/>
                      <w:szCs w:val="20"/>
                    </w:rPr>
                  </w:pPr>
                </w:p>
              </w:tc>
            </w:tr>
            <w:tr w:rsidR="00BC4F42" w:rsidRPr="00116CE6" w14:paraId="7C67B95D" w14:textId="77777777" w:rsidTr="00EA6B3B">
              <w:tc>
                <w:tcPr>
                  <w:tcW w:w="6970" w:type="dxa"/>
                </w:tcPr>
                <w:p w14:paraId="614706CF" w14:textId="77777777" w:rsidR="00BC4F42" w:rsidRDefault="00BC4F42" w:rsidP="00EA6B3B">
                  <w:pPr>
                    <w:rPr>
                      <w:rFonts w:ascii="Arial" w:hAnsi="Arial"/>
                      <w:sz w:val="20"/>
                      <w:szCs w:val="20"/>
                    </w:rPr>
                  </w:pPr>
                </w:p>
                <w:p w14:paraId="7CDD11AE" w14:textId="77777777" w:rsidR="00BC4F42" w:rsidRPr="00022345" w:rsidRDefault="00BC4F42" w:rsidP="00EA6B3B">
                  <w:pPr>
                    <w:rPr>
                      <w:rFonts w:ascii="Arial" w:hAnsi="Arial"/>
                      <w:b/>
                      <w:sz w:val="20"/>
                      <w:szCs w:val="20"/>
                    </w:rPr>
                  </w:pPr>
                  <w:r w:rsidRPr="00022345">
                    <w:rPr>
                      <w:rFonts w:ascii="Arial" w:hAnsi="Arial"/>
                      <w:b/>
                      <w:sz w:val="20"/>
                      <w:szCs w:val="20"/>
                    </w:rPr>
                    <w:t>Final Mark</w:t>
                  </w:r>
                </w:p>
                <w:p w14:paraId="47FC4249" w14:textId="77777777" w:rsidR="00BC4F42" w:rsidRPr="00116CE6" w:rsidRDefault="00BC4F42" w:rsidP="00EA6B3B">
                  <w:pPr>
                    <w:rPr>
                      <w:rFonts w:ascii="Arial" w:hAnsi="Arial"/>
                      <w:sz w:val="20"/>
                      <w:szCs w:val="20"/>
                    </w:rPr>
                  </w:pPr>
                </w:p>
              </w:tc>
              <w:tc>
                <w:tcPr>
                  <w:tcW w:w="1660" w:type="dxa"/>
                </w:tcPr>
                <w:p w14:paraId="3387D0F3" w14:textId="77777777" w:rsidR="00BC4F42" w:rsidRPr="00116CE6" w:rsidRDefault="00BC4F42" w:rsidP="00EA6B3B">
                  <w:pPr>
                    <w:rPr>
                      <w:rFonts w:ascii="Arial" w:hAnsi="Arial"/>
                      <w:sz w:val="20"/>
                      <w:szCs w:val="20"/>
                    </w:rPr>
                  </w:pPr>
                </w:p>
              </w:tc>
            </w:tr>
          </w:tbl>
          <w:p w14:paraId="323F22BE" w14:textId="77777777" w:rsidR="00BC4F42" w:rsidRDefault="00BC4F42" w:rsidP="00EA6B3B">
            <w:pPr>
              <w:pStyle w:val="NormalWeb"/>
              <w:spacing w:before="0" w:beforeAutospacing="0" w:after="0" w:afterAutospacing="0"/>
              <w:ind w:left="142" w:right="34"/>
              <w:rPr>
                <w:rFonts w:ascii="Arial" w:hAnsi="Arial" w:cs="Arial"/>
                <w:b/>
                <w:sz w:val="22"/>
                <w:szCs w:val="22"/>
              </w:rPr>
            </w:pPr>
          </w:p>
          <w:p w14:paraId="3B24938A" w14:textId="77777777" w:rsidR="00BC4F42" w:rsidRPr="00F43577" w:rsidRDefault="00BC4F42" w:rsidP="00EA6B3B">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053CD7AC" w14:textId="77777777" w:rsidR="00BC4F42" w:rsidRDefault="00BC4F42" w:rsidP="00EA6B3B">
            <w:pPr>
              <w:pStyle w:val="NormalWeb"/>
              <w:spacing w:before="0" w:beforeAutospacing="0" w:after="0" w:afterAutospacing="0"/>
              <w:rPr>
                <w:rFonts w:ascii="Arial" w:hAnsi="Arial" w:cs="Arial"/>
                <w:b/>
                <w:sz w:val="22"/>
                <w:szCs w:val="22"/>
              </w:rPr>
            </w:pPr>
          </w:p>
          <w:p w14:paraId="0A2AA05A" w14:textId="77777777" w:rsidR="00BC4F42" w:rsidRDefault="00BC4F42" w:rsidP="00EA6B3B">
            <w:pPr>
              <w:pStyle w:val="NormalWeb"/>
              <w:spacing w:before="0" w:beforeAutospacing="0" w:after="0" w:afterAutospacing="0"/>
              <w:rPr>
                <w:rFonts w:ascii="Arial" w:hAnsi="Arial" w:cs="Arial"/>
                <w:b/>
                <w:sz w:val="22"/>
                <w:szCs w:val="22"/>
              </w:rPr>
            </w:pPr>
          </w:p>
          <w:p w14:paraId="20565F62" w14:textId="77777777" w:rsidR="00BC4F42" w:rsidRDefault="00BC4F42" w:rsidP="00EA6B3B">
            <w:pPr>
              <w:pStyle w:val="NormalWeb"/>
              <w:spacing w:before="0" w:beforeAutospacing="0" w:after="0" w:afterAutospacing="0"/>
              <w:rPr>
                <w:rFonts w:ascii="Arial" w:hAnsi="Arial" w:cs="Arial"/>
                <w:b/>
                <w:sz w:val="22"/>
                <w:szCs w:val="22"/>
              </w:rPr>
            </w:pPr>
          </w:p>
          <w:p w14:paraId="2C95FF68" w14:textId="77777777" w:rsidR="00BC4F42" w:rsidRPr="00230F35" w:rsidRDefault="00BC4F42" w:rsidP="00EA6B3B">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1173F33A" w14:textId="77777777" w:rsidR="00BC4F42" w:rsidRDefault="00BC4F42" w:rsidP="00EA6B3B">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2846C59F" w14:textId="77777777" w:rsidR="00BC4F42" w:rsidRPr="00001C3B" w:rsidRDefault="00BC4F42" w:rsidP="00EA6B3B">
            <w:pPr>
              <w:pStyle w:val="NormalWeb"/>
              <w:rPr>
                <w:rFonts w:ascii="Arial" w:hAnsi="Arial" w:cs="Arial"/>
                <w:sz w:val="22"/>
                <w:szCs w:val="22"/>
              </w:rPr>
            </w:pPr>
          </w:p>
        </w:tc>
      </w:tr>
      <w:tr w:rsidR="00BC4F42" w:rsidRPr="00230F35" w14:paraId="4B307468" w14:textId="77777777" w:rsidTr="00EA6B3B">
        <w:trPr>
          <w:trHeight w:val="492"/>
        </w:trPr>
        <w:tc>
          <w:tcPr>
            <w:tcW w:w="6768" w:type="dxa"/>
            <w:gridSpan w:val="3"/>
          </w:tcPr>
          <w:p w14:paraId="43238BBF" w14:textId="77777777" w:rsidR="00BC4F42" w:rsidRPr="00230F35" w:rsidRDefault="00BC4F42" w:rsidP="00EA6B3B">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45B4FBE6" w14:textId="77777777" w:rsidR="00BC4F42" w:rsidRPr="00230F35" w:rsidRDefault="00BC4F42" w:rsidP="00EA6B3B">
            <w:pPr>
              <w:pStyle w:val="NormalWeb"/>
              <w:spacing w:after="0"/>
              <w:ind w:left="142" w:right="34"/>
              <w:rPr>
                <w:rFonts w:ascii="Arial" w:hAnsi="Arial" w:cs="Arial"/>
                <w:sz w:val="22"/>
                <w:szCs w:val="22"/>
              </w:rPr>
            </w:pPr>
            <w:r w:rsidRPr="00230F35">
              <w:rPr>
                <w:rFonts w:ascii="Arial" w:hAnsi="Arial" w:cs="Arial"/>
                <w:sz w:val="22"/>
                <w:szCs w:val="22"/>
              </w:rPr>
              <w:t>Date:</w:t>
            </w:r>
          </w:p>
        </w:tc>
      </w:tr>
      <w:tr w:rsidR="00BC4F42" w:rsidRPr="002F467C" w14:paraId="00EB53A8" w14:textId="77777777" w:rsidTr="00EA6B3B">
        <w:tc>
          <w:tcPr>
            <w:tcW w:w="8856" w:type="dxa"/>
            <w:gridSpan w:val="5"/>
          </w:tcPr>
          <w:p w14:paraId="1CEE890F" w14:textId="77777777" w:rsidR="00BC4F42" w:rsidRPr="00230F35" w:rsidRDefault="00BC4F42" w:rsidP="00EA6B3B">
            <w:pPr>
              <w:pStyle w:val="NormalWeb"/>
              <w:spacing w:before="0" w:beforeAutospacing="0" w:after="0" w:afterAutospacing="0"/>
              <w:ind w:right="-334"/>
              <w:rPr>
                <w:rFonts w:ascii="Arial" w:hAnsi="Arial" w:cs="Arial"/>
                <w:bCs/>
                <w:i/>
                <w:sz w:val="22"/>
                <w:szCs w:val="22"/>
              </w:rPr>
            </w:pPr>
          </w:p>
          <w:p w14:paraId="060CBEAC" w14:textId="77777777" w:rsidR="00BC4F42" w:rsidRPr="00230F35" w:rsidRDefault="00BC4F42" w:rsidP="00EA6B3B">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31FB8522" w14:textId="77777777" w:rsidR="00BC4F42" w:rsidRPr="00230F35" w:rsidRDefault="00BC4F42" w:rsidP="00EA6B3B">
            <w:pPr>
              <w:pStyle w:val="NormalWeb"/>
              <w:spacing w:before="0" w:beforeAutospacing="0" w:after="0" w:afterAutospacing="0"/>
              <w:ind w:right="-334"/>
              <w:rPr>
                <w:rFonts w:ascii="Arial" w:hAnsi="Arial" w:cs="Arial"/>
                <w:b/>
                <w:bCs/>
                <w:sz w:val="22"/>
                <w:szCs w:val="22"/>
              </w:rPr>
            </w:pPr>
          </w:p>
          <w:p w14:paraId="192F291E" w14:textId="77777777" w:rsidR="00BC4F42" w:rsidRPr="00230F35" w:rsidRDefault="00BC4F42" w:rsidP="00EA6B3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41492D7A" w14:textId="77777777" w:rsidR="00BC4F42" w:rsidRPr="00230F35" w:rsidRDefault="00BC4F42" w:rsidP="00EA6B3B">
            <w:pPr>
              <w:pStyle w:val="NormalWeb"/>
              <w:spacing w:before="0" w:beforeAutospacing="0" w:after="0" w:afterAutospacing="0"/>
              <w:ind w:right="-334"/>
              <w:rPr>
                <w:rFonts w:ascii="Arial" w:hAnsi="Arial" w:cs="Arial"/>
                <w:bCs/>
                <w:sz w:val="22"/>
                <w:szCs w:val="22"/>
              </w:rPr>
            </w:pPr>
          </w:p>
          <w:p w14:paraId="2F628966" w14:textId="77777777" w:rsidR="00BC4F42" w:rsidRPr="00230F35" w:rsidRDefault="00BC4F42" w:rsidP="00EA6B3B">
            <w:pPr>
              <w:pStyle w:val="NormalWeb"/>
              <w:spacing w:before="0" w:beforeAutospacing="0" w:after="0" w:afterAutospacing="0"/>
              <w:ind w:right="-334"/>
              <w:rPr>
                <w:rFonts w:ascii="Arial" w:hAnsi="Arial" w:cs="Arial"/>
                <w:bCs/>
                <w:sz w:val="22"/>
                <w:szCs w:val="22"/>
              </w:rPr>
            </w:pPr>
          </w:p>
          <w:p w14:paraId="723DCCFE" w14:textId="77777777" w:rsidR="00BC4F42" w:rsidRPr="00230F35" w:rsidRDefault="00BC4F42" w:rsidP="00EA6B3B">
            <w:pPr>
              <w:pStyle w:val="NormalWeb"/>
              <w:spacing w:before="0" w:beforeAutospacing="0" w:after="0" w:afterAutospacing="0"/>
              <w:ind w:right="-334"/>
              <w:rPr>
                <w:rFonts w:ascii="Arial" w:hAnsi="Arial" w:cs="Arial"/>
                <w:bCs/>
                <w:sz w:val="22"/>
                <w:szCs w:val="22"/>
              </w:rPr>
            </w:pPr>
          </w:p>
          <w:p w14:paraId="47EE1C4B" w14:textId="77777777" w:rsidR="00BC4F42" w:rsidRPr="00230F35" w:rsidRDefault="00BC4F42" w:rsidP="00EA6B3B">
            <w:pPr>
              <w:pStyle w:val="NormalWeb"/>
              <w:spacing w:before="0" w:beforeAutospacing="0" w:after="0" w:afterAutospacing="0"/>
              <w:ind w:right="-334"/>
              <w:rPr>
                <w:rFonts w:ascii="Arial" w:hAnsi="Arial" w:cs="Arial"/>
                <w:bCs/>
                <w:sz w:val="22"/>
                <w:szCs w:val="22"/>
              </w:rPr>
            </w:pPr>
          </w:p>
          <w:p w14:paraId="14C03201" w14:textId="77777777" w:rsidR="00BC4F42" w:rsidRPr="00230F35" w:rsidRDefault="00BC4F42" w:rsidP="00EA6B3B">
            <w:pPr>
              <w:pStyle w:val="NormalWeb"/>
              <w:spacing w:before="0" w:beforeAutospacing="0" w:after="0" w:afterAutospacing="0"/>
              <w:ind w:right="-334"/>
              <w:rPr>
                <w:rFonts w:ascii="Arial" w:hAnsi="Arial" w:cs="Arial"/>
                <w:bCs/>
                <w:sz w:val="22"/>
                <w:szCs w:val="22"/>
              </w:rPr>
            </w:pPr>
          </w:p>
          <w:p w14:paraId="2C4B1227" w14:textId="77777777" w:rsidR="00BC4F42" w:rsidRPr="00230F35" w:rsidRDefault="00BC4F42" w:rsidP="00EA6B3B">
            <w:pPr>
              <w:pStyle w:val="NormalWeb"/>
              <w:spacing w:before="0" w:beforeAutospacing="0" w:after="0" w:afterAutospacing="0"/>
              <w:ind w:right="-334"/>
              <w:rPr>
                <w:rFonts w:ascii="Arial" w:hAnsi="Arial" w:cs="Arial"/>
                <w:bCs/>
                <w:sz w:val="22"/>
                <w:szCs w:val="22"/>
              </w:rPr>
            </w:pPr>
          </w:p>
          <w:p w14:paraId="57042813" w14:textId="77777777" w:rsidR="00BC4F42" w:rsidRPr="00230F35" w:rsidRDefault="00BC4F42" w:rsidP="00EA6B3B">
            <w:pPr>
              <w:pStyle w:val="NormalWeb"/>
              <w:spacing w:before="0" w:beforeAutospacing="0" w:after="0" w:afterAutospacing="0"/>
              <w:ind w:right="-334"/>
              <w:rPr>
                <w:rFonts w:ascii="Arial" w:hAnsi="Arial" w:cs="Arial"/>
                <w:bCs/>
                <w:sz w:val="22"/>
                <w:szCs w:val="22"/>
              </w:rPr>
            </w:pPr>
          </w:p>
          <w:p w14:paraId="55824CCC" w14:textId="77777777" w:rsidR="00BC4F42" w:rsidRPr="00230F35" w:rsidRDefault="00BC4F42" w:rsidP="00EA6B3B">
            <w:pPr>
              <w:pStyle w:val="NormalWeb"/>
              <w:spacing w:before="0" w:beforeAutospacing="0" w:after="0" w:afterAutospacing="0"/>
              <w:ind w:right="-334"/>
              <w:rPr>
                <w:rFonts w:ascii="Arial" w:hAnsi="Arial" w:cs="Arial"/>
                <w:bCs/>
                <w:sz w:val="22"/>
                <w:szCs w:val="22"/>
              </w:rPr>
            </w:pPr>
          </w:p>
          <w:p w14:paraId="02C91D88" w14:textId="77777777" w:rsidR="00BC4F42" w:rsidRDefault="00BC4F42" w:rsidP="00EA6B3B">
            <w:pPr>
              <w:pStyle w:val="NormalWeb"/>
              <w:spacing w:before="0" w:beforeAutospacing="0" w:after="0" w:afterAutospacing="0"/>
              <w:ind w:right="-334"/>
              <w:rPr>
                <w:rFonts w:ascii="Arial" w:hAnsi="Arial" w:cs="Arial"/>
                <w:bCs/>
                <w:sz w:val="22"/>
                <w:szCs w:val="22"/>
              </w:rPr>
            </w:pPr>
          </w:p>
          <w:p w14:paraId="787EA1B3" w14:textId="77777777" w:rsidR="00BC4F42" w:rsidRPr="00230F35" w:rsidRDefault="00BC4F42" w:rsidP="00EA6B3B">
            <w:pPr>
              <w:pStyle w:val="NormalWeb"/>
              <w:spacing w:before="0" w:beforeAutospacing="0" w:after="0" w:afterAutospacing="0"/>
              <w:ind w:right="-334"/>
              <w:rPr>
                <w:rFonts w:ascii="Arial" w:hAnsi="Arial" w:cs="Arial"/>
                <w:bCs/>
                <w:sz w:val="22"/>
                <w:szCs w:val="22"/>
              </w:rPr>
            </w:pPr>
          </w:p>
          <w:p w14:paraId="2D0E522E" w14:textId="77777777" w:rsidR="00BC4F42" w:rsidRPr="00230F35" w:rsidRDefault="00BC4F42" w:rsidP="00EA6B3B">
            <w:pPr>
              <w:pStyle w:val="NormalWeb"/>
              <w:spacing w:before="0" w:beforeAutospacing="0" w:after="0" w:afterAutospacing="0"/>
              <w:ind w:right="-334"/>
              <w:rPr>
                <w:rFonts w:ascii="Arial" w:hAnsi="Arial" w:cs="Arial"/>
                <w:bCs/>
                <w:sz w:val="22"/>
                <w:szCs w:val="22"/>
              </w:rPr>
            </w:pPr>
          </w:p>
          <w:p w14:paraId="19738CC0" w14:textId="77777777" w:rsidR="00BC4F42" w:rsidRPr="00230F35" w:rsidRDefault="00BC4F42" w:rsidP="00EA6B3B">
            <w:pPr>
              <w:pStyle w:val="NormalWeb"/>
              <w:spacing w:before="0" w:beforeAutospacing="0" w:after="0" w:afterAutospacing="0"/>
              <w:ind w:right="-334"/>
              <w:rPr>
                <w:rFonts w:ascii="Arial" w:hAnsi="Arial" w:cs="Arial"/>
                <w:bCs/>
                <w:sz w:val="22"/>
                <w:szCs w:val="22"/>
              </w:rPr>
            </w:pPr>
          </w:p>
        </w:tc>
      </w:tr>
      <w:tr w:rsidR="00BC4F42" w:rsidRPr="002F467C" w14:paraId="66E6ACF0" w14:textId="77777777" w:rsidTr="00EA6B3B">
        <w:trPr>
          <w:trHeight w:val="720"/>
        </w:trPr>
        <w:tc>
          <w:tcPr>
            <w:tcW w:w="5211" w:type="dxa"/>
            <w:gridSpan w:val="2"/>
          </w:tcPr>
          <w:p w14:paraId="5EF50675" w14:textId="77777777" w:rsidR="00BC4F42" w:rsidRPr="00230F35" w:rsidRDefault="00BC4F42" w:rsidP="00EA6B3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790599B5" w14:textId="77777777" w:rsidR="00BC4F42" w:rsidRPr="00230F35" w:rsidRDefault="00BC4F42" w:rsidP="00EA6B3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BC4F42" w:rsidRPr="002F467C" w14:paraId="7742A6D4" w14:textId="77777777" w:rsidTr="00EA6B3B">
        <w:trPr>
          <w:trHeight w:val="720"/>
        </w:trPr>
        <w:tc>
          <w:tcPr>
            <w:tcW w:w="8856" w:type="dxa"/>
            <w:gridSpan w:val="5"/>
          </w:tcPr>
          <w:p w14:paraId="3A855A84" w14:textId="77777777" w:rsidR="00BC4F42" w:rsidRPr="00B34964" w:rsidRDefault="00BC4F42" w:rsidP="00EA6B3B">
            <w:pPr>
              <w:rPr>
                <w:rFonts w:ascii="Arial" w:hAnsi="Arial" w:cs="Arial"/>
                <w:b/>
                <w:sz w:val="22"/>
                <w:szCs w:val="22"/>
              </w:rPr>
            </w:pPr>
            <w:r w:rsidRPr="00B34964">
              <w:rPr>
                <w:rFonts w:ascii="Arial" w:hAnsi="Arial" w:cs="Arial"/>
                <w:b/>
                <w:sz w:val="22"/>
                <w:szCs w:val="22"/>
              </w:rPr>
              <w:t>External Examiner’s comments (if relevant)</w:t>
            </w:r>
          </w:p>
          <w:p w14:paraId="28EE3FF0" w14:textId="77777777" w:rsidR="00BC4F42" w:rsidRPr="00230F35" w:rsidRDefault="00BC4F42" w:rsidP="00EA6B3B">
            <w:pPr>
              <w:pStyle w:val="NormalWeb"/>
              <w:spacing w:before="0" w:beforeAutospacing="0" w:after="0" w:afterAutospacing="0"/>
              <w:ind w:right="-334"/>
              <w:rPr>
                <w:rFonts w:ascii="Arial" w:hAnsi="Arial" w:cs="Arial"/>
                <w:bCs/>
                <w:sz w:val="22"/>
                <w:szCs w:val="22"/>
              </w:rPr>
            </w:pPr>
          </w:p>
          <w:p w14:paraId="5717A6B0" w14:textId="77777777" w:rsidR="00BC4F42" w:rsidRPr="00230F35" w:rsidRDefault="00BC4F42" w:rsidP="00EA6B3B">
            <w:pPr>
              <w:pStyle w:val="NormalWeb"/>
              <w:spacing w:before="0" w:beforeAutospacing="0" w:after="0" w:afterAutospacing="0"/>
              <w:ind w:right="-334"/>
              <w:rPr>
                <w:rFonts w:ascii="Arial" w:hAnsi="Arial" w:cs="Arial"/>
                <w:bCs/>
                <w:sz w:val="22"/>
                <w:szCs w:val="22"/>
              </w:rPr>
            </w:pPr>
          </w:p>
          <w:p w14:paraId="4162993C" w14:textId="77777777" w:rsidR="00BC4F42" w:rsidRPr="00230F35" w:rsidRDefault="00BC4F42" w:rsidP="00EA6B3B">
            <w:pPr>
              <w:pStyle w:val="NormalWeb"/>
              <w:spacing w:before="0" w:beforeAutospacing="0" w:after="0" w:afterAutospacing="0"/>
              <w:ind w:right="-334"/>
              <w:rPr>
                <w:rFonts w:ascii="Arial" w:hAnsi="Arial" w:cs="Arial"/>
                <w:bCs/>
                <w:sz w:val="22"/>
                <w:szCs w:val="22"/>
              </w:rPr>
            </w:pPr>
          </w:p>
          <w:p w14:paraId="54A759E1" w14:textId="77777777" w:rsidR="00BC4F42" w:rsidRPr="00230F35" w:rsidRDefault="00BC4F42" w:rsidP="00EA6B3B">
            <w:pPr>
              <w:pStyle w:val="NormalWeb"/>
              <w:spacing w:before="0" w:beforeAutospacing="0" w:after="0" w:afterAutospacing="0"/>
              <w:ind w:right="-334"/>
              <w:rPr>
                <w:rFonts w:ascii="Arial" w:hAnsi="Arial" w:cs="Arial"/>
                <w:bCs/>
                <w:sz w:val="22"/>
                <w:szCs w:val="22"/>
              </w:rPr>
            </w:pPr>
          </w:p>
          <w:p w14:paraId="332FFDF5" w14:textId="77777777" w:rsidR="00BC4F42" w:rsidRPr="00230F35" w:rsidRDefault="00BC4F42" w:rsidP="00EA6B3B">
            <w:pPr>
              <w:pStyle w:val="NormalWeb"/>
              <w:spacing w:before="0" w:beforeAutospacing="0" w:after="0" w:afterAutospacing="0"/>
              <w:ind w:right="-334"/>
              <w:rPr>
                <w:rFonts w:ascii="Arial" w:hAnsi="Arial" w:cs="Arial"/>
                <w:bCs/>
                <w:sz w:val="22"/>
                <w:szCs w:val="22"/>
              </w:rPr>
            </w:pPr>
          </w:p>
          <w:p w14:paraId="532E6516" w14:textId="77777777" w:rsidR="00BC4F42" w:rsidRPr="00230F35" w:rsidRDefault="00BC4F42" w:rsidP="00EA6B3B">
            <w:pPr>
              <w:pStyle w:val="NormalWeb"/>
              <w:spacing w:before="0" w:beforeAutospacing="0" w:after="0" w:afterAutospacing="0"/>
              <w:ind w:right="-334"/>
              <w:rPr>
                <w:rFonts w:ascii="Arial" w:hAnsi="Arial" w:cs="Arial"/>
                <w:bCs/>
                <w:sz w:val="22"/>
                <w:szCs w:val="22"/>
              </w:rPr>
            </w:pPr>
          </w:p>
          <w:p w14:paraId="35E8E8F7" w14:textId="77777777" w:rsidR="00BC4F42" w:rsidRDefault="00BC4F42" w:rsidP="00EA6B3B">
            <w:pPr>
              <w:pStyle w:val="NormalWeb"/>
              <w:spacing w:before="0" w:beforeAutospacing="0" w:after="0" w:afterAutospacing="0"/>
              <w:ind w:right="-334"/>
              <w:rPr>
                <w:rFonts w:ascii="Arial" w:hAnsi="Arial" w:cs="Arial"/>
                <w:bCs/>
                <w:sz w:val="22"/>
                <w:szCs w:val="22"/>
              </w:rPr>
            </w:pPr>
          </w:p>
          <w:p w14:paraId="433E1BC1" w14:textId="77777777" w:rsidR="00BC4F42" w:rsidRPr="00230F35" w:rsidRDefault="00BC4F42" w:rsidP="00EA6B3B">
            <w:pPr>
              <w:pStyle w:val="NormalWeb"/>
              <w:spacing w:before="0" w:beforeAutospacing="0" w:after="0" w:afterAutospacing="0"/>
              <w:ind w:right="-334"/>
              <w:rPr>
                <w:rFonts w:ascii="Arial" w:hAnsi="Arial" w:cs="Arial"/>
                <w:bCs/>
                <w:sz w:val="22"/>
                <w:szCs w:val="22"/>
              </w:rPr>
            </w:pPr>
          </w:p>
          <w:p w14:paraId="40BB94A7" w14:textId="77777777" w:rsidR="00BC4F42" w:rsidRPr="00230F35" w:rsidRDefault="00BC4F42" w:rsidP="00EA6B3B">
            <w:pPr>
              <w:pStyle w:val="NormalWeb"/>
              <w:spacing w:before="0" w:beforeAutospacing="0" w:after="0" w:afterAutospacing="0"/>
              <w:ind w:right="-334"/>
              <w:rPr>
                <w:rFonts w:ascii="Arial" w:hAnsi="Arial" w:cs="Arial"/>
                <w:bCs/>
                <w:sz w:val="22"/>
                <w:szCs w:val="22"/>
              </w:rPr>
            </w:pPr>
          </w:p>
        </w:tc>
      </w:tr>
      <w:tr w:rsidR="00BC4F42" w:rsidRPr="002F467C" w14:paraId="5066984C" w14:textId="77777777" w:rsidTr="00EA6B3B">
        <w:trPr>
          <w:trHeight w:val="720"/>
        </w:trPr>
        <w:tc>
          <w:tcPr>
            <w:tcW w:w="5211" w:type="dxa"/>
            <w:gridSpan w:val="2"/>
          </w:tcPr>
          <w:p w14:paraId="5306FCE3" w14:textId="77777777" w:rsidR="00BC4F42" w:rsidRPr="00230F35" w:rsidRDefault="00BC4F42" w:rsidP="00EA6B3B">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4E2083A1" w14:textId="77777777" w:rsidR="00BC4F42" w:rsidRPr="00230F35" w:rsidRDefault="00BC4F42" w:rsidP="00EA6B3B">
            <w:pPr>
              <w:rPr>
                <w:rFonts w:ascii="Arial" w:hAnsi="Arial" w:cs="Arial"/>
                <w:sz w:val="22"/>
                <w:szCs w:val="22"/>
              </w:rPr>
            </w:pPr>
            <w:r w:rsidRPr="00230F35">
              <w:rPr>
                <w:rFonts w:ascii="Arial" w:hAnsi="Arial" w:cs="Arial"/>
                <w:sz w:val="22"/>
                <w:szCs w:val="22"/>
              </w:rPr>
              <w:t>Date:</w:t>
            </w:r>
          </w:p>
        </w:tc>
      </w:tr>
    </w:tbl>
    <w:p w14:paraId="48F8477C" w14:textId="3F18635E" w:rsidR="00BC4F42" w:rsidRPr="00AF45B7" w:rsidRDefault="00BC4F42" w:rsidP="00BC4F42">
      <w:pPr>
        <w:jc w:val="center"/>
        <w:rPr>
          <w:sz w:val="32"/>
          <w:szCs w:val="32"/>
          <w:u w:val="single"/>
        </w:rPr>
      </w:pPr>
      <w:r w:rsidRPr="00AF45B7">
        <w:rPr>
          <w:sz w:val="32"/>
          <w:szCs w:val="32"/>
          <w:u w:val="single"/>
        </w:rPr>
        <w:lastRenderedPageBreak/>
        <w:t xml:space="preserve">HPCA7015: Assignment </w:t>
      </w:r>
      <w:r>
        <w:rPr>
          <w:sz w:val="32"/>
          <w:szCs w:val="32"/>
          <w:u w:val="single"/>
        </w:rPr>
        <w:t>three</w:t>
      </w:r>
    </w:p>
    <w:p w14:paraId="77DB4187" w14:textId="77777777" w:rsidR="00BC4F42" w:rsidRPr="00AF45B7" w:rsidRDefault="00BC4F42" w:rsidP="00BC4F42">
      <w:pPr>
        <w:jc w:val="center"/>
        <w:rPr>
          <w:sz w:val="32"/>
          <w:szCs w:val="32"/>
          <w:u w:val="single"/>
        </w:rPr>
      </w:pPr>
    </w:p>
    <w:p w14:paraId="316DBDF2" w14:textId="77777777" w:rsidR="00BC4F42" w:rsidRDefault="00BC4F42" w:rsidP="00BC4F42">
      <w:pPr>
        <w:jc w:val="center"/>
        <w:rPr>
          <w:sz w:val="32"/>
          <w:szCs w:val="32"/>
          <w:u w:val="single"/>
        </w:rPr>
      </w:pPr>
      <w:r w:rsidRPr="00AF45B7">
        <w:rPr>
          <w:sz w:val="32"/>
          <w:szCs w:val="32"/>
          <w:u w:val="single"/>
        </w:rPr>
        <w:t>Luke Collin</w:t>
      </w:r>
    </w:p>
    <w:p w14:paraId="55B4D497" w14:textId="77777777" w:rsidR="00BC4F42" w:rsidRDefault="00BC4F42" w:rsidP="00BC4F42">
      <w:pPr>
        <w:jc w:val="center"/>
        <w:rPr>
          <w:sz w:val="32"/>
          <w:szCs w:val="32"/>
          <w:u w:val="single"/>
        </w:rPr>
      </w:pPr>
    </w:p>
    <w:p w14:paraId="34C1AC06" w14:textId="62733FAD" w:rsidR="00BC4F42" w:rsidRPr="00AF45B7" w:rsidRDefault="00BC4F42" w:rsidP="00BC4F42">
      <w:pPr>
        <w:jc w:val="center"/>
        <w:rPr>
          <w:sz w:val="32"/>
          <w:szCs w:val="32"/>
          <w:u w:val="single"/>
        </w:rPr>
      </w:pPr>
      <w:r>
        <w:rPr>
          <w:sz w:val="32"/>
          <w:szCs w:val="32"/>
          <w:u w:val="single"/>
        </w:rPr>
        <w:t>Compare and contrast two sky myths from two different cultures</w:t>
      </w:r>
    </w:p>
    <w:p w14:paraId="5A1CC7F3" w14:textId="77777777" w:rsidR="00BC4F42" w:rsidRPr="00AF45B7" w:rsidRDefault="00BC4F42" w:rsidP="00BC4F42">
      <w:pPr>
        <w:jc w:val="center"/>
        <w:rPr>
          <w:sz w:val="32"/>
          <w:szCs w:val="32"/>
          <w:u w:val="single"/>
        </w:rPr>
      </w:pPr>
    </w:p>
    <w:p w14:paraId="77EC5EBA" w14:textId="25A8D469" w:rsidR="00BC4F42" w:rsidRDefault="00BC4F42" w:rsidP="00BC4F42">
      <w:pPr>
        <w:jc w:val="center"/>
        <w:rPr>
          <w:rFonts w:ascii="CIDFont+F3" w:eastAsia="Times New Roman" w:hAnsi="CIDFont+F3"/>
          <w:sz w:val="20"/>
          <w:szCs w:val="20"/>
          <w:lang w:eastAsia="en-GB"/>
        </w:rPr>
      </w:pPr>
    </w:p>
    <w:p w14:paraId="7325CCF5" w14:textId="77777777" w:rsidR="00BC4F42" w:rsidRDefault="00BC4F42" w:rsidP="00BC4F42">
      <w:pPr>
        <w:jc w:val="center"/>
        <w:rPr>
          <w:rFonts w:ascii="CIDFont+F3" w:eastAsia="Times New Roman" w:hAnsi="CIDFont+F3"/>
          <w:sz w:val="20"/>
          <w:szCs w:val="20"/>
          <w:lang w:eastAsia="en-GB"/>
        </w:rPr>
      </w:pPr>
    </w:p>
    <w:p w14:paraId="379CB3FA" w14:textId="77777777" w:rsidR="00BC4F42" w:rsidRDefault="00BC4F42" w:rsidP="00BC4F42">
      <w:pPr>
        <w:jc w:val="center"/>
        <w:rPr>
          <w:rFonts w:ascii="CIDFont+F3" w:eastAsia="Times New Roman" w:hAnsi="CIDFont+F3"/>
          <w:sz w:val="20"/>
          <w:szCs w:val="20"/>
          <w:lang w:eastAsia="en-GB"/>
        </w:rPr>
      </w:pPr>
    </w:p>
    <w:p w14:paraId="5CB0523A" w14:textId="77777777" w:rsidR="00BC4F42" w:rsidRDefault="00BC4F42" w:rsidP="00BC4F42">
      <w:pPr>
        <w:jc w:val="center"/>
        <w:rPr>
          <w:rFonts w:ascii="CIDFont+F3" w:eastAsia="Times New Roman" w:hAnsi="CIDFont+F3"/>
          <w:sz w:val="20"/>
          <w:szCs w:val="20"/>
          <w:lang w:eastAsia="en-GB"/>
        </w:rPr>
      </w:pPr>
    </w:p>
    <w:p w14:paraId="48507F99" w14:textId="77777777" w:rsidR="00BC4F42" w:rsidRDefault="00BC4F42" w:rsidP="00BC4F42">
      <w:pPr>
        <w:jc w:val="center"/>
        <w:rPr>
          <w:rFonts w:ascii="CIDFont+F3" w:eastAsia="Times New Roman" w:hAnsi="CIDFont+F3"/>
          <w:sz w:val="20"/>
          <w:szCs w:val="20"/>
          <w:lang w:eastAsia="en-GB"/>
        </w:rPr>
      </w:pPr>
    </w:p>
    <w:p w14:paraId="3B890F52" w14:textId="77777777" w:rsidR="00BC4F42" w:rsidRDefault="00BC4F42" w:rsidP="00BC4F42">
      <w:pPr>
        <w:jc w:val="center"/>
        <w:rPr>
          <w:rFonts w:ascii="CIDFont+F3" w:eastAsia="Times New Roman" w:hAnsi="CIDFont+F3"/>
          <w:sz w:val="20"/>
          <w:szCs w:val="20"/>
          <w:lang w:eastAsia="en-GB"/>
        </w:rPr>
      </w:pPr>
    </w:p>
    <w:p w14:paraId="4FE31C3E" w14:textId="77777777" w:rsidR="00BC4F42" w:rsidRDefault="00BC4F42" w:rsidP="00BC4F42">
      <w:pPr>
        <w:jc w:val="center"/>
        <w:rPr>
          <w:rFonts w:ascii="CIDFont+F3" w:eastAsia="Times New Roman" w:hAnsi="CIDFont+F3"/>
          <w:sz w:val="20"/>
          <w:szCs w:val="20"/>
          <w:lang w:eastAsia="en-GB"/>
        </w:rPr>
      </w:pPr>
    </w:p>
    <w:p w14:paraId="070A33F9" w14:textId="77777777" w:rsidR="00BC4F42" w:rsidRDefault="00BC4F42" w:rsidP="00BC4F42">
      <w:pPr>
        <w:jc w:val="center"/>
        <w:rPr>
          <w:rFonts w:ascii="CIDFont+F3" w:eastAsia="Times New Roman" w:hAnsi="CIDFont+F3"/>
          <w:sz w:val="20"/>
          <w:szCs w:val="20"/>
          <w:lang w:eastAsia="en-GB"/>
        </w:rPr>
      </w:pPr>
    </w:p>
    <w:p w14:paraId="0750E3A7" w14:textId="77777777" w:rsidR="00BC4F42" w:rsidRDefault="00BC4F42" w:rsidP="00BC4F42">
      <w:pPr>
        <w:jc w:val="center"/>
        <w:rPr>
          <w:rFonts w:ascii="CIDFont+F3" w:eastAsia="Times New Roman" w:hAnsi="CIDFont+F3"/>
          <w:sz w:val="20"/>
          <w:szCs w:val="20"/>
          <w:lang w:eastAsia="en-GB"/>
        </w:rPr>
      </w:pPr>
    </w:p>
    <w:p w14:paraId="62C73DC5" w14:textId="77777777" w:rsidR="00BC4F42" w:rsidRDefault="00BC4F42" w:rsidP="00BC4F42">
      <w:pPr>
        <w:jc w:val="center"/>
        <w:rPr>
          <w:rFonts w:ascii="CIDFont+F3" w:eastAsia="Times New Roman" w:hAnsi="CIDFont+F3"/>
          <w:sz w:val="20"/>
          <w:szCs w:val="20"/>
          <w:lang w:eastAsia="en-GB"/>
        </w:rPr>
      </w:pPr>
    </w:p>
    <w:p w14:paraId="6EE47A80" w14:textId="77777777" w:rsidR="00BC4F42" w:rsidRDefault="00BC4F42" w:rsidP="00BC4F42">
      <w:pPr>
        <w:jc w:val="center"/>
        <w:rPr>
          <w:rFonts w:ascii="CIDFont+F3" w:eastAsia="Times New Roman" w:hAnsi="CIDFont+F3"/>
          <w:sz w:val="20"/>
          <w:szCs w:val="20"/>
          <w:lang w:eastAsia="en-GB"/>
        </w:rPr>
      </w:pPr>
    </w:p>
    <w:p w14:paraId="7FC0E68D" w14:textId="77777777" w:rsidR="00BC4F42" w:rsidRDefault="00BC4F42" w:rsidP="00BC4F42">
      <w:pPr>
        <w:jc w:val="center"/>
        <w:rPr>
          <w:rFonts w:ascii="CIDFont+F3" w:eastAsia="Times New Roman" w:hAnsi="CIDFont+F3"/>
          <w:sz w:val="20"/>
          <w:szCs w:val="20"/>
          <w:lang w:eastAsia="en-GB"/>
        </w:rPr>
      </w:pPr>
    </w:p>
    <w:p w14:paraId="59585E2B" w14:textId="77777777" w:rsidR="00BC4F42" w:rsidRDefault="00BC4F42" w:rsidP="00BC4F42">
      <w:pPr>
        <w:jc w:val="center"/>
        <w:rPr>
          <w:rFonts w:ascii="CIDFont+F3" w:eastAsia="Times New Roman" w:hAnsi="CIDFont+F3"/>
          <w:sz w:val="20"/>
          <w:szCs w:val="20"/>
          <w:lang w:eastAsia="en-GB"/>
        </w:rPr>
      </w:pPr>
    </w:p>
    <w:p w14:paraId="56B98EA1" w14:textId="77777777" w:rsidR="00BC4F42" w:rsidRDefault="00BC4F42" w:rsidP="00BC4F42">
      <w:pPr>
        <w:jc w:val="center"/>
        <w:rPr>
          <w:rFonts w:ascii="CIDFont+F3" w:eastAsia="Times New Roman" w:hAnsi="CIDFont+F3"/>
          <w:sz w:val="20"/>
          <w:szCs w:val="20"/>
          <w:lang w:eastAsia="en-GB"/>
        </w:rPr>
      </w:pPr>
    </w:p>
    <w:p w14:paraId="7DF9835D" w14:textId="77777777" w:rsidR="00BC4F42" w:rsidRDefault="00BC4F42" w:rsidP="00BC4F42">
      <w:pPr>
        <w:jc w:val="center"/>
        <w:rPr>
          <w:rFonts w:ascii="CIDFont+F3" w:eastAsia="Times New Roman" w:hAnsi="CIDFont+F3"/>
          <w:sz w:val="20"/>
          <w:szCs w:val="20"/>
          <w:lang w:eastAsia="en-GB"/>
        </w:rPr>
      </w:pPr>
    </w:p>
    <w:p w14:paraId="4D511E09" w14:textId="77777777" w:rsidR="00BC4F42" w:rsidRDefault="00BC4F42" w:rsidP="00BC4F42">
      <w:pPr>
        <w:jc w:val="center"/>
        <w:rPr>
          <w:rFonts w:ascii="CIDFont+F3" w:eastAsia="Times New Roman" w:hAnsi="CIDFont+F3"/>
          <w:sz w:val="20"/>
          <w:szCs w:val="20"/>
          <w:lang w:eastAsia="en-GB"/>
        </w:rPr>
      </w:pPr>
    </w:p>
    <w:p w14:paraId="05E12A7E" w14:textId="77777777" w:rsidR="00BC4F42" w:rsidRDefault="00BC4F42" w:rsidP="00BC4F42">
      <w:pPr>
        <w:jc w:val="center"/>
        <w:rPr>
          <w:rFonts w:ascii="CIDFont+F3" w:eastAsia="Times New Roman" w:hAnsi="CIDFont+F3"/>
          <w:sz w:val="20"/>
          <w:szCs w:val="20"/>
          <w:lang w:eastAsia="en-GB"/>
        </w:rPr>
      </w:pPr>
    </w:p>
    <w:p w14:paraId="55D85FA7" w14:textId="77777777" w:rsidR="00BC4F42" w:rsidRDefault="00BC4F42" w:rsidP="00BC4F42">
      <w:pPr>
        <w:jc w:val="center"/>
        <w:rPr>
          <w:rFonts w:ascii="CIDFont+F3" w:eastAsia="Times New Roman" w:hAnsi="CIDFont+F3"/>
          <w:sz w:val="20"/>
          <w:szCs w:val="20"/>
          <w:lang w:eastAsia="en-GB"/>
        </w:rPr>
      </w:pPr>
    </w:p>
    <w:p w14:paraId="1FB4C68B" w14:textId="77777777" w:rsidR="00BC4F42" w:rsidRDefault="00BC4F42" w:rsidP="00BC4F42">
      <w:pPr>
        <w:jc w:val="center"/>
        <w:rPr>
          <w:rFonts w:ascii="CIDFont+F3" w:eastAsia="Times New Roman" w:hAnsi="CIDFont+F3"/>
          <w:sz w:val="20"/>
          <w:szCs w:val="20"/>
          <w:lang w:eastAsia="en-GB"/>
        </w:rPr>
      </w:pPr>
    </w:p>
    <w:p w14:paraId="08FFDB2C" w14:textId="77777777" w:rsidR="00BC4F42" w:rsidRDefault="00BC4F42" w:rsidP="00BC4F42">
      <w:pPr>
        <w:jc w:val="center"/>
        <w:rPr>
          <w:rFonts w:ascii="CIDFont+F3" w:eastAsia="Times New Roman" w:hAnsi="CIDFont+F3"/>
          <w:sz w:val="20"/>
          <w:szCs w:val="20"/>
          <w:lang w:eastAsia="en-GB"/>
        </w:rPr>
      </w:pPr>
    </w:p>
    <w:p w14:paraId="27A9BFFE" w14:textId="77777777" w:rsidR="00BC4F42" w:rsidRDefault="00BC4F42" w:rsidP="00BC4F42">
      <w:pPr>
        <w:jc w:val="center"/>
        <w:rPr>
          <w:rFonts w:ascii="CIDFont+F3" w:eastAsia="Times New Roman" w:hAnsi="CIDFont+F3"/>
          <w:sz w:val="20"/>
          <w:szCs w:val="20"/>
          <w:lang w:eastAsia="en-GB"/>
        </w:rPr>
      </w:pPr>
    </w:p>
    <w:p w14:paraId="7DC21AD0" w14:textId="77777777" w:rsidR="00BC4F42" w:rsidRDefault="00BC4F42" w:rsidP="00BC4F42">
      <w:pPr>
        <w:jc w:val="center"/>
        <w:rPr>
          <w:rFonts w:ascii="CIDFont+F3" w:eastAsia="Times New Roman" w:hAnsi="CIDFont+F3"/>
          <w:sz w:val="20"/>
          <w:szCs w:val="20"/>
          <w:lang w:eastAsia="en-GB"/>
        </w:rPr>
      </w:pPr>
    </w:p>
    <w:p w14:paraId="7A38AE0C" w14:textId="77777777" w:rsidR="00BC4F42" w:rsidRDefault="00BC4F42" w:rsidP="00BC4F42">
      <w:pPr>
        <w:jc w:val="center"/>
        <w:rPr>
          <w:rFonts w:ascii="CIDFont+F3" w:eastAsia="Times New Roman" w:hAnsi="CIDFont+F3"/>
          <w:sz w:val="20"/>
          <w:szCs w:val="20"/>
          <w:lang w:eastAsia="en-GB"/>
        </w:rPr>
      </w:pPr>
    </w:p>
    <w:p w14:paraId="4467AD20" w14:textId="77777777" w:rsidR="00BC4F42" w:rsidRDefault="00BC4F42" w:rsidP="00BC4F42">
      <w:pPr>
        <w:jc w:val="center"/>
        <w:rPr>
          <w:rFonts w:ascii="CIDFont+F3" w:eastAsia="Times New Roman" w:hAnsi="CIDFont+F3"/>
          <w:sz w:val="20"/>
          <w:szCs w:val="20"/>
          <w:lang w:eastAsia="en-GB"/>
        </w:rPr>
      </w:pPr>
    </w:p>
    <w:p w14:paraId="5FA189DF" w14:textId="77777777" w:rsidR="00BC4F42" w:rsidRDefault="00BC4F42" w:rsidP="00BC4F42">
      <w:pPr>
        <w:jc w:val="center"/>
        <w:rPr>
          <w:rFonts w:ascii="CIDFont+F3" w:eastAsia="Times New Roman" w:hAnsi="CIDFont+F3"/>
          <w:sz w:val="20"/>
          <w:szCs w:val="20"/>
          <w:lang w:eastAsia="en-GB"/>
        </w:rPr>
      </w:pPr>
    </w:p>
    <w:p w14:paraId="68587E81" w14:textId="77777777" w:rsidR="00BC4F42" w:rsidRDefault="00BC4F42" w:rsidP="00BC4F42">
      <w:pPr>
        <w:jc w:val="center"/>
        <w:rPr>
          <w:rFonts w:ascii="CIDFont+F3" w:eastAsia="Times New Roman" w:hAnsi="CIDFont+F3"/>
          <w:sz w:val="20"/>
          <w:szCs w:val="20"/>
          <w:lang w:eastAsia="en-GB"/>
        </w:rPr>
      </w:pPr>
    </w:p>
    <w:p w14:paraId="024CE222" w14:textId="77777777" w:rsidR="00BC4F42" w:rsidRDefault="00BC4F42" w:rsidP="00BC4F42">
      <w:pPr>
        <w:jc w:val="center"/>
        <w:rPr>
          <w:rFonts w:ascii="CIDFont+F3" w:eastAsia="Times New Roman" w:hAnsi="CIDFont+F3"/>
          <w:sz w:val="20"/>
          <w:szCs w:val="20"/>
          <w:lang w:eastAsia="en-GB"/>
        </w:rPr>
      </w:pPr>
    </w:p>
    <w:p w14:paraId="4566F765" w14:textId="77777777" w:rsidR="00BC4F42" w:rsidRDefault="00BC4F42" w:rsidP="00BC4F42">
      <w:pPr>
        <w:jc w:val="center"/>
        <w:rPr>
          <w:rFonts w:ascii="CIDFont+F3" w:eastAsia="Times New Roman" w:hAnsi="CIDFont+F3"/>
          <w:sz w:val="20"/>
          <w:szCs w:val="20"/>
          <w:lang w:eastAsia="en-GB"/>
        </w:rPr>
      </w:pPr>
    </w:p>
    <w:p w14:paraId="67344A96" w14:textId="77777777" w:rsidR="00BC4F42" w:rsidRDefault="00BC4F42" w:rsidP="00BC4F42">
      <w:pPr>
        <w:jc w:val="center"/>
        <w:rPr>
          <w:rFonts w:ascii="CIDFont+F3" w:eastAsia="Times New Roman" w:hAnsi="CIDFont+F3"/>
          <w:sz w:val="20"/>
          <w:szCs w:val="20"/>
          <w:lang w:eastAsia="en-GB"/>
        </w:rPr>
      </w:pPr>
    </w:p>
    <w:p w14:paraId="0E9886BC" w14:textId="77777777" w:rsidR="00BC4F42" w:rsidRDefault="00BC4F42" w:rsidP="00BC4F42">
      <w:pPr>
        <w:jc w:val="center"/>
        <w:rPr>
          <w:rFonts w:ascii="CIDFont+F3" w:eastAsia="Times New Roman" w:hAnsi="CIDFont+F3"/>
          <w:sz w:val="20"/>
          <w:szCs w:val="20"/>
          <w:lang w:eastAsia="en-GB"/>
        </w:rPr>
      </w:pPr>
    </w:p>
    <w:p w14:paraId="15AFCC63" w14:textId="77777777" w:rsidR="00BC4F42" w:rsidRDefault="00BC4F42" w:rsidP="00BC4F42">
      <w:pPr>
        <w:jc w:val="center"/>
        <w:rPr>
          <w:rFonts w:ascii="CIDFont+F3" w:eastAsia="Times New Roman" w:hAnsi="CIDFont+F3"/>
          <w:sz w:val="20"/>
          <w:szCs w:val="20"/>
          <w:lang w:eastAsia="en-GB"/>
        </w:rPr>
      </w:pPr>
    </w:p>
    <w:p w14:paraId="11FA707D" w14:textId="77777777" w:rsidR="00BC4F42" w:rsidRDefault="00BC4F42" w:rsidP="00BC4F42">
      <w:pPr>
        <w:jc w:val="center"/>
        <w:rPr>
          <w:rFonts w:ascii="CIDFont+F3" w:eastAsia="Times New Roman" w:hAnsi="CIDFont+F3"/>
          <w:sz w:val="20"/>
          <w:szCs w:val="20"/>
          <w:lang w:eastAsia="en-GB"/>
        </w:rPr>
      </w:pPr>
    </w:p>
    <w:p w14:paraId="347042EB" w14:textId="77777777" w:rsidR="00BC4F42" w:rsidRDefault="00BC4F42" w:rsidP="00BC4F42">
      <w:pPr>
        <w:jc w:val="center"/>
        <w:rPr>
          <w:rFonts w:ascii="CIDFont+F3" w:eastAsia="Times New Roman" w:hAnsi="CIDFont+F3"/>
          <w:sz w:val="20"/>
          <w:szCs w:val="20"/>
          <w:lang w:eastAsia="en-GB"/>
        </w:rPr>
      </w:pPr>
    </w:p>
    <w:p w14:paraId="692B4592" w14:textId="77777777" w:rsidR="00BC4F42" w:rsidRDefault="00BC4F42" w:rsidP="00BC4F42">
      <w:pPr>
        <w:jc w:val="center"/>
        <w:rPr>
          <w:rFonts w:ascii="CIDFont+F3" w:eastAsia="Times New Roman" w:hAnsi="CIDFont+F3"/>
          <w:sz w:val="20"/>
          <w:szCs w:val="20"/>
          <w:lang w:eastAsia="en-GB"/>
        </w:rPr>
      </w:pPr>
    </w:p>
    <w:p w14:paraId="228837EA" w14:textId="77777777" w:rsidR="00BC4F42" w:rsidRDefault="00BC4F42" w:rsidP="00BC4F42">
      <w:pPr>
        <w:jc w:val="center"/>
        <w:rPr>
          <w:rFonts w:ascii="CIDFont+F3" w:eastAsia="Times New Roman" w:hAnsi="CIDFont+F3"/>
          <w:sz w:val="20"/>
          <w:szCs w:val="20"/>
          <w:lang w:eastAsia="en-GB"/>
        </w:rPr>
      </w:pPr>
    </w:p>
    <w:p w14:paraId="4D2D7B08" w14:textId="77777777" w:rsidR="00BC4F42" w:rsidRDefault="00BC4F42" w:rsidP="00BC4F42">
      <w:pPr>
        <w:jc w:val="center"/>
        <w:rPr>
          <w:rFonts w:ascii="CIDFont+F3" w:eastAsia="Times New Roman" w:hAnsi="CIDFont+F3"/>
          <w:sz w:val="20"/>
          <w:szCs w:val="20"/>
          <w:lang w:eastAsia="en-GB"/>
        </w:rPr>
      </w:pPr>
    </w:p>
    <w:p w14:paraId="77C3F238" w14:textId="77777777" w:rsidR="00BC4F42" w:rsidRDefault="00BC4F42" w:rsidP="00BC4F42">
      <w:pPr>
        <w:jc w:val="center"/>
        <w:rPr>
          <w:rFonts w:ascii="CIDFont+F3" w:eastAsia="Times New Roman" w:hAnsi="CIDFont+F3"/>
          <w:sz w:val="20"/>
          <w:szCs w:val="20"/>
          <w:lang w:eastAsia="en-GB"/>
        </w:rPr>
      </w:pPr>
    </w:p>
    <w:p w14:paraId="5C59A406" w14:textId="77777777" w:rsidR="00BC4F42" w:rsidRDefault="00BC4F42" w:rsidP="00BC4F42">
      <w:pPr>
        <w:jc w:val="center"/>
        <w:rPr>
          <w:rFonts w:ascii="CIDFont+F3" w:eastAsia="Times New Roman" w:hAnsi="CIDFont+F3"/>
          <w:sz w:val="20"/>
          <w:szCs w:val="20"/>
          <w:lang w:eastAsia="en-GB"/>
        </w:rPr>
      </w:pPr>
    </w:p>
    <w:p w14:paraId="0AAAFFD2" w14:textId="77777777" w:rsidR="00BC4F42" w:rsidRDefault="00BC4F42" w:rsidP="00BC4F42">
      <w:pPr>
        <w:jc w:val="center"/>
        <w:rPr>
          <w:rFonts w:ascii="CIDFont+F3" w:eastAsia="Times New Roman" w:hAnsi="CIDFont+F3"/>
          <w:sz w:val="20"/>
          <w:szCs w:val="20"/>
          <w:lang w:eastAsia="en-GB"/>
        </w:rPr>
      </w:pPr>
    </w:p>
    <w:p w14:paraId="6A78ABB7" w14:textId="77777777" w:rsidR="00BC4F42" w:rsidRDefault="00BC4F42" w:rsidP="00BC4F42">
      <w:pPr>
        <w:jc w:val="center"/>
        <w:rPr>
          <w:rFonts w:ascii="CIDFont+F3" w:eastAsia="Times New Roman" w:hAnsi="CIDFont+F3"/>
          <w:sz w:val="20"/>
          <w:szCs w:val="20"/>
          <w:lang w:eastAsia="en-GB"/>
        </w:rPr>
      </w:pPr>
    </w:p>
    <w:p w14:paraId="39943003" w14:textId="77777777" w:rsidR="00BC4F42" w:rsidRDefault="00BC4F42" w:rsidP="00BC4F42">
      <w:pPr>
        <w:jc w:val="center"/>
        <w:rPr>
          <w:rFonts w:ascii="CIDFont+F3" w:eastAsia="Times New Roman" w:hAnsi="CIDFont+F3"/>
          <w:sz w:val="20"/>
          <w:szCs w:val="20"/>
          <w:lang w:eastAsia="en-GB"/>
        </w:rPr>
      </w:pPr>
    </w:p>
    <w:p w14:paraId="516232CF" w14:textId="77777777" w:rsidR="00BC4F42" w:rsidRDefault="00BC4F42" w:rsidP="00BC4F42">
      <w:pPr>
        <w:jc w:val="center"/>
        <w:rPr>
          <w:rFonts w:ascii="CIDFont+F3" w:eastAsia="Times New Roman" w:hAnsi="CIDFont+F3"/>
          <w:sz w:val="20"/>
          <w:szCs w:val="20"/>
          <w:lang w:eastAsia="en-GB"/>
        </w:rPr>
      </w:pPr>
    </w:p>
    <w:p w14:paraId="329F7956" w14:textId="77777777" w:rsidR="00BC4F42" w:rsidRDefault="00BC4F42" w:rsidP="00BC4F42">
      <w:pPr>
        <w:jc w:val="center"/>
        <w:rPr>
          <w:rFonts w:ascii="CIDFont+F3" w:eastAsia="Times New Roman" w:hAnsi="CIDFont+F3"/>
          <w:sz w:val="20"/>
          <w:szCs w:val="20"/>
          <w:lang w:eastAsia="en-GB"/>
        </w:rPr>
      </w:pPr>
    </w:p>
    <w:p w14:paraId="07956638" w14:textId="77777777" w:rsidR="00BC4F42" w:rsidRDefault="00BC4F42" w:rsidP="00BC4F42">
      <w:pPr>
        <w:jc w:val="center"/>
        <w:rPr>
          <w:rFonts w:ascii="CIDFont+F3" w:eastAsia="Times New Roman" w:hAnsi="CIDFont+F3"/>
          <w:sz w:val="20"/>
          <w:szCs w:val="20"/>
          <w:lang w:eastAsia="en-GB"/>
        </w:rPr>
      </w:pPr>
    </w:p>
    <w:p w14:paraId="6E42364D" w14:textId="77777777" w:rsidR="00BC4F42" w:rsidRDefault="00BC4F42" w:rsidP="00BC4F42">
      <w:pPr>
        <w:jc w:val="center"/>
        <w:rPr>
          <w:rFonts w:ascii="CIDFont+F3" w:eastAsia="Times New Roman" w:hAnsi="CIDFont+F3"/>
          <w:sz w:val="20"/>
          <w:szCs w:val="20"/>
          <w:lang w:eastAsia="en-GB"/>
        </w:rPr>
      </w:pPr>
    </w:p>
    <w:p w14:paraId="56065013" w14:textId="77777777" w:rsidR="00BC4F42" w:rsidRDefault="00BC4F42" w:rsidP="00BC4F42">
      <w:pPr>
        <w:jc w:val="center"/>
        <w:rPr>
          <w:rFonts w:ascii="CIDFont+F3" w:eastAsia="Times New Roman" w:hAnsi="CIDFont+F3"/>
          <w:sz w:val="20"/>
          <w:szCs w:val="20"/>
          <w:lang w:eastAsia="en-GB"/>
        </w:rPr>
      </w:pPr>
    </w:p>
    <w:p w14:paraId="2B3EE2D0" w14:textId="77777777" w:rsidR="00BC4F42" w:rsidRDefault="00BC4F42" w:rsidP="00BC4F42">
      <w:pPr>
        <w:jc w:val="center"/>
        <w:rPr>
          <w:rFonts w:ascii="CIDFont+F3" w:eastAsia="Times New Roman" w:hAnsi="CIDFont+F3"/>
          <w:sz w:val="20"/>
          <w:szCs w:val="20"/>
          <w:lang w:eastAsia="en-GB"/>
        </w:rPr>
      </w:pPr>
    </w:p>
    <w:p w14:paraId="012B8E71" w14:textId="77777777" w:rsidR="00BC4F42" w:rsidRDefault="00BC4F42" w:rsidP="00BC4F42">
      <w:pPr>
        <w:jc w:val="center"/>
        <w:rPr>
          <w:rFonts w:ascii="CIDFont+F3" w:eastAsia="Times New Roman" w:hAnsi="CIDFont+F3"/>
          <w:sz w:val="20"/>
          <w:szCs w:val="20"/>
          <w:lang w:eastAsia="en-GB"/>
        </w:rPr>
      </w:pPr>
    </w:p>
    <w:p w14:paraId="5D924064" w14:textId="77777777" w:rsidR="00BC4F42" w:rsidRDefault="00BC4F42" w:rsidP="00BC4F42">
      <w:pPr>
        <w:jc w:val="center"/>
        <w:rPr>
          <w:rFonts w:ascii="CIDFont+F3" w:eastAsia="Times New Roman" w:hAnsi="CIDFont+F3"/>
          <w:sz w:val="20"/>
          <w:szCs w:val="20"/>
          <w:lang w:eastAsia="en-GB"/>
        </w:rPr>
      </w:pPr>
    </w:p>
    <w:p w14:paraId="48A06EEE" w14:textId="77777777" w:rsidR="00BC4F42" w:rsidRDefault="00BC4F42" w:rsidP="00BC4F42">
      <w:pPr>
        <w:jc w:val="center"/>
        <w:rPr>
          <w:rFonts w:ascii="CIDFont+F3" w:eastAsia="Times New Roman" w:hAnsi="CIDFont+F3"/>
          <w:sz w:val="20"/>
          <w:szCs w:val="20"/>
          <w:lang w:eastAsia="en-GB"/>
        </w:rPr>
      </w:pPr>
    </w:p>
    <w:p w14:paraId="36F5BF3C" w14:textId="3061CEC6" w:rsidR="00BC4F42" w:rsidRDefault="00BC4F42" w:rsidP="00BC4F42">
      <w:pPr>
        <w:rPr>
          <w:u w:val="single"/>
        </w:rPr>
      </w:pPr>
      <w:r>
        <w:rPr>
          <w:u w:val="single"/>
        </w:rPr>
        <w:lastRenderedPageBreak/>
        <w:t>Introduction</w:t>
      </w:r>
    </w:p>
    <w:p w14:paraId="2889DC4C" w14:textId="77777777" w:rsidR="00BC4F42" w:rsidRDefault="00BC4F42" w:rsidP="00BC4F42">
      <w:pPr>
        <w:rPr>
          <w:u w:val="single"/>
        </w:rPr>
      </w:pPr>
    </w:p>
    <w:p w14:paraId="59B415D2" w14:textId="77777777" w:rsidR="007C1266" w:rsidRDefault="007C1266" w:rsidP="00BC4F42"/>
    <w:p w14:paraId="1C06419C" w14:textId="46721351" w:rsidR="007C1266" w:rsidRDefault="00B26D59" w:rsidP="00A35C1B">
      <w:pPr>
        <w:spacing w:line="360" w:lineRule="auto"/>
        <w:jc w:val="both"/>
      </w:pPr>
      <w:r>
        <w:t>It is known that humans have attached stories to the shapes that they have observed in the sky for thousands of years</w:t>
      </w:r>
      <w:r>
        <w:rPr>
          <w:rStyle w:val="FootnoteReference"/>
        </w:rPr>
        <w:footnoteReference w:id="1"/>
      </w:r>
      <w:r>
        <w:t xml:space="preserve">. According to </w:t>
      </w:r>
      <w:proofErr w:type="spellStart"/>
      <w:r>
        <w:t>Ave</w:t>
      </w:r>
      <w:r w:rsidR="00D44D38">
        <w:t>ni</w:t>
      </w:r>
      <w:proofErr w:type="spellEnd"/>
      <w:r w:rsidR="00D44D38">
        <w:t xml:space="preserve"> “the</w:t>
      </w:r>
      <w:r>
        <w:t xml:space="preserve"> sky has long been a canvas for telling stories about the meaning of life</w:t>
      </w:r>
      <w:r>
        <w:rPr>
          <w:rStyle w:val="FootnoteReference"/>
        </w:rPr>
        <w:footnoteReference w:id="2"/>
      </w:r>
      <w:r>
        <w:t>”</w:t>
      </w:r>
      <w:r w:rsidR="00D44D38">
        <w:t xml:space="preserve"> as well as discourse about social and moral issues and affairs regarding the practical and the spiritual</w:t>
      </w:r>
      <w:r w:rsidR="00D44D38">
        <w:rPr>
          <w:rStyle w:val="FootnoteReference"/>
        </w:rPr>
        <w:footnoteReference w:id="3"/>
      </w:r>
      <w:r w:rsidR="00D44D38">
        <w:t>. The term ‘Sky myth’ refers to a myth or story that is encapsulated within the sky</w:t>
      </w:r>
      <w:r w:rsidR="00781263">
        <w:t xml:space="preserve"> </w:t>
      </w:r>
      <w:r w:rsidR="00781263" w:rsidRPr="00800910">
        <w:t>which</w:t>
      </w:r>
      <w:r w:rsidR="00781263">
        <w:t xml:space="preserve"> </w:t>
      </w:r>
      <w:r w:rsidR="00D44D38">
        <w:t xml:space="preserve">tends to contain information regarding to how the sky moves, </w:t>
      </w:r>
      <w:r w:rsidR="00A35C1B">
        <w:t xml:space="preserve">an </w:t>
      </w:r>
      <w:r w:rsidR="00D5680E">
        <w:t>explanation of natural phenomena</w:t>
      </w:r>
      <w:r w:rsidR="00D5680E">
        <w:rPr>
          <w:rStyle w:val="FootnoteReference"/>
        </w:rPr>
        <w:footnoteReference w:id="4"/>
      </w:r>
      <w:r w:rsidR="00A35C1B">
        <w:t xml:space="preserve">, </w:t>
      </w:r>
      <w:r w:rsidR="00D44D38">
        <w:t xml:space="preserve">or </w:t>
      </w:r>
      <w:r w:rsidR="00D5680E">
        <w:t xml:space="preserve">acting </w:t>
      </w:r>
      <w:r w:rsidR="00D44D38">
        <w:t>as a device for navigation</w:t>
      </w:r>
      <w:r w:rsidR="00D5680E">
        <w:rPr>
          <w:rStyle w:val="FootnoteReference"/>
        </w:rPr>
        <w:footnoteReference w:id="5"/>
      </w:r>
      <w:r w:rsidR="00D5680E">
        <w:t>.</w:t>
      </w:r>
      <w:r w:rsidR="00F35B36">
        <w:t xml:space="preserve"> </w:t>
      </w:r>
      <w:r w:rsidR="00444015">
        <w:t>Sometimes ‘Sky myth’ is referred to as ‘Star myths’ which was defined by McHenry as being ‘a human attempt to organise the wilderness of the sky’</w:t>
      </w:r>
      <w:r w:rsidR="00444015">
        <w:rPr>
          <w:rStyle w:val="FootnoteReference"/>
        </w:rPr>
        <w:footnoteReference w:id="6"/>
      </w:r>
      <w:r w:rsidR="00444015">
        <w:t xml:space="preserve">. </w:t>
      </w:r>
      <w:r w:rsidR="00F35B36">
        <w:t xml:space="preserve">There appears to be no dispute on the meaning of the word </w:t>
      </w:r>
      <w:r w:rsidR="00A35C1B">
        <w:t>‘</w:t>
      </w:r>
      <w:r w:rsidR="00F35B36">
        <w:t>sky</w:t>
      </w:r>
      <w:r w:rsidR="00A35C1B">
        <w:t>’</w:t>
      </w:r>
      <w:r w:rsidR="00F35B36">
        <w:t>, originating from Old Norse to mean the clouds or the</w:t>
      </w:r>
      <w:r w:rsidR="00763950">
        <w:t xml:space="preserve"> heavens</w:t>
      </w:r>
      <w:r w:rsidR="00763950">
        <w:rPr>
          <w:rStyle w:val="FootnoteReference"/>
        </w:rPr>
        <w:footnoteReference w:id="7"/>
      </w:r>
      <w:r w:rsidR="00F35B36">
        <w:t xml:space="preserve">, </w:t>
      </w:r>
      <w:r w:rsidR="005006C5">
        <w:t>nor of the Germanic word ‘star’, originally referring to celestial objects</w:t>
      </w:r>
      <w:r w:rsidR="005006C5">
        <w:rPr>
          <w:rStyle w:val="FootnoteReference"/>
        </w:rPr>
        <w:footnoteReference w:id="8"/>
      </w:r>
      <w:r w:rsidR="005006C5">
        <w:t xml:space="preserve">. However, </w:t>
      </w:r>
      <w:r w:rsidR="00F35B36">
        <w:t xml:space="preserve">the same cannot be said for the word ‘myth’. </w:t>
      </w:r>
    </w:p>
    <w:p w14:paraId="193F969D" w14:textId="77777777" w:rsidR="00C879A5" w:rsidRDefault="00C879A5" w:rsidP="00BC4F42"/>
    <w:p w14:paraId="2692BBEC" w14:textId="661A24F3" w:rsidR="009E51C6" w:rsidRDefault="001534A4" w:rsidP="00781263">
      <w:pPr>
        <w:spacing w:line="360" w:lineRule="auto"/>
        <w:jc w:val="both"/>
      </w:pPr>
      <w:r>
        <w:t xml:space="preserve">A definition of the word ‘myth’ </w:t>
      </w:r>
      <w:r>
        <w:rPr>
          <w:bCs/>
        </w:rPr>
        <w:t>is rather difficult for scholars to agree upon</w:t>
      </w:r>
      <w:r w:rsidRPr="00A13067">
        <w:rPr>
          <w:bCs/>
        </w:rPr>
        <w:t xml:space="preserve"> </w:t>
      </w:r>
      <w:r>
        <w:rPr>
          <w:bCs/>
        </w:rPr>
        <w:t>as each have differing opinions</w:t>
      </w:r>
      <w:r>
        <w:rPr>
          <w:rStyle w:val="FootnoteReference"/>
          <w:bCs/>
        </w:rPr>
        <w:footnoteReference w:id="9"/>
      </w:r>
      <w:r>
        <w:rPr>
          <w:bCs/>
        </w:rPr>
        <w:t xml:space="preserve">, for example, </w:t>
      </w:r>
      <w:r>
        <w:t>a</w:t>
      </w:r>
      <w:r>
        <w:rPr>
          <w:bCs/>
        </w:rPr>
        <w:t xml:space="preserve">ccording to </w:t>
      </w:r>
      <w:r w:rsidR="00C879A5">
        <w:rPr>
          <w:bCs/>
        </w:rPr>
        <w:t xml:space="preserve">Gerard van der Leeuw, </w:t>
      </w:r>
      <w:r>
        <w:rPr>
          <w:bCs/>
        </w:rPr>
        <w:t>a</w:t>
      </w:r>
      <w:r w:rsidR="00C879A5">
        <w:rPr>
          <w:bCs/>
        </w:rPr>
        <w:t xml:space="preserve"> “myth is nothing other than the word itself. For it is neither speculation nor poem. Neither a primitive explanation of the world nor a philosophy in embryo”</w:t>
      </w:r>
      <w:r w:rsidR="00C879A5">
        <w:rPr>
          <w:rStyle w:val="FootnoteReference"/>
          <w:bCs/>
        </w:rPr>
        <w:footnoteReference w:id="10"/>
      </w:r>
      <w:r w:rsidR="00C879A5">
        <w:rPr>
          <w:bCs/>
        </w:rPr>
        <w:t>.</w:t>
      </w:r>
      <w:r w:rsidR="00C879A5">
        <w:rPr>
          <w:bCs/>
        </w:rPr>
        <w:t xml:space="preserve"> However, the contrary is argued by </w:t>
      </w:r>
      <w:r w:rsidR="00C879A5">
        <w:rPr>
          <w:bCs/>
        </w:rPr>
        <w:t xml:space="preserve">James Frazer </w:t>
      </w:r>
      <w:r w:rsidR="00A35C1B">
        <w:rPr>
          <w:bCs/>
        </w:rPr>
        <w:t>who states</w:t>
      </w:r>
      <w:r>
        <w:rPr>
          <w:bCs/>
        </w:rPr>
        <w:t xml:space="preserve"> </w:t>
      </w:r>
      <w:r w:rsidR="00C879A5">
        <w:rPr>
          <w:bCs/>
        </w:rPr>
        <w:t>that “Myths are primitive explanations of natural phenomena which can now be understood through scientific knowledge”</w:t>
      </w:r>
      <w:r w:rsidR="00C879A5">
        <w:rPr>
          <w:rStyle w:val="FootnoteReference"/>
          <w:bCs/>
        </w:rPr>
        <w:footnoteReference w:id="11"/>
      </w:r>
      <w:r w:rsidR="00C879A5">
        <w:rPr>
          <w:bCs/>
        </w:rPr>
        <w:t>.</w:t>
      </w:r>
      <w:r>
        <w:rPr>
          <w:bCs/>
        </w:rPr>
        <w:t xml:space="preserve"> There are some definitions that are more straight </w:t>
      </w:r>
      <w:r>
        <w:rPr>
          <w:bCs/>
        </w:rPr>
        <w:lastRenderedPageBreak/>
        <w:t>forward, such as Walter Burkert’s</w:t>
      </w:r>
      <w:r w:rsidR="00F35B36">
        <w:rPr>
          <w:bCs/>
        </w:rPr>
        <w:t xml:space="preserve">, </w:t>
      </w:r>
      <w:r>
        <w:rPr>
          <w:bCs/>
        </w:rPr>
        <w:t xml:space="preserve">being that </w:t>
      </w:r>
      <w:r>
        <w:t>a myth is defined by its suitability for being told and retold</w:t>
      </w:r>
      <w:r>
        <w:rPr>
          <w:rStyle w:val="FootnoteReference"/>
        </w:rPr>
        <w:footnoteReference w:id="12"/>
      </w:r>
      <w:r>
        <w:t xml:space="preserve">, this a view also shared by Julien </w:t>
      </w:r>
      <w:proofErr w:type="spellStart"/>
      <w:r>
        <w:t>d’Huy</w:t>
      </w:r>
      <w:proofErr w:type="spellEnd"/>
      <w:r>
        <w:rPr>
          <w:rStyle w:val="FootnoteReference"/>
        </w:rPr>
        <w:footnoteReference w:id="13"/>
      </w:r>
      <w:r>
        <w:t>.</w:t>
      </w:r>
      <w:r w:rsidR="00A35C1B">
        <w:t xml:space="preserve"> </w:t>
      </w:r>
    </w:p>
    <w:p w14:paraId="62233669" w14:textId="77777777" w:rsidR="00A35C1B" w:rsidRDefault="00A35C1B" w:rsidP="00781263">
      <w:pPr>
        <w:spacing w:line="360" w:lineRule="auto"/>
        <w:jc w:val="both"/>
      </w:pPr>
    </w:p>
    <w:p w14:paraId="6BFBFB2B" w14:textId="37C4145B" w:rsidR="00800910" w:rsidRPr="00800910" w:rsidRDefault="00800910" w:rsidP="00781263">
      <w:pPr>
        <w:spacing w:line="360" w:lineRule="auto"/>
        <w:jc w:val="both"/>
      </w:pPr>
      <w:proofErr w:type="gramStart"/>
      <w:r>
        <w:t>For the purpose of</w:t>
      </w:r>
      <w:proofErr w:type="gramEnd"/>
      <w:r>
        <w:t xml:space="preserve"> this essay, the two sky myths that have been chosen are taken from two different cultures. Firstly, the </w:t>
      </w:r>
      <w:r>
        <w:t xml:space="preserve">story of Gilgamesh from the Mesopotamian </w:t>
      </w:r>
      <w:r>
        <w:rPr>
          <w:i/>
          <w:iCs/>
        </w:rPr>
        <w:t>Epic of Gilgamesh</w:t>
      </w:r>
      <w:r>
        <w:rPr>
          <w:i/>
          <w:iCs/>
        </w:rPr>
        <w:t xml:space="preserve"> </w:t>
      </w:r>
      <w:r>
        <w:t xml:space="preserve">and secondly, </w:t>
      </w:r>
      <w:r>
        <w:t>the Greek myth of Orion</w:t>
      </w:r>
      <w:r>
        <w:t>. The reasons for choosing these two different cultures and time periods, is to uncover the development of the myth and the differences, similarities and purpose in understanding the sky. By using the different definitions of</w:t>
      </w:r>
      <w:r w:rsidR="00C97885">
        <w:t xml:space="preserve"> </w:t>
      </w:r>
      <w:r>
        <w:t xml:space="preserve">myth, as stated above, this essay can attempt to investigate whether the </w:t>
      </w:r>
      <w:r w:rsidRPr="00800910">
        <w:rPr>
          <w:i/>
          <w:iCs/>
        </w:rPr>
        <w:t>Epic of Gilgamesh</w:t>
      </w:r>
      <w:r>
        <w:t xml:space="preserve"> and the myth of Orion can indeed be called sky myths.</w:t>
      </w:r>
    </w:p>
    <w:p w14:paraId="475B64A3" w14:textId="77777777" w:rsidR="001534A4" w:rsidRDefault="001534A4" w:rsidP="00BC4F42"/>
    <w:p w14:paraId="41ADD9C5" w14:textId="273B3B98" w:rsidR="009E51C6" w:rsidRDefault="009E51C6" w:rsidP="00BC4F42">
      <w:pPr>
        <w:rPr>
          <w:u w:val="single"/>
        </w:rPr>
      </w:pPr>
      <w:r w:rsidRPr="009E51C6">
        <w:rPr>
          <w:u w:val="single"/>
        </w:rPr>
        <w:t>Gilgamesh</w:t>
      </w:r>
    </w:p>
    <w:p w14:paraId="4C533401" w14:textId="77777777" w:rsidR="009E51C6" w:rsidRDefault="009E51C6" w:rsidP="00BC4F42">
      <w:pPr>
        <w:rPr>
          <w:u w:val="single"/>
        </w:rPr>
      </w:pPr>
    </w:p>
    <w:p w14:paraId="6108661B" w14:textId="7D0F4187" w:rsidR="007B57EF" w:rsidRDefault="0097195B" w:rsidP="00544F12">
      <w:pPr>
        <w:spacing w:line="360" w:lineRule="auto"/>
        <w:jc w:val="both"/>
      </w:pPr>
      <w:r w:rsidRPr="0097195B">
        <w:t xml:space="preserve">The story known as the ‘Epic of Gilgamesh’ </w:t>
      </w:r>
      <w:proofErr w:type="gramStart"/>
      <w:r>
        <w:t xml:space="preserve">is </w:t>
      </w:r>
      <w:r w:rsidR="00AC6715">
        <w:t>considered to be</w:t>
      </w:r>
      <w:proofErr w:type="gramEnd"/>
      <w:r w:rsidR="00AC6715">
        <w:t xml:space="preserve"> the world’s </w:t>
      </w:r>
      <w:r w:rsidR="00884E67">
        <w:t>earliest heroic</w:t>
      </w:r>
      <w:r w:rsidR="00AC6715">
        <w:t xml:space="preserve"> epic</w:t>
      </w:r>
      <w:r w:rsidR="00884E67">
        <w:rPr>
          <w:rStyle w:val="FootnoteReference"/>
        </w:rPr>
        <w:footnoteReference w:id="14"/>
      </w:r>
      <w:r w:rsidR="00884E67">
        <w:t>.</w:t>
      </w:r>
      <w:r w:rsidR="00AC6715">
        <w:t xml:space="preserve"> It is </w:t>
      </w:r>
      <w:r>
        <w:t xml:space="preserve">a </w:t>
      </w:r>
      <w:r w:rsidR="00AC6715">
        <w:t>piece</w:t>
      </w:r>
      <w:r>
        <w:t xml:space="preserve"> of literature recovered and translated from </w:t>
      </w:r>
      <w:r w:rsidR="00AC6715">
        <w:t>twelve</w:t>
      </w:r>
      <w:r>
        <w:t xml:space="preserve"> clay tablets</w:t>
      </w:r>
      <w:r w:rsidR="001B5730">
        <w:t xml:space="preserve"> </w:t>
      </w:r>
      <w:r>
        <w:t xml:space="preserve">written in </w:t>
      </w:r>
      <w:r w:rsidR="00AC6715">
        <w:t>cuneiform</w:t>
      </w:r>
      <w:r w:rsidR="00AC6715">
        <w:rPr>
          <w:rStyle w:val="FootnoteReference"/>
        </w:rPr>
        <w:footnoteReference w:id="15"/>
      </w:r>
      <w:r>
        <w:t>. The tablets are dated around</w:t>
      </w:r>
      <w:r w:rsidR="00393746">
        <w:t xml:space="preserve"> c. 2100-1200 BCE </w:t>
      </w:r>
      <w:r w:rsidR="00AC6715">
        <w:t xml:space="preserve">and are currently stored and preserved in the </w:t>
      </w:r>
      <w:r w:rsidR="00393746">
        <w:t>British Museum</w:t>
      </w:r>
      <w:r w:rsidR="00393746">
        <w:rPr>
          <w:rStyle w:val="FootnoteReference"/>
        </w:rPr>
        <w:footnoteReference w:id="16"/>
      </w:r>
      <w:r w:rsidR="00AC6715">
        <w:t xml:space="preserve">. </w:t>
      </w:r>
      <w:r w:rsidR="0099014C">
        <w:t>Although there is no indication of who wrote the epic</w:t>
      </w:r>
      <w:r w:rsidR="00DE6A18">
        <w:rPr>
          <w:rStyle w:val="FootnoteReference"/>
        </w:rPr>
        <w:footnoteReference w:id="17"/>
      </w:r>
      <w:r w:rsidR="0099014C">
        <w:t xml:space="preserve">, it </w:t>
      </w:r>
      <w:r w:rsidR="007B57EF">
        <w:t>is believed to have earlier origins from Sumerian material</w:t>
      </w:r>
      <w:r w:rsidR="007D6029">
        <w:t xml:space="preserve"> in which Foster accredits the scholar Sin-</w:t>
      </w:r>
      <w:proofErr w:type="spellStart"/>
      <w:r w:rsidR="007D6029">
        <w:t>leqi</w:t>
      </w:r>
      <w:proofErr w:type="spellEnd"/>
      <w:r w:rsidR="007D6029">
        <w:t>-</w:t>
      </w:r>
      <w:proofErr w:type="spellStart"/>
      <w:r w:rsidR="007D6029">
        <w:t>unninni</w:t>
      </w:r>
      <w:proofErr w:type="spellEnd"/>
      <w:r w:rsidR="007D6029">
        <w:t xml:space="preserve"> for the epic</w:t>
      </w:r>
      <w:r w:rsidR="007D6029">
        <w:rPr>
          <w:rStyle w:val="FootnoteReference"/>
        </w:rPr>
        <w:footnoteReference w:id="18"/>
      </w:r>
      <w:r w:rsidR="007D6029">
        <w:t>. It is</w:t>
      </w:r>
      <w:r w:rsidR="00B75510">
        <w:t xml:space="preserve"> suggested that the epic may </w:t>
      </w:r>
      <w:r w:rsidR="007B57EF">
        <w:t xml:space="preserve">predate written tradition and </w:t>
      </w:r>
      <w:r w:rsidR="00B4162D">
        <w:t xml:space="preserve">was </w:t>
      </w:r>
      <w:r w:rsidR="00824009">
        <w:t xml:space="preserve">likely </w:t>
      </w:r>
      <w:r w:rsidR="00B4162D">
        <w:t xml:space="preserve">transmitted </w:t>
      </w:r>
      <w:r w:rsidR="007B57EF">
        <w:t>orally</w:t>
      </w:r>
      <w:r w:rsidR="00B75510">
        <w:t xml:space="preserve"> as argued by Gerald K. </w:t>
      </w:r>
      <w:proofErr w:type="spellStart"/>
      <w:r w:rsidR="00B75510">
        <w:t>Gresseth</w:t>
      </w:r>
      <w:proofErr w:type="spellEnd"/>
      <w:r w:rsidR="007B57EF">
        <w:rPr>
          <w:rStyle w:val="FootnoteReference"/>
        </w:rPr>
        <w:footnoteReference w:id="19"/>
      </w:r>
      <w:r w:rsidR="007B57EF">
        <w:t xml:space="preserve">. </w:t>
      </w:r>
    </w:p>
    <w:p w14:paraId="11288670" w14:textId="77777777" w:rsidR="00B4162D" w:rsidRPr="0097195B" w:rsidRDefault="00B4162D" w:rsidP="004E52EF">
      <w:pPr>
        <w:spacing w:line="360" w:lineRule="auto"/>
        <w:jc w:val="both"/>
      </w:pPr>
    </w:p>
    <w:p w14:paraId="3A822E98" w14:textId="5451253F" w:rsidR="004E52EF" w:rsidRDefault="007B57EF" w:rsidP="004E52EF">
      <w:pPr>
        <w:spacing w:line="360" w:lineRule="auto"/>
        <w:jc w:val="both"/>
      </w:pPr>
      <w:r>
        <w:t xml:space="preserve">The </w:t>
      </w:r>
      <w:r w:rsidR="00C700C4">
        <w:t xml:space="preserve">protagonist of this epic is Gilgamesh or more anciently known as </w:t>
      </w:r>
      <w:proofErr w:type="spellStart"/>
      <w:r w:rsidR="00C700C4">
        <w:t>Bilgames</w:t>
      </w:r>
      <w:proofErr w:type="spellEnd"/>
      <w:r w:rsidR="00BA2AB6">
        <w:rPr>
          <w:rStyle w:val="FootnoteReference"/>
        </w:rPr>
        <w:footnoteReference w:id="20"/>
      </w:r>
      <w:r w:rsidR="00BA2AB6">
        <w:t>, an individual who was two thirds god and one third man</w:t>
      </w:r>
      <w:r w:rsidR="00BA2AB6">
        <w:rPr>
          <w:rStyle w:val="FootnoteReference"/>
        </w:rPr>
        <w:footnoteReference w:id="21"/>
      </w:r>
      <w:r w:rsidR="00BA2AB6">
        <w:t xml:space="preserve">. His parents according to Foster are </w:t>
      </w:r>
      <w:proofErr w:type="spellStart"/>
      <w:r w:rsidR="00BA2AB6">
        <w:t>Lugalbanda</w:t>
      </w:r>
      <w:proofErr w:type="spellEnd"/>
      <w:r w:rsidR="00BA2AB6">
        <w:t xml:space="preserve">, king of </w:t>
      </w:r>
      <w:proofErr w:type="spellStart"/>
      <w:r w:rsidR="00BA2AB6">
        <w:t>Uruk</w:t>
      </w:r>
      <w:proofErr w:type="spellEnd"/>
      <w:r w:rsidR="00BA2AB6">
        <w:t xml:space="preserve"> and the goddess Ninsun</w:t>
      </w:r>
      <w:r w:rsidR="00BA2AB6">
        <w:rPr>
          <w:rStyle w:val="FootnoteReference"/>
        </w:rPr>
        <w:footnoteReference w:id="22"/>
      </w:r>
      <w:r w:rsidR="00BA2AB6">
        <w:t xml:space="preserve">. </w:t>
      </w:r>
      <w:r w:rsidR="00C700C4">
        <w:t xml:space="preserve">It is believed that he was a real king who reigned around </w:t>
      </w:r>
      <w:r w:rsidR="004D1377">
        <w:t>2750 BC</w:t>
      </w:r>
      <w:r w:rsidR="00824009">
        <w:t>E</w:t>
      </w:r>
      <w:r w:rsidR="004D1377">
        <w:t xml:space="preserve"> and was the fifth ruler of the First Dynasty of </w:t>
      </w:r>
      <w:proofErr w:type="spellStart"/>
      <w:r w:rsidR="004D1377">
        <w:t>Uruk</w:t>
      </w:r>
      <w:proofErr w:type="spellEnd"/>
      <w:r w:rsidR="004D1377">
        <w:t>.</w:t>
      </w:r>
      <w:r w:rsidR="004D1377">
        <w:rPr>
          <w:rStyle w:val="FootnoteReference"/>
        </w:rPr>
        <w:footnoteReference w:id="23"/>
      </w:r>
      <w:r w:rsidR="0061362F">
        <w:t xml:space="preserve"> </w:t>
      </w:r>
      <w:r w:rsidR="00824009">
        <w:t xml:space="preserve">This is further </w:t>
      </w:r>
      <w:r w:rsidR="00824009">
        <w:lastRenderedPageBreak/>
        <w:t xml:space="preserve">reinforced by an inscription of </w:t>
      </w:r>
      <w:proofErr w:type="spellStart"/>
      <w:r w:rsidR="00824009">
        <w:t>Anam</w:t>
      </w:r>
      <w:proofErr w:type="spellEnd"/>
      <w:r w:rsidR="00824009">
        <w:t xml:space="preserve">, the king of </w:t>
      </w:r>
      <w:proofErr w:type="spellStart"/>
      <w:r w:rsidR="00824009">
        <w:t>Uruk</w:t>
      </w:r>
      <w:proofErr w:type="spellEnd"/>
      <w:r w:rsidR="00824009">
        <w:t xml:space="preserve"> who ruled in the nineteenth century BCE</w:t>
      </w:r>
      <w:r w:rsidR="002B72AC">
        <w:t>. He</w:t>
      </w:r>
      <w:r w:rsidR="00824009">
        <w:t xml:space="preserve"> accredits Gilgamesh for building the city walls</w:t>
      </w:r>
      <w:r w:rsidR="00824009">
        <w:rPr>
          <w:rStyle w:val="FootnoteReference"/>
        </w:rPr>
        <w:footnoteReference w:id="24"/>
      </w:r>
      <w:r w:rsidR="002B72AC">
        <w:t xml:space="preserve">, these </w:t>
      </w:r>
      <w:r w:rsidR="004E52EF">
        <w:t>architectural achievements are documented within Tablet 1</w:t>
      </w:r>
      <w:r w:rsidR="004E52EF">
        <w:rPr>
          <w:rStyle w:val="FootnoteReference"/>
        </w:rPr>
        <w:footnoteReference w:id="25"/>
      </w:r>
      <w:r w:rsidR="004E52EF">
        <w:t xml:space="preserve">. </w:t>
      </w:r>
    </w:p>
    <w:p w14:paraId="683D0BBE" w14:textId="77777777" w:rsidR="000578C6" w:rsidRDefault="000578C6" w:rsidP="004E52EF">
      <w:pPr>
        <w:spacing w:line="360" w:lineRule="auto"/>
        <w:jc w:val="both"/>
      </w:pPr>
    </w:p>
    <w:p w14:paraId="79E7B5F5" w14:textId="2FBD2AA4" w:rsidR="003A04A0" w:rsidRDefault="0061362F" w:rsidP="004E52EF">
      <w:pPr>
        <w:spacing w:line="360" w:lineRule="auto"/>
        <w:jc w:val="both"/>
      </w:pPr>
      <w:r>
        <w:t xml:space="preserve">The city of </w:t>
      </w:r>
      <w:proofErr w:type="spellStart"/>
      <w:r>
        <w:t>Uruk</w:t>
      </w:r>
      <w:proofErr w:type="spellEnd"/>
      <w:r w:rsidR="006432AE">
        <w:t xml:space="preserve">, known today as </w:t>
      </w:r>
      <w:proofErr w:type="spellStart"/>
      <w:r w:rsidR="006432AE">
        <w:t>Warka</w:t>
      </w:r>
      <w:proofErr w:type="spellEnd"/>
      <w:r w:rsidR="006432AE">
        <w:t xml:space="preserve">, </w:t>
      </w:r>
      <w:proofErr w:type="gramStart"/>
      <w:r w:rsidR="006432AE">
        <w:t>is located in</w:t>
      </w:r>
      <w:proofErr w:type="gramEnd"/>
      <w:r w:rsidR="006432AE">
        <w:t xml:space="preserve"> present day Iraq</w:t>
      </w:r>
      <w:r w:rsidR="006432AE">
        <w:rPr>
          <w:rStyle w:val="FootnoteReference"/>
        </w:rPr>
        <w:footnoteReference w:id="26"/>
      </w:r>
      <w:r w:rsidR="002B72AC">
        <w:t>.</w:t>
      </w:r>
      <w:r w:rsidR="00F36F9F">
        <w:t xml:space="preserve"> </w:t>
      </w:r>
      <w:r w:rsidR="002B72AC">
        <w:t xml:space="preserve">The city </w:t>
      </w:r>
      <w:r w:rsidR="00F36F9F">
        <w:t>was presided over by the goddess Inanna</w:t>
      </w:r>
      <w:r w:rsidR="00F36F9F">
        <w:rPr>
          <w:rStyle w:val="FootnoteReference"/>
        </w:rPr>
        <w:footnoteReference w:id="27"/>
      </w:r>
      <w:r w:rsidR="002B72AC">
        <w:t>,</w:t>
      </w:r>
      <w:r w:rsidR="00800E38">
        <w:t xml:space="preserve"> also known as Ishtar</w:t>
      </w:r>
      <w:r w:rsidR="00800E38">
        <w:rPr>
          <w:rStyle w:val="FootnoteReference"/>
        </w:rPr>
        <w:footnoteReference w:id="28"/>
      </w:r>
      <w:r w:rsidR="00F36F9F">
        <w:t>.</w:t>
      </w:r>
      <w:r w:rsidR="000578C6">
        <w:t xml:space="preserve"> Gilgamesh was described as a tyrant king</w:t>
      </w:r>
      <w:r w:rsidR="00875AD1">
        <w:rPr>
          <w:rStyle w:val="FootnoteReference"/>
        </w:rPr>
        <w:footnoteReference w:id="29"/>
      </w:r>
      <w:r w:rsidR="00875AD1">
        <w:t>, an autocrat, and a narcissist who</w:t>
      </w:r>
      <w:r w:rsidR="000578C6">
        <w:t xml:space="preserve"> possessed a strong </w:t>
      </w:r>
      <w:r w:rsidR="00875AD1">
        <w:t>sexual appetite</w:t>
      </w:r>
      <w:r w:rsidR="00875AD1">
        <w:rPr>
          <w:rStyle w:val="FootnoteReference"/>
        </w:rPr>
        <w:footnoteReference w:id="30"/>
      </w:r>
      <w:r w:rsidR="00AC6CA0">
        <w:t>, especially for brides to be</w:t>
      </w:r>
      <w:r w:rsidR="00AC6CA0">
        <w:rPr>
          <w:rStyle w:val="FootnoteReference"/>
        </w:rPr>
        <w:footnoteReference w:id="31"/>
      </w:r>
      <w:r w:rsidR="000578C6">
        <w:t xml:space="preserve">. </w:t>
      </w:r>
      <w:r w:rsidR="004E52EF">
        <w:t>To</w:t>
      </w:r>
      <w:r w:rsidR="00E67DBC">
        <w:t xml:space="preserve"> divert his attention from his tyrannical rule over the people of </w:t>
      </w:r>
      <w:proofErr w:type="spellStart"/>
      <w:r w:rsidR="00E67DBC">
        <w:t>Uruk</w:t>
      </w:r>
      <w:proofErr w:type="spellEnd"/>
      <w:r w:rsidR="00E67DBC">
        <w:t>, the gods urged the creation of his equal, Enkidu</w:t>
      </w:r>
      <w:r w:rsidR="00544F12">
        <w:rPr>
          <w:rStyle w:val="FootnoteReference"/>
        </w:rPr>
        <w:footnoteReference w:id="32"/>
      </w:r>
      <w:r w:rsidR="00544F12">
        <w:t>.</w:t>
      </w:r>
      <w:r w:rsidR="00E67DBC">
        <w:t xml:space="preserve"> The goddess of creation, </w:t>
      </w:r>
      <w:proofErr w:type="spellStart"/>
      <w:r w:rsidR="00E67DBC">
        <w:t>Aruru</w:t>
      </w:r>
      <w:proofErr w:type="spellEnd"/>
      <w:r w:rsidR="00E67DBC">
        <w:t xml:space="preserve"> was said to have made this equal out of clay</w:t>
      </w:r>
      <w:r w:rsidR="002B72AC">
        <w:t>;</w:t>
      </w:r>
      <w:r w:rsidR="00E67DBC">
        <w:t xml:space="preserve"> he was animalistic in nature</w:t>
      </w:r>
      <w:r w:rsidR="00E67DBC">
        <w:rPr>
          <w:rStyle w:val="FootnoteReference"/>
        </w:rPr>
        <w:footnoteReference w:id="33"/>
      </w:r>
      <w:r w:rsidR="00E67DBC">
        <w:t>.</w:t>
      </w:r>
      <w:r w:rsidR="004E52EF">
        <w:t xml:space="preserve"> It was when Enkidu was discovered by hunters that they reported this sighting to Gilgamesh. They then devised a plan to civilise him by sending a prostitute named Sham</w:t>
      </w:r>
      <w:r w:rsidR="003A04A0">
        <w:t>h</w:t>
      </w:r>
      <w:r w:rsidR="004E52EF">
        <w:t>at to mate with him</w:t>
      </w:r>
      <w:r w:rsidR="004E52EF">
        <w:rPr>
          <w:rStyle w:val="FootnoteReference"/>
        </w:rPr>
        <w:footnoteReference w:id="34"/>
      </w:r>
      <w:r w:rsidR="004E52EF">
        <w:t>.</w:t>
      </w:r>
      <w:r w:rsidR="003A04A0">
        <w:t xml:space="preserve"> </w:t>
      </w:r>
      <w:r w:rsidR="00B75138">
        <w:t xml:space="preserve">In tablet </w:t>
      </w:r>
      <w:r w:rsidR="00295F9D">
        <w:t>II</w:t>
      </w:r>
      <w:r w:rsidR="00B75138">
        <w:t>, t</w:t>
      </w:r>
      <w:r w:rsidR="003A04A0">
        <w:t xml:space="preserve">he plan </w:t>
      </w:r>
      <w:r w:rsidR="00953908">
        <w:t>succeeds,</w:t>
      </w:r>
      <w:r w:rsidR="003A04A0">
        <w:t xml:space="preserve"> and Enkidu becomes civilised as he begins to wear clothes</w:t>
      </w:r>
      <w:r w:rsidR="002B72AC">
        <w:t>. He</w:t>
      </w:r>
      <w:r w:rsidR="003A04A0">
        <w:t xml:space="preserve"> </w:t>
      </w:r>
      <w:r w:rsidR="002B72AC">
        <w:t>then becomes</w:t>
      </w:r>
      <w:r w:rsidR="003A04A0">
        <w:t xml:space="preserve"> rejected by the wild that he was once raised in</w:t>
      </w:r>
      <w:r w:rsidR="003A04A0">
        <w:rPr>
          <w:rStyle w:val="FootnoteReference"/>
        </w:rPr>
        <w:footnoteReference w:id="35"/>
      </w:r>
      <w:r w:rsidR="003A04A0">
        <w:t xml:space="preserve">. Enkidu learns about the tyrant king Gilgamesh and travels with Shamhat to </w:t>
      </w:r>
      <w:proofErr w:type="spellStart"/>
      <w:r w:rsidR="003A04A0">
        <w:t>Uruk</w:t>
      </w:r>
      <w:proofErr w:type="spellEnd"/>
      <w:r w:rsidR="003A04A0">
        <w:t xml:space="preserve"> to confront him. The battle between Gilgamesh and Enkidu that took place in the public square was great</w:t>
      </w:r>
      <w:r w:rsidR="002B72AC">
        <w:t>,</w:t>
      </w:r>
      <w:r w:rsidR="003A04A0">
        <w:t xml:space="preserve"> and resulted in the realisation that they were both equals and thus, they became friends</w:t>
      </w:r>
      <w:r w:rsidR="003A04A0">
        <w:rPr>
          <w:rStyle w:val="FootnoteReference"/>
        </w:rPr>
        <w:footnoteReference w:id="36"/>
      </w:r>
      <w:r w:rsidR="003A04A0">
        <w:t>.</w:t>
      </w:r>
    </w:p>
    <w:p w14:paraId="1AC3202E" w14:textId="77777777" w:rsidR="00953908" w:rsidRDefault="00953908" w:rsidP="004E52EF">
      <w:pPr>
        <w:spacing w:line="360" w:lineRule="auto"/>
        <w:jc w:val="both"/>
      </w:pPr>
    </w:p>
    <w:p w14:paraId="4E1FFDE2" w14:textId="479986EA" w:rsidR="00953908" w:rsidRDefault="005E7BD0" w:rsidP="004E52EF">
      <w:pPr>
        <w:spacing w:line="360" w:lineRule="auto"/>
        <w:jc w:val="both"/>
      </w:pPr>
      <w:r>
        <w:t>Gilgamesh becomes ambitious and wants to make a name for himself</w:t>
      </w:r>
      <w:r w:rsidR="002B72AC">
        <w:t>. H</w:t>
      </w:r>
      <w:r>
        <w:t xml:space="preserve">e proposes that he and Enkidu embark on a journey to the Cedar </w:t>
      </w:r>
      <w:r w:rsidR="00D329A2">
        <w:t>Forrest, the secret dwelling place of the goddess Ishtar</w:t>
      </w:r>
      <w:r w:rsidR="002B72AC">
        <w:t>, to</w:t>
      </w:r>
      <w:r>
        <w:t xml:space="preserve"> slay the guardian, Humbaba</w:t>
      </w:r>
      <w:r w:rsidR="00D329A2">
        <w:rPr>
          <w:rStyle w:val="FootnoteReference"/>
        </w:rPr>
        <w:footnoteReference w:id="37"/>
      </w:r>
      <w:r>
        <w:t xml:space="preserve">. </w:t>
      </w:r>
      <w:r w:rsidR="00876D43">
        <w:t>The guardian</w:t>
      </w:r>
      <w:r w:rsidR="002B72AC">
        <w:t xml:space="preserve"> </w:t>
      </w:r>
      <w:r w:rsidR="00870B06">
        <w:t>who</w:t>
      </w:r>
      <w:r w:rsidR="00876D43">
        <w:t xml:space="preserve"> </w:t>
      </w:r>
      <w:r w:rsidR="002B72AC">
        <w:t xml:space="preserve">is </w:t>
      </w:r>
      <w:r w:rsidR="00876D43">
        <w:t>given the role of protecting the Cedar by Enlil was slayed and the dwelling place of Ishtar was desecrated</w:t>
      </w:r>
      <w:r w:rsidR="00176677">
        <w:rPr>
          <w:rStyle w:val="FootnoteReference"/>
        </w:rPr>
        <w:footnoteReference w:id="38"/>
      </w:r>
      <w:r w:rsidR="00876D43">
        <w:t xml:space="preserve">. </w:t>
      </w:r>
      <w:r w:rsidR="002F4C05">
        <w:t xml:space="preserve">Upon Gilgamesh’s </w:t>
      </w:r>
      <w:r w:rsidR="002F4C05">
        <w:lastRenderedPageBreak/>
        <w:t xml:space="preserve">arrival into </w:t>
      </w:r>
      <w:proofErr w:type="spellStart"/>
      <w:r w:rsidR="002F4C05">
        <w:t>Uruk</w:t>
      </w:r>
      <w:proofErr w:type="spellEnd"/>
      <w:r w:rsidR="002F4C05">
        <w:t xml:space="preserve">, the goddess Ishtar offers </w:t>
      </w:r>
      <w:r w:rsidR="002B72AC">
        <w:t>Gilgamesh</w:t>
      </w:r>
      <w:r w:rsidR="002F4C05">
        <w:t xml:space="preserve"> her hand in marriage however, </w:t>
      </w:r>
      <w:r w:rsidR="002B72AC">
        <w:t xml:space="preserve">he </w:t>
      </w:r>
      <w:r w:rsidR="00870B06">
        <w:t>refuses,</w:t>
      </w:r>
      <w:r w:rsidR="002F4C05">
        <w:t xml:space="preserve"> and this angers the goddess</w:t>
      </w:r>
      <w:r w:rsidR="00A274F7">
        <w:rPr>
          <w:rStyle w:val="FootnoteReference"/>
        </w:rPr>
        <w:footnoteReference w:id="39"/>
      </w:r>
      <w:r w:rsidR="002F4C05">
        <w:t xml:space="preserve">. </w:t>
      </w:r>
      <w:r w:rsidR="00A274F7">
        <w:t>Enraged by the decline, Ishtar requests the Bull of Heaven from her father, Anu, to seek revenge on Gilgamesh</w:t>
      </w:r>
      <w:r w:rsidR="00A274F7">
        <w:rPr>
          <w:rStyle w:val="FootnoteReference"/>
        </w:rPr>
        <w:footnoteReference w:id="40"/>
      </w:r>
      <w:r w:rsidR="00A274F7">
        <w:t>.</w:t>
      </w:r>
      <w:r w:rsidR="00884E67">
        <w:t xml:space="preserve"> The Bull of heaven is then dispatched, and it causes havoc in </w:t>
      </w:r>
      <w:proofErr w:type="spellStart"/>
      <w:r w:rsidR="00884E67">
        <w:t>Uruk</w:t>
      </w:r>
      <w:proofErr w:type="spellEnd"/>
      <w:r w:rsidR="00884E67">
        <w:rPr>
          <w:rStyle w:val="FootnoteReference"/>
        </w:rPr>
        <w:footnoteReference w:id="41"/>
      </w:r>
      <w:r w:rsidR="00884E67">
        <w:t xml:space="preserve">. </w:t>
      </w:r>
      <w:r w:rsidR="0034093B">
        <w:t>Gilgamesh and Enkidu arm themselves and defeat the bull, its haunch is cut off and is thrown at Ishtar as a further insult</w:t>
      </w:r>
      <w:r w:rsidR="0034093B">
        <w:rPr>
          <w:rStyle w:val="FootnoteReference"/>
        </w:rPr>
        <w:footnoteReference w:id="42"/>
      </w:r>
      <w:r w:rsidR="0034093B">
        <w:t xml:space="preserve">. In tablet VII, Enkidu has two dreams, one which features the gods choosing either Enkidu or Gilgamesh to die </w:t>
      </w:r>
      <w:r w:rsidR="002B72AC">
        <w:t>due to</w:t>
      </w:r>
      <w:r w:rsidR="0034093B">
        <w:t xml:space="preserve"> their actions</w:t>
      </w:r>
      <w:r w:rsidR="002B72AC">
        <w:t>.</w:t>
      </w:r>
      <w:r w:rsidR="0034093B">
        <w:t xml:space="preserve"> </w:t>
      </w:r>
      <w:r w:rsidR="002B72AC">
        <w:t>T</w:t>
      </w:r>
      <w:r w:rsidR="0034093B">
        <w:t>he second</w:t>
      </w:r>
      <w:r w:rsidR="002B72AC">
        <w:t>,</w:t>
      </w:r>
      <w:r w:rsidR="0034093B">
        <w:t xml:space="preserve"> pertained Enkidu being taken to the netherworld by an angel of death</w:t>
      </w:r>
      <w:r w:rsidR="0034093B">
        <w:rPr>
          <w:rStyle w:val="FootnoteReference"/>
        </w:rPr>
        <w:footnoteReference w:id="43"/>
      </w:r>
      <w:r w:rsidR="0034093B">
        <w:t xml:space="preserve">. </w:t>
      </w:r>
    </w:p>
    <w:p w14:paraId="42634F55" w14:textId="77777777" w:rsidR="008A5A02" w:rsidRDefault="008A5A02" w:rsidP="004E52EF">
      <w:pPr>
        <w:spacing w:line="360" w:lineRule="auto"/>
        <w:jc w:val="both"/>
      </w:pPr>
    </w:p>
    <w:p w14:paraId="6C43AC2A" w14:textId="784DB44E" w:rsidR="007D075F" w:rsidRPr="00C97885" w:rsidRDefault="0034093B" w:rsidP="00C97885">
      <w:pPr>
        <w:spacing w:line="360" w:lineRule="auto"/>
        <w:jc w:val="both"/>
      </w:pPr>
      <w:r>
        <w:t xml:space="preserve">When Enkidu had told </w:t>
      </w:r>
      <w:r w:rsidR="00626068">
        <w:t xml:space="preserve">Gilgamesh about what he had dreamt, he immediately fell ill and was taken to his bed </w:t>
      </w:r>
      <w:r w:rsidR="009228A2">
        <w:t>where he later died</w:t>
      </w:r>
      <w:r w:rsidR="005F2143">
        <w:rPr>
          <w:rStyle w:val="FootnoteReference"/>
        </w:rPr>
        <w:footnoteReference w:id="44"/>
      </w:r>
      <w:r w:rsidR="009228A2">
        <w:t xml:space="preserve">. </w:t>
      </w:r>
      <w:r w:rsidR="00626073">
        <w:t xml:space="preserve">The death of Enkidu changes Gilgamesh, he is immediately struck with panic and fear </w:t>
      </w:r>
      <w:r w:rsidR="00B32F93">
        <w:t xml:space="preserve">regarding his own mortality. This leads Gilgamesh onto a quest across the </w:t>
      </w:r>
      <w:r w:rsidR="008A5A02">
        <w:t>S</w:t>
      </w:r>
      <w:r w:rsidR="00B32F93">
        <w:t>teppe in search of an immortal survivor of the great flood, Utnapishtim, in hopes to secure immortality for himself</w:t>
      </w:r>
      <w:r w:rsidR="00B32F93">
        <w:rPr>
          <w:rStyle w:val="FootnoteReference"/>
        </w:rPr>
        <w:footnoteReference w:id="45"/>
      </w:r>
      <w:r w:rsidR="00B32F93">
        <w:t xml:space="preserve">. </w:t>
      </w:r>
      <w:r w:rsidR="00603780">
        <w:t xml:space="preserve">During his journey he encounters various individuals including scorpion monsters who guard the suns </w:t>
      </w:r>
      <w:r w:rsidR="00336C9D">
        <w:t>tunnel</w:t>
      </w:r>
      <w:r w:rsidR="00603780">
        <w:t xml:space="preserve"> </w:t>
      </w:r>
      <w:r w:rsidR="00336C9D">
        <w:t>beneath</w:t>
      </w:r>
      <w:r w:rsidR="00603780">
        <w:t xml:space="preserve"> the mountains</w:t>
      </w:r>
      <w:r w:rsidR="00603780">
        <w:rPr>
          <w:rStyle w:val="FootnoteReference"/>
        </w:rPr>
        <w:footnoteReference w:id="46"/>
      </w:r>
      <w:r w:rsidR="00603780">
        <w:t xml:space="preserve">. </w:t>
      </w:r>
      <w:r w:rsidR="00763252">
        <w:t>Upon finding Utnapishtim, he is directed to the location of a flower that grows at the bottom of the ocean that will grant him rejuvenation. When the plant was retrieved, Gilgamesh decides to bathe, leaving the plant on the shore</w:t>
      </w:r>
      <w:r w:rsidR="008A5A02">
        <w:t>,</w:t>
      </w:r>
      <w:r w:rsidR="00763252">
        <w:t xml:space="preserve"> only </w:t>
      </w:r>
      <w:r w:rsidR="008A5A02">
        <w:t xml:space="preserve">for it </w:t>
      </w:r>
      <w:r w:rsidR="00763252">
        <w:t>to be eaten by a snake</w:t>
      </w:r>
      <w:r w:rsidR="00763252">
        <w:rPr>
          <w:rStyle w:val="FootnoteReference"/>
        </w:rPr>
        <w:footnoteReference w:id="47"/>
      </w:r>
      <w:r w:rsidR="00763252">
        <w:t>. It is generally believed by scholars that a serpent in myth is heavily associated with eternal life</w:t>
      </w:r>
      <w:r w:rsidR="00763252">
        <w:rPr>
          <w:rStyle w:val="FootnoteReference"/>
        </w:rPr>
        <w:footnoteReference w:id="48"/>
      </w:r>
      <w:r w:rsidR="00763252">
        <w:t xml:space="preserve"> and they possess the gift of immortality for mankind</w:t>
      </w:r>
      <w:r w:rsidR="00763252">
        <w:rPr>
          <w:rStyle w:val="FootnoteReference"/>
        </w:rPr>
        <w:footnoteReference w:id="49"/>
      </w:r>
      <w:r w:rsidR="00763252">
        <w:t xml:space="preserve">. With the plant gone, he </w:t>
      </w:r>
      <w:r w:rsidR="008A5A02">
        <w:t>recognises his failure</w:t>
      </w:r>
      <w:r w:rsidR="00763252">
        <w:t xml:space="preserve"> and returns to </w:t>
      </w:r>
      <w:proofErr w:type="spellStart"/>
      <w:r w:rsidR="00763252">
        <w:t>Uruk</w:t>
      </w:r>
      <w:proofErr w:type="spellEnd"/>
      <w:r w:rsidR="008A5A02">
        <w:t>. Despite his best efforts to make a name for himself, Gilgamesh realises that his walls are the only monument to remain</w:t>
      </w:r>
      <w:r w:rsidR="00763252">
        <w:rPr>
          <w:rStyle w:val="FootnoteReference"/>
        </w:rPr>
        <w:footnoteReference w:id="50"/>
      </w:r>
      <w:r w:rsidR="00763252">
        <w:t xml:space="preserve">. </w:t>
      </w:r>
    </w:p>
    <w:p w14:paraId="007EDF15" w14:textId="2380007E" w:rsidR="009E51C6" w:rsidRDefault="009E51C6" w:rsidP="00BC4F42">
      <w:pPr>
        <w:rPr>
          <w:u w:val="single"/>
        </w:rPr>
      </w:pPr>
      <w:r>
        <w:rPr>
          <w:u w:val="single"/>
        </w:rPr>
        <w:lastRenderedPageBreak/>
        <w:t>Orion</w:t>
      </w:r>
    </w:p>
    <w:p w14:paraId="0969392B" w14:textId="77777777" w:rsidR="009E51C6" w:rsidRDefault="009E51C6" w:rsidP="00BC4F42">
      <w:pPr>
        <w:rPr>
          <w:u w:val="single"/>
        </w:rPr>
      </w:pPr>
    </w:p>
    <w:p w14:paraId="21C901D9" w14:textId="5F06B61C" w:rsidR="00C57423" w:rsidRDefault="00E430A7" w:rsidP="00EC4941">
      <w:pPr>
        <w:spacing w:line="360" w:lineRule="auto"/>
        <w:jc w:val="both"/>
      </w:pPr>
      <w:r>
        <w:t xml:space="preserve">According to </w:t>
      </w:r>
      <w:proofErr w:type="spellStart"/>
      <w:r>
        <w:t>Fontenrose</w:t>
      </w:r>
      <w:proofErr w:type="spellEnd"/>
      <w:r>
        <w:t>, Orion was one of the earliest of heroes of the Greek</w:t>
      </w:r>
      <w:r w:rsidR="00BB1443">
        <w:t>s</w:t>
      </w:r>
      <w:r>
        <w:t xml:space="preserve"> that preceded more famous heroes such as Perseus and Herakles</w:t>
      </w:r>
      <w:r>
        <w:rPr>
          <w:rStyle w:val="FootnoteReference"/>
        </w:rPr>
        <w:footnoteReference w:id="51"/>
      </w:r>
      <w:r>
        <w:t xml:space="preserve">. </w:t>
      </w:r>
      <w:r w:rsidR="009E51C6">
        <w:t xml:space="preserve">Orion is first mentioned in Homer’s </w:t>
      </w:r>
      <w:r w:rsidR="009E51C6">
        <w:rPr>
          <w:i/>
          <w:iCs/>
        </w:rPr>
        <w:t xml:space="preserve">Iliad </w:t>
      </w:r>
      <w:r w:rsidR="009E51C6">
        <w:t>written in the 8</w:t>
      </w:r>
      <w:r w:rsidR="009E51C6" w:rsidRPr="009E51C6">
        <w:rPr>
          <w:vertAlign w:val="superscript"/>
        </w:rPr>
        <w:t>th</w:t>
      </w:r>
      <w:r w:rsidR="009E51C6">
        <w:t xml:space="preserve"> century B.C, as a constellation</w:t>
      </w:r>
      <w:r w:rsidR="007C1266">
        <w:rPr>
          <w:rStyle w:val="FootnoteReference"/>
        </w:rPr>
        <w:footnoteReference w:id="52"/>
      </w:r>
      <w:r w:rsidR="009E51C6">
        <w:t xml:space="preserve"> and the star Sirius being his dog</w:t>
      </w:r>
      <w:r w:rsidR="007C1266">
        <w:rPr>
          <w:rStyle w:val="FootnoteReference"/>
        </w:rPr>
        <w:footnoteReference w:id="53"/>
      </w:r>
      <w:r w:rsidR="009E51C6">
        <w:t xml:space="preserve">. In Homer’s </w:t>
      </w:r>
      <w:r w:rsidR="009E51C6">
        <w:rPr>
          <w:i/>
          <w:iCs/>
        </w:rPr>
        <w:t>Odyssey</w:t>
      </w:r>
      <w:r w:rsidR="009E51C6">
        <w:t xml:space="preserve">, </w:t>
      </w:r>
      <w:r w:rsidR="007C1266">
        <w:t>Orion is given an appearance of tall and handsome</w:t>
      </w:r>
      <w:r w:rsidR="007C1266">
        <w:rPr>
          <w:rStyle w:val="FootnoteReference"/>
        </w:rPr>
        <w:footnoteReference w:id="54"/>
      </w:r>
      <w:r w:rsidR="007C1266">
        <w:t xml:space="preserve">, and </w:t>
      </w:r>
      <w:r w:rsidR="009E51C6">
        <w:t xml:space="preserve">the hero Odysseus witnesses Orion hunting </w:t>
      </w:r>
      <w:r w:rsidR="007C1266">
        <w:t>beasts i</w:t>
      </w:r>
      <w:r w:rsidR="009E51C6">
        <w:t xml:space="preserve">n the </w:t>
      </w:r>
      <w:r w:rsidR="00780C47">
        <w:t>underworld</w:t>
      </w:r>
      <w:r w:rsidR="007C1266">
        <w:t xml:space="preserve"> with a bronze mace</w:t>
      </w:r>
      <w:r w:rsidR="007C1266">
        <w:rPr>
          <w:rStyle w:val="FootnoteReference"/>
        </w:rPr>
        <w:footnoteReference w:id="55"/>
      </w:r>
      <w:r w:rsidR="009E51C6">
        <w:t xml:space="preserve">. The story of Orion was first told by Hesiod in his works the </w:t>
      </w:r>
      <w:proofErr w:type="spellStart"/>
      <w:r w:rsidR="009E51C6">
        <w:rPr>
          <w:i/>
          <w:iCs/>
        </w:rPr>
        <w:t>Astronomia</w:t>
      </w:r>
      <w:proofErr w:type="spellEnd"/>
      <w:r w:rsidR="009E51C6">
        <w:rPr>
          <w:i/>
          <w:iCs/>
        </w:rPr>
        <w:t xml:space="preserve"> </w:t>
      </w:r>
      <w:r w:rsidR="009E51C6">
        <w:t>written during the sixth century B.C</w:t>
      </w:r>
      <w:r w:rsidR="00CF0A19">
        <w:t xml:space="preserve">, although fragmentary, it survived through the work of Eratosthenes in his </w:t>
      </w:r>
      <w:proofErr w:type="spellStart"/>
      <w:r w:rsidR="00CF0A19">
        <w:rPr>
          <w:i/>
          <w:iCs/>
        </w:rPr>
        <w:t>Catasterismi</w:t>
      </w:r>
      <w:proofErr w:type="spellEnd"/>
      <w:r w:rsidR="008A505F">
        <w:rPr>
          <w:rStyle w:val="FootnoteReference"/>
        </w:rPr>
        <w:footnoteReference w:id="56"/>
      </w:r>
      <w:r w:rsidR="00780C47">
        <w:t xml:space="preserve">. </w:t>
      </w:r>
      <w:r w:rsidR="008A505F">
        <w:t>It informs the reader that he was the son of Poseidon and Euryale and gives accounts to his adventures and exploits</w:t>
      </w:r>
      <w:r w:rsidR="00EC4941">
        <w:rPr>
          <w:rStyle w:val="FootnoteReference"/>
        </w:rPr>
        <w:footnoteReference w:id="57"/>
      </w:r>
      <w:r w:rsidR="008A505F">
        <w:t xml:space="preserve">. </w:t>
      </w:r>
      <w:r w:rsidR="00EC4941">
        <w:t xml:space="preserve">The first of which occurs in Chios where it is believed that Orion raped Merope, daughter of king </w:t>
      </w:r>
      <w:proofErr w:type="spellStart"/>
      <w:r w:rsidR="00EC4941">
        <w:t>Oenopion</w:t>
      </w:r>
      <w:proofErr w:type="spellEnd"/>
      <w:r w:rsidR="00EC4941">
        <w:t xml:space="preserve"> that resulted in Orion being blinded and cast out of the country. The blind Orion met Hephaestus, the god of metallurgy and fire</w:t>
      </w:r>
      <w:r w:rsidR="00EC4941">
        <w:rPr>
          <w:rStyle w:val="FootnoteReference"/>
        </w:rPr>
        <w:footnoteReference w:id="58"/>
      </w:r>
      <w:r w:rsidR="00EC4941">
        <w:t>, in Lemnos</w:t>
      </w:r>
      <w:r w:rsidR="00E80A39">
        <w:t>.</w:t>
      </w:r>
      <w:r w:rsidR="00EC4941">
        <w:t xml:space="preserve"> </w:t>
      </w:r>
      <w:r w:rsidR="00E80A39">
        <w:t>He</w:t>
      </w:r>
      <w:r w:rsidR="00EC4941">
        <w:t xml:space="preserve"> gave</w:t>
      </w:r>
      <w:r w:rsidR="00E80A39">
        <w:t xml:space="preserve"> Orion</w:t>
      </w:r>
      <w:r w:rsidR="00EC4941">
        <w:t xml:space="preserve"> </w:t>
      </w:r>
      <w:proofErr w:type="spellStart"/>
      <w:r w:rsidR="00EC4941">
        <w:t>Cedalion</w:t>
      </w:r>
      <w:proofErr w:type="spellEnd"/>
      <w:r w:rsidR="00EC4941">
        <w:t xml:space="preserve">, a servant to guide him. Orion is said to have regained his eyesight when he met Helios, the </w:t>
      </w:r>
      <w:r w:rsidR="006E548C">
        <w:t>S</w:t>
      </w:r>
      <w:r w:rsidR="00EC4941">
        <w:t>un, in the east. His next exploit leads Orion to Crete where he hunts with Artemis and Leto. Orion is said to have threatened to kill every beast on the earth which angered Gaia, goddess of the Earth. To prevent Orion from killing every beast, Gaia sends a giant scorpion to kill him</w:t>
      </w:r>
      <w:r w:rsidR="00E80A39">
        <w:t>,</w:t>
      </w:r>
      <w:r w:rsidR="00EC4941">
        <w:t xml:space="preserve"> in which it prevails. After a prayer by Artemis and Leto, Zeus places Orion and the Scorpion in the stars as a memorial of what has occurred</w:t>
      </w:r>
      <w:r w:rsidR="008A505F">
        <w:rPr>
          <w:rStyle w:val="FootnoteReference"/>
        </w:rPr>
        <w:footnoteReference w:id="59"/>
      </w:r>
      <w:r w:rsidR="00EC4941">
        <w:t xml:space="preserve">. </w:t>
      </w:r>
    </w:p>
    <w:p w14:paraId="5CEBE34B" w14:textId="77777777" w:rsidR="00C57423" w:rsidRDefault="00C57423" w:rsidP="00EC4941">
      <w:pPr>
        <w:spacing w:line="360" w:lineRule="auto"/>
        <w:jc w:val="both"/>
      </w:pPr>
    </w:p>
    <w:p w14:paraId="3673FC2F" w14:textId="1574E458" w:rsidR="0097699B" w:rsidRDefault="00211A6C" w:rsidP="00EC4941">
      <w:pPr>
        <w:spacing w:line="360" w:lineRule="auto"/>
        <w:jc w:val="both"/>
      </w:pPr>
      <w:r>
        <w:t>There are many variations of Orion's story, for example, a</w:t>
      </w:r>
      <w:r w:rsidR="0097699B">
        <w:t>ccording to Robinson, the punishment of arrogance was shown in t</w:t>
      </w:r>
      <w:r w:rsidR="00C235B8">
        <w:t>he story of Orion and the Scorpion w</w:t>
      </w:r>
      <w:r w:rsidR="0097699B">
        <w:t>hich was written</w:t>
      </w:r>
      <w:r w:rsidR="00C235B8">
        <w:t xml:space="preserve"> by Aratus in his work the </w:t>
      </w:r>
      <w:r w:rsidR="00C235B8">
        <w:rPr>
          <w:i/>
          <w:iCs/>
        </w:rPr>
        <w:t>Phaenomena</w:t>
      </w:r>
      <w:r w:rsidR="00C235B8">
        <w:rPr>
          <w:rStyle w:val="FootnoteReference"/>
          <w:i/>
          <w:iCs/>
        </w:rPr>
        <w:footnoteReference w:id="60"/>
      </w:r>
      <w:r w:rsidR="0097699B">
        <w:t xml:space="preserve">. </w:t>
      </w:r>
      <w:r w:rsidR="00FD734A">
        <w:t>Germanicus t</w:t>
      </w:r>
      <w:r w:rsidR="0097699B">
        <w:t>ranslating Aratus’s work into Latin</w:t>
      </w:r>
      <w:r w:rsidR="003E7EC8">
        <w:rPr>
          <w:rStyle w:val="FootnoteReference"/>
        </w:rPr>
        <w:footnoteReference w:id="61"/>
      </w:r>
      <w:r w:rsidR="0097699B">
        <w:t xml:space="preserve"> </w:t>
      </w:r>
      <w:r w:rsidR="0097699B">
        <w:lastRenderedPageBreak/>
        <w:t>explores the story of Orion being killed by a scorpion that was sent by Diana due to his attempted rape of her</w:t>
      </w:r>
      <w:r w:rsidR="0097699B">
        <w:rPr>
          <w:rStyle w:val="FootnoteReference"/>
        </w:rPr>
        <w:footnoteReference w:id="62"/>
      </w:r>
      <w:r w:rsidR="0097699B">
        <w:t xml:space="preserve">. </w:t>
      </w:r>
      <w:r>
        <w:t xml:space="preserve">Other versions leading to Orion's death </w:t>
      </w:r>
      <w:r w:rsidR="00E80A39">
        <w:t>pertained</w:t>
      </w:r>
      <w:r>
        <w:t xml:space="preserve"> his attempted rape of Artemis and another being </w:t>
      </w:r>
      <w:r w:rsidR="006E548C">
        <w:t xml:space="preserve">the result of </w:t>
      </w:r>
      <w:r>
        <w:t>Apollo’s jealousy of Orion and Artemis’s love for one another</w:t>
      </w:r>
      <w:r>
        <w:rPr>
          <w:rStyle w:val="FootnoteReference"/>
        </w:rPr>
        <w:footnoteReference w:id="63"/>
      </w:r>
      <w:r>
        <w:t>.</w:t>
      </w:r>
    </w:p>
    <w:p w14:paraId="5801E359" w14:textId="77777777" w:rsidR="00023C98" w:rsidRDefault="00023C98" w:rsidP="009E51C6">
      <w:pPr>
        <w:spacing w:line="360" w:lineRule="auto"/>
        <w:rPr>
          <w:i/>
          <w:iCs/>
        </w:rPr>
      </w:pPr>
    </w:p>
    <w:p w14:paraId="68AFC703" w14:textId="694A072B" w:rsidR="00BC77BA" w:rsidRDefault="00BC77BA" w:rsidP="009E51C6">
      <w:pPr>
        <w:spacing w:line="360" w:lineRule="auto"/>
        <w:rPr>
          <w:u w:val="single"/>
        </w:rPr>
      </w:pPr>
      <w:r w:rsidRPr="00BC77BA">
        <w:rPr>
          <w:u w:val="single"/>
        </w:rPr>
        <w:t>Discussion</w:t>
      </w:r>
    </w:p>
    <w:p w14:paraId="6641D049" w14:textId="77777777" w:rsidR="00B1425F" w:rsidRDefault="00B1425F" w:rsidP="009E51C6">
      <w:pPr>
        <w:spacing w:line="360" w:lineRule="auto"/>
        <w:rPr>
          <w:u w:val="single"/>
        </w:rPr>
      </w:pPr>
    </w:p>
    <w:p w14:paraId="45331E78" w14:textId="04FD24EB" w:rsidR="00B1425F" w:rsidRDefault="006B65EE" w:rsidP="00C97885">
      <w:pPr>
        <w:spacing w:line="360" w:lineRule="auto"/>
        <w:jc w:val="both"/>
      </w:pPr>
      <w:r>
        <w:t xml:space="preserve">When comparing the two myths, both are </w:t>
      </w:r>
      <w:r w:rsidR="009C01E2">
        <w:t>very different from one another</w:t>
      </w:r>
      <w:r>
        <w:t xml:space="preserve"> due to plot, geographical location and place in history, however, they </w:t>
      </w:r>
      <w:r w:rsidR="00903E57">
        <w:t xml:space="preserve">contain </w:t>
      </w:r>
      <w:r w:rsidR="009C01E2">
        <w:t>similar themes.</w:t>
      </w:r>
      <w:r w:rsidR="006F6085">
        <w:t xml:space="preserve"> </w:t>
      </w:r>
      <w:r w:rsidR="00B1425F" w:rsidRPr="00B1425F">
        <w:t>Both Gilgamesh and Orion both undergo a transformation within the</w:t>
      </w:r>
      <w:r w:rsidR="00E80A39">
        <w:t>ir</w:t>
      </w:r>
      <w:r w:rsidR="00B1425F" w:rsidRPr="00B1425F">
        <w:t xml:space="preserve"> story arcs</w:t>
      </w:r>
      <w:r w:rsidR="00E80A39">
        <w:t>. Beginning with</w:t>
      </w:r>
      <w:r w:rsidR="00B1425F" w:rsidRPr="00B1425F">
        <w:t xml:space="preserve"> the ruling tyrant of </w:t>
      </w:r>
      <w:proofErr w:type="spellStart"/>
      <w:r w:rsidR="00B1425F" w:rsidRPr="00B1425F">
        <w:t>Uruk</w:t>
      </w:r>
      <w:proofErr w:type="spellEnd"/>
      <w:r w:rsidR="00E80A39">
        <w:t>, Gilgamesh, who</w:t>
      </w:r>
      <w:r w:rsidR="00B1425F" w:rsidRPr="00B1425F">
        <w:t xml:space="preserve"> develop</w:t>
      </w:r>
      <w:r w:rsidR="00E80A39">
        <w:t>s</w:t>
      </w:r>
      <w:r w:rsidR="00B1425F" w:rsidRPr="00B1425F">
        <w:t xml:space="preserve"> a sense of maturity</w:t>
      </w:r>
      <w:r w:rsidR="00E80A39">
        <w:t xml:space="preserve"> after having</w:t>
      </w:r>
      <w:r w:rsidR="00B1425F" w:rsidRPr="00B1425F">
        <w:t xml:space="preserve"> </w:t>
      </w:r>
      <w:r w:rsidR="00E80A39">
        <w:t>a</w:t>
      </w:r>
      <w:r w:rsidR="00B1425F" w:rsidRPr="00B1425F">
        <w:t>n actualisation and an understanding of life’s importance</w:t>
      </w:r>
      <w:r w:rsidR="00F30242">
        <w:rPr>
          <w:rStyle w:val="FootnoteReference"/>
        </w:rPr>
        <w:footnoteReference w:id="64"/>
      </w:r>
      <w:r w:rsidR="00F30242">
        <w:t xml:space="preserve">. </w:t>
      </w:r>
      <w:r w:rsidR="00E80A39">
        <w:t>T</w:t>
      </w:r>
      <w:r w:rsidR="00B1425F" w:rsidRPr="00B1425F">
        <w:t xml:space="preserve">hen there was </w:t>
      </w:r>
      <w:r w:rsidR="00E80A39">
        <w:t xml:space="preserve">Orion, an alleged </w:t>
      </w:r>
      <w:r w:rsidR="00B1425F" w:rsidRPr="00B1425F">
        <w:t>rapist</w:t>
      </w:r>
      <w:r w:rsidR="00E80A39">
        <w:t xml:space="preserve">, </w:t>
      </w:r>
      <w:r w:rsidR="00B1425F" w:rsidRPr="00B1425F">
        <w:t>who was blinded</w:t>
      </w:r>
      <w:r w:rsidR="00E80A39">
        <w:t xml:space="preserve"> and </w:t>
      </w:r>
      <w:r w:rsidR="00B1425F" w:rsidRPr="00B1425F">
        <w:t xml:space="preserve">cast out of the lands to undergo a </w:t>
      </w:r>
      <w:r w:rsidR="00E80A39">
        <w:t xml:space="preserve">series of transformations then </w:t>
      </w:r>
      <w:r w:rsidR="00B1425F" w:rsidRPr="00B1425F">
        <w:t xml:space="preserve">being placed among the stars </w:t>
      </w:r>
      <w:r w:rsidR="00E80A39">
        <w:t>by Zeus</w:t>
      </w:r>
      <w:r w:rsidR="00E80A39">
        <w:rPr>
          <w:rStyle w:val="FootnoteReference"/>
        </w:rPr>
        <w:footnoteReference w:id="65"/>
      </w:r>
      <w:r w:rsidR="00B1425F" w:rsidRPr="00B1425F">
        <w:t xml:space="preserve">. Both </w:t>
      </w:r>
      <w:r w:rsidR="009F07B5">
        <w:t>individuals begin a</w:t>
      </w:r>
      <w:r w:rsidR="00E84DE7">
        <w:t>s</w:t>
      </w:r>
      <w:r w:rsidR="009F07B5">
        <w:t xml:space="preserve"> the</w:t>
      </w:r>
      <w:r w:rsidR="00E84DE7">
        <w:t xml:space="preserve"> </w:t>
      </w:r>
      <w:r w:rsidR="00B1425F" w:rsidRPr="00B1425F">
        <w:t xml:space="preserve">worst versions of themselves. </w:t>
      </w:r>
      <w:r w:rsidR="00B1425F">
        <w:t xml:space="preserve">The scholars, George and </w:t>
      </w:r>
      <w:r w:rsidR="00B1425F" w:rsidRPr="00B1425F">
        <w:t>Moran</w:t>
      </w:r>
      <w:r w:rsidR="00B1425F">
        <w:t>, who view the epic from a humanist approach</w:t>
      </w:r>
      <w:r w:rsidR="00CC2354">
        <w:t>,</w:t>
      </w:r>
      <w:r w:rsidR="00B1425F" w:rsidRPr="00B1425F">
        <w:t xml:space="preserve"> </w:t>
      </w:r>
      <w:r w:rsidR="00B1425F">
        <w:t>are of the opinion that the epic</w:t>
      </w:r>
      <w:r w:rsidR="00B1425F">
        <w:rPr>
          <w:i/>
          <w:iCs/>
        </w:rPr>
        <w:t xml:space="preserve"> </w:t>
      </w:r>
      <w:r w:rsidR="00B1425F">
        <w:t>provides insight into the human condition by looking at the themes of</w:t>
      </w:r>
      <w:r w:rsidR="00870B06" w:rsidRPr="00870B06">
        <w:t xml:space="preserve"> </w:t>
      </w:r>
      <w:r w:rsidR="00870B06" w:rsidRPr="00870B06">
        <w:t>death</w:t>
      </w:r>
      <w:r w:rsidR="00870B06">
        <w:rPr>
          <w:rStyle w:val="FootnoteReference"/>
        </w:rPr>
        <w:footnoteReference w:id="66"/>
      </w:r>
      <w:r w:rsidR="00870B06">
        <w:t xml:space="preserve">, </w:t>
      </w:r>
      <w:r w:rsidR="00B1425F">
        <w:t>maturity and emotions such as fears</w:t>
      </w:r>
      <w:r w:rsidR="00B1425F">
        <w:rPr>
          <w:rStyle w:val="FootnoteReference"/>
        </w:rPr>
        <w:footnoteReference w:id="67"/>
      </w:r>
      <w:r w:rsidR="001570BE">
        <w:t>.</w:t>
      </w:r>
      <w:r w:rsidR="00B1425F">
        <w:t xml:space="preserve"> </w:t>
      </w:r>
      <w:r w:rsidR="001570BE">
        <w:t>H</w:t>
      </w:r>
      <w:r w:rsidR="00B1425F" w:rsidRPr="00B1425F">
        <w:t>umanism can certainly be seen through the development of the human experience</w:t>
      </w:r>
      <w:r w:rsidR="00B1425F">
        <w:t xml:space="preserve"> as witnessed in both myths.</w:t>
      </w:r>
      <w:r w:rsidR="007C0355">
        <w:t xml:space="preserve"> </w:t>
      </w:r>
      <w:r w:rsidR="00B1425F">
        <w:t>Another notable</w:t>
      </w:r>
      <w:r w:rsidR="00B1425F">
        <w:t xml:space="preserve"> similarity betwee</w:t>
      </w:r>
      <w:r w:rsidR="007C0355">
        <w:t>n</w:t>
      </w:r>
      <w:r w:rsidR="00B1425F">
        <w:t xml:space="preserve"> the two is that there is an unhealthy fondness of women. In the </w:t>
      </w:r>
      <w:r w:rsidR="00B1425F">
        <w:rPr>
          <w:i/>
          <w:iCs/>
        </w:rPr>
        <w:t>Epic of Gilgamesh</w:t>
      </w:r>
      <w:r w:rsidR="00B1425F">
        <w:t>, Gilgamesh used to have intercourse with a wife</w:t>
      </w:r>
      <w:r w:rsidR="00CC2354">
        <w:t>-</w:t>
      </w:r>
      <w:r w:rsidR="00B1425F">
        <w:t>to</w:t>
      </w:r>
      <w:r w:rsidR="00CC2354">
        <w:t>-</w:t>
      </w:r>
      <w:r w:rsidR="00B1425F">
        <w:t xml:space="preserve">be before her </w:t>
      </w:r>
      <w:r w:rsidR="00CC2354">
        <w:t>marriage</w:t>
      </w:r>
      <w:r w:rsidR="00B1425F">
        <w:rPr>
          <w:rStyle w:val="FootnoteReference"/>
        </w:rPr>
        <w:footnoteReference w:id="68"/>
      </w:r>
      <w:r w:rsidR="00B1425F">
        <w:t xml:space="preserve"> and George suggests he may have been a sexual abuser</w:t>
      </w:r>
      <w:r w:rsidR="00B1425F">
        <w:rPr>
          <w:rStyle w:val="FootnoteReference"/>
        </w:rPr>
        <w:footnoteReference w:id="69"/>
      </w:r>
      <w:r w:rsidR="00B1425F">
        <w:t xml:space="preserve">. In the Greek myth of Orion, regardless </w:t>
      </w:r>
      <w:r w:rsidR="00B1425F">
        <w:lastRenderedPageBreak/>
        <w:t>of the version, a</w:t>
      </w:r>
      <w:r w:rsidR="001570BE">
        <w:t xml:space="preserve">n alleged </w:t>
      </w:r>
      <w:r w:rsidR="00B1425F">
        <w:t>rape has taken place, either with Diana according to the Germanicus translation of Aratus’ work</w:t>
      </w:r>
      <w:r w:rsidR="00B1425F">
        <w:rPr>
          <w:rStyle w:val="FootnoteReference"/>
        </w:rPr>
        <w:footnoteReference w:id="70"/>
      </w:r>
      <w:r w:rsidR="00B1425F">
        <w:t xml:space="preserve"> </w:t>
      </w:r>
      <w:r w:rsidR="001570BE">
        <w:t xml:space="preserve">, the </w:t>
      </w:r>
      <w:r w:rsidR="00B1425F">
        <w:t>Hesiod’s Merope</w:t>
      </w:r>
      <w:r w:rsidR="00B1425F">
        <w:rPr>
          <w:rStyle w:val="FootnoteReference"/>
        </w:rPr>
        <w:footnoteReference w:id="71"/>
      </w:r>
      <w:r w:rsidR="00B1425F">
        <w:t xml:space="preserve"> or of the goddess Artemis herself</w:t>
      </w:r>
      <w:r w:rsidR="00B1425F">
        <w:rPr>
          <w:rStyle w:val="FootnoteReference"/>
        </w:rPr>
        <w:footnoteReference w:id="72"/>
      </w:r>
      <w:r w:rsidR="00B1425F">
        <w:t xml:space="preserve">. </w:t>
      </w:r>
    </w:p>
    <w:p w14:paraId="0D58C89C" w14:textId="5524AA20" w:rsidR="0016773F" w:rsidRDefault="0016773F" w:rsidP="009E51C6">
      <w:pPr>
        <w:spacing w:line="360" w:lineRule="auto"/>
      </w:pPr>
    </w:p>
    <w:p w14:paraId="11E3DE2B" w14:textId="58F967D1" w:rsidR="00B26D06" w:rsidRDefault="007C0355" w:rsidP="00A7515B">
      <w:pPr>
        <w:spacing w:line="360" w:lineRule="auto"/>
        <w:jc w:val="both"/>
      </w:pPr>
      <w:r>
        <w:t xml:space="preserve">To understand </w:t>
      </w:r>
      <w:r w:rsidR="00A7515B">
        <w:t xml:space="preserve">how these stories can be considered as sky myths, one must look at the material presented. Beginning with the </w:t>
      </w:r>
      <w:r w:rsidR="00A7515B">
        <w:rPr>
          <w:i/>
          <w:iCs/>
        </w:rPr>
        <w:t>Epic of Gilgamesh</w:t>
      </w:r>
      <w:r w:rsidR="00A7515B">
        <w:rPr>
          <w:i/>
          <w:iCs/>
        </w:rPr>
        <w:t xml:space="preserve">, </w:t>
      </w:r>
      <w:r w:rsidR="00A7515B">
        <w:t xml:space="preserve">one significant event </w:t>
      </w:r>
      <w:r w:rsidR="00800E38">
        <w:t xml:space="preserve">is Gilgamesh and Enkidu’s encounter with the Bull of Heaven, sent by </w:t>
      </w:r>
      <w:r w:rsidR="00B26D06">
        <w:t>Ishtar</w:t>
      </w:r>
      <w:r w:rsidR="00B26D06">
        <w:rPr>
          <w:rStyle w:val="FootnoteReference"/>
        </w:rPr>
        <w:footnoteReference w:id="73"/>
      </w:r>
      <w:r w:rsidR="00B26D06">
        <w:t xml:space="preserve">. </w:t>
      </w:r>
      <w:r w:rsidR="00C87960">
        <w:t xml:space="preserve">The Bull of Heaven is believed by </w:t>
      </w:r>
      <w:proofErr w:type="spellStart"/>
      <w:r w:rsidR="00C87960">
        <w:t>Soltisiak</w:t>
      </w:r>
      <w:proofErr w:type="spellEnd"/>
      <w:r w:rsidR="002E62BA">
        <w:t xml:space="preserve"> </w:t>
      </w:r>
      <w:r w:rsidR="00C87960">
        <w:t>to be synonymous with the constellation of Taurus</w:t>
      </w:r>
      <w:r w:rsidR="009C090D">
        <w:rPr>
          <w:rStyle w:val="FootnoteReference"/>
        </w:rPr>
        <w:footnoteReference w:id="74"/>
      </w:r>
      <w:r w:rsidR="00C87960">
        <w:t>.</w:t>
      </w:r>
      <w:r w:rsidR="009C090D">
        <w:t xml:space="preserve"> The evidence that supports this has likely come from Assyrian omen tablets, one </w:t>
      </w:r>
      <w:r w:rsidR="00B4290B">
        <w:t>read</w:t>
      </w:r>
      <w:r w:rsidR="009C090D">
        <w:t xml:space="preserve"> “If the Bull of Heaven’s stars are very bright: the offspring of cattle will thrive”</w:t>
      </w:r>
      <w:r w:rsidR="009C090D">
        <w:rPr>
          <w:rStyle w:val="FootnoteReference"/>
        </w:rPr>
        <w:footnoteReference w:id="75"/>
      </w:r>
      <w:r w:rsidR="009C090D">
        <w:t xml:space="preserve">. </w:t>
      </w:r>
      <w:r w:rsidR="00C87960">
        <w:t>In his work ‘</w:t>
      </w:r>
      <w:r w:rsidR="00C87960">
        <w:rPr>
          <w:i/>
          <w:iCs/>
        </w:rPr>
        <w:t>The Bull of Heaven in Mesopotamian Sources’</w:t>
      </w:r>
      <w:r w:rsidR="00C87960">
        <w:t xml:space="preserve">, </w:t>
      </w:r>
      <w:proofErr w:type="spellStart"/>
      <w:r w:rsidR="00C87960">
        <w:t>Soltisiak</w:t>
      </w:r>
      <w:proofErr w:type="spellEnd"/>
      <w:r w:rsidR="00C87960">
        <w:t xml:space="preserve"> hypothesises </w:t>
      </w:r>
      <w:r w:rsidR="00C235B8">
        <w:t>a</w:t>
      </w:r>
      <w:r w:rsidR="00C87960">
        <w:t xml:space="preserve"> relation </w:t>
      </w:r>
      <w:r w:rsidR="002E62BA">
        <w:t>between</w:t>
      </w:r>
      <w:r w:rsidR="00C235B8">
        <w:t xml:space="preserve"> </w:t>
      </w:r>
      <w:r w:rsidR="00C87960">
        <w:t>slaying the bull of heaven</w:t>
      </w:r>
      <w:r w:rsidR="002E62BA">
        <w:t xml:space="preserve"> in the </w:t>
      </w:r>
      <w:r w:rsidR="002E62BA">
        <w:rPr>
          <w:i/>
          <w:iCs/>
        </w:rPr>
        <w:t>Epic of Gilgamesh</w:t>
      </w:r>
      <w:r w:rsidR="002E62BA">
        <w:t xml:space="preserve"> </w:t>
      </w:r>
      <w:r w:rsidR="00C235B8">
        <w:t>to</w:t>
      </w:r>
      <w:r w:rsidR="00C87960">
        <w:t xml:space="preserve"> a symbolic ending of the astronomical age of Taurus</w:t>
      </w:r>
      <w:r w:rsidR="009C090D">
        <w:rPr>
          <w:rStyle w:val="FootnoteReference"/>
        </w:rPr>
        <w:footnoteReference w:id="76"/>
      </w:r>
      <w:r w:rsidR="002E62BA">
        <w:t>,</w:t>
      </w:r>
      <w:r w:rsidR="00C87960">
        <w:t xml:space="preserve"> which is likely to have spanned from around 4350 BCE to 2200 BCE</w:t>
      </w:r>
      <w:r w:rsidR="00C87960">
        <w:rPr>
          <w:rStyle w:val="FootnoteReference"/>
        </w:rPr>
        <w:footnoteReference w:id="77"/>
      </w:r>
      <w:r w:rsidR="00C87960">
        <w:t xml:space="preserve">. </w:t>
      </w:r>
      <w:r w:rsidR="00772547">
        <w:t xml:space="preserve">It is </w:t>
      </w:r>
      <w:r w:rsidR="00A204F5">
        <w:t>therefore</w:t>
      </w:r>
      <w:r w:rsidR="00772547">
        <w:t xml:space="preserve"> interesting to note the correlation between these dates and the date</w:t>
      </w:r>
      <w:r w:rsidR="00A204F5">
        <w:t>s</w:t>
      </w:r>
      <w:r w:rsidR="00772547">
        <w:t xml:space="preserve"> provided for the </w:t>
      </w:r>
      <w:r w:rsidR="00A204F5">
        <w:rPr>
          <w:i/>
          <w:iCs/>
        </w:rPr>
        <w:t>Epic of Gilgamesh</w:t>
      </w:r>
      <w:r w:rsidR="00A204F5">
        <w:t xml:space="preserve"> </w:t>
      </w:r>
      <w:r w:rsidR="00772547">
        <w:t>tablets</w:t>
      </w:r>
      <w:r w:rsidR="00772547">
        <w:rPr>
          <w:rStyle w:val="FootnoteReference"/>
          <w:i/>
          <w:iCs/>
        </w:rPr>
        <w:footnoteReference w:id="78"/>
      </w:r>
      <w:r w:rsidR="00A204F5">
        <w:t xml:space="preserve"> as they </w:t>
      </w:r>
      <w:r w:rsidR="001E38E1">
        <w:t>coincide</w:t>
      </w:r>
      <w:r w:rsidR="00A204F5">
        <w:t xml:space="preserve"> when the astronomical age of Taurus </w:t>
      </w:r>
      <w:r w:rsidR="002E62BA">
        <w:t>was</w:t>
      </w:r>
      <w:r w:rsidR="00A204F5">
        <w:t xml:space="preserve"> ending</w:t>
      </w:r>
      <w:r w:rsidR="00A656E5">
        <w:rPr>
          <w:rStyle w:val="FootnoteReference"/>
        </w:rPr>
        <w:footnoteReference w:id="79"/>
      </w:r>
      <w:r w:rsidR="00A204F5">
        <w:t xml:space="preserve">. </w:t>
      </w:r>
      <w:r w:rsidR="00594ADA">
        <w:t>These dates</w:t>
      </w:r>
      <w:r w:rsidR="00CC2354">
        <w:t>,</w:t>
      </w:r>
      <w:r w:rsidR="00594ADA">
        <w:t xml:space="preserve"> in relation to the ending of the</w:t>
      </w:r>
      <w:r w:rsidR="00594ADA" w:rsidRPr="00594ADA">
        <w:t xml:space="preserve"> </w:t>
      </w:r>
      <w:r w:rsidR="00594ADA">
        <w:t>astronomical age of Taurus</w:t>
      </w:r>
      <w:r w:rsidR="00594ADA">
        <w:t xml:space="preserve"> approximately 4000 years ago</w:t>
      </w:r>
      <w:r w:rsidR="009F07B5">
        <w:t>,</w:t>
      </w:r>
      <w:r w:rsidR="00594ADA">
        <w:t xml:space="preserve"> can be proven by the usage of astronomical software such as </w:t>
      </w:r>
      <w:proofErr w:type="spellStart"/>
      <w:r w:rsidR="00594ADA">
        <w:rPr>
          <w:i/>
          <w:iCs/>
        </w:rPr>
        <w:t>Stellarium</w:t>
      </w:r>
      <w:proofErr w:type="spellEnd"/>
      <w:r w:rsidR="00594ADA">
        <w:t xml:space="preserve"> (see fig.1).</w:t>
      </w:r>
      <w:r w:rsidR="00717E73">
        <w:t xml:space="preserve"> </w:t>
      </w:r>
    </w:p>
    <w:p w14:paraId="333819E6" w14:textId="77777777" w:rsidR="00B26D06" w:rsidRDefault="00B26D06" w:rsidP="00B26D06">
      <w:pPr>
        <w:spacing w:line="360" w:lineRule="auto"/>
      </w:pPr>
    </w:p>
    <w:p w14:paraId="1EB59647" w14:textId="1D957E4C" w:rsidR="00594ADA" w:rsidRDefault="009C0545" w:rsidP="00A7515B">
      <w:pPr>
        <w:spacing w:line="360" w:lineRule="auto"/>
        <w:jc w:val="both"/>
      </w:pPr>
      <w:r>
        <w:t xml:space="preserve">The author Ralph Ellis argues that the </w:t>
      </w:r>
      <w:r>
        <w:rPr>
          <w:i/>
          <w:iCs/>
        </w:rPr>
        <w:t xml:space="preserve">Epic of Gilgamesh </w:t>
      </w:r>
      <w:r>
        <w:t>is a mythological story associated with the constellation of Orion</w:t>
      </w:r>
      <w:r w:rsidR="00CC2354">
        <w:t>.</w:t>
      </w:r>
      <w:r>
        <w:t xml:space="preserve"> </w:t>
      </w:r>
      <w:r w:rsidR="00CC2354">
        <w:t xml:space="preserve">Ellis states that </w:t>
      </w:r>
      <w:r>
        <w:t>the battle between Orion and Taurus can be seen in the sky (see fig.2)</w:t>
      </w:r>
      <w:r>
        <w:rPr>
          <w:rStyle w:val="FootnoteReference"/>
        </w:rPr>
        <w:footnoteReference w:id="80"/>
      </w:r>
      <w:r w:rsidR="00CC2354">
        <w:t xml:space="preserve">, indicating that </w:t>
      </w:r>
      <w:r>
        <w:t xml:space="preserve">its Gilgamesh/Orion’s purpose to slay the bull </w:t>
      </w:r>
      <w:proofErr w:type="gramStart"/>
      <w:r>
        <w:t xml:space="preserve">in </w:t>
      </w:r>
      <w:r>
        <w:lastRenderedPageBreak/>
        <w:t>order to</w:t>
      </w:r>
      <w:proofErr w:type="gramEnd"/>
      <w:r>
        <w:t xml:space="preserve"> welcome the new coming astronomical age of Aries</w:t>
      </w:r>
      <w:r>
        <w:rPr>
          <w:rStyle w:val="FootnoteReference"/>
        </w:rPr>
        <w:footnoteReference w:id="81"/>
      </w:r>
      <w:r>
        <w:t>.</w:t>
      </w:r>
      <w:r w:rsidR="009C090D">
        <w:t xml:space="preserve"> </w:t>
      </w:r>
      <w:r w:rsidR="00A7515B">
        <w:t xml:space="preserve">This of course, brings </w:t>
      </w:r>
      <w:r w:rsidR="00CC2354">
        <w:t xml:space="preserve">the </w:t>
      </w:r>
      <w:r w:rsidR="00A7515B">
        <w:t xml:space="preserve">Gilgamesh </w:t>
      </w:r>
      <w:r w:rsidR="00CC2354">
        <w:t xml:space="preserve">story </w:t>
      </w:r>
      <w:r w:rsidR="00A7515B">
        <w:t>in</w:t>
      </w:r>
      <w:r w:rsidR="00CC2354">
        <w:t>to</w:t>
      </w:r>
      <w:r w:rsidR="00A7515B">
        <w:t xml:space="preserve"> closer alignment with Orion however, in the Greek primary sources, there is no mention of Orion battling a bull. </w:t>
      </w:r>
      <w:proofErr w:type="spellStart"/>
      <w:r w:rsidR="009C090D">
        <w:t>Soltysiak</w:t>
      </w:r>
      <w:proofErr w:type="spellEnd"/>
      <w:r w:rsidR="009C090D">
        <w:t xml:space="preserve"> places further importance on the Bull of Heaven as Taurus because this constellation acted as a marker of the New Year and harvest time</w:t>
      </w:r>
      <w:r w:rsidR="009C090D">
        <w:rPr>
          <w:rStyle w:val="FootnoteReference"/>
        </w:rPr>
        <w:footnoteReference w:id="82"/>
      </w:r>
      <w:r w:rsidR="009C090D">
        <w:t>. This view was also shared by White</w:t>
      </w:r>
      <w:r w:rsidR="009C090D">
        <w:rPr>
          <w:rStyle w:val="FootnoteReference"/>
        </w:rPr>
        <w:footnoteReference w:id="83"/>
      </w:r>
      <w:r w:rsidR="009C090D">
        <w:t xml:space="preserve"> </w:t>
      </w:r>
      <w:proofErr w:type="gramStart"/>
      <w:r w:rsidR="009C090D">
        <w:t>and also</w:t>
      </w:r>
      <w:proofErr w:type="gramEnd"/>
      <w:r w:rsidR="009C090D">
        <w:t xml:space="preserve"> </w:t>
      </w:r>
      <w:proofErr w:type="spellStart"/>
      <w:r w:rsidR="009C090D">
        <w:t>Pruyser</w:t>
      </w:r>
      <w:proofErr w:type="spellEnd"/>
      <w:r w:rsidR="009C090D">
        <w:t xml:space="preserve"> and Luke</w:t>
      </w:r>
      <w:r w:rsidR="009F07B5">
        <w:t>,</w:t>
      </w:r>
      <w:r w:rsidR="009C090D">
        <w:t xml:space="preserve"> who argued that the </w:t>
      </w:r>
      <w:r w:rsidR="009C090D">
        <w:rPr>
          <w:i/>
          <w:iCs/>
        </w:rPr>
        <w:t xml:space="preserve">Epic of Gilgamesh </w:t>
      </w:r>
      <w:r w:rsidR="009C090D">
        <w:t>itself “served as a story line in the Mesopotamian New Year’s festival”</w:t>
      </w:r>
      <w:r w:rsidR="009C090D">
        <w:rPr>
          <w:rStyle w:val="FootnoteReference"/>
        </w:rPr>
        <w:footnoteReference w:id="84"/>
      </w:r>
      <w:r w:rsidR="009C090D">
        <w:t>.</w:t>
      </w:r>
      <w:r w:rsidR="00A7515B">
        <w:t xml:space="preserve"> Regarding the myth of Orion, there </w:t>
      </w:r>
      <w:r w:rsidR="006B4CD6">
        <w:t>has been no correlation made</w:t>
      </w:r>
      <w:r w:rsidR="00A7515B">
        <w:t xml:space="preserve"> between the story and astronomical ages or a New Year. </w:t>
      </w:r>
      <w:r w:rsidR="001B526D">
        <w:t>However, it</w:t>
      </w:r>
      <w:r w:rsidR="00A7515B">
        <w:t xml:space="preserve"> could be argued that when the myth of Orion was told, the astronomical </w:t>
      </w:r>
      <w:r w:rsidR="006B4CD6">
        <w:t>marker of the New Year</w:t>
      </w:r>
      <w:r w:rsidR="00A7515B">
        <w:t xml:space="preserve"> </w:t>
      </w:r>
      <w:r w:rsidR="001B526D">
        <w:t xml:space="preserve">at the </w:t>
      </w:r>
      <w:r w:rsidR="00A7515B">
        <w:t>time of Homer and Hesiod</w:t>
      </w:r>
      <w:r w:rsidR="001B526D">
        <w:t>,</w:t>
      </w:r>
      <w:r w:rsidR="00A7515B">
        <w:t xml:space="preserve"> was in fact</w:t>
      </w:r>
      <w:r w:rsidR="006B4CD6">
        <w:t xml:space="preserve"> in</w:t>
      </w:r>
      <w:r w:rsidR="00A7515B">
        <w:t xml:space="preserve"> Aries</w:t>
      </w:r>
      <w:r w:rsidR="006B4CD6">
        <w:rPr>
          <w:rStyle w:val="FootnoteReference"/>
        </w:rPr>
        <w:footnoteReference w:id="85"/>
      </w:r>
      <w:r w:rsidR="006B4CD6">
        <w:t xml:space="preserve"> due to precession</w:t>
      </w:r>
      <w:r w:rsidR="006B4CD6">
        <w:rPr>
          <w:rStyle w:val="FootnoteReference"/>
        </w:rPr>
        <w:footnoteReference w:id="86"/>
      </w:r>
      <w:r w:rsidR="006B4CD6">
        <w:t>, thus showing the distance in time between the two myths.</w:t>
      </w:r>
      <w:r w:rsidR="00A7515B">
        <w:t xml:space="preserve"> </w:t>
      </w:r>
    </w:p>
    <w:p w14:paraId="00D0B22B" w14:textId="77777777" w:rsidR="001E5EDB" w:rsidRDefault="001E5EDB" w:rsidP="002E62BA">
      <w:pPr>
        <w:spacing w:line="360" w:lineRule="auto"/>
        <w:jc w:val="both"/>
      </w:pPr>
    </w:p>
    <w:p w14:paraId="7FCC89BC" w14:textId="5CCCD569" w:rsidR="00594ADA" w:rsidRDefault="002E6052" w:rsidP="002E62BA">
      <w:pPr>
        <w:spacing w:line="360" w:lineRule="auto"/>
        <w:jc w:val="both"/>
      </w:pPr>
      <w:r>
        <w:rPr>
          <w:noProof/>
          <w14:ligatures w14:val="standardContextual"/>
        </w:rPr>
        <w:drawing>
          <wp:anchor distT="0" distB="0" distL="114300" distR="114300" simplePos="0" relativeHeight="251660288" behindDoc="1" locked="0" layoutInCell="1" allowOverlap="1" wp14:anchorId="388D4D96" wp14:editId="0F2EE10D">
            <wp:simplePos x="0" y="0"/>
            <wp:positionH relativeFrom="column">
              <wp:posOffset>125781</wp:posOffset>
            </wp:positionH>
            <wp:positionV relativeFrom="paragraph">
              <wp:posOffset>66349</wp:posOffset>
            </wp:positionV>
            <wp:extent cx="5271770" cy="2365375"/>
            <wp:effectExtent l="0" t="0" r="0" b="0"/>
            <wp:wrapTight wrapText="bothSides">
              <wp:wrapPolygon edited="0">
                <wp:start x="0" y="0"/>
                <wp:lineTo x="0" y="21455"/>
                <wp:lineTo x="21543" y="21455"/>
                <wp:lineTo x="21543" y="0"/>
                <wp:lineTo x="0" y="0"/>
              </wp:wrapPolygon>
            </wp:wrapTight>
            <wp:docPr id="690301240" name="Picture 1" descr="A map of the constellat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301240" name="Picture 1" descr="A map of the constellation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271770" cy="2365375"/>
                    </a:xfrm>
                    <a:prstGeom prst="rect">
                      <a:avLst/>
                    </a:prstGeom>
                  </pic:spPr>
                </pic:pic>
              </a:graphicData>
            </a:graphic>
            <wp14:sizeRelH relativeFrom="page">
              <wp14:pctWidth>0</wp14:pctWidth>
            </wp14:sizeRelH>
            <wp14:sizeRelV relativeFrom="page">
              <wp14:pctHeight>0</wp14:pctHeight>
            </wp14:sizeRelV>
          </wp:anchor>
        </w:drawing>
      </w:r>
    </w:p>
    <w:p w14:paraId="06110316" w14:textId="77777777" w:rsidR="00594ADA" w:rsidRDefault="00594ADA" w:rsidP="002E62BA">
      <w:pPr>
        <w:spacing w:line="360" w:lineRule="auto"/>
        <w:jc w:val="both"/>
      </w:pPr>
    </w:p>
    <w:p w14:paraId="61BF0FB8" w14:textId="77777777" w:rsidR="00594ADA" w:rsidRDefault="00594ADA" w:rsidP="002E62BA">
      <w:pPr>
        <w:spacing w:line="360" w:lineRule="auto"/>
        <w:jc w:val="both"/>
      </w:pPr>
    </w:p>
    <w:p w14:paraId="77922721" w14:textId="77777777" w:rsidR="00594ADA" w:rsidRDefault="00594ADA" w:rsidP="002E62BA">
      <w:pPr>
        <w:spacing w:line="360" w:lineRule="auto"/>
        <w:jc w:val="both"/>
      </w:pPr>
    </w:p>
    <w:p w14:paraId="7C896D1D" w14:textId="77777777" w:rsidR="00594ADA" w:rsidRDefault="00594ADA" w:rsidP="002E62BA">
      <w:pPr>
        <w:spacing w:line="360" w:lineRule="auto"/>
        <w:jc w:val="both"/>
      </w:pPr>
    </w:p>
    <w:p w14:paraId="11EEA7F8" w14:textId="77777777" w:rsidR="00594ADA" w:rsidRDefault="00594ADA" w:rsidP="002E62BA">
      <w:pPr>
        <w:spacing w:line="360" w:lineRule="auto"/>
        <w:jc w:val="both"/>
      </w:pPr>
    </w:p>
    <w:p w14:paraId="4080C8CF" w14:textId="77777777" w:rsidR="00594ADA" w:rsidRDefault="00594ADA" w:rsidP="002E62BA">
      <w:pPr>
        <w:spacing w:line="360" w:lineRule="auto"/>
        <w:jc w:val="both"/>
      </w:pPr>
    </w:p>
    <w:p w14:paraId="6F0636A8" w14:textId="77777777" w:rsidR="002E6052" w:rsidRDefault="002E6052" w:rsidP="002E62BA">
      <w:pPr>
        <w:spacing w:line="360" w:lineRule="auto"/>
        <w:jc w:val="both"/>
      </w:pPr>
    </w:p>
    <w:p w14:paraId="2E1B91A6" w14:textId="77777777" w:rsidR="002E6052" w:rsidRDefault="002E6052" w:rsidP="002E62BA">
      <w:pPr>
        <w:spacing w:line="360" w:lineRule="auto"/>
        <w:jc w:val="both"/>
      </w:pPr>
    </w:p>
    <w:p w14:paraId="4CA1F8CC" w14:textId="77777777" w:rsidR="002E6052" w:rsidRDefault="002E6052" w:rsidP="002E62BA">
      <w:pPr>
        <w:spacing w:line="360" w:lineRule="auto"/>
        <w:jc w:val="both"/>
      </w:pPr>
    </w:p>
    <w:p w14:paraId="10F318DC" w14:textId="235FEB3C" w:rsidR="001E38E1" w:rsidRPr="00C02C84" w:rsidRDefault="002E6052" w:rsidP="002E62BA">
      <w:pPr>
        <w:spacing w:line="360" w:lineRule="auto"/>
        <w:jc w:val="both"/>
        <w:rPr>
          <w:sz w:val="21"/>
          <w:szCs w:val="21"/>
        </w:rPr>
      </w:pPr>
      <w:r>
        <w:rPr>
          <w:sz w:val="21"/>
          <w:szCs w:val="21"/>
        </w:rPr>
        <w:t xml:space="preserve">Figure 1: The Suns location at the Spring Equinox 4000 years ago. Taken from </w:t>
      </w:r>
      <w:proofErr w:type="spellStart"/>
      <w:r>
        <w:rPr>
          <w:sz w:val="21"/>
          <w:szCs w:val="21"/>
        </w:rPr>
        <w:t>Stellarium</w:t>
      </w:r>
      <w:proofErr w:type="spellEnd"/>
      <w:r>
        <w:rPr>
          <w:sz w:val="21"/>
          <w:szCs w:val="21"/>
        </w:rPr>
        <w:t xml:space="preserve"> (2024</w:t>
      </w:r>
      <w:r w:rsidRPr="00B5588B">
        <w:rPr>
          <w:sz w:val="21"/>
          <w:szCs w:val="21"/>
        </w:rPr>
        <w:t>)</w:t>
      </w:r>
      <w:r w:rsidR="00B5588B">
        <w:rPr>
          <w:rStyle w:val="FootnoteReference"/>
          <w:sz w:val="21"/>
          <w:szCs w:val="21"/>
        </w:rPr>
        <w:footnoteReference w:id="87"/>
      </w:r>
      <w:r w:rsidRPr="00B5588B">
        <w:rPr>
          <w:sz w:val="21"/>
          <w:szCs w:val="21"/>
        </w:rPr>
        <w:t>.</w:t>
      </w:r>
    </w:p>
    <w:p w14:paraId="726E88EE" w14:textId="1C184020" w:rsidR="001E38E1" w:rsidRDefault="001E38E1" w:rsidP="002E62BA">
      <w:pPr>
        <w:spacing w:line="360" w:lineRule="auto"/>
        <w:jc w:val="both"/>
      </w:pPr>
      <w:r>
        <w:rPr>
          <w:noProof/>
        </w:rPr>
        <w:lastRenderedPageBreak/>
        <w:drawing>
          <wp:anchor distT="0" distB="0" distL="114300" distR="114300" simplePos="0" relativeHeight="251659264" behindDoc="1" locked="0" layoutInCell="1" allowOverlap="1" wp14:anchorId="21504B97" wp14:editId="795BE5E7">
            <wp:simplePos x="0" y="0"/>
            <wp:positionH relativeFrom="column">
              <wp:posOffset>650789</wp:posOffset>
            </wp:positionH>
            <wp:positionV relativeFrom="paragraph">
              <wp:posOffset>30772</wp:posOffset>
            </wp:positionV>
            <wp:extent cx="4215765" cy="3423920"/>
            <wp:effectExtent l="0" t="0" r="0" b="0"/>
            <wp:wrapTight wrapText="bothSides">
              <wp:wrapPolygon edited="0">
                <wp:start x="0" y="0"/>
                <wp:lineTo x="0" y="21552"/>
                <wp:lineTo x="21538" y="21552"/>
                <wp:lineTo x="21538" y="0"/>
                <wp:lineTo x="0" y="0"/>
              </wp:wrapPolygon>
            </wp:wrapTight>
            <wp:docPr id="193" name="Picture 1" descr="A map of a person fighting a bull&#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93" descr="A map of a person fighting a bull&#10;&#10;Description automatically generated"/>
                    <pic:cNvPicPr>
                      <a:picLocks/>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4215765" cy="34239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E6F2A75" w14:textId="0D75E394" w:rsidR="001E38E1" w:rsidRDefault="001E38E1" w:rsidP="002E62BA">
      <w:pPr>
        <w:spacing w:line="360" w:lineRule="auto"/>
        <w:jc w:val="both"/>
      </w:pPr>
    </w:p>
    <w:p w14:paraId="428411F7" w14:textId="18A564C9" w:rsidR="001E38E1" w:rsidRDefault="001E38E1" w:rsidP="002E62BA">
      <w:pPr>
        <w:spacing w:line="360" w:lineRule="auto"/>
        <w:jc w:val="both"/>
      </w:pPr>
    </w:p>
    <w:p w14:paraId="498094EA" w14:textId="77777777" w:rsidR="001E38E1" w:rsidRDefault="001E38E1" w:rsidP="002E62BA">
      <w:pPr>
        <w:spacing w:line="360" w:lineRule="auto"/>
        <w:jc w:val="both"/>
      </w:pPr>
    </w:p>
    <w:p w14:paraId="26057DF7" w14:textId="77777777" w:rsidR="001E38E1" w:rsidRDefault="001E38E1" w:rsidP="002E62BA">
      <w:pPr>
        <w:spacing w:line="360" w:lineRule="auto"/>
        <w:jc w:val="both"/>
      </w:pPr>
    </w:p>
    <w:p w14:paraId="0AB7E278" w14:textId="77777777" w:rsidR="001E38E1" w:rsidRDefault="001E38E1" w:rsidP="002E62BA">
      <w:pPr>
        <w:spacing w:line="360" w:lineRule="auto"/>
        <w:jc w:val="both"/>
      </w:pPr>
    </w:p>
    <w:p w14:paraId="4D8EE787" w14:textId="77777777" w:rsidR="001E38E1" w:rsidRPr="002E62BA" w:rsidRDefault="001E38E1" w:rsidP="002E62BA">
      <w:pPr>
        <w:spacing w:line="360" w:lineRule="auto"/>
        <w:jc w:val="both"/>
      </w:pPr>
    </w:p>
    <w:p w14:paraId="3376BDAA" w14:textId="77777777" w:rsidR="002E62BA" w:rsidRDefault="002E62BA" w:rsidP="009E51C6">
      <w:pPr>
        <w:spacing w:line="360" w:lineRule="auto"/>
      </w:pPr>
    </w:p>
    <w:p w14:paraId="3E011E74" w14:textId="77777777" w:rsidR="001E38E1" w:rsidRDefault="001E38E1" w:rsidP="009E51C6">
      <w:pPr>
        <w:spacing w:line="360" w:lineRule="auto"/>
      </w:pPr>
    </w:p>
    <w:p w14:paraId="56B70331" w14:textId="77777777" w:rsidR="001E38E1" w:rsidRDefault="001E38E1" w:rsidP="009E51C6">
      <w:pPr>
        <w:spacing w:line="360" w:lineRule="auto"/>
      </w:pPr>
    </w:p>
    <w:p w14:paraId="5F75FB16" w14:textId="77777777" w:rsidR="001E38E1" w:rsidRDefault="001E38E1" w:rsidP="009E51C6">
      <w:pPr>
        <w:spacing w:line="360" w:lineRule="auto"/>
      </w:pPr>
    </w:p>
    <w:p w14:paraId="2B3F411C" w14:textId="77777777" w:rsidR="001E38E1" w:rsidRDefault="001E38E1" w:rsidP="009E51C6">
      <w:pPr>
        <w:spacing w:line="360" w:lineRule="auto"/>
      </w:pPr>
    </w:p>
    <w:p w14:paraId="1B8BADD9" w14:textId="77777777" w:rsidR="001E38E1" w:rsidRDefault="001E38E1" w:rsidP="009E51C6">
      <w:pPr>
        <w:spacing w:line="360" w:lineRule="auto"/>
      </w:pPr>
    </w:p>
    <w:p w14:paraId="02FD7817" w14:textId="77777777" w:rsidR="001E38E1" w:rsidRDefault="001E38E1" w:rsidP="009E51C6">
      <w:pPr>
        <w:spacing w:line="360" w:lineRule="auto"/>
      </w:pPr>
    </w:p>
    <w:p w14:paraId="36FFE651" w14:textId="7B36E68B" w:rsidR="001E38E1" w:rsidRPr="00B66C05" w:rsidRDefault="001E38E1" w:rsidP="001E38E1">
      <w:pPr>
        <w:pStyle w:val="NormalWeb"/>
        <w:spacing w:before="0" w:beforeAutospacing="0" w:after="0" w:afterAutospacing="0" w:line="360" w:lineRule="auto"/>
        <w:ind w:right="-334"/>
        <w:jc w:val="center"/>
        <w:rPr>
          <w:rFonts w:ascii="Times New Roman" w:hAnsi="Times New Roman"/>
          <w:bCs/>
        </w:rPr>
      </w:pPr>
      <w:r w:rsidRPr="00B66C05">
        <w:rPr>
          <w:rFonts w:ascii="Times New Roman" w:hAnsi="Times New Roman"/>
          <w:bCs/>
        </w:rPr>
        <w:t xml:space="preserve">Figure </w:t>
      </w:r>
      <w:r w:rsidR="00594ADA">
        <w:rPr>
          <w:rFonts w:ascii="Times New Roman" w:hAnsi="Times New Roman"/>
          <w:bCs/>
        </w:rPr>
        <w:t>2</w:t>
      </w:r>
      <w:r w:rsidRPr="00B66C05">
        <w:rPr>
          <w:rFonts w:ascii="Times New Roman" w:hAnsi="Times New Roman"/>
          <w:bCs/>
        </w:rPr>
        <w:t xml:space="preserve">: Artwork depicting Orion </w:t>
      </w:r>
      <w:r w:rsidR="002E4BE6">
        <w:rPr>
          <w:rFonts w:ascii="Times New Roman" w:hAnsi="Times New Roman"/>
          <w:bCs/>
        </w:rPr>
        <w:t>engaging with</w:t>
      </w:r>
      <w:r w:rsidRPr="00B66C05">
        <w:rPr>
          <w:rFonts w:ascii="Times New Roman" w:hAnsi="Times New Roman"/>
          <w:bCs/>
        </w:rPr>
        <w:t xml:space="preserve"> Taurus the bull. Taken from Lilly </w:t>
      </w:r>
      <w:proofErr w:type="spellStart"/>
      <w:r w:rsidRPr="00B66C05">
        <w:rPr>
          <w:rFonts w:ascii="Times New Roman" w:hAnsi="Times New Roman"/>
          <w:bCs/>
        </w:rPr>
        <w:t>Polivoda</w:t>
      </w:r>
      <w:proofErr w:type="spellEnd"/>
      <w:r w:rsidRPr="00B66C05">
        <w:rPr>
          <w:rFonts w:ascii="Times New Roman" w:hAnsi="Times New Roman"/>
          <w:bCs/>
        </w:rPr>
        <w:t xml:space="preserve"> (2023).</w:t>
      </w:r>
      <w:r>
        <w:rPr>
          <w:rStyle w:val="FootnoteReference"/>
          <w:rFonts w:ascii="Times New Roman" w:hAnsi="Times New Roman"/>
          <w:bCs/>
        </w:rPr>
        <w:footnoteReference w:id="88"/>
      </w:r>
    </w:p>
    <w:p w14:paraId="3F090032" w14:textId="77777777" w:rsidR="001E38E1" w:rsidRDefault="001E38E1" w:rsidP="009E51C6">
      <w:pPr>
        <w:spacing w:line="360" w:lineRule="auto"/>
      </w:pPr>
    </w:p>
    <w:p w14:paraId="36D67FA6" w14:textId="20A6A1DD" w:rsidR="00295F9D" w:rsidRDefault="001E5EDB" w:rsidP="00E430A7">
      <w:pPr>
        <w:spacing w:line="360" w:lineRule="auto"/>
        <w:jc w:val="both"/>
      </w:pPr>
      <w:r>
        <w:t xml:space="preserve">There are other constellational related themes, for example, a scorpion is present in both stories. In the </w:t>
      </w:r>
      <w:r>
        <w:rPr>
          <w:i/>
          <w:iCs/>
        </w:rPr>
        <w:t xml:space="preserve">Epic of </w:t>
      </w:r>
      <w:r w:rsidRPr="004F71F1">
        <w:rPr>
          <w:i/>
          <w:iCs/>
        </w:rPr>
        <w:t>Gilgamesh</w:t>
      </w:r>
      <w:r>
        <w:t xml:space="preserve">, </w:t>
      </w:r>
      <w:r w:rsidRPr="00064ADD">
        <w:t>Gilgamesh</w:t>
      </w:r>
      <w:r>
        <w:t xml:space="preserve"> meets scorpion monsters when navigating his way to Utnapishtim</w:t>
      </w:r>
      <w:r>
        <w:rPr>
          <w:rStyle w:val="FootnoteReference"/>
        </w:rPr>
        <w:footnoteReference w:id="89"/>
      </w:r>
      <w:r>
        <w:t>. However, in Orion’s story, the scorpion is sent to him as an adversary</w:t>
      </w:r>
      <w:r>
        <w:rPr>
          <w:rStyle w:val="FootnoteReference"/>
        </w:rPr>
        <w:footnoteReference w:id="90"/>
      </w:r>
      <w:r>
        <w:t>.  The difference between the two stories is that the scorpion monsters are not the enemy of Gilgamesh</w:t>
      </w:r>
      <w:r w:rsidR="001B526D">
        <w:t>,</w:t>
      </w:r>
      <w:r>
        <w:t xml:space="preserve"> and do not act as a catalyst to the epic’s conclusion unlike that of Orion's fatal death. </w:t>
      </w:r>
      <w:r w:rsidR="00957F98">
        <w:t xml:space="preserve">The constellation of Scorpio can be seen opposite to </w:t>
      </w:r>
      <w:r w:rsidR="00537B6A">
        <w:t>Orion, and it is believed that they are placed directly apart to ensure that they will not fight again</w:t>
      </w:r>
      <w:r w:rsidR="00B9401A">
        <w:rPr>
          <w:rStyle w:val="FootnoteReference"/>
        </w:rPr>
        <w:footnoteReference w:id="91"/>
      </w:r>
      <w:r w:rsidR="00537B6A">
        <w:t xml:space="preserve">. </w:t>
      </w:r>
      <w:r w:rsidR="00336C9D">
        <w:t xml:space="preserve">The encounter between Gilgamesh and the scorpion monsters at the tunnel of the </w:t>
      </w:r>
      <w:r w:rsidR="001B526D">
        <w:t>S</w:t>
      </w:r>
      <w:r w:rsidR="00336C9D">
        <w:t>un is believed by White</w:t>
      </w:r>
      <w:r w:rsidR="001B526D">
        <w:t>,</w:t>
      </w:r>
      <w:r w:rsidR="00336C9D">
        <w:t xml:space="preserve"> to have solar</w:t>
      </w:r>
      <w:r w:rsidR="001B526D">
        <w:t xml:space="preserve"> and </w:t>
      </w:r>
      <w:r w:rsidR="00336C9D">
        <w:t>astronomical calendar connotations. He believes that the scorpion symbolism itself “marks descent of the sun into darkness of the underworld”</w:t>
      </w:r>
      <w:r w:rsidR="00336C9D">
        <w:rPr>
          <w:rStyle w:val="FootnoteReference"/>
        </w:rPr>
        <w:footnoteReference w:id="92"/>
      </w:r>
      <w:r w:rsidR="00336C9D">
        <w:t>.</w:t>
      </w:r>
      <w:r w:rsidR="0043624A">
        <w:t xml:space="preserve"> White is likely referring to the </w:t>
      </w:r>
      <w:r w:rsidR="0043624A">
        <w:lastRenderedPageBreak/>
        <w:t xml:space="preserve">season of </w:t>
      </w:r>
      <w:r w:rsidR="001B526D">
        <w:t>A</w:t>
      </w:r>
      <w:r w:rsidR="0043624A">
        <w:t>utumn</w:t>
      </w:r>
      <w:r w:rsidR="00A16628">
        <w:t>, a view also held by</w:t>
      </w:r>
      <w:r w:rsidR="0043624A">
        <w:t xml:space="preserve"> </w:t>
      </w:r>
      <w:proofErr w:type="spellStart"/>
      <w:r w:rsidR="0043624A">
        <w:t>Darl</w:t>
      </w:r>
      <w:r w:rsidR="00A06246">
        <w:t>ison</w:t>
      </w:r>
      <w:proofErr w:type="spellEnd"/>
      <w:r w:rsidR="00A06246">
        <w:rPr>
          <w:rStyle w:val="FootnoteReference"/>
        </w:rPr>
        <w:footnoteReference w:id="93"/>
      </w:r>
      <w:r w:rsidR="00A06246">
        <w:t>.</w:t>
      </w:r>
      <w:r w:rsidR="0043624A">
        <w:t xml:space="preserve"> </w:t>
      </w:r>
      <w:r w:rsidR="00B058E0">
        <w:t>Th</w:t>
      </w:r>
      <w:r w:rsidR="00A16628">
        <w:t>e autumnal equinox occurring with the constellation of Scorpio</w:t>
      </w:r>
      <w:r w:rsidR="00293925">
        <w:t xml:space="preserve">, specifically in the </w:t>
      </w:r>
      <w:r w:rsidR="00293925">
        <w:rPr>
          <w:i/>
          <w:iCs/>
        </w:rPr>
        <w:t xml:space="preserve">horns of the scorpion </w:t>
      </w:r>
      <w:r w:rsidR="00293925">
        <w:t>as mentioned in the star lists of the Mul-</w:t>
      </w:r>
      <w:proofErr w:type="spellStart"/>
      <w:r w:rsidR="00293925">
        <w:t>Apin</w:t>
      </w:r>
      <w:proofErr w:type="spellEnd"/>
      <w:r w:rsidR="00293925">
        <w:rPr>
          <w:rStyle w:val="FootnoteReference"/>
        </w:rPr>
        <w:footnoteReference w:id="94"/>
      </w:r>
      <w:r w:rsidR="001B526D">
        <w:t xml:space="preserve">. This </w:t>
      </w:r>
      <w:r w:rsidR="00B058E0">
        <w:t xml:space="preserve">can </w:t>
      </w:r>
      <w:r w:rsidR="001B526D">
        <w:t xml:space="preserve">again </w:t>
      </w:r>
      <w:r w:rsidR="00B058E0">
        <w:t xml:space="preserve">be </w:t>
      </w:r>
      <w:r w:rsidR="00066BA9">
        <w:t>verified</w:t>
      </w:r>
      <w:r w:rsidR="00B058E0">
        <w:t xml:space="preserve"> by </w:t>
      </w:r>
      <w:proofErr w:type="spellStart"/>
      <w:r w:rsidR="00B058E0">
        <w:t>Stellarium</w:t>
      </w:r>
      <w:proofErr w:type="spellEnd"/>
      <w:r w:rsidR="00B058E0">
        <w:t xml:space="preserve"> (see fig.4). </w:t>
      </w:r>
    </w:p>
    <w:p w14:paraId="781A256F" w14:textId="77777777" w:rsidR="00066BA9" w:rsidRDefault="00066BA9" w:rsidP="00E430A7">
      <w:pPr>
        <w:spacing w:line="360" w:lineRule="auto"/>
        <w:jc w:val="both"/>
      </w:pPr>
    </w:p>
    <w:p w14:paraId="0D8FCD66" w14:textId="77777777" w:rsidR="00066BA9" w:rsidRDefault="00066BA9" w:rsidP="00E430A7">
      <w:pPr>
        <w:spacing w:line="360" w:lineRule="auto"/>
        <w:jc w:val="both"/>
      </w:pPr>
    </w:p>
    <w:p w14:paraId="617B76FA" w14:textId="7E051044" w:rsidR="00066BA9" w:rsidRDefault="00066BA9" w:rsidP="00E430A7">
      <w:pPr>
        <w:spacing w:line="360" w:lineRule="auto"/>
        <w:jc w:val="both"/>
      </w:pPr>
      <w:r>
        <w:rPr>
          <w:noProof/>
          <w14:ligatures w14:val="standardContextual"/>
        </w:rPr>
        <w:drawing>
          <wp:inline distT="0" distB="0" distL="0" distR="0" wp14:anchorId="234DF166" wp14:editId="6BEBA628">
            <wp:extent cx="5731510" cy="2312035"/>
            <wp:effectExtent l="0" t="0" r="0" b="0"/>
            <wp:docPr id="1968610398" name="Picture 3" descr="A screenshot of a cartoon of zodiac sig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610398" name="Picture 3" descr="A screenshot of a cartoon of zodiac signs&#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2312035"/>
                    </a:xfrm>
                    <a:prstGeom prst="rect">
                      <a:avLst/>
                    </a:prstGeom>
                  </pic:spPr>
                </pic:pic>
              </a:graphicData>
            </a:graphic>
          </wp:inline>
        </w:drawing>
      </w:r>
    </w:p>
    <w:p w14:paraId="330F44E1" w14:textId="64739FDB" w:rsidR="00066BA9" w:rsidRPr="006416D2" w:rsidRDefault="00066BA9" w:rsidP="00E430A7">
      <w:pPr>
        <w:spacing w:line="360" w:lineRule="auto"/>
        <w:jc w:val="both"/>
      </w:pPr>
      <w:r w:rsidRPr="00066BA9">
        <w:rPr>
          <w:sz w:val="21"/>
          <w:szCs w:val="21"/>
        </w:rPr>
        <w:t xml:space="preserve">Figure: </w:t>
      </w:r>
      <w:r w:rsidR="00B5588B">
        <w:rPr>
          <w:sz w:val="21"/>
          <w:szCs w:val="21"/>
        </w:rPr>
        <w:t>3</w:t>
      </w:r>
      <w:r w:rsidRPr="00066BA9">
        <w:rPr>
          <w:sz w:val="21"/>
          <w:szCs w:val="21"/>
        </w:rPr>
        <w:t xml:space="preserve"> </w:t>
      </w:r>
      <w:r>
        <w:rPr>
          <w:sz w:val="21"/>
          <w:szCs w:val="21"/>
        </w:rPr>
        <w:t xml:space="preserve">The Sun in the horns of the scorpion </w:t>
      </w:r>
      <w:r w:rsidR="00B5588B">
        <w:rPr>
          <w:sz w:val="21"/>
          <w:szCs w:val="21"/>
        </w:rPr>
        <w:t>at</w:t>
      </w:r>
      <w:r>
        <w:rPr>
          <w:sz w:val="21"/>
          <w:szCs w:val="21"/>
        </w:rPr>
        <w:t xml:space="preserve"> the autumnal equinox. Taken from </w:t>
      </w:r>
      <w:proofErr w:type="spellStart"/>
      <w:r>
        <w:rPr>
          <w:sz w:val="21"/>
          <w:szCs w:val="21"/>
        </w:rPr>
        <w:t>Stellarium</w:t>
      </w:r>
      <w:proofErr w:type="spellEnd"/>
      <w:r>
        <w:rPr>
          <w:sz w:val="21"/>
          <w:szCs w:val="21"/>
        </w:rPr>
        <w:t xml:space="preserve"> (2024)</w:t>
      </w:r>
      <w:r w:rsidR="00B5588B">
        <w:rPr>
          <w:rStyle w:val="FootnoteReference"/>
          <w:sz w:val="21"/>
          <w:szCs w:val="21"/>
        </w:rPr>
        <w:footnoteReference w:id="95"/>
      </w:r>
      <w:r w:rsidR="00B5588B">
        <w:rPr>
          <w:sz w:val="21"/>
          <w:szCs w:val="21"/>
        </w:rPr>
        <w:t>.</w:t>
      </w:r>
    </w:p>
    <w:p w14:paraId="5C5BA534" w14:textId="77777777" w:rsidR="00066BA9" w:rsidRDefault="00066BA9" w:rsidP="00E430A7">
      <w:pPr>
        <w:spacing w:line="360" w:lineRule="auto"/>
        <w:jc w:val="both"/>
      </w:pPr>
    </w:p>
    <w:p w14:paraId="2B29AF79" w14:textId="77777777" w:rsidR="001E38E1" w:rsidRDefault="001E38E1" w:rsidP="009E51C6">
      <w:pPr>
        <w:spacing w:line="360" w:lineRule="auto"/>
      </w:pPr>
    </w:p>
    <w:p w14:paraId="57524DB1" w14:textId="118CD7DC" w:rsidR="00900065" w:rsidRDefault="001E5EDB" w:rsidP="001E5EDB">
      <w:pPr>
        <w:spacing w:line="360" w:lineRule="auto"/>
        <w:jc w:val="both"/>
      </w:pPr>
      <w:r>
        <w:t>According to White, “it is actually possible to see Gilgamesh’s epic journey in search of personal immortality as a journey around the stars”</w:t>
      </w:r>
      <w:r>
        <w:rPr>
          <w:rStyle w:val="FootnoteReference"/>
        </w:rPr>
        <w:footnoteReference w:id="96"/>
      </w:r>
      <w:r>
        <w:t xml:space="preserve">. This quote essentially hypothesises that the events within the </w:t>
      </w:r>
      <w:r>
        <w:rPr>
          <w:i/>
          <w:iCs/>
        </w:rPr>
        <w:t>E</w:t>
      </w:r>
      <w:r w:rsidRPr="00926B3F">
        <w:rPr>
          <w:i/>
          <w:iCs/>
        </w:rPr>
        <w:t>pic of Gilgamesh</w:t>
      </w:r>
      <w:r>
        <w:rPr>
          <w:i/>
          <w:iCs/>
        </w:rPr>
        <w:t xml:space="preserve"> </w:t>
      </w:r>
      <w:r>
        <w:t>are based on the constellations in the sky. This is a view shared by Stephany</w:t>
      </w:r>
      <w:r w:rsidR="001B526D">
        <w:t>,</w:t>
      </w:r>
      <w:r>
        <w:t xml:space="preserve"> who draws connections to the Bull of Heaven with Taurus, Gilgamesh and Enkidu as Gemini, the bull’s haunch with Ursa Major, Ishtar with Virgo, Enkidu’s death as Libra, the scorpion monster with Scorpio and </w:t>
      </w:r>
      <w:proofErr w:type="spellStart"/>
      <w:r>
        <w:t>Utnaphistim</w:t>
      </w:r>
      <w:proofErr w:type="spellEnd"/>
      <w:r>
        <w:t xml:space="preserve"> as Aquarius</w:t>
      </w:r>
      <w:r>
        <w:rPr>
          <w:rStyle w:val="FootnoteReference"/>
        </w:rPr>
        <w:footnoteReference w:id="97"/>
      </w:r>
      <w:r>
        <w:t>. According to Ellis, Enkidu may have been associated with Sirius or a meteor</w:t>
      </w:r>
      <w:r>
        <w:rPr>
          <w:rStyle w:val="FootnoteReference"/>
        </w:rPr>
        <w:footnoteReference w:id="98"/>
      </w:r>
      <w:r>
        <w:t>. It is well-known that in ancient Mesopotamia, meteors were often interpreted as omens</w:t>
      </w:r>
      <w:r>
        <w:rPr>
          <w:rStyle w:val="FootnoteReference"/>
        </w:rPr>
        <w:footnoteReference w:id="99"/>
      </w:r>
      <w:r>
        <w:t xml:space="preserve">. </w:t>
      </w:r>
      <w:r w:rsidR="00900065">
        <w:t>The</w:t>
      </w:r>
      <w:r w:rsidR="00304FB6">
        <w:t xml:space="preserve"> story of </w:t>
      </w:r>
      <w:r w:rsidR="00304FB6">
        <w:lastRenderedPageBreak/>
        <w:t>Gilgamesh and his Greek counterpart</w:t>
      </w:r>
      <w:r w:rsidR="001B526D">
        <w:t xml:space="preserve">, </w:t>
      </w:r>
      <w:r w:rsidR="00304FB6">
        <w:t>Orion</w:t>
      </w:r>
      <w:r w:rsidR="001B526D">
        <w:t>,</w:t>
      </w:r>
      <w:r w:rsidRPr="00304FB6">
        <w:t xml:space="preserve"> </w:t>
      </w:r>
      <w:r w:rsidR="00900065">
        <w:t>may have been</w:t>
      </w:r>
      <w:r w:rsidRPr="00304FB6">
        <w:t xml:space="preserve"> used to explain the way in which the sky moves</w:t>
      </w:r>
      <w:r w:rsidR="00304FB6">
        <w:t xml:space="preserve"> and other natural phenomena</w:t>
      </w:r>
      <w:r w:rsidR="00F57552">
        <w:t xml:space="preserve">. </w:t>
      </w:r>
      <w:r w:rsidR="00F57552" w:rsidRPr="00800910">
        <w:t xml:space="preserve">This is </w:t>
      </w:r>
      <w:r w:rsidR="00F05074" w:rsidRPr="00800910">
        <w:t xml:space="preserve">the </w:t>
      </w:r>
      <w:r w:rsidR="00F57552" w:rsidRPr="00800910">
        <w:t xml:space="preserve">role of sky myths as pertained by </w:t>
      </w:r>
      <w:proofErr w:type="spellStart"/>
      <w:r w:rsidR="00F57552" w:rsidRPr="00800910">
        <w:t>Aveni</w:t>
      </w:r>
      <w:proofErr w:type="spellEnd"/>
      <w:r w:rsidR="00F57552">
        <w:rPr>
          <w:rStyle w:val="FootnoteReference"/>
        </w:rPr>
        <w:footnoteReference w:id="100"/>
      </w:r>
      <w:r w:rsidR="00C97885">
        <w:t xml:space="preserve"> and Frazer</w:t>
      </w:r>
      <w:r w:rsidR="00C97885">
        <w:rPr>
          <w:rStyle w:val="FootnoteReference"/>
        </w:rPr>
        <w:footnoteReference w:id="101"/>
      </w:r>
      <w:r w:rsidR="00F57552">
        <w:t xml:space="preserve">. </w:t>
      </w:r>
      <w:r w:rsidR="001B526D">
        <w:t>H</w:t>
      </w:r>
      <w:r w:rsidR="00304FB6">
        <w:t>owever</w:t>
      </w:r>
      <w:r w:rsidR="00685BAB">
        <w:t xml:space="preserve">, Moran and George </w:t>
      </w:r>
      <w:r w:rsidR="00B1425F">
        <w:t xml:space="preserve">would </w:t>
      </w:r>
      <w:r w:rsidR="00685BAB">
        <w:t xml:space="preserve">disagree </w:t>
      </w:r>
      <w:r w:rsidR="00B1425F">
        <w:t xml:space="preserve">due to their humanist </w:t>
      </w:r>
      <w:r w:rsidR="00685BAB">
        <w:t xml:space="preserve">approach to the </w:t>
      </w:r>
      <w:r w:rsidR="00685BAB">
        <w:rPr>
          <w:i/>
          <w:iCs/>
        </w:rPr>
        <w:t>Epic of Gilgamesh</w:t>
      </w:r>
      <w:r w:rsidR="00685BAB">
        <w:rPr>
          <w:rStyle w:val="FootnoteReference"/>
        </w:rPr>
        <w:footnoteReference w:id="102"/>
      </w:r>
      <w:r w:rsidR="00B1425F">
        <w:t xml:space="preserve">. </w:t>
      </w:r>
    </w:p>
    <w:p w14:paraId="18DAABF0" w14:textId="77777777" w:rsidR="00900065" w:rsidRDefault="00900065" w:rsidP="001E5EDB">
      <w:pPr>
        <w:spacing w:line="360" w:lineRule="auto"/>
        <w:jc w:val="both"/>
      </w:pPr>
    </w:p>
    <w:p w14:paraId="07189E47" w14:textId="149DBD5E" w:rsidR="006B4CD6" w:rsidRPr="006B4CD6" w:rsidRDefault="00631DD4" w:rsidP="006B4CD6">
      <w:pPr>
        <w:spacing w:line="360" w:lineRule="auto"/>
        <w:jc w:val="both"/>
      </w:pPr>
      <w:r>
        <w:t>T</w:t>
      </w:r>
      <w:r w:rsidR="00304FB6">
        <w:t>he</w:t>
      </w:r>
      <w:r w:rsidR="00900065">
        <w:t>re</w:t>
      </w:r>
      <w:r w:rsidR="00304FB6">
        <w:t xml:space="preserve"> </w:t>
      </w:r>
      <w:r w:rsidR="00900065">
        <w:t>appears to be no consensus from scholars that hold the belief that Orion was a real person</w:t>
      </w:r>
      <w:r w:rsidR="00776015">
        <w:t>,</w:t>
      </w:r>
      <w:r w:rsidR="00900065">
        <w:t xml:space="preserve"> however the same cannot be said for Gilgamesh</w:t>
      </w:r>
      <w:r w:rsidR="00304FB6">
        <w:t>.</w:t>
      </w:r>
      <w:r w:rsidR="00900065">
        <w:t xml:space="preserve"> Academics</w:t>
      </w:r>
      <w:r w:rsidR="00201C9D">
        <w:t xml:space="preserve"> in the field of ancient Mesopotamian studies such as Andrew George and Benjamin R. Foster do not refer to Gilgamesh as Orion nor offer an astronomical interpretation. They hold the view, given the evidence, that Gilgamesh was a real king that ruled </w:t>
      </w:r>
      <w:proofErr w:type="spellStart"/>
      <w:r w:rsidR="00201C9D">
        <w:t>Uruk</w:t>
      </w:r>
      <w:proofErr w:type="spellEnd"/>
      <w:r w:rsidR="00900065">
        <w:rPr>
          <w:rStyle w:val="FootnoteReference"/>
        </w:rPr>
        <w:footnoteReference w:id="103"/>
      </w:r>
      <w:r w:rsidR="00776015">
        <w:t>. T</w:t>
      </w:r>
      <w:r w:rsidR="00685BAB">
        <w:t>his is supported by Moran who suggests that the epic should not be read as a myth</w:t>
      </w:r>
      <w:r w:rsidR="0061316F">
        <w:t xml:space="preserve"> </w:t>
      </w:r>
      <w:r w:rsidR="00776015">
        <w:t>but instead viewed as evidence of the human experience</w:t>
      </w:r>
      <w:r w:rsidR="0061316F" w:rsidRPr="0061316F">
        <w:rPr>
          <w:rStyle w:val="FootnoteReference"/>
        </w:rPr>
        <w:footnoteReference w:id="104"/>
      </w:r>
      <w:r w:rsidR="0061316F">
        <w:t xml:space="preserve">. </w:t>
      </w:r>
      <w:r w:rsidR="009509FE">
        <w:t>This lends to the possibility of deification</w:t>
      </w:r>
      <w:r w:rsidR="00F54DE0">
        <w:t xml:space="preserve"> which was practised by ancient rulers of Mesopotamia</w:t>
      </w:r>
      <w:r w:rsidR="006F75AE">
        <w:rPr>
          <w:rStyle w:val="FootnoteReference"/>
        </w:rPr>
        <w:footnoteReference w:id="105"/>
      </w:r>
      <w:r w:rsidR="009C0545">
        <w:t>.</w:t>
      </w:r>
      <w:r w:rsidR="009509FE">
        <w:t xml:space="preserve"> This can be </w:t>
      </w:r>
      <w:r w:rsidR="00F54DE0">
        <w:t>found throughout the ancient world</w:t>
      </w:r>
      <w:r w:rsidR="00A4407F">
        <w:t>,</w:t>
      </w:r>
      <w:r w:rsidR="00F54DE0">
        <w:t xml:space="preserve"> for example, with </w:t>
      </w:r>
      <w:r w:rsidR="0022546D">
        <w:t xml:space="preserve">the </w:t>
      </w:r>
      <w:r w:rsidR="00317139">
        <w:t>deification</w:t>
      </w:r>
      <w:r w:rsidR="0022546D">
        <w:t xml:space="preserve"> of Alexander the Great due to his conquests</w:t>
      </w:r>
      <w:r w:rsidR="0022546D">
        <w:rPr>
          <w:rStyle w:val="FootnoteReference"/>
        </w:rPr>
        <w:footnoteReference w:id="106"/>
      </w:r>
      <w:r w:rsidR="00776015">
        <w:t>. Other examples include</w:t>
      </w:r>
      <w:r w:rsidR="009C0545">
        <w:t xml:space="preserve"> the pharaohs of Egypt </w:t>
      </w:r>
      <w:r w:rsidR="00776015">
        <w:t>who are believed</w:t>
      </w:r>
      <w:r w:rsidR="009C0545">
        <w:t xml:space="preserve"> to be the manifestations of the divine</w:t>
      </w:r>
      <w:r w:rsidR="009C0545">
        <w:rPr>
          <w:rStyle w:val="FootnoteReference"/>
        </w:rPr>
        <w:footnoteReference w:id="107"/>
      </w:r>
      <w:r w:rsidR="0022546D">
        <w:t xml:space="preserve"> and</w:t>
      </w:r>
      <w:r w:rsidR="00776015">
        <w:t>,</w:t>
      </w:r>
      <w:r w:rsidR="0022546D">
        <w:t xml:space="preserve"> </w:t>
      </w:r>
      <w:r w:rsidR="00776015">
        <w:t xml:space="preserve">the </w:t>
      </w:r>
      <w:r w:rsidR="009509FE">
        <w:t xml:space="preserve">Roman emperors </w:t>
      </w:r>
      <w:r w:rsidR="00776015">
        <w:t xml:space="preserve">who </w:t>
      </w:r>
      <w:r w:rsidR="00A43B52">
        <w:t>establish</w:t>
      </w:r>
      <w:r w:rsidR="00776015">
        <w:t>ed</w:t>
      </w:r>
      <w:r w:rsidR="00A43B52">
        <w:t xml:space="preserve"> their divinity by </w:t>
      </w:r>
      <w:r w:rsidR="00A43B52">
        <w:t xml:space="preserve">wearing the </w:t>
      </w:r>
      <w:r w:rsidR="00A43B52">
        <w:rPr>
          <w:i/>
          <w:iCs/>
        </w:rPr>
        <w:t>corona radiata</w:t>
      </w:r>
      <w:r w:rsidR="00776015">
        <w:rPr>
          <w:i/>
          <w:iCs/>
        </w:rPr>
        <w:t>,</w:t>
      </w:r>
      <w:r w:rsidR="00A43B52">
        <w:t xml:space="preserve"> </w:t>
      </w:r>
      <w:r w:rsidR="00A43B52">
        <w:t>which represented</w:t>
      </w:r>
      <w:r w:rsidR="00A43B52">
        <w:t xml:space="preserve"> the </w:t>
      </w:r>
      <w:r w:rsidR="00776015">
        <w:t>S</w:t>
      </w:r>
      <w:r w:rsidR="00A43B52">
        <w:t>un god</w:t>
      </w:r>
      <w:r w:rsidR="00A43B52">
        <w:t>, Sol,</w:t>
      </w:r>
      <w:r w:rsidR="00A43B52">
        <w:t xml:space="preserve"> as seen on imperial coinage</w:t>
      </w:r>
      <w:r w:rsidR="00A43B52">
        <w:rPr>
          <w:rStyle w:val="FootnoteReference"/>
        </w:rPr>
        <w:footnoteReference w:id="108"/>
      </w:r>
      <w:r w:rsidR="006E548C">
        <w:t xml:space="preserve"> (see fig.3)</w:t>
      </w:r>
      <w:r w:rsidR="00A43B52">
        <w:t xml:space="preserve">. </w:t>
      </w:r>
      <w:r w:rsidR="006B4CD6" w:rsidRPr="006B4CD6">
        <w:t>There is, however, chronological issues faced by scholars in which Gilgamesh’s reign would have lasted an astounding 126 years</w:t>
      </w:r>
      <w:r w:rsidR="006B4CD6">
        <w:rPr>
          <w:rStyle w:val="FootnoteReference"/>
        </w:rPr>
        <w:footnoteReference w:id="109"/>
      </w:r>
      <w:r w:rsidR="006B4CD6" w:rsidRPr="006B4CD6">
        <w:t>, an issue that Ellis encountered too</w:t>
      </w:r>
      <w:r w:rsidR="006B4CD6">
        <w:rPr>
          <w:rStyle w:val="FootnoteReference"/>
        </w:rPr>
        <w:footnoteReference w:id="110"/>
      </w:r>
      <w:r w:rsidR="006B4CD6" w:rsidRPr="006B4CD6">
        <w:t>. This is likely a result of incomplete records, translation difficulties or another example of deification.</w:t>
      </w:r>
      <w:r w:rsidR="006B4CD6">
        <w:t xml:space="preserve"> Although there is no evidence of deification by the writers of Orion</w:t>
      </w:r>
      <w:r w:rsidR="00776015">
        <w:t>,</w:t>
      </w:r>
      <w:r w:rsidR="006B4CD6">
        <w:t xml:space="preserve"> such as Homer or Hesiod, a</w:t>
      </w:r>
      <w:r w:rsidR="006B4CD6">
        <w:t xml:space="preserve">ccording to </w:t>
      </w:r>
      <w:proofErr w:type="spellStart"/>
      <w:r w:rsidR="006B4CD6">
        <w:t>Aveni</w:t>
      </w:r>
      <w:proofErr w:type="spellEnd"/>
      <w:r w:rsidR="006B4CD6">
        <w:t>, the story of Orion was used as political propaganda in China during the twelfth century BCE</w:t>
      </w:r>
      <w:r w:rsidR="006B4CD6">
        <w:rPr>
          <w:rStyle w:val="FootnoteReference"/>
        </w:rPr>
        <w:footnoteReference w:id="111"/>
      </w:r>
      <w:r w:rsidR="006B4CD6">
        <w:t>.</w:t>
      </w:r>
    </w:p>
    <w:p w14:paraId="0DD5605F" w14:textId="2DA09CE4" w:rsidR="00A43B52" w:rsidRDefault="00A43B52" w:rsidP="009C090D">
      <w:pPr>
        <w:spacing w:line="360" w:lineRule="auto"/>
        <w:jc w:val="both"/>
      </w:pPr>
      <w:r>
        <w:fldChar w:fldCharType="begin"/>
      </w:r>
      <w:r>
        <w:instrText xml:space="preserve"> INCLUDEPICTURE "/Users/cex/Library/Group Containers/UBF8T346G9.ms/WebArchiveCopyPasteTempFiles/com.microsoft.Word/Screen%20Shot%202022-04-30%20at%203.25.28%20PM.png" \* MERGEFORMATINET </w:instrText>
      </w:r>
      <w:r>
        <w:fldChar w:fldCharType="separate"/>
      </w:r>
      <w:r>
        <w:fldChar w:fldCharType="end"/>
      </w:r>
    </w:p>
    <w:p w14:paraId="79D7D7D1" w14:textId="201077DA" w:rsidR="00A43B52" w:rsidRDefault="00A43B52" w:rsidP="009E51C6">
      <w:pPr>
        <w:spacing w:line="360" w:lineRule="auto"/>
      </w:pPr>
      <w:r>
        <w:rPr>
          <w:noProof/>
        </w:rPr>
        <w:lastRenderedPageBreak/>
        <w:drawing>
          <wp:anchor distT="0" distB="0" distL="114300" distR="114300" simplePos="0" relativeHeight="251661312" behindDoc="1" locked="0" layoutInCell="1" allowOverlap="1" wp14:anchorId="13E3FFAF" wp14:editId="54FB76D1">
            <wp:simplePos x="0" y="0"/>
            <wp:positionH relativeFrom="column">
              <wp:posOffset>1836420</wp:posOffset>
            </wp:positionH>
            <wp:positionV relativeFrom="paragraph">
              <wp:posOffset>377</wp:posOffset>
            </wp:positionV>
            <wp:extent cx="1847850" cy="1642110"/>
            <wp:effectExtent l="0" t="0" r="6350" b="0"/>
            <wp:wrapTight wrapText="bothSides">
              <wp:wrapPolygon edited="0">
                <wp:start x="0" y="0"/>
                <wp:lineTo x="0" y="21383"/>
                <wp:lineTo x="21526" y="21383"/>
                <wp:lineTo x="21526" y="0"/>
                <wp:lineTo x="0" y="0"/>
              </wp:wrapPolygon>
            </wp:wrapTight>
            <wp:docPr id="1683566889" name="Picture 2" descr="Image is loa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is loadi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847850" cy="16421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C03174D" w14:textId="78412573" w:rsidR="00A43B52" w:rsidRDefault="00A43B52" w:rsidP="009E51C6">
      <w:pPr>
        <w:spacing w:line="360" w:lineRule="auto"/>
      </w:pPr>
    </w:p>
    <w:p w14:paraId="64EAB7A6" w14:textId="2B718E8A" w:rsidR="00A43B52" w:rsidRDefault="00A43B52" w:rsidP="009E51C6">
      <w:pPr>
        <w:spacing w:line="360" w:lineRule="auto"/>
      </w:pPr>
    </w:p>
    <w:p w14:paraId="244E09FF" w14:textId="6E8079CE" w:rsidR="00A43B52" w:rsidRDefault="00A43B52" w:rsidP="009E51C6">
      <w:pPr>
        <w:spacing w:line="360" w:lineRule="auto"/>
      </w:pPr>
    </w:p>
    <w:p w14:paraId="64386F09" w14:textId="42A2CE82" w:rsidR="00A43B52" w:rsidRDefault="00A43B52" w:rsidP="009E51C6">
      <w:pPr>
        <w:spacing w:line="360" w:lineRule="auto"/>
      </w:pPr>
    </w:p>
    <w:p w14:paraId="555841E7" w14:textId="77777777" w:rsidR="00A43B52" w:rsidRDefault="00A43B52" w:rsidP="009E51C6">
      <w:pPr>
        <w:spacing w:line="360" w:lineRule="auto"/>
      </w:pPr>
    </w:p>
    <w:p w14:paraId="340BDD9A" w14:textId="77777777" w:rsidR="00A43B52" w:rsidRDefault="00A43B52" w:rsidP="009E51C6">
      <w:pPr>
        <w:spacing w:line="360" w:lineRule="auto"/>
      </w:pPr>
    </w:p>
    <w:p w14:paraId="4CD74619" w14:textId="6D893F82" w:rsidR="00A43B52" w:rsidRPr="00A43B52" w:rsidRDefault="00A43B52" w:rsidP="009E51C6">
      <w:pPr>
        <w:spacing w:line="360" w:lineRule="auto"/>
        <w:rPr>
          <w:sz w:val="21"/>
          <w:szCs w:val="21"/>
        </w:rPr>
      </w:pPr>
      <w:r>
        <w:rPr>
          <w:sz w:val="21"/>
          <w:szCs w:val="21"/>
        </w:rPr>
        <w:t xml:space="preserve">Figure 3: Obverse of Denarius coin dated to around 253 – 268 CE of Emperor </w:t>
      </w:r>
      <w:proofErr w:type="spellStart"/>
      <w:r>
        <w:rPr>
          <w:sz w:val="21"/>
          <w:szCs w:val="21"/>
        </w:rPr>
        <w:t>Gallienus</w:t>
      </w:r>
      <w:proofErr w:type="spellEnd"/>
      <w:r>
        <w:rPr>
          <w:sz w:val="21"/>
          <w:szCs w:val="21"/>
        </w:rPr>
        <w:t xml:space="preserve"> wearing the </w:t>
      </w:r>
      <w:r w:rsidRPr="00A43B52">
        <w:rPr>
          <w:i/>
          <w:iCs/>
          <w:sz w:val="21"/>
          <w:szCs w:val="21"/>
        </w:rPr>
        <w:t xml:space="preserve">corona </w:t>
      </w:r>
      <w:proofErr w:type="spellStart"/>
      <w:r w:rsidRPr="00A43B52">
        <w:rPr>
          <w:i/>
          <w:iCs/>
          <w:sz w:val="21"/>
          <w:szCs w:val="21"/>
        </w:rPr>
        <w:t>radiatas</w:t>
      </w:r>
      <w:proofErr w:type="spellEnd"/>
      <w:r>
        <w:rPr>
          <w:sz w:val="21"/>
          <w:szCs w:val="21"/>
        </w:rPr>
        <w:t xml:space="preserve"> facing right. Taken from Claire Smith (2024)</w:t>
      </w:r>
      <w:r>
        <w:rPr>
          <w:rStyle w:val="FootnoteReference"/>
          <w:sz w:val="21"/>
          <w:szCs w:val="21"/>
        </w:rPr>
        <w:footnoteReference w:id="112"/>
      </w:r>
      <w:r>
        <w:rPr>
          <w:sz w:val="21"/>
          <w:szCs w:val="21"/>
        </w:rPr>
        <w:t>.</w:t>
      </w:r>
    </w:p>
    <w:p w14:paraId="08628380" w14:textId="77777777" w:rsidR="00AC6CA0" w:rsidRDefault="00AC6CA0" w:rsidP="009E51C6">
      <w:pPr>
        <w:spacing w:line="360" w:lineRule="auto"/>
      </w:pPr>
    </w:p>
    <w:p w14:paraId="614ADAE4" w14:textId="04FCAF55" w:rsidR="00A43B52" w:rsidRPr="00A52047" w:rsidRDefault="00A52047" w:rsidP="006F6085">
      <w:pPr>
        <w:spacing w:line="360" w:lineRule="auto"/>
        <w:jc w:val="both"/>
      </w:pPr>
      <w:r>
        <w:t xml:space="preserve">One large difference between the two myths is </w:t>
      </w:r>
      <w:r w:rsidR="00124A1A">
        <w:t>when</w:t>
      </w:r>
      <w:r>
        <w:t xml:space="preserve"> looking at the primary sources only, one can be surely recognised as a sky myth</w:t>
      </w:r>
      <w:r w:rsidR="00124A1A">
        <w:t>-</w:t>
      </w:r>
      <w:r>
        <w:t>that is Orion. This is because Hesiod explicitly states that Orion and the Scorpion were placed into the stars</w:t>
      </w:r>
      <w:r>
        <w:rPr>
          <w:rStyle w:val="FootnoteReference"/>
        </w:rPr>
        <w:footnoteReference w:id="113"/>
      </w:r>
      <w:r>
        <w:t xml:space="preserve"> and this naturally reinforces </w:t>
      </w:r>
      <w:proofErr w:type="spellStart"/>
      <w:r>
        <w:t>Aveni’s</w:t>
      </w:r>
      <w:proofErr w:type="spellEnd"/>
      <w:r>
        <w:t xml:space="preserve"> view of a myth being a </w:t>
      </w:r>
      <w:r w:rsidRPr="00A52047">
        <w:t xml:space="preserve">mode of explaining </w:t>
      </w:r>
      <w:r>
        <w:t>natural phenomena</w:t>
      </w:r>
      <w:r>
        <w:rPr>
          <w:rStyle w:val="FootnoteReference"/>
        </w:rPr>
        <w:footnoteReference w:id="114"/>
      </w:r>
      <w:r>
        <w:t xml:space="preserve">. Whereas with the </w:t>
      </w:r>
      <w:r>
        <w:rPr>
          <w:i/>
          <w:iCs/>
        </w:rPr>
        <w:t>Epic of Gilgamesh</w:t>
      </w:r>
      <w:r>
        <w:t xml:space="preserve">, there is no astronomical reference from the tablets. </w:t>
      </w:r>
      <w:r w:rsidR="003A0C7F">
        <w:t>It is h</w:t>
      </w:r>
      <w:r>
        <w:t>owever</w:t>
      </w:r>
      <w:r w:rsidR="003A0C7F">
        <w:t xml:space="preserve"> possible that Greek scholars may have been familiar with ancient Near Eastern texts</w:t>
      </w:r>
      <w:r w:rsidR="00124A1A">
        <w:t>, t</w:t>
      </w:r>
      <w:r w:rsidR="003A0C7F">
        <w:t xml:space="preserve">his is why Riley argues that Homer likely borrowed elements of the </w:t>
      </w:r>
      <w:r w:rsidR="003A0C7F">
        <w:rPr>
          <w:i/>
          <w:iCs/>
        </w:rPr>
        <w:t>Epic of Gilgamesh</w:t>
      </w:r>
      <w:r w:rsidR="003A0C7F">
        <w:t xml:space="preserve"> for his works</w:t>
      </w:r>
      <w:r w:rsidR="00124A1A">
        <w:t>,</w:t>
      </w:r>
      <w:r w:rsidR="003A0C7F">
        <w:t xml:space="preserve"> including </w:t>
      </w:r>
      <w:r w:rsidR="003A0C7F">
        <w:rPr>
          <w:i/>
          <w:iCs/>
        </w:rPr>
        <w:t xml:space="preserve">The </w:t>
      </w:r>
      <w:r w:rsidR="003A0C7F" w:rsidRPr="00610255">
        <w:rPr>
          <w:i/>
          <w:iCs/>
        </w:rPr>
        <w:t>Iliad</w:t>
      </w:r>
      <w:r w:rsidR="003A0C7F">
        <w:rPr>
          <w:rStyle w:val="FootnoteReference"/>
        </w:rPr>
        <w:footnoteReference w:id="115"/>
      </w:r>
      <w:r w:rsidR="003A0C7F">
        <w:t xml:space="preserve">. </w:t>
      </w:r>
      <w:r w:rsidR="00610255">
        <w:t xml:space="preserve">This was also hypothesized by Burkert who believes that Ishtar demanding the Bull of Heaven from Anu can be similarly found within </w:t>
      </w:r>
      <w:r w:rsidR="00610255" w:rsidRPr="00610255">
        <w:rPr>
          <w:i/>
          <w:iCs/>
        </w:rPr>
        <w:t>The Iliad</w:t>
      </w:r>
      <w:r w:rsidR="00610255">
        <w:rPr>
          <w:rStyle w:val="FootnoteReference"/>
          <w:i/>
          <w:iCs/>
        </w:rPr>
        <w:footnoteReference w:id="116"/>
      </w:r>
      <w:r w:rsidR="00154FA9">
        <w:t>, thus reinforcing his definition of a myth</w:t>
      </w:r>
      <w:r w:rsidR="00154FA9">
        <w:rPr>
          <w:rStyle w:val="FootnoteReference"/>
        </w:rPr>
        <w:footnoteReference w:id="117"/>
      </w:r>
      <w:r w:rsidR="00154FA9">
        <w:t>.</w:t>
      </w:r>
      <w:r w:rsidR="00610255">
        <w:t xml:space="preserve"> </w:t>
      </w:r>
      <w:r w:rsidR="003A0C7F">
        <w:t>Another point to consider</w:t>
      </w:r>
      <w:r w:rsidR="00124A1A">
        <w:t xml:space="preserve"> when</w:t>
      </w:r>
      <w:r w:rsidR="003A0C7F">
        <w:t xml:space="preserve"> </w:t>
      </w:r>
      <w:r>
        <w:t>using</w:t>
      </w:r>
      <w:r w:rsidR="00124A1A">
        <w:t xml:space="preserve"> the</w:t>
      </w:r>
      <w:r>
        <w:t xml:space="preserve"> secondary sources, </w:t>
      </w:r>
      <w:r w:rsidR="003A0C7F">
        <w:t xml:space="preserve">is that </w:t>
      </w:r>
      <w:r>
        <w:t>George discusses how the gods communicated with men directly</w:t>
      </w:r>
      <w:r>
        <w:rPr>
          <w:rStyle w:val="FootnoteReference"/>
        </w:rPr>
        <w:footnoteReference w:id="118"/>
      </w:r>
      <w:r>
        <w:t>. This may have been achieved with forms of divination and omens</w:t>
      </w:r>
      <w:r>
        <w:rPr>
          <w:rStyle w:val="FootnoteReference"/>
        </w:rPr>
        <w:footnoteReference w:id="119"/>
      </w:r>
      <w:r>
        <w:t xml:space="preserve"> and this is how Baigent relates the skies with Gilgamesh</w:t>
      </w:r>
      <w:r w:rsidR="00124A1A">
        <w:t xml:space="preserve">, </w:t>
      </w:r>
      <w:r>
        <w:t>as he proposes that he was likely involved with astrology</w:t>
      </w:r>
      <w:r w:rsidR="008553BD">
        <w:rPr>
          <w:rStyle w:val="FootnoteReference"/>
        </w:rPr>
        <w:footnoteReference w:id="120"/>
      </w:r>
      <w:r>
        <w:t xml:space="preserve">. </w:t>
      </w:r>
    </w:p>
    <w:p w14:paraId="54344148" w14:textId="77777777" w:rsidR="00064ADD" w:rsidRDefault="00064ADD" w:rsidP="009E51C6">
      <w:pPr>
        <w:spacing w:line="360" w:lineRule="auto"/>
      </w:pPr>
    </w:p>
    <w:p w14:paraId="78813459" w14:textId="10029D35" w:rsidR="00AC6CA0" w:rsidRDefault="00124A1A" w:rsidP="00AC6CA0">
      <w:pPr>
        <w:spacing w:line="360" w:lineRule="auto"/>
        <w:jc w:val="both"/>
      </w:pPr>
      <w:r>
        <w:lastRenderedPageBreak/>
        <w:t>The</w:t>
      </w:r>
      <w:r w:rsidR="00BF4A82">
        <w:t xml:space="preserve"> final </w:t>
      </w:r>
      <w:r w:rsidR="00AC6CA0">
        <w:t xml:space="preserve">difference </w:t>
      </w:r>
      <w:r w:rsidR="00BF4A82">
        <w:t xml:space="preserve">between the two </w:t>
      </w:r>
      <w:r w:rsidR="00AC6CA0">
        <w:t>is the availability of primary sources</w:t>
      </w:r>
      <w:r w:rsidR="00F30242">
        <w:t xml:space="preserve"> and how this effects the length of the tales. T</w:t>
      </w:r>
      <w:r w:rsidR="00AC6CA0">
        <w:t>he Greek sources on the mythology of Orion are more in number than that of Gilgamesh</w:t>
      </w:r>
      <w:r w:rsidR="00F30242">
        <w:t>, however the tale is rather brief in comparison</w:t>
      </w:r>
      <w:r w:rsidR="00AC6CA0">
        <w:t xml:space="preserve">. </w:t>
      </w:r>
      <w:r w:rsidR="00F30242">
        <w:t xml:space="preserve">Whereas, </w:t>
      </w:r>
      <w:r w:rsidR="00AC6CA0">
        <w:t xml:space="preserve">The </w:t>
      </w:r>
      <w:r w:rsidR="00AC6CA0">
        <w:rPr>
          <w:i/>
          <w:iCs/>
        </w:rPr>
        <w:t xml:space="preserve">Epic of Gilgamesh </w:t>
      </w:r>
      <w:r w:rsidR="00AC6CA0">
        <w:t xml:space="preserve">comes only </w:t>
      </w:r>
      <w:r w:rsidR="00AC6CA0">
        <w:t>from fragmented tablets, yet</w:t>
      </w:r>
      <w:r w:rsidR="00F30242">
        <w:t xml:space="preserve"> more information is told in this story.</w:t>
      </w:r>
      <w:r w:rsidR="00AC6CA0">
        <w:t xml:space="preserve"> </w:t>
      </w:r>
      <w:r w:rsidR="00F30242">
        <w:t>One reason for this</w:t>
      </w:r>
      <w:r w:rsidR="00AC6CA0">
        <w:t xml:space="preserve"> is </w:t>
      </w:r>
      <w:r w:rsidR="00F30242">
        <w:t xml:space="preserve">that the epic is </w:t>
      </w:r>
      <w:r w:rsidR="00AC6CA0">
        <w:t xml:space="preserve">supported by secondary </w:t>
      </w:r>
      <w:r w:rsidR="00AC6CA0">
        <w:t>academic</w:t>
      </w:r>
      <w:r w:rsidR="00AC6CA0">
        <w:t xml:space="preserve"> sources that provide sufficient material for readers to have a full understanding.</w:t>
      </w:r>
      <w:r w:rsidR="00F30242">
        <w:t xml:space="preserve"> On the other hand</w:t>
      </w:r>
      <w:r w:rsidR="00AC6CA0">
        <w:t>, with Orion, there are only a few secondary sources f</w:t>
      </w:r>
      <w:r>
        <w:t>ew-and-far</w:t>
      </w:r>
      <w:r w:rsidR="00AC6CA0">
        <w:t xml:space="preserve"> between that critically </w:t>
      </w:r>
      <w:r w:rsidR="00D67369">
        <w:t>ana</w:t>
      </w:r>
      <w:r w:rsidR="001C2996">
        <w:t>lyse</w:t>
      </w:r>
      <w:r w:rsidR="00AC6CA0">
        <w:t xml:space="preserve"> the myth from an academic perspective, thus information tends to be scarce and rather speculative by non-scholarly sources. </w:t>
      </w:r>
    </w:p>
    <w:p w14:paraId="5AC0FCC4" w14:textId="0FC228C8" w:rsidR="00A43B52" w:rsidRPr="00AC6CA0" w:rsidRDefault="00A43B52" w:rsidP="009E51C6">
      <w:pPr>
        <w:spacing w:line="360" w:lineRule="auto"/>
      </w:pPr>
    </w:p>
    <w:p w14:paraId="71463178" w14:textId="44385FF3" w:rsidR="00AC6CA0" w:rsidRDefault="00E6249E" w:rsidP="009E51C6">
      <w:pPr>
        <w:spacing w:line="360" w:lineRule="auto"/>
        <w:rPr>
          <w:u w:val="single"/>
        </w:rPr>
      </w:pPr>
      <w:r>
        <w:rPr>
          <w:u w:val="single"/>
        </w:rPr>
        <w:t>Conclusion</w:t>
      </w:r>
    </w:p>
    <w:p w14:paraId="5D3DA702" w14:textId="77777777" w:rsidR="00E6249E" w:rsidRDefault="00E6249E" w:rsidP="009E51C6">
      <w:pPr>
        <w:spacing w:line="360" w:lineRule="auto"/>
        <w:rPr>
          <w:u w:val="single"/>
        </w:rPr>
      </w:pPr>
    </w:p>
    <w:p w14:paraId="2FCF688E" w14:textId="77777777" w:rsidR="006C1C96" w:rsidRDefault="00E6249E" w:rsidP="00C17FCB">
      <w:pPr>
        <w:spacing w:line="360" w:lineRule="auto"/>
        <w:jc w:val="both"/>
      </w:pPr>
      <w:r>
        <w:t xml:space="preserve">The </w:t>
      </w:r>
      <w:r>
        <w:rPr>
          <w:i/>
          <w:iCs/>
        </w:rPr>
        <w:t>Epic of Gilgamesh</w:t>
      </w:r>
      <w:r>
        <w:rPr>
          <w:i/>
          <w:iCs/>
        </w:rPr>
        <w:t xml:space="preserve"> </w:t>
      </w:r>
      <w:r>
        <w:t>and the myths of Orion can truly both</w:t>
      </w:r>
      <w:r w:rsidR="00124A1A">
        <w:t xml:space="preserve"> be</w:t>
      </w:r>
      <w:r>
        <w:t xml:space="preserve"> placed into the category of evidence of ancient humanism as pertained by George and Moran</w:t>
      </w:r>
      <w:r w:rsidR="00124A1A">
        <w:t>.</w:t>
      </w:r>
      <w:r>
        <w:t xml:space="preserve"> </w:t>
      </w:r>
      <w:r w:rsidR="00124A1A">
        <w:t>H</w:t>
      </w:r>
      <w:r>
        <w:t xml:space="preserve">owever, </w:t>
      </w:r>
      <w:r w:rsidR="00F57552">
        <w:t xml:space="preserve">throughout </w:t>
      </w:r>
      <w:r>
        <w:t>this essay, there has been enough supporting evidence to suggest that the myth of Orion</w:t>
      </w:r>
      <w:r w:rsidR="00F57552">
        <w:t xml:space="preserve"> and the </w:t>
      </w:r>
      <w:r w:rsidR="00F57552">
        <w:rPr>
          <w:i/>
          <w:iCs/>
        </w:rPr>
        <w:t>Epic of Gilgamesh</w:t>
      </w:r>
      <w:r>
        <w:t xml:space="preserve"> is reflective of a sky myth</w:t>
      </w:r>
      <w:r w:rsidR="00F57552">
        <w:t>.</w:t>
      </w:r>
      <w:r>
        <w:t xml:space="preserve"> There are similar themes of scorpions,</w:t>
      </w:r>
      <w:r w:rsidR="006C1C96">
        <w:t xml:space="preserve"> quests</w:t>
      </w:r>
      <w:r>
        <w:t xml:space="preserve"> and the gradual maturation of the protagonists due to events that had changed them</w:t>
      </w:r>
      <w:r w:rsidR="00124A1A">
        <w:t>. This is demonstrated through</w:t>
      </w:r>
      <w:r>
        <w:t xml:space="preserve"> the death of Enkidu and the loss of the flower o</w:t>
      </w:r>
      <w:r w:rsidR="00D35781">
        <w:t xml:space="preserve">f rejuvenation </w:t>
      </w:r>
      <w:r>
        <w:t>for Gilgamesh</w:t>
      </w:r>
      <w:r w:rsidR="00124A1A">
        <w:t>. Likewise, there was</w:t>
      </w:r>
      <w:r>
        <w:t xml:space="preserve"> </w:t>
      </w:r>
      <w:r w:rsidR="00124A1A">
        <w:t>t</w:t>
      </w:r>
      <w:r>
        <w:t>he blinding of Orion</w:t>
      </w:r>
      <w:r w:rsidR="00124A1A">
        <w:t>. Both events result in Gilgamesh and Orion facing</w:t>
      </w:r>
      <w:r>
        <w:t xml:space="preserve"> a very harsh reality.</w:t>
      </w:r>
      <w:r w:rsidR="006C1C96">
        <w:t xml:space="preserve"> </w:t>
      </w:r>
    </w:p>
    <w:p w14:paraId="499F458B" w14:textId="77777777" w:rsidR="006C1C96" w:rsidRDefault="006C1C96" w:rsidP="00C17FCB">
      <w:pPr>
        <w:spacing w:line="360" w:lineRule="auto"/>
        <w:jc w:val="both"/>
      </w:pPr>
    </w:p>
    <w:p w14:paraId="57783D46" w14:textId="73157738" w:rsidR="006C1C96" w:rsidRDefault="006C1C96" w:rsidP="00C17FCB">
      <w:pPr>
        <w:spacing w:line="360" w:lineRule="auto"/>
        <w:jc w:val="both"/>
      </w:pPr>
      <w:r>
        <w:t xml:space="preserve">Although very similar, they do have their differences. The </w:t>
      </w:r>
      <w:r>
        <w:rPr>
          <w:i/>
          <w:iCs/>
        </w:rPr>
        <w:t>Epic of Gilgamesh</w:t>
      </w:r>
      <w:r>
        <w:rPr>
          <w:i/>
          <w:iCs/>
        </w:rPr>
        <w:t xml:space="preserve"> </w:t>
      </w:r>
      <w:r>
        <w:t xml:space="preserve">establishes that Gilgamesh is a king of </w:t>
      </w:r>
      <w:proofErr w:type="spellStart"/>
      <w:r>
        <w:t>Uruk</w:t>
      </w:r>
      <w:proofErr w:type="spellEnd"/>
      <w:r>
        <w:t xml:space="preserve"> from the beginning, whereas Hesiod </w:t>
      </w:r>
      <w:r w:rsidR="00F05074">
        <w:t>and</w:t>
      </w:r>
      <w:r>
        <w:t xml:space="preserve"> Homer do not provide Orion’s background </w:t>
      </w:r>
      <w:r w:rsidR="00F05074">
        <w:t>prior to</w:t>
      </w:r>
      <w:r>
        <w:t xml:space="preserve"> his exploits. </w:t>
      </w:r>
      <w:r w:rsidR="00CE6703">
        <w:t xml:space="preserve">Another </w:t>
      </w:r>
      <w:r>
        <w:t xml:space="preserve">difference found within this essay was that Gilgamesh lives despite him angering the gods, however Orion is killed because he did so. </w:t>
      </w:r>
    </w:p>
    <w:p w14:paraId="4F90150C" w14:textId="580B1EF4" w:rsidR="0016151B" w:rsidRDefault="0016151B" w:rsidP="00C17FCB">
      <w:pPr>
        <w:spacing w:line="360" w:lineRule="auto"/>
        <w:jc w:val="both"/>
      </w:pPr>
    </w:p>
    <w:p w14:paraId="7CB59577" w14:textId="77777777" w:rsidR="00800910" w:rsidRDefault="00A35C1B" w:rsidP="00C17FCB">
      <w:pPr>
        <w:spacing w:line="360" w:lineRule="auto"/>
        <w:jc w:val="both"/>
      </w:pPr>
      <w:r>
        <w:t xml:space="preserve">As stated in the introduction, </w:t>
      </w:r>
      <w:proofErr w:type="spellStart"/>
      <w:r>
        <w:t>Aveni</w:t>
      </w:r>
      <w:proofErr w:type="spellEnd"/>
      <w:r>
        <w:t xml:space="preserve"> defined </w:t>
      </w:r>
      <w:r w:rsidR="00870B06">
        <w:t xml:space="preserve">the role of </w:t>
      </w:r>
      <w:r>
        <w:t>a sky myth as</w:t>
      </w:r>
      <w:r w:rsidR="00870B06">
        <w:t xml:space="preserve"> a mode of explaining natural phenomena and that the sky can act as a canvas for telling stories. This can certainly be pertained to the myth of Orion and Hesiod states that both Orion and the Scorpion were placed in the stars by Zeus. However, w</w:t>
      </w:r>
      <w:r w:rsidR="00E6249E">
        <w:t>hen critically examining the primary and secondary sources for Gilgamesh, the epic</w:t>
      </w:r>
      <w:r w:rsidR="00154FA9">
        <w:t xml:space="preserve"> lacks definite astronomical </w:t>
      </w:r>
      <w:r w:rsidR="003A0C7F">
        <w:t>associations</w:t>
      </w:r>
      <w:r w:rsidR="00E6249E">
        <w:t xml:space="preserve">. </w:t>
      </w:r>
      <w:r w:rsidR="008F7AA3">
        <w:t xml:space="preserve">A part of this is due to </w:t>
      </w:r>
      <w:r w:rsidR="00C17FCB">
        <w:t xml:space="preserve">the </w:t>
      </w:r>
      <w:r w:rsidR="00C17FCB">
        <w:rPr>
          <w:i/>
          <w:iCs/>
        </w:rPr>
        <w:t>Epic of Gilgamesh</w:t>
      </w:r>
      <w:r w:rsidR="00C17FCB">
        <w:t xml:space="preserve"> </w:t>
      </w:r>
      <w:r w:rsidR="008F7AA3">
        <w:t xml:space="preserve">mainly </w:t>
      </w:r>
      <w:r w:rsidR="00C17FCB">
        <w:t xml:space="preserve">being </w:t>
      </w:r>
      <w:r w:rsidR="008F7AA3">
        <w:t xml:space="preserve">viewed by secondary academic sources through a humanist and historical </w:t>
      </w:r>
      <w:r w:rsidR="0016151B" w:rsidRPr="0016151B">
        <w:t>lens</w:t>
      </w:r>
      <w:r w:rsidR="008F7AA3">
        <w:t xml:space="preserve"> </w:t>
      </w:r>
      <w:r w:rsidR="0016151B">
        <w:t xml:space="preserve">rather than </w:t>
      </w:r>
      <w:r w:rsidR="00C17FCB">
        <w:t xml:space="preserve">an </w:t>
      </w:r>
      <w:r w:rsidR="008F7AA3">
        <w:t>astronomical</w:t>
      </w:r>
      <w:r w:rsidR="00C17FCB">
        <w:t xml:space="preserve"> one</w:t>
      </w:r>
      <w:r w:rsidR="008F7AA3">
        <w:t>.</w:t>
      </w:r>
      <w:r w:rsidR="00C17FCB">
        <w:t xml:space="preserve"> It could be argued that non-academic authors are paving the way for the </w:t>
      </w:r>
      <w:r w:rsidR="0046563A">
        <w:t>latter</w:t>
      </w:r>
      <w:r w:rsidR="00C272AA">
        <w:t xml:space="preserve"> such as Ellis or Stephany</w:t>
      </w:r>
      <w:r w:rsidR="0046563A">
        <w:t>,</w:t>
      </w:r>
      <w:r w:rsidR="00C17FCB">
        <w:t xml:space="preserve"> but it may not stay true to </w:t>
      </w:r>
      <w:r w:rsidR="00C17FCB">
        <w:lastRenderedPageBreak/>
        <w:t>the primary source and offer only speculation.</w:t>
      </w:r>
      <w:r w:rsidR="008F7AA3">
        <w:t xml:space="preserve"> </w:t>
      </w:r>
      <w:r w:rsidR="00C272AA">
        <w:t>The hint of astronomical association comes from the use of the term ‘Bull of Heaven’ and the same term is found in Assyrian omens which confirms that the Bull of Heaven is referring to the constellation of Taurus</w:t>
      </w:r>
      <w:r w:rsidR="00A1316F">
        <w:t>. T</w:t>
      </w:r>
      <w:r w:rsidR="00C272AA">
        <w:t xml:space="preserve">his has been academically verified by scholars such as </w:t>
      </w:r>
      <w:proofErr w:type="spellStart"/>
      <w:r w:rsidR="00C272AA">
        <w:t>Soltysiak</w:t>
      </w:r>
      <w:proofErr w:type="spellEnd"/>
      <w:r w:rsidR="00800910">
        <w:t>,</w:t>
      </w:r>
      <w:r w:rsidR="00C272AA">
        <w:t xml:space="preserve"> for example.</w:t>
      </w:r>
      <w:r w:rsidR="00870B06">
        <w:t xml:space="preserve"> </w:t>
      </w:r>
    </w:p>
    <w:p w14:paraId="2F4DBD61" w14:textId="77777777" w:rsidR="00800910" w:rsidRDefault="00800910" w:rsidP="00C17FCB">
      <w:pPr>
        <w:spacing w:line="360" w:lineRule="auto"/>
        <w:jc w:val="both"/>
      </w:pPr>
    </w:p>
    <w:p w14:paraId="31D1C5A9" w14:textId="5D34026B" w:rsidR="00C272AA" w:rsidRDefault="00870B06" w:rsidP="00C17FCB">
      <w:pPr>
        <w:spacing w:line="360" w:lineRule="auto"/>
        <w:jc w:val="both"/>
      </w:pPr>
      <w:r>
        <w:t xml:space="preserve">The research for this assignment </w:t>
      </w:r>
      <w:r w:rsidRPr="00800910">
        <w:t>also</w:t>
      </w:r>
      <w:r>
        <w:t xml:space="preserve"> uncovered the relation between the dates of </w:t>
      </w:r>
      <w:r>
        <w:t xml:space="preserve">the </w:t>
      </w:r>
      <w:r>
        <w:rPr>
          <w:i/>
          <w:iCs/>
        </w:rPr>
        <w:t>Epic of Gilgamesh</w:t>
      </w:r>
      <w:r>
        <w:rPr>
          <w:i/>
          <w:iCs/>
        </w:rPr>
        <w:t xml:space="preserve"> </w:t>
      </w:r>
      <w:r>
        <w:t>to that of the Mesopotamian New Year that occurred in Taurus.</w:t>
      </w:r>
      <w:r w:rsidR="00C272AA">
        <w:t xml:space="preserve"> Other supporting evidence linking Gilgamesh to being a sky myth is the likelihood of Greek authors being familiar the </w:t>
      </w:r>
      <w:r w:rsidR="00C272AA">
        <w:rPr>
          <w:i/>
          <w:iCs/>
        </w:rPr>
        <w:t>Epic of Gilgamesh</w:t>
      </w:r>
      <w:r w:rsidR="00C272AA">
        <w:rPr>
          <w:i/>
          <w:iCs/>
        </w:rPr>
        <w:t xml:space="preserve"> </w:t>
      </w:r>
      <w:r w:rsidR="00C272AA">
        <w:t xml:space="preserve">due to similarities found in works such as </w:t>
      </w:r>
      <w:r w:rsidR="00C272AA">
        <w:rPr>
          <w:i/>
          <w:iCs/>
        </w:rPr>
        <w:t xml:space="preserve">The Iliad. </w:t>
      </w:r>
      <w:r w:rsidR="00A1316F">
        <w:t>Thus,</w:t>
      </w:r>
      <w:r w:rsidR="00C272AA">
        <w:t xml:space="preserve"> reinforcing the notion that the myth of Orion may have been influenced from the stories of Gilgamesh and other Mesopotamian texts. </w:t>
      </w:r>
      <w:r w:rsidR="00F05074">
        <w:t>This possibility provides credibility to a myth being defined</w:t>
      </w:r>
      <w:r w:rsidR="00F05074" w:rsidRPr="00F05074">
        <w:t xml:space="preserve"> </w:t>
      </w:r>
      <w:r w:rsidR="00F05074">
        <w:t>by its suitability for being told and retold</w:t>
      </w:r>
      <w:r w:rsidR="00F05074">
        <w:t xml:space="preserve">, hypothesized by Burkert. </w:t>
      </w:r>
    </w:p>
    <w:p w14:paraId="1CC6B1C4" w14:textId="77777777" w:rsidR="00F05074" w:rsidRDefault="00F05074" w:rsidP="00C17FCB">
      <w:pPr>
        <w:spacing w:line="360" w:lineRule="auto"/>
        <w:jc w:val="both"/>
      </w:pPr>
    </w:p>
    <w:p w14:paraId="11339797" w14:textId="105D0813" w:rsidR="00F05074" w:rsidRPr="00C272AA" w:rsidRDefault="00F05074" w:rsidP="00C17FCB">
      <w:pPr>
        <w:spacing w:line="360" w:lineRule="auto"/>
        <w:jc w:val="both"/>
      </w:pPr>
      <w:r>
        <w:t>If sky myths play the role of explaining natural phenomena in the skies to the ancient people of Mesopotamian or Greece, then the myths chosen for this essay have done so. They have explained the constellations, Orion, Taurus and Scorpio for example, but also pre</w:t>
      </w:r>
      <w:r w:rsidR="00C97885">
        <w:t>c</w:t>
      </w:r>
      <w:r>
        <w:t xml:space="preserve">ession of the equinoxes that establish the New Year. </w:t>
      </w:r>
    </w:p>
    <w:p w14:paraId="22C102D8" w14:textId="77777777" w:rsidR="00C272AA" w:rsidRDefault="00C272AA" w:rsidP="00C17FCB">
      <w:pPr>
        <w:spacing w:line="360" w:lineRule="auto"/>
        <w:jc w:val="both"/>
      </w:pPr>
    </w:p>
    <w:p w14:paraId="53C219BE" w14:textId="77777777" w:rsidR="00A43B52" w:rsidRDefault="00A43B52" w:rsidP="009E51C6">
      <w:pPr>
        <w:spacing w:line="360" w:lineRule="auto"/>
      </w:pPr>
    </w:p>
    <w:p w14:paraId="5CC5C2C7" w14:textId="5B1BD659" w:rsidR="00383AC1" w:rsidRDefault="00383AC1" w:rsidP="00171943">
      <w:pPr>
        <w:spacing w:line="360" w:lineRule="auto"/>
        <w:jc w:val="center"/>
        <w:rPr>
          <w:u w:val="single"/>
        </w:rPr>
      </w:pPr>
    </w:p>
    <w:p w14:paraId="68FDA574" w14:textId="77777777" w:rsidR="00383AC1" w:rsidRDefault="00383AC1" w:rsidP="00171943">
      <w:pPr>
        <w:spacing w:line="360" w:lineRule="auto"/>
        <w:jc w:val="center"/>
        <w:rPr>
          <w:u w:val="single"/>
        </w:rPr>
      </w:pPr>
    </w:p>
    <w:p w14:paraId="4493098C" w14:textId="77777777" w:rsidR="00383AC1" w:rsidRDefault="00383AC1" w:rsidP="00171943">
      <w:pPr>
        <w:spacing w:line="360" w:lineRule="auto"/>
        <w:jc w:val="center"/>
        <w:rPr>
          <w:u w:val="single"/>
        </w:rPr>
      </w:pPr>
    </w:p>
    <w:p w14:paraId="16826AE7" w14:textId="77777777" w:rsidR="00383AC1" w:rsidRDefault="00383AC1" w:rsidP="00171943">
      <w:pPr>
        <w:spacing w:line="360" w:lineRule="auto"/>
        <w:jc w:val="center"/>
        <w:rPr>
          <w:u w:val="single"/>
        </w:rPr>
      </w:pPr>
    </w:p>
    <w:p w14:paraId="0D8EE922" w14:textId="77777777" w:rsidR="00383AC1" w:rsidRDefault="00383AC1" w:rsidP="00171943">
      <w:pPr>
        <w:spacing w:line="360" w:lineRule="auto"/>
        <w:jc w:val="center"/>
        <w:rPr>
          <w:u w:val="single"/>
        </w:rPr>
      </w:pPr>
    </w:p>
    <w:p w14:paraId="718704D9" w14:textId="77777777" w:rsidR="00383AC1" w:rsidRDefault="00383AC1" w:rsidP="00A35C1B">
      <w:pPr>
        <w:spacing w:line="360" w:lineRule="auto"/>
        <w:rPr>
          <w:u w:val="single"/>
        </w:rPr>
      </w:pPr>
    </w:p>
    <w:p w14:paraId="7453816B" w14:textId="77777777" w:rsidR="00383AC1" w:rsidRDefault="00383AC1" w:rsidP="00B9401A">
      <w:pPr>
        <w:spacing w:line="360" w:lineRule="auto"/>
        <w:rPr>
          <w:u w:val="single"/>
        </w:rPr>
      </w:pPr>
    </w:p>
    <w:p w14:paraId="7D2CCAC0" w14:textId="77777777" w:rsidR="00383AC1" w:rsidRDefault="00383AC1" w:rsidP="00171943">
      <w:pPr>
        <w:spacing w:line="360" w:lineRule="auto"/>
        <w:jc w:val="center"/>
        <w:rPr>
          <w:u w:val="single"/>
        </w:rPr>
      </w:pPr>
    </w:p>
    <w:p w14:paraId="09E8CDC6" w14:textId="77777777" w:rsidR="00C97885" w:rsidRDefault="00C97885" w:rsidP="00171943">
      <w:pPr>
        <w:spacing w:line="360" w:lineRule="auto"/>
        <w:jc w:val="center"/>
        <w:rPr>
          <w:u w:val="single"/>
        </w:rPr>
      </w:pPr>
    </w:p>
    <w:p w14:paraId="5CD12A0E" w14:textId="77777777" w:rsidR="00C97885" w:rsidRDefault="00C97885" w:rsidP="00171943">
      <w:pPr>
        <w:spacing w:line="360" w:lineRule="auto"/>
        <w:jc w:val="center"/>
        <w:rPr>
          <w:u w:val="single"/>
        </w:rPr>
      </w:pPr>
    </w:p>
    <w:p w14:paraId="4E5B0501" w14:textId="77777777" w:rsidR="00C97885" w:rsidRDefault="00C97885" w:rsidP="00171943">
      <w:pPr>
        <w:spacing w:line="360" w:lineRule="auto"/>
        <w:jc w:val="center"/>
        <w:rPr>
          <w:u w:val="single"/>
        </w:rPr>
      </w:pPr>
    </w:p>
    <w:p w14:paraId="50E13EF5" w14:textId="77777777" w:rsidR="00C97885" w:rsidRDefault="00C97885" w:rsidP="00171943">
      <w:pPr>
        <w:spacing w:line="360" w:lineRule="auto"/>
        <w:jc w:val="center"/>
        <w:rPr>
          <w:u w:val="single"/>
        </w:rPr>
      </w:pPr>
    </w:p>
    <w:p w14:paraId="6636A23E" w14:textId="77777777" w:rsidR="00C97885" w:rsidRDefault="00C97885" w:rsidP="00171943">
      <w:pPr>
        <w:spacing w:line="360" w:lineRule="auto"/>
        <w:jc w:val="center"/>
        <w:rPr>
          <w:u w:val="single"/>
        </w:rPr>
      </w:pPr>
    </w:p>
    <w:p w14:paraId="309E0037" w14:textId="77777777" w:rsidR="00C97885" w:rsidRDefault="00C97885" w:rsidP="00171943">
      <w:pPr>
        <w:spacing w:line="360" w:lineRule="auto"/>
        <w:jc w:val="center"/>
        <w:rPr>
          <w:u w:val="single"/>
        </w:rPr>
      </w:pPr>
    </w:p>
    <w:p w14:paraId="652566C5" w14:textId="77777777" w:rsidR="00C97885" w:rsidRDefault="00C97885" w:rsidP="00171943">
      <w:pPr>
        <w:spacing w:line="360" w:lineRule="auto"/>
        <w:jc w:val="center"/>
        <w:rPr>
          <w:u w:val="single"/>
        </w:rPr>
      </w:pPr>
    </w:p>
    <w:p w14:paraId="5384CBF4" w14:textId="387B16C5" w:rsidR="00A43B52" w:rsidRDefault="00171943" w:rsidP="00171943">
      <w:pPr>
        <w:spacing w:line="360" w:lineRule="auto"/>
        <w:jc w:val="center"/>
        <w:rPr>
          <w:u w:val="single"/>
        </w:rPr>
      </w:pPr>
      <w:r w:rsidRPr="00171943">
        <w:rPr>
          <w:u w:val="single"/>
        </w:rPr>
        <w:lastRenderedPageBreak/>
        <w:t>Bibliography</w:t>
      </w:r>
    </w:p>
    <w:p w14:paraId="192D57AA" w14:textId="77777777" w:rsidR="00171943" w:rsidRDefault="00171943" w:rsidP="00171943">
      <w:pPr>
        <w:spacing w:line="360" w:lineRule="auto"/>
        <w:jc w:val="center"/>
        <w:rPr>
          <w:u w:val="single"/>
        </w:rPr>
      </w:pPr>
    </w:p>
    <w:p w14:paraId="7E2FAF5C" w14:textId="46045015" w:rsidR="00383AC1" w:rsidRDefault="00383AC1" w:rsidP="00383AC1">
      <w:pPr>
        <w:spacing w:line="360" w:lineRule="auto"/>
      </w:pPr>
      <w:r>
        <w:t xml:space="preserve">Andrew George, </w:t>
      </w:r>
      <w:r>
        <w:rPr>
          <w:i/>
          <w:iCs/>
        </w:rPr>
        <w:t xml:space="preserve">The Epic of Gilgamesh </w:t>
      </w:r>
      <w:r>
        <w:t>(London: The Penguin Press, 1999).</w:t>
      </w:r>
    </w:p>
    <w:p w14:paraId="3B926A6F" w14:textId="77777777" w:rsidR="00383AC1" w:rsidRDefault="00383AC1" w:rsidP="00383AC1">
      <w:pPr>
        <w:spacing w:line="360" w:lineRule="auto"/>
      </w:pPr>
    </w:p>
    <w:p w14:paraId="45734238" w14:textId="74DC6464" w:rsidR="00383AC1" w:rsidRDefault="00383AC1" w:rsidP="00383AC1">
      <w:pPr>
        <w:pStyle w:val="FootnoteText"/>
        <w:rPr>
          <w:sz w:val="24"/>
          <w:szCs w:val="24"/>
        </w:rPr>
      </w:pPr>
      <w:proofErr w:type="spellStart"/>
      <w:r w:rsidRPr="00383AC1">
        <w:rPr>
          <w:sz w:val="24"/>
          <w:szCs w:val="24"/>
        </w:rPr>
        <w:t>Atsma</w:t>
      </w:r>
      <w:proofErr w:type="spellEnd"/>
      <w:r w:rsidRPr="00383AC1">
        <w:rPr>
          <w:sz w:val="24"/>
          <w:szCs w:val="24"/>
        </w:rPr>
        <w:t xml:space="preserve">, A. J. </w:t>
      </w:r>
      <w:r w:rsidRPr="00383AC1">
        <w:rPr>
          <w:i/>
          <w:iCs/>
          <w:sz w:val="24"/>
          <w:szCs w:val="24"/>
        </w:rPr>
        <w:t xml:space="preserve">Hesiod: Fragments </w:t>
      </w:r>
      <w:r w:rsidRPr="00383AC1">
        <w:rPr>
          <w:sz w:val="24"/>
          <w:szCs w:val="24"/>
        </w:rPr>
        <w:t>(2017) https://www.theoi.com/Text/HesiodMiscellany.html [accessed 19th December 2024].</w:t>
      </w:r>
    </w:p>
    <w:p w14:paraId="495FC351" w14:textId="77777777" w:rsidR="00383AC1" w:rsidRDefault="00383AC1" w:rsidP="00383AC1">
      <w:pPr>
        <w:pStyle w:val="FootnoteText"/>
        <w:rPr>
          <w:sz w:val="24"/>
          <w:szCs w:val="24"/>
        </w:rPr>
      </w:pPr>
    </w:p>
    <w:p w14:paraId="7241184B" w14:textId="77777777" w:rsidR="00383AC1" w:rsidRDefault="00383AC1" w:rsidP="00383AC1">
      <w:pPr>
        <w:pStyle w:val="FootnoteText"/>
        <w:rPr>
          <w:sz w:val="24"/>
          <w:szCs w:val="24"/>
        </w:rPr>
      </w:pPr>
    </w:p>
    <w:p w14:paraId="64B4F259" w14:textId="0B5B8C4A" w:rsidR="00383AC1" w:rsidRDefault="00383AC1" w:rsidP="00383AC1">
      <w:pPr>
        <w:pStyle w:val="FootnoteText"/>
        <w:rPr>
          <w:sz w:val="24"/>
          <w:szCs w:val="24"/>
        </w:rPr>
      </w:pPr>
      <w:proofErr w:type="spellStart"/>
      <w:r w:rsidRPr="00171943">
        <w:rPr>
          <w:sz w:val="24"/>
          <w:szCs w:val="24"/>
        </w:rPr>
        <w:t>Aveni</w:t>
      </w:r>
      <w:proofErr w:type="spellEnd"/>
      <w:r w:rsidRPr="00171943">
        <w:rPr>
          <w:sz w:val="24"/>
          <w:szCs w:val="24"/>
        </w:rPr>
        <w:t xml:space="preserve">, A. </w:t>
      </w:r>
      <w:r w:rsidRPr="00171943">
        <w:rPr>
          <w:i/>
          <w:iCs/>
          <w:sz w:val="24"/>
          <w:szCs w:val="24"/>
        </w:rPr>
        <w:t xml:space="preserve">Star Stories: Constellations and People </w:t>
      </w:r>
      <w:r w:rsidRPr="00171943">
        <w:rPr>
          <w:sz w:val="24"/>
          <w:szCs w:val="24"/>
        </w:rPr>
        <w:t>(Connecticut: Yale University Press, 2019).</w:t>
      </w:r>
    </w:p>
    <w:p w14:paraId="30EE6130" w14:textId="77777777" w:rsidR="00383AC1" w:rsidRDefault="00383AC1" w:rsidP="00383AC1">
      <w:pPr>
        <w:pStyle w:val="FootnoteText"/>
        <w:rPr>
          <w:sz w:val="24"/>
          <w:szCs w:val="24"/>
        </w:rPr>
      </w:pPr>
    </w:p>
    <w:p w14:paraId="7328445D" w14:textId="77777777" w:rsidR="00383AC1" w:rsidRPr="00383AC1" w:rsidRDefault="00383AC1" w:rsidP="00383AC1">
      <w:pPr>
        <w:pStyle w:val="FootnoteText"/>
        <w:rPr>
          <w:sz w:val="24"/>
          <w:szCs w:val="24"/>
        </w:rPr>
      </w:pPr>
    </w:p>
    <w:p w14:paraId="0CC22676" w14:textId="77777777" w:rsidR="00383AC1" w:rsidRDefault="00383AC1" w:rsidP="00383AC1">
      <w:pPr>
        <w:pStyle w:val="FootnoteText"/>
        <w:rPr>
          <w:sz w:val="24"/>
          <w:szCs w:val="24"/>
        </w:rPr>
      </w:pPr>
      <w:r w:rsidRPr="00E62CFF">
        <w:rPr>
          <w:sz w:val="24"/>
          <w:szCs w:val="24"/>
        </w:rPr>
        <w:t xml:space="preserve">Baigent, M. </w:t>
      </w:r>
      <w:r w:rsidRPr="00E62CFF">
        <w:rPr>
          <w:i/>
          <w:iCs/>
          <w:sz w:val="24"/>
          <w:szCs w:val="24"/>
        </w:rPr>
        <w:t xml:space="preserve">Astrology in Ancient Mesopotamia: The Science of Omens and the Knowledge of the Heavens, </w:t>
      </w:r>
      <w:r w:rsidRPr="00E62CFF">
        <w:rPr>
          <w:sz w:val="24"/>
          <w:szCs w:val="24"/>
        </w:rPr>
        <w:t xml:space="preserve">(London: </w:t>
      </w:r>
      <w:proofErr w:type="spellStart"/>
      <w:r w:rsidRPr="00E62CFF">
        <w:rPr>
          <w:sz w:val="24"/>
          <w:szCs w:val="24"/>
        </w:rPr>
        <w:t>Arkana</w:t>
      </w:r>
      <w:proofErr w:type="spellEnd"/>
      <w:r w:rsidRPr="00E62CFF">
        <w:rPr>
          <w:sz w:val="24"/>
          <w:szCs w:val="24"/>
        </w:rPr>
        <w:t>, 1994).</w:t>
      </w:r>
    </w:p>
    <w:p w14:paraId="76ABF1AE" w14:textId="77777777" w:rsidR="00383AC1" w:rsidRDefault="00383AC1" w:rsidP="00383AC1">
      <w:pPr>
        <w:pStyle w:val="FootnoteText"/>
        <w:rPr>
          <w:sz w:val="24"/>
          <w:szCs w:val="24"/>
        </w:rPr>
      </w:pPr>
    </w:p>
    <w:p w14:paraId="5BFBBEAD" w14:textId="77777777" w:rsidR="00383AC1" w:rsidRDefault="00383AC1" w:rsidP="00383AC1">
      <w:pPr>
        <w:pStyle w:val="FootnoteText"/>
        <w:rPr>
          <w:sz w:val="24"/>
          <w:szCs w:val="24"/>
        </w:rPr>
      </w:pPr>
    </w:p>
    <w:p w14:paraId="2485E758" w14:textId="77777777" w:rsidR="00383AC1" w:rsidRDefault="00383AC1" w:rsidP="00383AC1">
      <w:pPr>
        <w:pStyle w:val="FootnoteText"/>
        <w:rPr>
          <w:sz w:val="24"/>
          <w:szCs w:val="24"/>
        </w:rPr>
      </w:pPr>
      <w:proofErr w:type="spellStart"/>
      <w:r w:rsidRPr="00383AC1">
        <w:rPr>
          <w:sz w:val="24"/>
          <w:szCs w:val="24"/>
        </w:rPr>
        <w:t>Berti</w:t>
      </w:r>
      <w:proofErr w:type="spellEnd"/>
      <w:r w:rsidRPr="00383AC1">
        <w:rPr>
          <w:sz w:val="24"/>
          <w:szCs w:val="24"/>
        </w:rPr>
        <w:t xml:space="preserve">, E. ‘Orion's Club. A Note on Germanicus, </w:t>
      </w:r>
      <w:proofErr w:type="spellStart"/>
      <w:r w:rsidRPr="00383AC1">
        <w:rPr>
          <w:sz w:val="24"/>
          <w:szCs w:val="24"/>
        </w:rPr>
        <w:t>Arati</w:t>
      </w:r>
      <w:proofErr w:type="spellEnd"/>
      <w:r w:rsidRPr="00383AC1">
        <w:rPr>
          <w:sz w:val="24"/>
          <w:szCs w:val="24"/>
        </w:rPr>
        <w:t xml:space="preserve"> Phaenomena 651’, in </w:t>
      </w:r>
      <w:r w:rsidRPr="00383AC1">
        <w:rPr>
          <w:i/>
          <w:iCs/>
          <w:sz w:val="24"/>
          <w:szCs w:val="24"/>
        </w:rPr>
        <w:t xml:space="preserve">The Classical Quarterly </w:t>
      </w:r>
      <w:r w:rsidRPr="00383AC1">
        <w:rPr>
          <w:sz w:val="24"/>
          <w:szCs w:val="24"/>
        </w:rPr>
        <w:t>vol.69 (2), (Cambridge: Cambridge University Press, 2019).</w:t>
      </w:r>
    </w:p>
    <w:p w14:paraId="32474349" w14:textId="77777777" w:rsidR="00383AC1" w:rsidRPr="00383AC1" w:rsidRDefault="00383AC1" w:rsidP="00383AC1">
      <w:pPr>
        <w:pStyle w:val="FootnoteText"/>
        <w:rPr>
          <w:sz w:val="24"/>
          <w:szCs w:val="24"/>
        </w:rPr>
      </w:pPr>
    </w:p>
    <w:p w14:paraId="136F00FF" w14:textId="77777777" w:rsidR="00383AC1" w:rsidRPr="00171943" w:rsidRDefault="00383AC1" w:rsidP="00383AC1">
      <w:pPr>
        <w:pStyle w:val="FootnoteText"/>
        <w:rPr>
          <w:sz w:val="24"/>
          <w:szCs w:val="24"/>
        </w:rPr>
      </w:pPr>
    </w:p>
    <w:p w14:paraId="44AB3C1F" w14:textId="77777777" w:rsidR="00383AC1" w:rsidRDefault="00383AC1" w:rsidP="00383AC1">
      <w:pPr>
        <w:pStyle w:val="FootnoteText"/>
        <w:rPr>
          <w:sz w:val="24"/>
          <w:szCs w:val="24"/>
        </w:rPr>
      </w:pPr>
      <w:proofErr w:type="spellStart"/>
      <w:r w:rsidRPr="00383AC1">
        <w:rPr>
          <w:sz w:val="24"/>
          <w:szCs w:val="24"/>
        </w:rPr>
        <w:t>Burkurt</w:t>
      </w:r>
      <w:proofErr w:type="spellEnd"/>
      <w:r w:rsidRPr="00383AC1">
        <w:rPr>
          <w:sz w:val="24"/>
          <w:szCs w:val="24"/>
        </w:rPr>
        <w:t xml:space="preserve">, W. </w:t>
      </w:r>
      <w:r w:rsidRPr="00383AC1">
        <w:rPr>
          <w:i/>
          <w:iCs/>
          <w:sz w:val="24"/>
          <w:szCs w:val="24"/>
        </w:rPr>
        <w:t xml:space="preserve">Homo </w:t>
      </w:r>
      <w:proofErr w:type="spellStart"/>
      <w:r w:rsidRPr="00383AC1">
        <w:rPr>
          <w:i/>
          <w:iCs/>
          <w:sz w:val="24"/>
          <w:szCs w:val="24"/>
        </w:rPr>
        <w:t>Necans</w:t>
      </w:r>
      <w:proofErr w:type="spellEnd"/>
      <w:r w:rsidRPr="00383AC1">
        <w:rPr>
          <w:i/>
          <w:iCs/>
          <w:sz w:val="24"/>
          <w:szCs w:val="24"/>
        </w:rPr>
        <w:t xml:space="preserve">: The Anthropology of Ancient Greek Sacrificial Ritual and Myth </w:t>
      </w:r>
      <w:r w:rsidRPr="00383AC1">
        <w:rPr>
          <w:sz w:val="24"/>
          <w:szCs w:val="24"/>
        </w:rPr>
        <w:t>(California: University of California Press).</w:t>
      </w:r>
    </w:p>
    <w:p w14:paraId="00EC59FF" w14:textId="77777777" w:rsidR="00610255" w:rsidRDefault="00610255" w:rsidP="00383AC1">
      <w:pPr>
        <w:pStyle w:val="FootnoteText"/>
        <w:rPr>
          <w:sz w:val="24"/>
          <w:szCs w:val="24"/>
        </w:rPr>
      </w:pPr>
    </w:p>
    <w:p w14:paraId="7748AC68" w14:textId="77777777" w:rsidR="00610255" w:rsidRDefault="00610255" w:rsidP="00383AC1">
      <w:pPr>
        <w:pStyle w:val="FootnoteText"/>
        <w:rPr>
          <w:sz w:val="24"/>
          <w:szCs w:val="24"/>
        </w:rPr>
      </w:pPr>
    </w:p>
    <w:p w14:paraId="554227C7" w14:textId="4BD100A7" w:rsidR="00610255" w:rsidRPr="00610255" w:rsidRDefault="00610255" w:rsidP="00383AC1">
      <w:pPr>
        <w:pStyle w:val="FootnoteText"/>
        <w:rPr>
          <w:sz w:val="24"/>
          <w:szCs w:val="24"/>
        </w:rPr>
      </w:pPr>
      <w:r w:rsidRPr="00610255">
        <w:rPr>
          <w:sz w:val="24"/>
          <w:szCs w:val="24"/>
        </w:rPr>
        <w:t>Burkert,</w:t>
      </w:r>
      <w:r w:rsidRPr="00610255">
        <w:rPr>
          <w:sz w:val="24"/>
          <w:szCs w:val="24"/>
        </w:rPr>
        <w:t xml:space="preserve"> W.</w:t>
      </w:r>
      <w:r w:rsidRPr="00610255">
        <w:rPr>
          <w:sz w:val="24"/>
          <w:szCs w:val="24"/>
        </w:rPr>
        <w:t xml:space="preserve"> ‘Chapter Twenty: Near Eastern Connections’, in Foley</w:t>
      </w:r>
      <w:r w:rsidRPr="00610255">
        <w:rPr>
          <w:sz w:val="24"/>
          <w:szCs w:val="24"/>
        </w:rPr>
        <w:t>, J. M.</w:t>
      </w:r>
      <w:r w:rsidRPr="00610255">
        <w:rPr>
          <w:sz w:val="24"/>
          <w:szCs w:val="24"/>
        </w:rPr>
        <w:t xml:space="preserve"> (ed.) </w:t>
      </w:r>
      <w:r w:rsidRPr="00610255">
        <w:rPr>
          <w:i/>
          <w:iCs/>
          <w:sz w:val="24"/>
          <w:szCs w:val="24"/>
        </w:rPr>
        <w:t xml:space="preserve">A Companion to Ancient Epic </w:t>
      </w:r>
      <w:r w:rsidRPr="00610255">
        <w:rPr>
          <w:sz w:val="24"/>
          <w:szCs w:val="24"/>
        </w:rPr>
        <w:t>(New York: Blackwell Publishing, 20</w:t>
      </w:r>
      <w:r w:rsidRPr="00610255">
        <w:rPr>
          <w:sz w:val="24"/>
          <w:szCs w:val="24"/>
        </w:rPr>
        <w:t>05</w:t>
      </w:r>
      <w:r w:rsidRPr="00610255">
        <w:rPr>
          <w:sz w:val="24"/>
          <w:szCs w:val="24"/>
        </w:rPr>
        <w:t>).</w:t>
      </w:r>
    </w:p>
    <w:p w14:paraId="0D2003DE" w14:textId="77777777" w:rsidR="00383AC1" w:rsidRDefault="00383AC1" w:rsidP="00383AC1">
      <w:pPr>
        <w:pStyle w:val="FootnoteText"/>
        <w:rPr>
          <w:sz w:val="24"/>
          <w:szCs w:val="24"/>
        </w:rPr>
      </w:pPr>
    </w:p>
    <w:p w14:paraId="4C30EB3F" w14:textId="77777777" w:rsidR="00383AC1" w:rsidRDefault="00383AC1" w:rsidP="00383AC1">
      <w:pPr>
        <w:pStyle w:val="FootnoteText"/>
        <w:rPr>
          <w:sz w:val="24"/>
          <w:szCs w:val="24"/>
        </w:rPr>
      </w:pPr>
    </w:p>
    <w:p w14:paraId="057009DC" w14:textId="721668BA" w:rsidR="00383AC1" w:rsidRDefault="00383AC1" w:rsidP="00383AC1">
      <w:pPr>
        <w:pStyle w:val="FootnoteText"/>
        <w:rPr>
          <w:sz w:val="24"/>
          <w:szCs w:val="24"/>
        </w:rPr>
      </w:pPr>
      <w:r w:rsidRPr="00171943">
        <w:rPr>
          <w:sz w:val="24"/>
          <w:szCs w:val="24"/>
        </w:rPr>
        <w:t xml:space="preserve">Burton, F. H. ‘The worship of the Roman Emperors’, in </w:t>
      </w:r>
      <w:r w:rsidRPr="00171943">
        <w:rPr>
          <w:i/>
          <w:iCs/>
          <w:sz w:val="24"/>
          <w:szCs w:val="24"/>
        </w:rPr>
        <w:t xml:space="preserve">The Biblical World, </w:t>
      </w:r>
      <w:r w:rsidRPr="00171943">
        <w:rPr>
          <w:sz w:val="24"/>
          <w:szCs w:val="24"/>
        </w:rPr>
        <w:t>vol.40 (2), (Chicago: Chicago University Press, 1912).</w:t>
      </w:r>
    </w:p>
    <w:p w14:paraId="79951FD0" w14:textId="77777777" w:rsidR="00383AC1" w:rsidRDefault="00383AC1" w:rsidP="00383AC1">
      <w:pPr>
        <w:pStyle w:val="FootnoteText"/>
        <w:rPr>
          <w:sz w:val="24"/>
          <w:szCs w:val="24"/>
        </w:rPr>
      </w:pPr>
    </w:p>
    <w:p w14:paraId="37655C7F" w14:textId="77777777" w:rsidR="00383AC1" w:rsidRDefault="00383AC1" w:rsidP="00171943">
      <w:pPr>
        <w:pStyle w:val="FootnoteText"/>
        <w:rPr>
          <w:sz w:val="24"/>
          <w:szCs w:val="24"/>
        </w:rPr>
      </w:pPr>
    </w:p>
    <w:p w14:paraId="20191C00" w14:textId="6DC19B07" w:rsidR="00171943" w:rsidRDefault="00171943" w:rsidP="00171943">
      <w:pPr>
        <w:pStyle w:val="FootnoteText"/>
        <w:rPr>
          <w:color w:val="000000"/>
          <w:sz w:val="24"/>
          <w:szCs w:val="24"/>
        </w:rPr>
      </w:pPr>
      <w:r w:rsidRPr="00E62CFF">
        <w:rPr>
          <w:sz w:val="24"/>
          <w:szCs w:val="24"/>
        </w:rPr>
        <w:t xml:space="preserve">Campion, N. </w:t>
      </w:r>
      <w:r w:rsidRPr="00E62CFF">
        <w:rPr>
          <w:i/>
          <w:iCs/>
          <w:sz w:val="24"/>
          <w:szCs w:val="24"/>
        </w:rPr>
        <w:t>The Dawn of Astrology: A Cultural History of Western Astrology: The Ancient and Classical Worlds</w:t>
      </w:r>
      <w:r w:rsidRPr="00E62CFF">
        <w:rPr>
          <w:sz w:val="24"/>
          <w:szCs w:val="24"/>
        </w:rPr>
        <w:t>,</w:t>
      </w:r>
      <w:r w:rsidRPr="00E62CFF">
        <w:rPr>
          <w:color w:val="000000"/>
          <w:sz w:val="24"/>
          <w:szCs w:val="24"/>
        </w:rPr>
        <w:t xml:space="preserve"> (London: Continuum Books, 2008). </w:t>
      </w:r>
    </w:p>
    <w:p w14:paraId="0E95FC71" w14:textId="77777777" w:rsidR="00F554B2" w:rsidRDefault="00F554B2" w:rsidP="00171943">
      <w:pPr>
        <w:pStyle w:val="FootnoteText"/>
        <w:rPr>
          <w:color w:val="000000"/>
          <w:sz w:val="24"/>
          <w:szCs w:val="24"/>
        </w:rPr>
      </w:pPr>
    </w:p>
    <w:p w14:paraId="2041B66C" w14:textId="77777777" w:rsidR="00F554B2" w:rsidRDefault="00F554B2" w:rsidP="00171943">
      <w:pPr>
        <w:pStyle w:val="FootnoteText"/>
        <w:rPr>
          <w:color w:val="000000"/>
          <w:sz w:val="24"/>
          <w:szCs w:val="24"/>
        </w:rPr>
      </w:pPr>
    </w:p>
    <w:p w14:paraId="3A3E0DEB" w14:textId="56193637" w:rsidR="00F554B2" w:rsidRPr="00F554B2" w:rsidRDefault="00F554B2" w:rsidP="00171943">
      <w:pPr>
        <w:pStyle w:val="FootnoteText"/>
        <w:rPr>
          <w:sz w:val="24"/>
          <w:szCs w:val="24"/>
        </w:rPr>
      </w:pPr>
      <w:r w:rsidRPr="00F554B2">
        <w:rPr>
          <w:sz w:val="24"/>
          <w:szCs w:val="24"/>
        </w:rPr>
        <w:t xml:space="preserve">Collin, </w:t>
      </w:r>
      <w:r>
        <w:rPr>
          <w:sz w:val="24"/>
          <w:szCs w:val="24"/>
        </w:rPr>
        <w:t xml:space="preserve">L. </w:t>
      </w:r>
      <w:r w:rsidRPr="00F554B2">
        <w:rPr>
          <w:i/>
          <w:iCs/>
          <w:sz w:val="24"/>
          <w:szCs w:val="24"/>
        </w:rPr>
        <w:t xml:space="preserve">The Suns location at the Spring Equinox 4000 years ago. </w:t>
      </w:r>
      <w:r w:rsidRPr="00F554B2">
        <w:rPr>
          <w:sz w:val="24"/>
          <w:szCs w:val="24"/>
        </w:rPr>
        <w:t xml:space="preserve">Taken from </w:t>
      </w:r>
      <w:proofErr w:type="spellStart"/>
      <w:r w:rsidRPr="00F554B2">
        <w:rPr>
          <w:sz w:val="24"/>
          <w:szCs w:val="24"/>
        </w:rPr>
        <w:t>Stellarium</w:t>
      </w:r>
      <w:proofErr w:type="spellEnd"/>
      <w:r w:rsidRPr="00F554B2">
        <w:rPr>
          <w:sz w:val="24"/>
          <w:szCs w:val="24"/>
        </w:rPr>
        <w:t>. [accessed 19</w:t>
      </w:r>
      <w:r w:rsidRPr="00F554B2">
        <w:rPr>
          <w:sz w:val="24"/>
          <w:szCs w:val="24"/>
          <w:vertAlign w:val="superscript"/>
        </w:rPr>
        <w:t>th</w:t>
      </w:r>
      <w:r w:rsidRPr="00F554B2">
        <w:rPr>
          <w:sz w:val="24"/>
          <w:szCs w:val="24"/>
        </w:rPr>
        <w:t xml:space="preserve"> December 2024].</w:t>
      </w:r>
    </w:p>
    <w:p w14:paraId="60E59032" w14:textId="77777777" w:rsidR="00A856EF" w:rsidRDefault="00A856EF" w:rsidP="00171943">
      <w:pPr>
        <w:pStyle w:val="FootnoteText"/>
        <w:rPr>
          <w:color w:val="000000"/>
          <w:sz w:val="24"/>
          <w:szCs w:val="24"/>
        </w:rPr>
      </w:pPr>
    </w:p>
    <w:p w14:paraId="4133607E" w14:textId="77777777" w:rsidR="00F554B2" w:rsidRDefault="00F554B2" w:rsidP="00171943">
      <w:pPr>
        <w:pStyle w:val="FootnoteText"/>
        <w:rPr>
          <w:color w:val="000000"/>
          <w:sz w:val="24"/>
          <w:szCs w:val="24"/>
        </w:rPr>
      </w:pPr>
    </w:p>
    <w:p w14:paraId="6C3D4FA8" w14:textId="449A573D" w:rsidR="00F554B2" w:rsidRPr="00F554B2" w:rsidRDefault="00F554B2" w:rsidP="00F554B2">
      <w:pPr>
        <w:pStyle w:val="FootnoteText"/>
        <w:rPr>
          <w:sz w:val="24"/>
          <w:szCs w:val="24"/>
        </w:rPr>
      </w:pPr>
      <w:r w:rsidRPr="00F554B2">
        <w:rPr>
          <w:sz w:val="24"/>
          <w:szCs w:val="24"/>
        </w:rPr>
        <w:t>Collin,</w:t>
      </w:r>
      <w:r w:rsidRPr="00F554B2">
        <w:rPr>
          <w:sz w:val="24"/>
          <w:szCs w:val="24"/>
        </w:rPr>
        <w:t xml:space="preserve"> L.</w:t>
      </w:r>
      <w:r w:rsidRPr="00F554B2">
        <w:rPr>
          <w:sz w:val="24"/>
          <w:szCs w:val="24"/>
        </w:rPr>
        <w:t xml:space="preserve"> </w:t>
      </w:r>
      <w:r w:rsidRPr="00F554B2">
        <w:rPr>
          <w:i/>
          <w:iCs/>
          <w:sz w:val="24"/>
          <w:szCs w:val="24"/>
        </w:rPr>
        <w:t xml:space="preserve">The Sun in the horns of the scorpion at the autumnal equinox. </w:t>
      </w:r>
      <w:r w:rsidRPr="00F554B2">
        <w:rPr>
          <w:sz w:val="24"/>
          <w:szCs w:val="24"/>
        </w:rPr>
        <w:t xml:space="preserve">Taken from </w:t>
      </w:r>
      <w:proofErr w:type="spellStart"/>
      <w:r w:rsidRPr="00F554B2">
        <w:rPr>
          <w:sz w:val="24"/>
          <w:szCs w:val="24"/>
        </w:rPr>
        <w:t>Stellarium</w:t>
      </w:r>
      <w:proofErr w:type="spellEnd"/>
      <w:r w:rsidRPr="00F554B2">
        <w:rPr>
          <w:sz w:val="24"/>
          <w:szCs w:val="24"/>
        </w:rPr>
        <w:t>. [accessed 20</w:t>
      </w:r>
      <w:r w:rsidRPr="00F554B2">
        <w:rPr>
          <w:sz w:val="24"/>
          <w:szCs w:val="24"/>
          <w:vertAlign w:val="superscript"/>
        </w:rPr>
        <w:t>th</w:t>
      </w:r>
      <w:r w:rsidRPr="00F554B2">
        <w:rPr>
          <w:sz w:val="24"/>
          <w:szCs w:val="24"/>
        </w:rPr>
        <w:t xml:space="preserve"> December 2024].</w:t>
      </w:r>
    </w:p>
    <w:p w14:paraId="521F60E9" w14:textId="77777777" w:rsidR="00A856EF" w:rsidRDefault="00A856EF" w:rsidP="00171943">
      <w:pPr>
        <w:pStyle w:val="FootnoteText"/>
        <w:rPr>
          <w:color w:val="000000"/>
          <w:sz w:val="24"/>
          <w:szCs w:val="24"/>
        </w:rPr>
      </w:pPr>
    </w:p>
    <w:p w14:paraId="6A92687B" w14:textId="77777777" w:rsidR="00F554B2" w:rsidRDefault="00F554B2" w:rsidP="00171943">
      <w:pPr>
        <w:pStyle w:val="FootnoteText"/>
        <w:rPr>
          <w:color w:val="000000"/>
          <w:sz w:val="24"/>
          <w:szCs w:val="24"/>
        </w:rPr>
      </w:pPr>
    </w:p>
    <w:p w14:paraId="36DDEEF8" w14:textId="13B9A2D7" w:rsidR="00383AC1" w:rsidRDefault="00A856EF" w:rsidP="00171943">
      <w:pPr>
        <w:pStyle w:val="FootnoteText"/>
        <w:rPr>
          <w:sz w:val="24"/>
          <w:szCs w:val="24"/>
        </w:rPr>
      </w:pPr>
      <w:proofErr w:type="spellStart"/>
      <w:r w:rsidRPr="00E62CFF">
        <w:rPr>
          <w:sz w:val="24"/>
          <w:szCs w:val="24"/>
        </w:rPr>
        <w:t>Darlison</w:t>
      </w:r>
      <w:proofErr w:type="spellEnd"/>
      <w:r w:rsidRPr="00E62CFF">
        <w:rPr>
          <w:sz w:val="24"/>
          <w:szCs w:val="24"/>
        </w:rPr>
        <w:t>,</w:t>
      </w:r>
      <w:r>
        <w:rPr>
          <w:sz w:val="24"/>
          <w:szCs w:val="24"/>
        </w:rPr>
        <w:t xml:space="preserve"> B. R.</w:t>
      </w:r>
      <w:r w:rsidRPr="00E62CFF">
        <w:rPr>
          <w:sz w:val="24"/>
          <w:szCs w:val="24"/>
        </w:rPr>
        <w:t xml:space="preserve"> </w:t>
      </w:r>
      <w:r w:rsidRPr="00E62CFF">
        <w:rPr>
          <w:i/>
          <w:iCs/>
          <w:sz w:val="24"/>
          <w:szCs w:val="24"/>
        </w:rPr>
        <w:t xml:space="preserve">The Gospel and the Zodiac: The Secret Truth About Jesus, </w:t>
      </w:r>
      <w:r w:rsidRPr="00E62CFF">
        <w:rPr>
          <w:sz w:val="24"/>
          <w:szCs w:val="24"/>
        </w:rPr>
        <w:t>(Wiltshire: Cromwell Press Limited, 2007).</w:t>
      </w:r>
    </w:p>
    <w:p w14:paraId="798D0C72" w14:textId="77777777" w:rsidR="00F554B2" w:rsidRPr="00F554B2" w:rsidRDefault="00F554B2" w:rsidP="00171943">
      <w:pPr>
        <w:pStyle w:val="FootnoteText"/>
        <w:rPr>
          <w:sz w:val="24"/>
          <w:szCs w:val="24"/>
        </w:rPr>
      </w:pPr>
    </w:p>
    <w:p w14:paraId="514A550F" w14:textId="77777777" w:rsidR="00383AC1" w:rsidRDefault="00383AC1" w:rsidP="00171943">
      <w:pPr>
        <w:pStyle w:val="FootnoteText"/>
        <w:rPr>
          <w:color w:val="000000"/>
          <w:sz w:val="24"/>
          <w:szCs w:val="24"/>
        </w:rPr>
      </w:pPr>
    </w:p>
    <w:p w14:paraId="148AAAE9" w14:textId="0428D9E3" w:rsidR="00F554B2" w:rsidRDefault="00383AC1" w:rsidP="00383AC1">
      <w:pPr>
        <w:spacing w:line="360" w:lineRule="auto"/>
      </w:pPr>
      <w:proofErr w:type="spellStart"/>
      <w:r>
        <w:lastRenderedPageBreak/>
        <w:t>d’Huy</w:t>
      </w:r>
      <w:proofErr w:type="spellEnd"/>
      <w:r>
        <w:t xml:space="preserve">, J. ‘The Evolution of Myths’, in </w:t>
      </w:r>
      <w:r>
        <w:rPr>
          <w:i/>
          <w:iCs/>
        </w:rPr>
        <w:t>Scientific American</w:t>
      </w:r>
      <w:r>
        <w:t>, December vol. 315 (6), (New York: Scientific American, 2016).</w:t>
      </w:r>
    </w:p>
    <w:p w14:paraId="2CE5037F" w14:textId="77777777" w:rsidR="00F554B2" w:rsidRDefault="00F554B2" w:rsidP="00383AC1">
      <w:pPr>
        <w:spacing w:line="360" w:lineRule="auto"/>
      </w:pPr>
    </w:p>
    <w:p w14:paraId="52FB7AA3" w14:textId="3D597B89" w:rsidR="00383AC1" w:rsidRDefault="00383AC1" w:rsidP="00383AC1">
      <w:pPr>
        <w:spacing w:line="360" w:lineRule="auto"/>
      </w:pPr>
      <w:proofErr w:type="spellStart"/>
      <w:r>
        <w:t>Dolmage</w:t>
      </w:r>
      <w:proofErr w:type="spellEnd"/>
      <w:r>
        <w:t xml:space="preserve">, J. ‘” Breathe upon Us an Even Flame”: Hephaestus, History, and the Body of Rhetoric’, in </w:t>
      </w:r>
      <w:r>
        <w:rPr>
          <w:i/>
          <w:iCs/>
        </w:rPr>
        <w:t xml:space="preserve">Rhetoric Review </w:t>
      </w:r>
      <w:r>
        <w:t>vol.25 (2) (Oxfordshire: Taylor &amp; Francis Ltd, 2006).</w:t>
      </w:r>
    </w:p>
    <w:p w14:paraId="72D8BFFC" w14:textId="77777777" w:rsidR="00F554B2" w:rsidRPr="00383AC1" w:rsidRDefault="00F554B2" w:rsidP="00383AC1">
      <w:pPr>
        <w:spacing w:line="360" w:lineRule="auto"/>
      </w:pPr>
    </w:p>
    <w:p w14:paraId="573344C3" w14:textId="77777777" w:rsidR="00171943" w:rsidRDefault="00171943" w:rsidP="00171943">
      <w:pPr>
        <w:pStyle w:val="FootnoteText"/>
      </w:pPr>
    </w:p>
    <w:p w14:paraId="1128AF36" w14:textId="3EB2CA63" w:rsidR="00171943" w:rsidRDefault="00171943" w:rsidP="00171943">
      <w:pPr>
        <w:pStyle w:val="FootnoteText"/>
        <w:rPr>
          <w:sz w:val="24"/>
          <w:szCs w:val="24"/>
        </w:rPr>
      </w:pPr>
      <w:r w:rsidRPr="00171943">
        <w:rPr>
          <w:sz w:val="24"/>
          <w:szCs w:val="24"/>
        </w:rPr>
        <w:t>Ellis,</w:t>
      </w:r>
      <w:r w:rsidRPr="00171943">
        <w:rPr>
          <w:sz w:val="24"/>
          <w:szCs w:val="24"/>
        </w:rPr>
        <w:t xml:space="preserve"> R.</w:t>
      </w:r>
      <w:r w:rsidRPr="00171943">
        <w:rPr>
          <w:sz w:val="24"/>
          <w:szCs w:val="24"/>
        </w:rPr>
        <w:t xml:space="preserve"> </w:t>
      </w:r>
      <w:r w:rsidRPr="00171943">
        <w:rPr>
          <w:i/>
          <w:iCs/>
          <w:sz w:val="24"/>
          <w:szCs w:val="24"/>
        </w:rPr>
        <w:t xml:space="preserve">Jesus: Last of the Pharaohs </w:t>
      </w:r>
      <w:r w:rsidRPr="00171943">
        <w:rPr>
          <w:sz w:val="24"/>
          <w:szCs w:val="24"/>
        </w:rPr>
        <w:t>(</w:t>
      </w:r>
      <w:proofErr w:type="spellStart"/>
      <w:r w:rsidRPr="00171943">
        <w:rPr>
          <w:sz w:val="24"/>
          <w:szCs w:val="24"/>
        </w:rPr>
        <w:t>Chesire</w:t>
      </w:r>
      <w:proofErr w:type="spellEnd"/>
      <w:r w:rsidRPr="00171943">
        <w:rPr>
          <w:sz w:val="24"/>
          <w:szCs w:val="24"/>
        </w:rPr>
        <w:t xml:space="preserve">: </w:t>
      </w:r>
      <w:proofErr w:type="spellStart"/>
      <w:r w:rsidRPr="00171943">
        <w:rPr>
          <w:sz w:val="24"/>
          <w:szCs w:val="24"/>
        </w:rPr>
        <w:t>Edfu</w:t>
      </w:r>
      <w:proofErr w:type="spellEnd"/>
      <w:r w:rsidRPr="00171943">
        <w:rPr>
          <w:sz w:val="24"/>
          <w:szCs w:val="24"/>
        </w:rPr>
        <w:t xml:space="preserve"> Books, 2001)</w:t>
      </w:r>
      <w:r w:rsidRPr="00171943">
        <w:rPr>
          <w:sz w:val="24"/>
          <w:szCs w:val="24"/>
        </w:rPr>
        <w:t>.</w:t>
      </w:r>
    </w:p>
    <w:p w14:paraId="3827C0A3" w14:textId="77777777" w:rsidR="00F554B2" w:rsidRDefault="00F554B2" w:rsidP="00171943">
      <w:pPr>
        <w:pStyle w:val="FootnoteText"/>
        <w:rPr>
          <w:sz w:val="24"/>
          <w:szCs w:val="24"/>
        </w:rPr>
      </w:pPr>
    </w:p>
    <w:p w14:paraId="312B94FB" w14:textId="77777777" w:rsidR="00383AC1" w:rsidRDefault="00383AC1" w:rsidP="00171943">
      <w:pPr>
        <w:pStyle w:val="FootnoteText"/>
        <w:rPr>
          <w:sz w:val="24"/>
          <w:szCs w:val="24"/>
        </w:rPr>
      </w:pPr>
    </w:p>
    <w:p w14:paraId="5C96EE9B" w14:textId="26CB5F73" w:rsidR="00383AC1" w:rsidRDefault="00383AC1" w:rsidP="00171943">
      <w:pPr>
        <w:pStyle w:val="FootnoteText"/>
        <w:rPr>
          <w:sz w:val="24"/>
          <w:szCs w:val="24"/>
        </w:rPr>
      </w:pPr>
      <w:r w:rsidRPr="00383AC1">
        <w:rPr>
          <w:sz w:val="24"/>
          <w:szCs w:val="24"/>
        </w:rPr>
        <w:t xml:space="preserve">Encyclopaedia Britannica, </w:t>
      </w:r>
      <w:r w:rsidRPr="00383AC1">
        <w:rPr>
          <w:i/>
          <w:iCs/>
          <w:sz w:val="24"/>
          <w:szCs w:val="24"/>
        </w:rPr>
        <w:t xml:space="preserve">Orion </w:t>
      </w:r>
      <w:r w:rsidRPr="00383AC1">
        <w:rPr>
          <w:sz w:val="24"/>
          <w:szCs w:val="24"/>
        </w:rPr>
        <w:t>(2024) https://www.britannica.com/science/constellation [accessed 19th December 2024].</w:t>
      </w:r>
    </w:p>
    <w:p w14:paraId="14BFD297" w14:textId="77777777" w:rsidR="00383AC1" w:rsidRDefault="00383AC1" w:rsidP="00171943">
      <w:pPr>
        <w:pStyle w:val="FootnoteText"/>
        <w:rPr>
          <w:sz w:val="24"/>
          <w:szCs w:val="24"/>
        </w:rPr>
      </w:pPr>
    </w:p>
    <w:p w14:paraId="302DA33D" w14:textId="77777777" w:rsidR="00F554B2" w:rsidRDefault="00F554B2" w:rsidP="00171943">
      <w:pPr>
        <w:pStyle w:val="FootnoteText"/>
        <w:rPr>
          <w:sz w:val="24"/>
          <w:szCs w:val="24"/>
        </w:rPr>
      </w:pPr>
    </w:p>
    <w:p w14:paraId="09366D9D" w14:textId="63197818" w:rsidR="00383AC1" w:rsidRDefault="00383AC1" w:rsidP="00383AC1">
      <w:pPr>
        <w:spacing w:line="360" w:lineRule="auto"/>
      </w:pPr>
      <w:r>
        <w:t xml:space="preserve">Frazer, J. </w:t>
      </w:r>
      <w:r>
        <w:rPr>
          <w:i/>
          <w:iCs/>
        </w:rPr>
        <w:t xml:space="preserve">The Golden Bough, </w:t>
      </w:r>
      <w:r>
        <w:t>(London: Macmillan, 1911).</w:t>
      </w:r>
    </w:p>
    <w:p w14:paraId="4AB45B8C" w14:textId="77777777" w:rsidR="00F554B2" w:rsidRDefault="00F554B2" w:rsidP="00383AC1">
      <w:pPr>
        <w:spacing w:line="360" w:lineRule="auto"/>
      </w:pPr>
    </w:p>
    <w:p w14:paraId="133BDE8E" w14:textId="77777777" w:rsidR="00383AC1" w:rsidRDefault="00383AC1" w:rsidP="00383AC1">
      <w:pPr>
        <w:pStyle w:val="FootnoteText"/>
        <w:rPr>
          <w:sz w:val="24"/>
          <w:szCs w:val="24"/>
        </w:rPr>
      </w:pPr>
      <w:proofErr w:type="spellStart"/>
      <w:r w:rsidRPr="00383AC1">
        <w:rPr>
          <w:sz w:val="24"/>
          <w:szCs w:val="24"/>
        </w:rPr>
        <w:t>Fontenrose</w:t>
      </w:r>
      <w:proofErr w:type="spellEnd"/>
      <w:r w:rsidRPr="00383AC1">
        <w:rPr>
          <w:sz w:val="24"/>
          <w:szCs w:val="24"/>
        </w:rPr>
        <w:t xml:space="preserve">, J. </w:t>
      </w:r>
      <w:r w:rsidRPr="00383AC1">
        <w:rPr>
          <w:i/>
          <w:iCs/>
          <w:sz w:val="24"/>
          <w:szCs w:val="24"/>
        </w:rPr>
        <w:t xml:space="preserve">Orion: The Myth of the Hunter and the Huntress </w:t>
      </w:r>
      <w:r w:rsidRPr="00383AC1">
        <w:rPr>
          <w:sz w:val="24"/>
          <w:szCs w:val="24"/>
        </w:rPr>
        <w:t>(California: University of California Press, 1981).</w:t>
      </w:r>
    </w:p>
    <w:p w14:paraId="12B2F5F1" w14:textId="77777777" w:rsidR="00383AC1" w:rsidRPr="00383AC1" w:rsidRDefault="00383AC1" w:rsidP="00383AC1">
      <w:pPr>
        <w:pStyle w:val="FootnoteText"/>
        <w:rPr>
          <w:sz w:val="24"/>
          <w:szCs w:val="24"/>
        </w:rPr>
      </w:pPr>
    </w:p>
    <w:p w14:paraId="03B13309" w14:textId="77777777" w:rsidR="00383AC1" w:rsidRDefault="00383AC1" w:rsidP="00383AC1">
      <w:pPr>
        <w:pStyle w:val="FootnoteText"/>
        <w:rPr>
          <w:sz w:val="24"/>
          <w:szCs w:val="24"/>
        </w:rPr>
      </w:pPr>
      <w:r w:rsidRPr="00171943">
        <w:rPr>
          <w:sz w:val="24"/>
          <w:szCs w:val="24"/>
        </w:rPr>
        <w:t xml:space="preserve">Foster, R. B. </w:t>
      </w:r>
      <w:r w:rsidRPr="00171943">
        <w:rPr>
          <w:i/>
          <w:iCs/>
          <w:sz w:val="24"/>
          <w:szCs w:val="24"/>
        </w:rPr>
        <w:t xml:space="preserve">The Epic of Gilgamesh </w:t>
      </w:r>
      <w:r w:rsidRPr="00171943">
        <w:rPr>
          <w:sz w:val="24"/>
          <w:szCs w:val="24"/>
        </w:rPr>
        <w:t>2</w:t>
      </w:r>
      <w:r w:rsidRPr="00171943">
        <w:rPr>
          <w:sz w:val="24"/>
          <w:szCs w:val="24"/>
          <w:vertAlign w:val="superscript"/>
        </w:rPr>
        <w:t>nd</w:t>
      </w:r>
      <w:r w:rsidRPr="00171943">
        <w:rPr>
          <w:sz w:val="24"/>
          <w:szCs w:val="24"/>
        </w:rPr>
        <w:t xml:space="preserve"> edition (New York: W.W Norton &amp; Company, 2019).</w:t>
      </w:r>
    </w:p>
    <w:p w14:paraId="5310A9C4" w14:textId="77777777" w:rsidR="00383AC1" w:rsidRDefault="00383AC1" w:rsidP="00383AC1">
      <w:pPr>
        <w:pStyle w:val="FootnoteText"/>
        <w:rPr>
          <w:sz w:val="24"/>
          <w:szCs w:val="24"/>
        </w:rPr>
      </w:pPr>
    </w:p>
    <w:p w14:paraId="345115BF" w14:textId="77777777" w:rsidR="00383AC1" w:rsidRDefault="00383AC1" w:rsidP="00383AC1">
      <w:pPr>
        <w:pStyle w:val="FootnoteText"/>
        <w:rPr>
          <w:sz w:val="24"/>
          <w:szCs w:val="24"/>
        </w:rPr>
      </w:pPr>
      <w:proofErr w:type="spellStart"/>
      <w:r w:rsidRPr="00383AC1">
        <w:rPr>
          <w:sz w:val="24"/>
          <w:szCs w:val="24"/>
        </w:rPr>
        <w:t>Gangopadhyay</w:t>
      </w:r>
      <w:proofErr w:type="spellEnd"/>
      <w:r w:rsidRPr="00383AC1">
        <w:rPr>
          <w:sz w:val="24"/>
          <w:szCs w:val="24"/>
        </w:rPr>
        <w:t>, A. K. ‘</w:t>
      </w:r>
      <w:r w:rsidRPr="00383AC1">
        <w:rPr>
          <w:i/>
          <w:iCs/>
          <w:sz w:val="24"/>
          <w:szCs w:val="24"/>
        </w:rPr>
        <w:t>The Epic of Gilgamesh</w:t>
      </w:r>
      <w:r w:rsidRPr="00383AC1">
        <w:rPr>
          <w:sz w:val="24"/>
          <w:szCs w:val="24"/>
        </w:rPr>
        <w:t xml:space="preserve">: A Saga of Humanism </w:t>
      </w:r>
      <w:proofErr w:type="spellStart"/>
      <w:r w:rsidRPr="00383AC1">
        <w:rPr>
          <w:sz w:val="24"/>
          <w:szCs w:val="24"/>
        </w:rPr>
        <w:t>Mythified</w:t>
      </w:r>
      <w:proofErr w:type="spellEnd"/>
      <w:r w:rsidRPr="00383AC1">
        <w:rPr>
          <w:sz w:val="24"/>
          <w:szCs w:val="24"/>
        </w:rPr>
        <w:t xml:space="preserve">’, in </w:t>
      </w:r>
      <w:r w:rsidRPr="00383AC1">
        <w:rPr>
          <w:i/>
          <w:iCs/>
          <w:sz w:val="24"/>
          <w:szCs w:val="24"/>
        </w:rPr>
        <w:t xml:space="preserve">New </w:t>
      </w:r>
      <w:proofErr w:type="spellStart"/>
      <w:r w:rsidRPr="00383AC1">
        <w:rPr>
          <w:i/>
          <w:iCs/>
          <w:sz w:val="24"/>
          <w:szCs w:val="24"/>
        </w:rPr>
        <w:t>Literaria</w:t>
      </w:r>
      <w:proofErr w:type="spellEnd"/>
      <w:r w:rsidRPr="00383AC1">
        <w:rPr>
          <w:i/>
          <w:iCs/>
          <w:sz w:val="24"/>
          <w:szCs w:val="24"/>
        </w:rPr>
        <w:t xml:space="preserve"> </w:t>
      </w:r>
      <w:r w:rsidRPr="00383AC1">
        <w:rPr>
          <w:sz w:val="24"/>
          <w:szCs w:val="24"/>
        </w:rPr>
        <w:t xml:space="preserve">vol.1 (1), (Bankura: </w:t>
      </w:r>
      <w:proofErr w:type="spellStart"/>
      <w:r w:rsidRPr="00383AC1">
        <w:rPr>
          <w:sz w:val="24"/>
          <w:szCs w:val="24"/>
        </w:rPr>
        <w:t>Adrija</w:t>
      </w:r>
      <w:proofErr w:type="spellEnd"/>
      <w:r w:rsidRPr="00383AC1">
        <w:rPr>
          <w:sz w:val="24"/>
          <w:szCs w:val="24"/>
        </w:rPr>
        <w:t xml:space="preserve"> Press, 2020).</w:t>
      </w:r>
    </w:p>
    <w:p w14:paraId="5B52CB0B" w14:textId="77777777" w:rsidR="00383AC1" w:rsidRDefault="00383AC1" w:rsidP="00383AC1">
      <w:pPr>
        <w:pStyle w:val="FootnoteText"/>
        <w:rPr>
          <w:sz w:val="24"/>
          <w:szCs w:val="24"/>
        </w:rPr>
      </w:pPr>
    </w:p>
    <w:p w14:paraId="50196D0C" w14:textId="77777777" w:rsidR="00383AC1" w:rsidRDefault="00383AC1" w:rsidP="00383AC1">
      <w:pPr>
        <w:pStyle w:val="FootnoteText"/>
        <w:rPr>
          <w:sz w:val="24"/>
          <w:szCs w:val="24"/>
        </w:rPr>
      </w:pPr>
    </w:p>
    <w:p w14:paraId="196EAE36" w14:textId="497DC6F6" w:rsidR="00383AC1" w:rsidRDefault="00383AC1" w:rsidP="00383AC1">
      <w:pPr>
        <w:pStyle w:val="FootnoteText"/>
        <w:rPr>
          <w:sz w:val="24"/>
          <w:szCs w:val="24"/>
        </w:rPr>
      </w:pPr>
      <w:r w:rsidRPr="00383AC1">
        <w:rPr>
          <w:sz w:val="24"/>
          <w:szCs w:val="24"/>
        </w:rPr>
        <w:t xml:space="preserve">Goldstone, H. and </w:t>
      </w:r>
      <w:proofErr w:type="spellStart"/>
      <w:r w:rsidRPr="00383AC1">
        <w:rPr>
          <w:sz w:val="24"/>
          <w:szCs w:val="24"/>
        </w:rPr>
        <w:t>Partan</w:t>
      </w:r>
      <w:proofErr w:type="spellEnd"/>
      <w:r w:rsidRPr="00383AC1">
        <w:rPr>
          <w:sz w:val="24"/>
          <w:szCs w:val="24"/>
        </w:rPr>
        <w:t xml:space="preserve">, E. </w:t>
      </w:r>
      <w:r w:rsidRPr="00383AC1">
        <w:rPr>
          <w:i/>
          <w:iCs/>
          <w:sz w:val="24"/>
          <w:szCs w:val="24"/>
        </w:rPr>
        <w:t xml:space="preserve">Star Stories Span Centuries and Cultures </w:t>
      </w:r>
      <w:r w:rsidRPr="00383AC1">
        <w:rPr>
          <w:sz w:val="24"/>
          <w:szCs w:val="24"/>
        </w:rPr>
        <w:t>(2023) https://www.wgbh.org/news/national/2019-11-26/star-stories-span-centuries-and-cultures#:~:text=For%20thousands%20of%20years%2C%20people,and%20to%20teach%20moral%20lessons. [accessed 19</w:t>
      </w:r>
      <w:r w:rsidRPr="00383AC1">
        <w:rPr>
          <w:sz w:val="24"/>
          <w:szCs w:val="24"/>
          <w:vertAlign w:val="superscript"/>
        </w:rPr>
        <w:t>th</w:t>
      </w:r>
      <w:r w:rsidRPr="00383AC1">
        <w:rPr>
          <w:sz w:val="24"/>
          <w:szCs w:val="24"/>
        </w:rPr>
        <w:t xml:space="preserve"> December 2024].</w:t>
      </w:r>
    </w:p>
    <w:p w14:paraId="62280703" w14:textId="77777777" w:rsidR="00383AC1" w:rsidRDefault="00383AC1" w:rsidP="00383AC1">
      <w:pPr>
        <w:pStyle w:val="FootnoteText"/>
        <w:rPr>
          <w:sz w:val="24"/>
          <w:szCs w:val="24"/>
        </w:rPr>
      </w:pPr>
    </w:p>
    <w:p w14:paraId="5FBFD3C6" w14:textId="77777777" w:rsidR="00383AC1" w:rsidRDefault="00383AC1" w:rsidP="00383AC1">
      <w:pPr>
        <w:pStyle w:val="FootnoteText"/>
        <w:rPr>
          <w:sz w:val="24"/>
          <w:szCs w:val="24"/>
        </w:rPr>
      </w:pPr>
    </w:p>
    <w:p w14:paraId="7383F397" w14:textId="77777777" w:rsidR="00383AC1" w:rsidRDefault="00383AC1" w:rsidP="00383AC1">
      <w:pPr>
        <w:pStyle w:val="FootnoteText"/>
        <w:rPr>
          <w:sz w:val="24"/>
          <w:szCs w:val="24"/>
        </w:rPr>
      </w:pPr>
      <w:proofErr w:type="spellStart"/>
      <w:r w:rsidRPr="00383AC1">
        <w:rPr>
          <w:sz w:val="24"/>
          <w:szCs w:val="24"/>
        </w:rPr>
        <w:t>Gresseth</w:t>
      </w:r>
      <w:proofErr w:type="spellEnd"/>
      <w:r w:rsidRPr="00383AC1">
        <w:rPr>
          <w:sz w:val="24"/>
          <w:szCs w:val="24"/>
        </w:rPr>
        <w:t xml:space="preserve">, G. K. ‘The Gilgamesh Epic and Homer’ in </w:t>
      </w:r>
      <w:r w:rsidRPr="00383AC1">
        <w:rPr>
          <w:i/>
          <w:iCs/>
          <w:sz w:val="24"/>
          <w:szCs w:val="24"/>
        </w:rPr>
        <w:t xml:space="preserve">The Classical Journal </w:t>
      </w:r>
      <w:r w:rsidRPr="00383AC1">
        <w:rPr>
          <w:sz w:val="24"/>
          <w:szCs w:val="24"/>
        </w:rPr>
        <w:t>vol.70 (4)</w:t>
      </w:r>
      <w:r w:rsidRPr="00383AC1">
        <w:rPr>
          <w:i/>
          <w:iCs/>
          <w:sz w:val="24"/>
          <w:szCs w:val="24"/>
        </w:rPr>
        <w:t xml:space="preserve"> </w:t>
      </w:r>
      <w:r w:rsidRPr="00383AC1">
        <w:rPr>
          <w:sz w:val="24"/>
          <w:szCs w:val="24"/>
        </w:rPr>
        <w:t>(Illinois: The Classical Association of the Middle West and South,1975).</w:t>
      </w:r>
    </w:p>
    <w:p w14:paraId="4246FBB7" w14:textId="77777777" w:rsidR="00383AC1" w:rsidRDefault="00383AC1" w:rsidP="00383AC1">
      <w:pPr>
        <w:pStyle w:val="FootnoteText"/>
        <w:rPr>
          <w:sz w:val="24"/>
          <w:szCs w:val="24"/>
        </w:rPr>
      </w:pPr>
    </w:p>
    <w:p w14:paraId="3A94BCA7" w14:textId="77777777" w:rsidR="00383AC1" w:rsidRDefault="00383AC1" w:rsidP="00383AC1">
      <w:pPr>
        <w:pStyle w:val="FootnoteText"/>
        <w:rPr>
          <w:sz w:val="24"/>
          <w:szCs w:val="24"/>
        </w:rPr>
      </w:pPr>
    </w:p>
    <w:p w14:paraId="26EA5D98" w14:textId="33DB4970" w:rsidR="00383AC1" w:rsidRDefault="00383AC1" w:rsidP="00383AC1">
      <w:pPr>
        <w:pStyle w:val="FootnoteText"/>
        <w:rPr>
          <w:sz w:val="24"/>
          <w:szCs w:val="24"/>
        </w:rPr>
      </w:pPr>
      <w:proofErr w:type="spellStart"/>
      <w:r w:rsidRPr="00383AC1">
        <w:rPr>
          <w:sz w:val="24"/>
          <w:szCs w:val="24"/>
        </w:rPr>
        <w:t>Heidel</w:t>
      </w:r>
      <w:proofErr w:type="spellEnd"/>
      <w:r w:rsidRPr="00383AC1">
        <w:rPr>
          <w:sz w:val="24"/>
          <w:szCs w:val="24"/>
        </w:rPr>
        <w:t xml:space="preserve">, A. </w:t>
      </w:r>
      <w:r w:rsidRPr="00383AC1">
        <w:rPr>
          <w:i/>
          <w:iCs/>
          <w:sz w:val="24"/>
          <w:szCs w:val="24"/>
        </w:rPr>
        <w:t xml:space="preserve">The Gilgamesh Epic and Old Testament Parallels </w:t>
      </w:r>
      <w:r w:rsidRPr="00383AC1">
        <w:rPr>
          <w:sz w:val="24"/>
          <w:szCs w:val="24"/>
        </w:rPr>
        <w:t>(Chicago: Phoenix Books, 1963).</w:t>
      </w:r>
    </w:p>
    <w:p w14:paraId="2A64CE3D" w14:textId="0AA056EB" w:rsidR="00383AC1" w:rsidRPr="00383AC1" w:rsidRDefault="004663A8" w:rsidP="004663A8">
      <w:pPr>
        <w:pStyle w:val="FootnoteText"/>
        <w:tabs>
          <w:tab w:val="left" w:pos="3905"/>
        </w:tabs>
        <w:rPr>
          <w:sz w:val="24"/>
          <w:szCs w:val="24"/>
        </w:rPr>
      </w:pPr>
      <w:r>
        <w:rPr>
          <w:sz w:val="24"/>
          <w:szCs w:val="24"/>
        </w:rPr>
        <w:tab/>
      </w:r>
    </w:p>
    <w:p w14:paraId="25BC0A7E" w14:textId="77777777" w:rsidR="00383AC1" w:rsidRDefault="00383AC1" w:rsidP="00383AC1">
      <w:pPr>
        <w:pStyle w:val="FootnoteText"/>
      </w:pPr>
    </w:p>
    <w:p w14:paraId="66C92CFD" w14:textId="7E9D2B92" w:rsidR="00383AC1" w:rsidRDefault="00383AC1" w:rsidP="00383AC1">
      <w:pPr>
        <w:pStyle w:val="FootnoteText"/>
        <w:rPr>
          <w:sz w:val="24"/>
          <w:szCs w:val="24"/>
        </w:rPr>
      </w:pPr>
      <w:r w:rsidRPr="00171943">
        <w:rPr>
          <w:sz w:val="24"/>
          <w:szCs w:val="24"/>
        </w:rPr>
        <w:t>Hesiod,</w:t>
      </w:r>
      <w:r w:rsidRPr="00171943">
        <w:rPr>
          <w:i/>
          <w:iCs/>
          <w:sz w:val="24"/>
          <w:szCs w:val="24"/>
        </w:rPr>
        <w:t xml:space="preserve"> The Homeric Hymns and </w:t>
      </w:r>
      <w:proofErr w:type="spellStart"/>
      <w:r w:rsidRPr="00171943">
        <w:rPr>
          <w:i/>
          <w:iCs/>
          <w:sz w:val="24"/>
          <w:szCs w:val="24"/>
        </w:rPr>
        <w:t>Homerica</w:t>
      </w:r>
      <w:proofErr w:type="spellEnd"/>
      <w:r w:rsidRPr="00171943">
        <w:rPr>
          <w:i/>
          <w:iCs/>
          <w:sz w:val="24"/>
          <w:szCs w:val="24"/>
        </w:rPr>
        <w:t xml:space="preserve">. </w:t>
      </w:r>
      <w:r w:rsidRPr="00171943">
        <w:rPr>
          <w:sz w:val="24"/>
          <w:szCs w:val="24"/>
        </w:rPr>
        <w:t>Trans. Hugh, G. Evelyn White (London: The Macmillan Co., 1914).</w:t>
      </w:r>
    </w:p>
    <w:p w14:paraId="18370C82" w14:textId="77777777" w:rsidR="00383AC1" w:rsidRDefault="00383AC1" w:rsidP="00383AC1">
      <w:pPr>
        <w:pStyle w:val="FootnoteText"/>
        <w:rPr>
          <w:sz w:val="24"/>
          <w:szCs w:val="24"/>
        </w:rPr>
      </w:pPr>
    </w:p>
    <w:p w14:paraId="6D0E40F4" w14:textId="77777777" w:rsidR="00383AC1" w:rsidRPr="00171943" w:rsidRDefault="00383AC1" w:rsidP="00383AC1">
      <w:pPr>
        <w:pStyle w:val="FootnoteText"/>
        <w:rPr>
          <w:sz w:val="24"/>
          <w:szCs w:val="24"/>
        </w:rPr>
      </w:pPr>
    </w:p>
    <w:p w14:paraId="56DEBEEF" w14:textId="77777777" w:rsidR="00383AC1" w:rsidRDefault="00383AC1" w:rsidP="00383AC1">
      <w:pPr>
        <w:pStyle w:val="FootnoteText"/>
        <w:rPr>
          <w:sz w:val="24"/>
          <w:szCs w:val="24"/>
        </w:rPr>
      </w:pPr>
      <w:r w:rsidRPr="00383AC1">
        <w:rPr>
          <w:sz w:val="24"/>
          <w:szCs w:val="24"/>
        </w:rPr>
        <w:t xml:space="preserve">Homer, </w:t>
      </w:r>
      <w:r w:rsidRPr="00383AC1">
        <w:rPr>
          <w:i/>
          <w:iCs/>
          <w:sz w:val="24"/>
          <w:szCs w:val="24"/>
        </w:rPr>
        <w:t xml:space="preserve">The Iliad. </w:t>
      </w:r>
      <w:r w:rsidRPr="00383AC1">
        <w:rPr>
          <w:sz w:val="24"/>
          <w:szCs w:val="24"/>
        </w:rPr>
        <w:t>trans. Hammond, M. (London: Penguin Book, 1987).</w:t>
      </w:r>
    </w:p>
    <w:p w14:paraId="5ADA495E" w14:textId="77777777" w:rsidR="00383AC1" w:rsidRDefault="00383AC1" w:rsidP="00383AC1">
      <w:pPr>
        <w:pStyle w:val="FootnoteText"/>
        <w:rPr>
          <w:sz w:val="24"/>
          <w:szCs w:val="24"/>
        </w:rPr>
      </w:pPr>
    </w:p>
    <w:p w14:paraId="3A4FBF0D" w14:textId="77777777" w:rsidR="00383AC1" w:rsidRPr="00383AC1" w:rsidRDefault="00383AC1" w:rsidP="00383AC1">
      <w:pPr>
        <w:pStyle w:val="FootnoteText"/>
        <w:rPr>
          <w:sz w:val="24"/>
          <w:szCs w:val="24"/>
        </w:rPr>
      </w:pPr>
    </w:p>
    <w:p w14:paraId="2061229A" w14:textId="77777777" w:rsidR="00383AC1" w:rsidRDefault="00383AC1" w:rsidP="00383AC1">
      <w:pPr>
        <w:pStyle w:val="FootnoteText"/>
        <w:rPr>
          <w:sz w:val="24"/>
          <w:szCs w:val="24"/>
        </w:rPr>
      </w:pPr>
      <w:r w:rsidRPr="00383AC1">
        <w:rPr>
          <w:sz w:val="24"/>
          <w:szCs w:val="24"/>
        </w:rPr>
        <w:t xml:space="preserve">Homer, </w:t>
      </w:r>
      <w:r w:rsidRPr="00383AC1">
        <w:rPr>
          <w:i/>
          <w:iCs/>
          <w:sz w:val="24"/>
          <w:szCs w:val="24"/>
        </w:rPr>
        <w:t xml:space="preserve">The Odyssey. </w:t>
      </w:r>
      <w:r w:rsidRPr="00383AC1">
        <w:rPr>
          <w:sz w:val="24"/>
          <w:szCs w:val="24"/>
        </w:rPr>
        <w:t xml:space="preserve">trans. </w:t>
      </w:r>
      <w:proofErr w:type="spellStart"/>
      <w:r w:rsidRPr="00383AC1">
        <w:rPr>
          <w:sz w:val="24"/>
          <w:szCs w:val="24"/>
        </w:rPr>
        <w:t>Shewring</w:t>
      </w:r>
      <w:proofErr w:type="spellEnd"/>
      <w:r w:rsidRPr="00383AC1">
        <w:rPr>
          <w:sz w:val="24"/>
          <w:szCs w:val="24"/>
        </w:rPr>
        <w:t>, W. (Oxford: Oxford University Press, 1980).</w:t>
      </w:r>
    </w:p>
    <w:p w14:paraId="69B20914" w14:textId="77777777" w:rsidR="00383AC1" w:rsidRDefault="00383AC1" w:rsidP="00383AC1">
      <w:pPr>
        <w:pStyle w:val="FootnoteText"/>
        <w:rPr>
          <w:sz w:val="24"/>
          <w:szCs w:val="24"/>
        </w:rPr>
      </w:pPr>
    </w:p>
    <w:p w14:paraId="72369DCF" w14:textId="77777777" w:rsidR="00383AC1" w:rsidRPr="00171943" w:rsidRDefault="00383AC1" w:rsidP="00383AC1">
      <w:pPr>
        <w:pStyle w:val="FootnoteText"/>
        <w:rPr>
          <w:sz w:val="24"/>
          <w:szCs w:val="24"/>
        </w:rPr>
      </w:pPr>
    </w:p>
    <w:p w14:paraId="0AE029A8" w14:textId="77777777" w:rsidR="00383AC1" w:rsidRDefault="00383AC1" w:rsidP="00383AC1">
      <w:pPr>
        <w:pStyle w:val="FootnoteText"/>
        <w:rPr>
          <w:sz w:val="24"/>
          <w:szCs w:val="24"/>
        </w:rPr>
      </w:pPr>
      <w:r w:rsidRPr="00171943">
        <w:rPr>
          <w:sz w:val="24"/>
          <w:szCs w:val="24"/>
        </w:rPr>
        <w:t xml:space="preserve">Hunger, H. </w:t>
      </w:r>
      <w:r w:rsidRPr="00171943">
        <w:rPr>
          <w:i/>
          <w:iCs/>
          <w:sz w:val="24"/>
          <w:szCs w:val="24"/>
        </w:rPr>
        <w:t xml:space="preserve">Astrological Reports to Assyrian Kings </w:t>
      </w:r>
      <w:r w:rsidRPr="00171943">
        <w:rPr>
          <w:sz w:val="24"/>
          <w:szCs w:val="24"/>
        </w:rPr>
        <w:t>(Helsinki: Helsinki University Press, 1992).</w:t>
      </w:r>
    </w:p>
    <w:p w14:paraId="0D466749" w14:textId="77777777" w:rsidR="004663A8" w:rsidRDefault="004663A8" w:rsidP="00383AC1">
      <w:pPr>
        <w:pStyle w:val="FootnoteText"/>
        <w:rPr>
          <w:sz w:val="24"/>
          <w:szCs w:val="24"/>
        </w:rPr>
      </w:pPr>
    </w:p>
    <w:p w14:paraId="33A37613" w14:textId="77777777" w:rsidR="00293925" w:rsidRDefault="00293925" w:rsidP="00383AC1">
      <w:pPr>
        <w:pStyle w:val="FootnoteText"/>
        <w:rPr>
          <w:sz w:val="24"/>
          <w:szCs w:val="24"/>
        </w:rPr>
      </w:pPr>
    </w:p>
    <w:p w14:paraId="06F8439F" w14:textId="33785BFB" w:rsidR="00293925" w:rsidRDefault="00293925" w:rsidP="00383AC1">
      <w:pPr>
        <w:pStyle w:val="FootnoteText"/>
        <w:rPr>
          <w:sz w:val="24"/>
          <w:szCs w:val="24"/>
        </w:rPr>
      </w:pPr>
      <w:r w:rsidRPr="00293925">
        <w:rPr>
          <w:sz w:val="24"/>
          <w:szCs w:val="24"/>
        </w:rPr>
        <w:t>Hunger</w:t>
      </w:r>
      <w:r w:rsidRPr="00293925">
        <w:rPr>
          <w:sz w:val="24"/>
          <w:szCs w:val="24"/>
        </w:rPr>
        <w:t>, H.</w:t>
      </w:r>
      <w:r w:rsidRPr="00293925">
        <w:rPr>
          <w:sz w:val="24"/>
          <w:szCs w:val="24"/>
        </w:rPr>
        <w:t xml:space="preserve"> and Pingree,</w:t>
      </w:r>
      <w:r w:rsidRPr="00293925">
        <w:rPr>
          <w:sz w:val="24"/>
          <w:szCs w:val="24"/>
        </w:rPr>
        <w:t xml:space="preserve"> D.</w:t>
      </w:r>
      <w:r w:rsidRPr="00293925">
        <w:rPr>
          <w:sz w:val="24"/>
          <w:szCs w:val="24"/>
        </w:rPr>
        <w:t xml:space="preserve"> ‘MUL.APIN: An Astronomical Compendium in Cuneiform’, in </w:t>
      </w:r>
      <w:proofErr w:type="spellStart"/>
      <w:r w:rsidRPr="00293925">
        <w:rPr>
          <w:i/>
          <w:iCs/>
          <w:sz w:val="24"/>
          <w:szCs w:val="24"/>
        </w:rPr>
        <w:t>Archiv</w:t>
      </w:r>
      <w:proofErr w:type="spellEnd"/>
      <w:r w:rsidRPr="00293925">
        <w:rPr>
          <w:i/>
          <w:iCs/>
          <w:sz w:val="24"/>
          <w:szCs w:val="24"/>
        </w:rPr>
        <w:t xml:space="preserve"> fur </w:t>
      </w:r>
      <w:proofErr w:type="spellStart"/>
      <w:r w:rsidRPr="00293925">
        <w:rPr>
          <w:i/>
          <w:iCs/>
          <w:sz w:val="24"/>
          <w:szCs w:val="24"/>
        </w:rPr>
        <w:t>Orientforschung</w:t>
      </w:r>
      <w:proofErr w:type="spellEnd"/>
      <w:r w:rsidRPr="00293925">
        <w:rPr>
          <w:i/>
          <w:iCs/>
          <w:sz w:val="24"/>
          <w:szCs w:val="24"/>
        </w:rPr>
        <w:t xml:space="preserve"> </w:t>
      </w:r>
      <w:proofErr w:type="spellStart"/>
      <w:r w:rsidRPr="00293925">
        <w:rPr>
          <w:i/>
          <w:iCs/>
          <w:sz w:val="24"/>
          <w:szCs w:val="24"/>
        </w:rPr>
        <w:t>Beiheft</w:t>
      </w:r>
      <w:proofErr w:type="spellEnd"/>
      <w:r w:rsidRPr="00293925">
        <w:rPr>
          <w:i/>
          <w:iCs/>
          <w:sz w:val="24"/>
          <w:szCs w:val="24"/>
        </w:rPr>
        <w:t xml:space="preserve"> </w:t>
      </w:r>
      <w:r w:rsidRPr="00293925">
        <w:rPr>
          <w:sz w:val="24"/>
          <w:szCs w:val="24"/>
        </w:rPr>
        <w:t xml:space="preserve">42 (Horn: Berger &amp; </w:t>
      </w:r>
      <w:proofErr w:type="spellStart"/>
      <w:r w:rsidRPr="00293925">
        <w:rPr>
          <w:sz w:val="24"/>
          <w:szCs w:val="24"/>
        </w:rPr>
        <w:t>Sohne</w:t>
      </w:r>
      <w:proofErr w:type="spellEnd"/>
      <w:r w:rsidRPr="00293925">
        <w:rPr>
          <w:sz w:val="24"/>
          <w:szCs w:val="24"/>
        </w:rPr>
        <w:t>, 1989).</w:t>
      </w:r>
    </w:p>
    <w:p w14:paraId="35A60ECA" w14:textId="77777777" w:rsidR="004663A8" w:rsidRPr="00293925" w:rsidRDefault="004663A8" w:rsidP="00383AC1">
      <w:pPr>
        <w:pStyle w:val="FootnoteText"/>
        <w:rPr>
          <w:sz w:val="24"/>
          <w:szCs w:val="24"/>
        </w:rPr>
      </w:pPr>
    </w:p>
    <w:p w14:paraId="245420EB" w14:textId="77777777" w:rsidR="00383AC1" w:rsidRDefault="00383AC1" w:rsidP="00383AC1">
      <w:pPr>
        <w:pStyle w:val="FootnoteText"/>
        <w:rPr>
          <w:sz w:val="24"/>
          <w:szCs w:val="24"/>
        </w:rPr>
      </w:pPr>
    </w:p>
    <w:p w14:paraId="6F799844" w14:textId="3E9238F8" w:rsidR="00383AC1" w:rsidRDefault="00383AC1" w:rsidP="00383AC1">
      <w:pPr>
        <w:pStyle w:val="FootnoteText"/>
        <w:rPr>
          <w:sz w:val="24"/>
          <w:szCs w:val="24"/>
        </w:rPr>
      </w:pPr>
      <w:r w:rsidRPr="00383AC1">
        <w:rPr>
          <w:sz w:val="24"/>
          <w:szCs w:val="24"/>
        </w:rPr>
        <w:t xml:space="preserve">Irvine, S. </w:t>
      </w:r>
      <w:r w:rsidRPr="00383AC1">
        <w:rPr>
          <w:i/>
          <w:iCs/>
          <w:sz w:val="24"/>
          <w:szCs w:val="24"/>
        </w:rPr>
        <w:t xml:space="preserve">Ishtar and </w:t>
      </w:r>
      <w:proofErr w:type="spellStart"/>
      <w:r w:rsidRPr="00383AC1">
        <w:rPr>
          <w:i/>
          <w:iCs/>
          <w:sz w:val="24"/>
          <w:szCs w:val="24"/>
        </w:rPr>
        <w:t>Ereshkigal</w:t>
      </w:r>
      <w:proofErr w:type="spellEnd"/>
      <w:r w:rsidRPr="00383AC1">
        <w:rPr>
          <w:i/>
          <w:iCs/>
          <w:sz w:val="24"/>
          <w:szCs w:val="24"/>
        </w:rPr>
        <w:t xml:space="preserve">: The Daughters of sin, </w:t>
      </w:r>
      <w:r w:rsidRPr="00383AC1">
        <w:rPr>
          <w:sz w:val="24"/>
          <w:szCs w:val="24"/>
        </w:rPr>
        <w:t>(Hampshire: John Hunt Publishing, 2020).</w:t>
      </w:r>
    </w:p>
    <w:p w14:paraId="702BC6D3" w14:textId="77777777" w:rsidR="00383AC1" w:rsidRDefault="00383AC1" w:rsidP="00383AC1">
      <w:pPr>
        <w:pStyle w:val="FootnoteText"/>
        <w:rPr>
          <w:sz w:val="24"/>
          <w:szCs w:val="24"/>
        </w:rPr>
      </w:pPr>
    </w:p>
    <w:p w14:paraId="1E19CEC0" w14:textId="5C0B70C8" w:rsidR="00383AC1" w:rsidRDefault="00383AC1" w:rsidP="00383AC1">
      <w:pPr>
        <w:pStyle w:val="FootnoteText"/>
        <w:rPr>
          <w:sz w:val="24"/>
          <w:szCs w:val="24"/>
        </w:rPr>
      </w:pPr>
      <w:r w:rsidRPr="00383AC1">
        <w:rPr>
          <w:sz w:val="24"/>
          <w:szCs w:val="24"/>
        </w:rPr>
        <w:t xml:space="preserve">Jessica Davidson, </w:t>
      </w:r>
      <w:r w:rsidRPr="00383AC1">
        <w:rPr>
          <w:i/>
          <w:iCs/>
          <w:sz w:val="24"/>
          <w:szCs w:val="24"/>
        </w:rPr>
        <w:t xml:space="preserve">The Astrological Ages: some historical speculation, </w:t>
      </w:r>
      <w:r w:rsidRPr="00383AC1">
        <w:rPr>
          <w:sz w:val="24"/>
          <w:szCs w:val="24"/>
        </w:rPr>
        <w:t>(2021) https://jessicadavidson.co.uk/2021/02/15/the-astrological-ages-some-historical-speculation/ [accessed December 19</w:t>
      </w:r>
      <w:r w:rsidRPr="00383AC1">
        <w:rPr>
          <w:sz w:val="24"/>
          <w:szCs w:val="24"/>
          <w:vertAlign w:val="superscript"/>
        </w:rPr>
        <w:t>th</w:t>
      </w:r>
      <w:proofErr w:type="gramStart"/>
      <w:r w:rsidRPr="00383AC1">
        <w:rPr>
          <w:sz w:val="24"/>
          <w:szCs w:val="24"/>
        </w:rPr>
        <w:t xml:space="preserve"> 2024</w:t>
      </w:r>
      <w:proofErr w:type="gramEnd"/>
      <w:r w:rsidRPr="00383AC1">
        <w:rPr>
          <w:sz w:val="24"/>
          <w:szCs w:val="24"/>
        </w:rPr>
        <w:t>].</w:t>
      </w:r>
    </w:p>
    <w:p w14:paraId="5A3A17D6" w14:textId="77777777" w:rsidR="00383AC1" w:rsidRPr="00383AC1" w:rsidRDefault="00383AC1" w:rsidP="00383AC1">
      <w:pPr>
        <w:pStyle w:val="FootnoteText"/>
        <w:rPr>
          <w:sz w:val="24"/>
          <w:szCs w:val="24"/>
        </w:rPr>
      </w:pPr>
    </w:p>
    <w:p w14:paraId="5F1D6328" w14:textId="77777777" w:rsidR="00383AC1" w:rsidRDefault="00383AC1" w:rsidP="00383AC1">
      <w:pPr>
        <w:pStyle w:val="FootnoteText"/>
      </w:pPr>
    </w:p>
    <w:p w14:paraId="583CEF97" w14:textId="77777777" w:rsidR="00383AC1" w:rsidRDefault="00383AC1" w:rsidP="00383AC1">
      <w:pPr>
        <w:pStyle w:val="FootnoteText"/>
        <w:rPr>
          <w:sz w:val="24"/>
          <w:szCs w:val="24"/>
        </w:rPr>
      </w:pPr>
      <w:proofErr w:type="spellStart"/>
      <w:r w:rsidRPr="00383AC1">
        <w:rPr>
          <w:sz w:val="24"/>
          <w:szCs w:val="24"/>
        </w:rPr>
        <w:t>Karath</w:t>
      </w:r>
      <w:proofErr w:type="spellEnd"/>
      <w:r w:rsidRPr="00383AC1">
        <w:rPr>
          <w:sz w:val="24"/>
          <w:szCs w:val="24"/>
        </w:rPr>
        <w:t xml:space="preserve">, K. </w:t>
      </w:r>
      <w:r w:rsidRPr="00383AC1">
        <w:rPr>
          <w:i/>
          <w:iCs/>
          <w:sz w:val="24"/>
          <w:szCs w:val="24"/>
        </w:rPr>
        <w:t xml:space="preserve">Bronze Age people looked to the skyscape to navigate their lives </w:t>
      </w:r>
      <w:r w:rsidRPr="00383AC1">
        <w:rPr>
          <w:sz w:val="24"/>
          <w:szCs w:val="24"/>
        </w:rPr>
        <w:t>(2024) https://psyche.co/ideas/bronze-age-people-looked-to-the-skyscape-to-navigate-their-lives [accessed 19th December 2024].</w:t>
      </w:r>
    </w:p>
    <w:p w14:paraId="0D0F6436" w14:textId="77777777" w:rsidR="00383AC1" w:rsidRPr="00383AC1" w:rsidRDefault="00383AC1" w:rsidP="00383AC1">
      <w:pPr>
        <w:pStyle w:val="FootnoteText"/>
        <w:rPr>
          <w:sz w:val="24"/>
          <w:szCs w:val="24"/>
        </w:rPr>
      </w:pPr>
    </w:p>
    <w:p w14:paraId="152A981A" w14:textId="77777777" w:rsidR="00383AC1" w:rsidRPr="00171943" w:rsidRDefault="00383AC1" w:rsidP="00383AC1">
      <w:pPr>
        <w:pStyle w:val="FootnoteText"/>
        <w:rPr>
          <w:sz w:val="24"/>
          <w:szCs w:val="24"/>
        </w:rPr>
      </w:pPr>
    </w:p>
    <w:p w14:paraId="3F602A8E" w14:textId="77777777" w:rsidR="00383AC1" w:rsidRDefault="00383AC1" w:rsidP="00383AC1">
      <w:pPr>
        <w:pStyle w:val="FootnoteText"/>
        <w:rPr>
          <w:sz w:val="24"/>
          <w:szCs w:val="24"/>
        </w:rPr>
      </w:pPr>
      <w:r w:rsidRPr="00171943">
        <w:rPr>
          <w:sz w:val="24"/>
          <w:szCs w:val="24"/>
        </w:rPr>
        <w:t>Kumar, G. A, ‘</w:t>
      </w:r>
      <w:r w:rsidRPr="00171943">
        <w:rPr>
          <w:i/>
          <w:iCs/>
          <w:sz w:val="24"/>
          <w:szCs w:val="24"/>
        </w:rPr>
        <w:t>The Epic of Gilgamesh</w:t>
      </w:r>
      <w:r w:rsidRPr="00171943">
        <w:rPr>
          <w:sz w:val="24"/>
          <w:szCs w:val="24"/>
        </w:rPr>
        <w:t xml:space="preserve">: A Saga of Humanism </w:t>
      </w:r>
      <w:proofErr w:type="spellStart"/>
      <w:r w:rsidRPr="00171943">
        <w:rPr>
          <w:sz w:val="24"/>
          <w:szCs w:val="24"/>
        </w:rPr>
        <w:t>Mythified</w:t>
      </w:r>
      <w:proofErr w:type="spellEnd"/>
      <w:r w:rsidRPr="00171943">
        <w:rPr>
          <w:sz w:val="24"/>
          <w:szCs w:val="24"/>
        </w:rPr>
        <w:t xml:space="preserve">’, in </w:t>
      </w:r>
      <w:r w:rsidRPr="00171943">
        <w:rPr>
          <w:i/>
          <w:iCs/>
          <w:sz w:val="24"/>
          <w:szCs w:val="24"/>
        </w:rPr>
        <w:t xml:space="preserve">New </w:t>
      </w:r>
      <w:proofErr w:type="spellStart"/>
      <w:r w:rsidRPr="00171943">
        <w:rPr>
          <w:i/>
          <w:iCs/>
          <w:sz w:val="24"/>
          <w:szCs w:val="24"/>
        </w:rPr>
        <w:t>Literaria</w:t>
      </w:r>
      <w:proofErr w:type="spellEnd"/>
      <w:r w:rsidRPr="00171943">
        <w:rPr>
          <w:i/>
          <w:iCs/>
          <w:sz w:val="24"/>
          <w:szCs w:val="24"/>
        </w:rPr>
        <w:t xml:space="preserve"> </w:t>
      </w:r>
      <w:r w:rsidRPr="00171943">
        <w:rPr>
          <w:sz w:val="24"/>
          <w:szCs w:val="24"/>
        </w:rPr>
        <w:t xml:space="preserve">vol.1 (1), (Bankura: </w:t>
      </w:r>
      <w:proofErr w:type="spellStart"/>
      <w:r w:rsidRPr="00171943">
        <w:rPr>
          <w:sz w:val="24"/>
          <w:szCs w:val="24"/>
        </w:rPr>
        <w:t>Adrija</w:t>
      </w:r>
      <w:proofErr w:type="spellEnd"/>
      <w:r w:rsidRPr="00171943">
        <w:rPr>
          <w:sz w:val="24"/>
          <w:szCs w:val="24"/>
        </w:rPr>
        <w:t xml:space="preserve"> Press, 2020).</w:t>
      </w:r>
    </w:p>
    <w:p w14:paraId="444A661F" w14:textId="77777777" w:rsidR="00383AC1" w:rsidRDefault="00383AC1" w:rsidP="00383AC1">
      <w:pPr>
        <w:pStyle w:val="FootnoteText"/>
        <w:rPr>
          <w:sz w:val="24"/>
          <w:szCs w:val="24"/>
        </w:rPr>
      </w:pPr>
    </w:p>
    <w:p w14:paraId="5D514CF9" w14:textId="77777777" w:rsidR="00383AC1" w:rsidRDefault="00383AC1" w:rsidP="00383AC1">
      <w:pPr>
        <w:pStyle w:val="FootnoteText"/>
        <w:rPr>
          <w:sz w:val="24"/>
          <w:szCs w:val="24"/>
        </w:rPr>
      </w:pPr>
    </w:p>
    <w:p w14:paraId="5D83846C" w14:textId="77777777" w:rsidR="00383AC1" w:rsidRDefault="00383AC1" w:rsidP="00383AC1">
      <w:pPr>
        <w:pStyle w:val="FootnoteText"/>
        <w:rPr>
          <w:sz w:val="24"/>
          <w:szCs w:val="24"/>
        </w:rPr>
      </w:pPr>
      <w:r w:rsidRPr="00383AC1">
        <w:rPr>
          <w:sz w:val="24"/>
          <w:szCs w:val="24"/>
        </w:rPr>
        <w:t xml:space="preserve">Langdon, S. </w:t>
      </w:r>
      <w:r w:rsidRPr="00383AC1">
        <w:rPr>
          <w:i/>
          <w:iCs/>
          <w:sz w:val="24"/>
          <w:szCs w:val="24"/>
        </w:rPr>
        <w:t xml:space="preserve">The Epic of </w:t>
      </w:r>
      <w:proofErr w:type="spellStart"/>
      <w:r w:rsidRPr="00383AC1">
        <w:rPr>
          <w:i/>
          <w:iCs/>
          <w:sz w:val="24"/>
          <w:szCs w:val="24"/>
        </w:rPr>
        <w:t>Gilgamish</w:t>
      </w:r>
      <w:proofErr w:type="spellEnd"/>
      <w:r w:rsidRPr="00383AC1">
        <w:rPr>
          <w:i/>
          <w:iCs/>
          <w:sz w:val="24"/>
          <w:szCs w:val="24"/>
        </w:rPr>
        <w:t xml:space="preserve"> </w:t>
      </w:r>
      <w:r w:rsidRPr="00383AC1">
        <w:rPr>
          <w:sz w:val="24"/>
          <w:szCs w:val="24"/>
        </w:rPr>
        <w:t>(2024) https://www.penn.museum/sites/journal/550/ [accessed 19</w:t>
      </w:r>
      <w:r w:rsidRPr="00383AC1">
        <w:rPr>
          <w:sz w:val="24"/>
          <w:szCs w:val="24"/>
          <w:vertAlign w:val="superscript"/>
        </w:rPr>
        <w:t>th</w:t>
      </w:r>
      <w:r w:rsidRPr="00383AC1">
        <w:rPr>
          <w:sz w:val="24"/>
          <w:szCs w:val="24"/>
        </w:rPr>
        <w:t xml:space="preserve"> December 2024].</w:t>
      </w:r>
    </w:p>
    <w:p w14:paraId="303E71BC" w14:textId="77777777" w:rsidR="00383AC1" w:rsidRPr="00383AC1" w:rsidRDefault="00383AC1" w:rsidP="00383AC1">
      <w:pPr>
        <w:pStyle w:val="FootnoteText"/>
        <w:rPr>
          <w:sz w:val="24"/>
          <w:szCs w:val="24"/>
        </w:rPr>
      </w:pPr>
    </w:p>
    <w:p w14:paraId="6D1F1C09" w14:textId="77777777" w:rsidR="00383AC1" w:rsidRDefault="00383AC1" w:rsidP="00383AC1">
      <w:pPr>
        <w:pStyle w:val="FootnoteText"/>
        <w:rPr>
          <w:sz w:val="24"/>
          <w:szCs w:val="24"/>
        </w:rPr>
      </w:pPr>
    </w:p>
    <w:p w14:paraId="58E3EFC5" w14:textId="77777777" w:rsidR="00383AC1" w:rsidRDefault="00383AC1" w:rsidP="00383AC1">
      <w:pPr>
        <w:pStyle w:val="FootnoteText"/>
        <w:rPr>
          <w:sz w:val="24"/>
          <w:szCs w:val="24"/>
        </w:rPr>
      </w:pPr>
      <w:proofErr w:type="spellStart"/>
      <w:r w:rsidRPr="00F11689">
        <w:rPr>
          <w:sz w:val="24"/>
          <w:szCs w:val="24"/>
        </w:rPr>
        <w:t>Lemesurier</w:t>
      </w:r>
      <w:proofErr w:type="spellEnd"/>
      <w:r w:rsidRPr="00F11689">
        <w:rPr>
          <w:sz w:val="24"/>
          <w:szCs w:val="24"/>
        </w:rPr>
        <w:t xml:space="preserve">, P. </w:t>
      </w:r>
      <w:r w:rsidRPr="00F11689">
        <w:rPr>
          <w:i/>
          <w:iCs/>
          <w:sz w:val="24"/>
          <w:szCs w:val="24"/>
        </w:rPr>
        <w:t xml:space="preserve">Gospel of the Stars: The Mystery of the Cycle of the Ages </w:t>
      </w:r>
      <w:r w:rsidRPr="00F11689">
        <w:rPr>
          <w:sz w:val="24"/>
          <w:szCs w:val="24"/>
        </w:rPr>
        <w:t>(Dorset: Element Books Limited, 1990).</w:t>
      </w:r>
    </w:p>
    <w:p w14:paraId="59E670A9" w14:textId="77777777" w:rsidR="00383AC1" w:rsidRDefault="00383AC1" w:rsidP="00383AC1">
      <w:pPr>
        <w:pStyle w:val="FootnoteText"/>
        <w:rPr>
          <w:sz w:val="24"/>
          <w:szCs w:val="24"/>
        </w:rPr>
      </w:pPr>
    </w:p>
    <w:p w14:paraId="0F0CFA9F" w14:textId="77777777" w:rsidR="00383AC1" w:rsidRDefault="00383AC1" w:rsidP="00383AC1">
      <w:pPr>
        <w:pStyle w:val="FootnoteText"/>
        <w:rPr>
          <w:sz w:val="24"/>
          <w:szCs w:val="24"/>
        </w:rPr>
      </w:pPr>
    </w:p>
    <w:p w14:paraId="50609CBC" w14:textId="6481A7C3" w:rsidR="00383AC1" w:rsidRDefault="00383AC1" w:rsidP="00383AC1">
      <w:pPr>
        <w:pStyle w:val="FootnoteText"/>
        <w:rPr>
          <w:sz w:val="24"/>
          <w:szCs w:val="24"/>
        </w:rPr>
      </w:pPr>
      <w:r w:rsidRPr="00383AC1">
        <w:rPr>
          <w:sz w:val="24"/>
          <w:szCs w:val="24"/>
        </w:rPr>
        <w:t xml:space="preserve">Maunder, E. W. and Maunder, A. S. D. ‘Vernal equinox, date of passage of the, from Taurus into Aries’ in </w:t>
      </w:r>
      <w:r w:rsidRPr="00383AC1">
        <w:rPr>
          <w:i/>
          <w:iCs/>
          <w:sz w:val="24"/>
          <w:szCs w:val="24"/>
        </w:rPr>
        <w:t xml:space="preserve">Monthly Notices of the Royal Astronomical Society </w:t>
      </w:r>
      <w:r w:rsidRPr="00383AC1">
        <w:rPr>
          <w:sz w:val="24"/>
          <w:szCs w:val="24"/>
        </w:rPr>
        <w:t>Vol.64 (Oxford: Oxford University Press, 1904).</w:t>
      </w:r>
    </w:p>
    <w:p w14:paraId="61D42E81" w14:textId="77777777" w:rsidR="00383AC1" w:rsidRDefault="00383AC1" w:rsidP="00383AC1">
      <w:pPr>
        <w:pStyle w:val="FootnoteText"/>
        <w:rPr>
          <w:sz w:val="24"/>
          <w:szCs w:val="24"/>
        </w:rPr>
      </w:pPr>
    </w:p>
    <w:p w14:paraId="054BB2C8" w14:textId="65CB5DB4" w:rsidR="00383AC1" w:rsidRDefault="00383AC1" w:rsidP="00383AC1">
      <w:pPr>
        <w:pStyle w:val="FootnoteText"/>
        <w:rPr>
          <w:sz w:val="24"/>
          <w:szCs w:val="24"/>
        </w:rPr>
      </w:pPr>
      <w:r w:rsidRPr="00383AC1">
        <w:rPr>
          <w:sz w:val="24"/>
          <w:szCs w:val="24"/>
        </w:rPr>
        <w:t xml:space="preserve">Mark, J. J. </w:t>
      </w:r>
      <w:proofErr w:type="spellStart"/>
      <w:r w:rsidRPr="00383AC1">
        <w:rPr>
          <w:i/>
          <w:iCs/>
          <w:sz w:val="24"/>
          <w:szCs w:val="24"/>
        </w:rPr>
        <w:t>Uruk</w:t>
      </w:r>
      <w:proofErr w:type="spellEnd"/>
      <w:r w:rsidRPr="00383AC1">
        <w:rPr>
          <w:i/>
          <w:iCs/>
          <w:sz w:val="24"/>
          <w:szCs w:val="24"/>
        </w:rPr>
        <w:t xml:space="preserve"> </w:t>
      </w:r>
      <w:r w:rsidRPr="00383AC1">
        <w:rPr>
          <w:sz w:val="24"/>
          <w:szCs w:val="24"/>
        </w:rPr>
        <w:t>(2011) https://www.worldhistory.org/uruk/ [accessed 12 December 2024].</w:t>
      </w:r>
    </w:p>
    <w:p w14:paraId="7163ECEE" w14:textId="77777777" w:rsidR="00444015" w:rsidRDefault="00444015" w:rsidP="00383AC1">
      <w:pPr>
        <w:pStyle w:val="FootnoteText"/>
        <w:rPr>
          <w:sz w:val="24"/>
          <w:szCs w:val="24"/>
        </w:rPr>
      </w:pPr>
    </w:p>
    <w:p w14:paraId="4F4622B6" w14:textId="77777777" w:rsidR="005F2143" w:rsidRDefault="005F2143" w:rsidP="00383AC1">
      <w:pPr>
        <w:pStyle w:val="FootnoteText"/>
        <w:rPr>
          <w:sz w:val="24"/>
          <w:szCs w:val="24"/>
        </w:rPr>
      </w:pPr>
    </w:p>
    <w:p w14:paraId="50C2FB17" w14:textId="05C8B9D0" w:rsidR="005F2143" w:rsidRDefault="005F2143" w:rsidP="00383AC1">
      <w:pPr>
        <w:pStyle w:val="FootnoteText"/>
        <w:rPr>
          <w:sz w:val="24"/>
          <w:szCs w:val="24"/>
        </w:rPr>
      </w:pPr>
      <w:r w:rsidRPr="005F2143">
        <w:rPr>
          <w:sz w:val="24"/>
          <w:szCs w:val="24"/>
        </w:rPr>
        <w:t xml:space="preserve">Mason, </w:t>
      </w:r>
      <w:r w:rsidRPr="005F2143">
        <w:rPr>
          <w:sz w:val="24"/>
          <w:szCs w:val="24"/>
        </w:rPr>
        <w:t xml:space="preserve">H. </w:t>
      </w:r>
      <w:r w:rsidRPr="005F2143">
        <w:rPr>
          <w:sz w:val="24"/>
          <w:szCs w:val="24"/>
        </w:rPr>
        <w:t xml:space="preserve">‘The Death of Enkidu: From Gilgamesh’, in </w:t>
      </w:r>
      <w:r w:rsidRPr="005F2143">
        <w:rPr>
          <w:i/>
          <w:iCs/>
          <w:sz w:val="24"/>
          <w:szCs w:val="24"/>
        </w:rPr>
        <w:t xml:space="preserve">The American Scholar, </w:t>
      </w:r>
      <w:r w:rsidRPr="005F2143">
        <w:rPr>
          <w:sz w:val="24"/>
          <w:szCs w:val="24"/>
        </w:rPr>
        <w:t>vol. 40 (1) (Washington D.C: The Phi Beta Kappa Society, 1970)</w:t>
      </w:r>
      <w:r w:rsidRPr="005F2143">
        <w:rPr>
          <w:sz w:val="24"/>
          <w:szCs w:val="24"/>
        </w:rPr>
        <w:t>.</w:t>
      </w:r>
    </w:p>
    <w:p w14:paraId="61F4689F" w14:textId="77777777" w:rsidR="005F2143" w:rsidRPr="005F2143" w:rsidRDefault="005F2143" w:rsidP="00383AC1">
      <w:pPr>
        <w:pStyle w:val="FootnoteText"/>
        <w:rPr>
          <w:sz w:val="24"/>
          <w:szCs w:val="24"/>
        </w:rPr>
      </w:pPr>
    </w:p>
    <w:p w14:paraId="333CF72D" w14:textId="77777777" w:rsidR="00444015" w:rsidRDefault="00444015" w:rsidP="00383AC1">
      <w:pPr>
        <w:pStyle w:val="FootnoteText"/>
        <w:rPr>
          <w:sz w:val="24"/>
          <w:szCs w:val="24"/>
        </w:rPr>
      </w:pPr>
    </w:p>
    <w:p w14:paraId="6B903DD3" w14:textId="3DF2851E" w:rsidR="00383AC1" w:rsidRDefault="00444015" w:rsidP="00383AC1">
      <w:pPr>
        <w:pStyle w:val="FootnoteText"/>
        <w:rPr>
          <w:sz w:val="24"/>
          <w:szCs w:val="24"/>
        </w:rPr>
      </w:pPr>
      <w:r w:rsidRPr="00444015">
        <w:rPr>
          <w:sz w:val="24"/>
          <w:szCs w:val="24"/>
        </w:rPr>
        <w:t>McHenry,</w:t>
      </w:r>
      <w:r w:rsidRPr="00444015">
        <w:rPr>
          <w:sz w:val="24"/>
          <w:szCs w:val="24"/>
        </w:rPr>
        <w:t xml:space="preserve"> L.</w:t>
      </w:r>
      <w:r w:rsidRPr="00444015">
        <w:rPr>
          <w:sz w:val="24"/>
          <w:szCs w:val="24"/>
        </w:rPr>
        <w:t xml:space="preserve"> </w:t>
      </w:r>
      <w:r w:rsidRPr="00444015">
        <w:rPr>
          <w:i/>
          <w:iCs/>
          <w:sz w:val="24"/>
          <w:szCs w:val="24"/>
        </w:rPr>
        <w:t xml:space="preserve">Star Myths </w:t>
      </w:r>
      <w:r w:rsidRPr="00444015">
        <w:rPr>
          <w:sz w:val="24"/>
          <w:szCs w:val="24"/>
        </w:rPr>
        <w:t>(2024) https://www.stellar-journeys.org/starmyths.htm [accessed 19th December 2024].</w:t>
      </w:r>
    </w:p>
    <w:p w14:paraId="4815FEAB" w14:textId="77777777" w:rsidR="00383AC1" w:rsidRPr="00F11689" w:rsidRDefault="00383AC1" w:rsidP="00383AC1">
      <w:pPr>
        <w:pStyle w:val="FootnoteText"/>
        <w:rPr>
          <w:sz w:val="24"/>
          <w:szCs w:val="24"/>
        </w:rPr>
      </w:pPr>
    </w:p>
    <w:p w14:paraId="3F553B1A" w14:textId="77777777" w:rsidR="00383AC1" w:rsidRPr="00383AC1" w:rsidRDefault="00383AC1" w:rsidP="00383AC1">
      <w:pPr>
        <w:pStyle w:val="FootnoteText"/>
        <w:rPr>
          <w:color w:val="000000"/>
          <w:spacing w:val="-5"/>
          <w:sz w:val="24"/>
          <w:szCs w:val="24"/>
          <w:shd w:val="clear" w:color="auto" w:fill="FFFFFF"/>
        </w:rPr>
      </w:pPr>
      <w:r w:rsidRPr="00383AC1">
        <w:rPr>
          <w:color w:val="000000"/>
          <w:spacing w:val="-5"/>
          <w:sz w:val="24"/>
          <w:szCs w:val="24"/>
          <w:shd w:val="clear" w:color="auto" w:fill="FFFFFF"/>
        </w:rPr>
        <w:t>Menzies, J. W. “Myth, An Attempt to Define the Indefinable.” </w:t>
      </w:r>
      <w:r w:rsidRPr="00383AC1">
        <w:rPr>
          <w:i/>
          <w:iCs/>
          <w:color w:val="000000"/>
          <w:spacing w:val="-5"/>
          <w:sz w:val="24"/>
          <w:szCs w:val="24"/>
          <w:shd w:val="clear" w:color="auto" w:fill="FFFFFF"/>
        </w:rPr>
        <w:t>True Myth: C.S. Lewis and Joseph Campbell on the Veracity of Christianity</w:t>
      </w:r>
      <w:r w:rsidRPr="00383AC1">
        <w:rPr>
          <w:color w:val="000000"/>
          <w:spacing w:val="-5"/>
          <w:sz w:val="24"/>
          <w:szCs w:val="24"/>
          <w:shd w:val="clear" w:color="auto" w:fill="FFFFFF"/>
        </w:rPr>
        <w:t>, 1st ed., (The Lutterworth Press, 2014).</w:t>
      </w:r>
    </w:p>
    <w:p w14:paraId="4612C347" w14:textId="77777777" w:rsidR="00383AC1" w:rsidRPr="00171943" w:rsidRDefault="00383AC1" w:rsidP="00383AC1">
      <w:pPr>
        <w:pStyle w:val="FootnoteText"/>
        <w:rPr>
          <w:sz w:val="24"/>
          <w:szCs w:val="24"/>
        </w:rPr>
      </w:pPr>
    </w:p>
    <w:p w14:paraId="6E8B6686" w14:textId="77777777" w:rsidR="00383AC1" w:rsidRPr="00171943" w:rsidRDefault="00383AC1" w:rsidP="00383AC1">
      <w:pPr>
        <w:pStyle w:val="FootnoteText"/>
        <w:rPr>
          <w:sz w:val="24"/>
          <w:szCs w:val="24"/>
        </w:rPr>
      </w:pPr>
    </w:p>
    <w:p w14:paraId="74E9105F" w14:textId="77777777" w:rsidR="00383AC1" w:rsidRDefault="00383AC1" w:rsidP="00383AC1">
      <w:pPr>
        <w:pStyle w:val="FootnoteText"/>
        <w:rPr>
          <w:sz w:val="24"/>
          <w:szCs w:val="24"/>
        </w:rPr>
      </w:pPr>
      <w:r w:rsidRPr="00171943">
        <w:rPr>
          <w:sz w:val="24"/>
          <w:szCs w:val="24"/>
        </w:rPr>
        <w:t xml:space="preserve">Moran, L. W. </w:t>
      </w:r>
      <w:r w:rsidRPr="00171943">
        <w:rPr>
          <w:i/>
          <w:iCs/>
          <w:sz w:val="24"/>
          <w:szCs w:val="24"/>
        </w:rPr>
        <w:t xml:space="preserve">UT-NAPISHTIM REVISITED </w:t>
      </w:r>
      <w:r w:rsidRPr="00171943">
        <w:rPr>
          <w:sz w:val="24"/>
          <w:szCs w:val="24"/>
        </w:rPr>
        <w:t>(1984) https://www.nytimes.com/1984/11/11/books/utnapishtim-revisited.html [accessed 30th December 2024].</w:t>
      </w:r>
    </w:p>
    <w:p w14:paraId="1753548B" w14:textId="77777777" w:rsidR="00763950" w:rsidRDefault="00763950" w:rsidP="00383AC1">
      <w:pPr>
        <w:pStyle w:val="FootnoteText"/>
        <w:rPr>
          <w:sz w:val="24"/>
          <w:szCs w:val="24"/>
        </w:rPr>
      </w:pPr>
    </w:p>
    <w:p w14:paraId="03BE4375" w14:textId="77777777" w:rsidR="00763950" w:rsidRDefault="00763950" w:rsidP="00383AC1">
      <w:pPr>
        <w:pStyle w:val="FootnoteText"/>
        <w:rPr>
          <w:sz w:val="24"/>
          <w:szCs w:val="24"/>
        </w:rPr>
      </w:pPr>
    </w:p>
    <w:p w14:paraId="5451154E" w14:textId="45AB4301" w:rsidR="00763950" w:rsidRPr="00763950" w:rsidRDefault="00763950" w:rsidP="00383AC1">
      <w:pPr>
        <w:pStyle w:val="FootnoteText"/>
        <w:rPr>
          <w:sz w:val="24"/>
          <w:szCs w:val="24"/>
        </w:rPr>
      </w:pPr>
      <w:r w:rsidRPr="00763950">
        <w:rPr>
          <w:sz w:val="24"/>
          <w:szCs w:val="24"/>
        </w:rPr>
        <w:t xml:space="preserve">Online Etymology Dictionary, </w:t>
      </w:r>
      <w:r w:rsidRPr="00763950">
        <w:rPr>
          <w:i/>
          <w:iCs/>
          <w:sz w:val="24"/>
          <w:szCs w:val="24"/>
        </w:rPr>
        <w:t xml:space="preserve">Sky </w:t>
      </w:r>
      <w:r w:rsidRPr="00763950">
        <w:rPr>
          <w:sz w:val="24"/>
          <w:szCs w:val="24"/>
        </w:rPr>
        <w:t>(2024) https://www.etymonline.com/search?q=sky [accessed 20</w:t>
      </w:r>
      <w:r w:rsidRPr="00763950">
        <w:rPr>
          <w:sz w:val="24"/>
          <w:szCs w:val="24"/>
          <w:vertAlign w:val="superscript"/>
        </w:rPr>
        <w:t>th</w:t>
      </w:r>
      <w:r w:rsidRPr="00763950">
        <w:rPr>
          <w:sz w:val="24"/>
          <w:szCs w:val="24"/>
        </w:rPr>
        <w:t xml:space="preserve"> December 2024].</w:t>
      </w:r>
    </w:p>
    <w:p w14:paraId="54FE3D27" w14:textId="77777777" w:rsidR="00B9401A" w:rsidRDefault="00B9401A" w:rsidP="00383AC1">
      <w:pPr>
        <w:pStyle w:val="FootnoteText"/>
        <w:rPr>
          <w:sz w:val="24"/>
          <w:szCs w:val="24"/>
        </w:rPr>
      </w:pPr>
    </w:p>
    <w:p w14:paraId="2D1DBA68" w14:textId="77777777" w:rsidR="005006C5" w:rsidRDefault="005006C5" w:rsidP="00383AC1">
      <w:pPr>
        <w:pStyle w:val="FootnoteText"/>
        <w:rPr>
          <w:sz w:val="24"/>
          <w:szCs w:val="24"/>
        </w:rPr>
      </w:pPr>
    </w:p>
    <w:p w14:paraId="24EEC429" w14:textId="28408720" w:rsidR="005006C5" w:rsidRDefault="005006C5" w:rsidP="00383AC1">
      <w:pPr>
        <w:pStyle w:val="FootnoteText"/>
        <w:rPr>
          <w:sz w:val="24"/>
          <w:szCs w:val="24"/>
        </w:rPr>
      </w:pPr>
      <w:r w:rsidRPr="005006C5">
        <w:rPr>
          <w:sz w:val="24"/>
          <w:szCs w:val="24"/>
        </w:rPr>
        <w:t xml:space="preserve">Online Etymology Dictionary, </w:t>
      </w:r>
      <w:r w:rsidRPr="005006C5">
        <w:rPr>
          <w:i/>
          <w:iCs/>
          <w:sz w:val="24"/>
          <w:szCs w:val="24"/>
        </w:rPr>
        <w:t xml:space="preserve">Star </w:t>
      </w:r>
      <w:r w:rsidRPr="005006C5">
        <w:rPr>
          <w:sz w:val="24"/>
          <w:szCs w:val="24"/>
        </w:rPr>
        <w:t>(2024) https://www.etymonline.com/word/star [accessed 20th December 2024].</w:t>
      </w:r>
    </w:p>
    <w:p w14:paraId="426B44F0" w14:textId="77777777" w:rsidR="005006C5" w:rsidRDefault="005006C5" w:rsidP="00383AC1">
      <w:pPr>
        <w:pStyle w:val="FootnoteText"/>
        <w:rPr>
          <w:sz w:val="24"/>
          <w:szCs w:val="24"/>
        </w:rPr>
      </w:pPr>
    </w:p>
    <w:p w14:paraId="0D50F79F" w14:textId="77777777" w:rsidR="00383AC1" w:rsidRDefault="00383AC1" w:rsidP="00383AC1">
      <w:pPr>
        <w:pStyle w:val="FootnoteText"/>
        <w:rPr>
          <w:sz w:val="24"/>
          <w:szCs w:val="24"/>
        </w:rPr>
      </w:pPr>
    </w:p>
    <w:p w14:paraId="3D660F6A" w14:textId="616473E1" w:rsidR="00B9401A" w:rsidRDefault="00B9401A" w:rsidP="00383AC1">
      <w:pPr>
        <w:pStyle w:val="FootnoteText"/>
        <w:rPr>
          <w:sz w:val="24"/>
          <w:szCs w:val="24"/>
        </w:rPr>
      </w:pPr>
      <w:r w:rsidRPr="00B9401A">
        <w:rPr>
          <w:sz w:val="24"/>
          <w:szCs w:val="24"/>
        </w:rPr>
        <w:t xml:space="preserve">Parker, </w:t>
      </w:r>
      <w:r w:rsidRPr="00B9401A">
        <w:rPr>
          <w:sz w:val="24"/>
          <w:szCs w:val="24"/>
        </w:rPr>
        <w:t xml:space="preserve">D. S. </w:t>
      </w:r>
      <w:r w:rsidRPr="00B9401A">
        <w:rPr>
          <w:i/>
          <w:iCs/>
          <w:sz w:val="24"/>
          <w:szCs w:val="24"/>
        </w:rPr>
        <w:t xml:space="preserve">A Seasonal Mythic Tale: Why Scorpio &amp; Orion Are Opposite Each Other in the Sky </w:t>
      </w:r>
      <w:r w:rsidRPr="00B9401A">
        <w:rPr>
          <w:sz w:val="24"/>
          <w:szCs w:val="24"/>
        </w:rPr>
        <w:t>(2013) https://www.astrologicuspress.com/blog-banner-page/a-seasonal-mythic-tale-why-scorpio-orion-are-opposite-each-other-in-the-sky [accessed 19th December 2024].</w:t>
      </w:r>
    </w:p>
    <w:p w14:paraId="2594E109" w14:textId="77777777" w:rsidR="00B9401A" w:rsidRPr="00B9401A" w:rsidRDefault="00B9401A" w:rsidP="00383AC1">
      <w:pPr>
        <w:pStyle w:val="FootnoteText"/>
        <w:rPr>
          <w:sz w:val="24"/>
          <w:szCs w:val="24"/>
        </w:rPr>
      </w:pPr>
    </w:p>
    <w:p w14:paraId="2BAF6205" w14:textId="77777777" w:rsidR="00383AC1" w:rsidRDefault="00383AC1" w:rsidP="00383AC1">
      <w:pPr>
        <w:pStyle w:val="FootnoteText"/>
        <w:rPr>
          <w:sz w:val="24"/>
          <w:szCs w:val="24"/>
        </w:rPr>
      </w:pPr>
    </w:p>
    <w:p w14:paraId="66C5162B" w14:textId="0ED7B4CD" w:rsidR="00383AC1" w:rsidRDefault="00383AC1" w:rsidP="00383AC1">
      <w:pPr>
        <w:spacing w:line="360" w:lineRule="auto"/>
      </w:pPr>
      <w:proofErr w:type="spellStart"/>
      <w:r>
        <w:t>Polidova</w:t>
      </w:r>
      <w:proofErr w:type="spellEnd"/>
      <w:r>
        <w:t xml:space="preserve">, L. </w:t>
      </w:r>
      <w:r>
        <w:rPr>
          <w:i/>
          <w:iCs/>
        </w:rPr>
        <w:t xml:space="preserve">Orion: A Constellation between Taurus &amp; Gemini – but like, barely </w:t>
      </w:r>
      <w:r>
        <w:t xml:space="preserve">(2023) </w:t>
      </w:r>
      <w:r w:rsidRPr="00C03A5A">
        <w:t xml:space="preserve">https://astrologyvibez.com/blog/2023/2/6/orion-a-zodiac-signconstellation-between-taurus-amp-gemini </w:t>
      </w:r>
      <w:r>
        <w:t>[accessed 10</w:t>
      </w:r>
      <w:r w:rsidRPr="00C953E2">
        <w:rPr>
          <w:vertAlign w:val="superscript"/>
        </w:rPr>
        <w:t>th</w:t>
      </w:r>
      <w:r>
        <w:t xml:space="preserve"> December 2024].</w:t>
      </w:r>
    </w:p>
    <w:p w14:paraId="355AFDFB" w14:textId="77777777" w:rsidR="00383AC1" w:rsidRDefault="00383AC1" w:rsidP="00383AC1">
      <w:pPr>
        <w:spacing w:line="360" w:lineRule="auto"/>
      </w:pPr>
    </w:p>
    <w:p w14:paraId="4B021D7C" w14:textId="58BAEC7F" w:rsidR="00383AC1" w:rsidRDefault="00383AC1" w:rsidP="00383AC1">
      <w:pPr>
        <w:spacing w:line="360" w:lineRule="auto"/>
      </w:pPr>
      <w:proofErr w:type="spellStart"/>
      <w:r>
        <w:t>Possanza</w:t>
      </w:r>
      <w:proofErr w:type="spellEnd"/>
      <w:r>
        <w:t xml:space="preserve">, D. M. </w:t>
      </w:r>
      <w:r w:rsidRPr="003E7EC8">
        <w:rPr>
          <w:i/>
          <w:iCs/>
        </w:rPr>
        <w:t>Translating the heavens: Aratus, Germanicus, and the poetics of Latin translation</w:t>
      </w:r>
      <w:r>
        <w:rPr>
          <w:i/>
          <w:iCs/>
        </w:rPr>
        <w:t xml:space="preserve"> </w:t>
      </w:r>
      <w:r>
        <w:t>(Washington D.C: Peter Lang, 2004).</w:t>
      </w:r>
    </w:p>
    <w:p w14:paraId="620BF395" w14:textId="4D6F9D3C" w:rsidR="00383AC1" w:rsidRDefault="00383AC1" w:rsidP="00383AC1">
      <w:pPr>
        <w:pStyle w:val="FootnoteText"/>
        <w:rPr>
          <w:sz w:val="24"/>
          <w:szCs w:val="24"/>
        </w:rPr>
      </w:pPr>
      <w:r w:rsidRPr="00383AC1">
        <w:rPr>
          <w:sz w:val="24"/>
          <w:szCs w:val="24"/>
        </w:rPr>
        <w:t xml:space="preserve">Pritchard, J. B. (ed.). </w:t>
      </w:r>
      <w:r w:rsidRPr="00383AC1">
        <w:rPr>
          <w:i/>
          <w:iCs/>
          <w:sz w:val="24"/>
          <w:szCs w:val="24"/>
        </w:rPr>
        <w:t xml:space="preserve">The Ancient Near East: An Anthology of Texts and Pictures, </w:t>
      </w:r>
      <w:r w:rsidRPr="00383AC1">
        <w:rPr>
          <w:sz w:val="24"/>
          <w:szCs w:val="24"/>
        </w:rPr>
        <w:t>(Princeton: Princeton University Press, 2011).</w:t>
      </w:r>
    </w:p>
    <w:p w14:paraId="386F8095" w14:textId="77777777" w:rsidR="00383AC1" w:rsidRPr="00383AC1" w:rsidRDefault="00383AC1" w:rsidP="00383AC1">
      <w:pPr>
        <w:pStyle w:val="FootnoteText"/>
        <w:rPr>
          <w:sz w:val="24"/>
          <w:szCs w:val="24"/>
        </w:rPr>
      </w:pPr>
    </w:p>
    <w:p w14:paraId="0BB5421C" w14:textId="77777777" w:rsidR="00383AC1" w:rsidRDefault="00383AC1" w:rsidP="00383AC1">
      <w:pPr>
        <w:pStyle w:val="FootnoteText"/>
      </w:pPr>
    </w:p>
    <w:p w14:paraId="1BBA96A8" w14:textId="77777777" w:rsidR="00383AC1" w:rsidRDefault="00383AC1" w:rsidP="00383AC1">
      <w:pPr>
        <w:pStyle w:val="FootnoteText"/>
        <w:rPr>
          <w:sz w:val="24"/>
          <w:szCs w:val="24"/>
        </w:rPr>
      </w:pPr>
      <w:proofErr w:type="spellStart"/>
      <w:r w:rsidRPr="00383AC1">
        <w:rPr>
          <w:sz w:val="24"/>
          <w:szCs w:val="24"/>
        </w:rPr>
        <w:t>Pruyser</w:t>
      </w:r>
      <w:proofErr w:type="spellEnd"/>
      <w:r w:rsidRPr="00383AC1">
        <w:rPr>
          <w:sz w:val="24"/>
          <w:szCs w:val="24"/>
        </w:rPr>
        <w:t xml:space="preserve">, P. </w:t>
      </w:r>
      <w:proofErr w:type="spellStart"/>
      <w:r w:rsidRPr="00383AC1">
        <w:rPr>
          <w:sz w:val="24"/>
          <w:szCs w:val="24"/>
        </w:rPr>
        <w:t>W.and</w:t>
      </w:r>
      <w:proofErr w:type="spellEnd"/>
      <w:r w:rsidRPr="00383AC1">
        <w:rPr>
          <w:sz w:val="24"/>
          <w:szCs w:val="24"/>
        </w:rPr>
        <w:t xml:space="preserve"> Luke, T. J. ‘The Epic of Gilgamesh’ in </w:t>
      </w:r>
      <w:r w:rsidRPr="00383AC1">
        <w:rPr>
          <w:i/>
          <w:iCs/>
          <w:sz w:val="24"/>
          <w:szCs w:val="24"/>
        </w:rPr>
        <w:t xml:space="preserve">American Imago, </w:t>
      </w:r>
      <w:r w:rsidRPr="00383AC1">
        <w:rPr>
          <w:sz w:val="24"/>
          <w:szCs w:val="24"/>
        </w:rPr>
        <w:t>vol.39 (2) (Baltimore: The John Hopkins University Press, 1982).</w:t>
      </w:r>
    </w:p>
    <w:p w14:paraId="230C896A" w14:textId="77777777" w:rsidR="00383AC1" w:rsidRDefault="00383AC1" w:rsidP="00383AC1">
      <w:pPr>
        <w:pStyle w:val="FootnoteText"/>
        <w:rPr>
          <w:sz w:val="24"/>
          <w:szCs w:val="24"/>
        </w:rPr>
      </w:pPr>
    </w:p>
    <w:p w14:paraId="521184FD" w14:textId="77777777" w:rsidR="00383AC1" w:rsidRDefault="00383AC1" w:rsidP="00383AC1">
      <w:pPr>
        <w:pStyle w:val="FootnoteText"/>
        <w:rPr>
          <w:sz w:val="24"/>
          <w:szCs w:val="24"/>
        </w:rPr>
      </w:pPr>
    </w:p>
    <w:p w14:paraId="4F51D645" w14:textId="77915B9F" w:rsidR="00383AC1" w:rsidRDefault="00383AC1" w:rsidP="00383AC1">
      <w:pPr>
        <w:pStyle w:val="FootnoteText"/>
      </w:pPr>
      <w:r w:rsidRPr="00383AC1">
        <w:rPr>
          <w:sz w:val="24"/>
          <w:szCs w:val="24"/>
        </w:rPr>
        <w:t xml:space="preserve">Reiner, E. and Pingree, D. E. </w:t>
      </w:r>
      <w:r w:rsidRPr="00383AC1">
        <w:rPr>
          <w:i/>
          <w:iCs/>
          <w:sz w:val="24"/>
          <w:szCs w:val="24"/>
        </w:rPr>
        <w:t xml:space="preserve">BPO 2, text 15 S (P237799) clay tablet </w:t>
      </w:r>
      <w:r w:rsidRPr="00383AC1">
        <w:rPr>
          <w:sz w:val="24"/>
          <w:szCs w:val="24"/>
        </w:rPr>
        <w:t>(1981)</w:t>
      </w:r>
    </w:p>
    <w:p w14:paraId="1195F6DA" w14:textId="77777777" w:rsidR="00383AC1" w:rsidRDefault="00383AC1" w:rsidP="00383AC1">
      <w:pPr>
        <w:spacing w:line="360" w:lineRule="auto"/>
      </w:pPr>
      <w:r w:rsidRPr="009C090D">
        <w:t>https://cdli.mpiwg-berlin.mpg.de/artifacts/237799</w:t>
      </w:r>
      <w:r>
        <w:t xml:space="preserve"> [accessed 19th December 2024].</w:t>
      </w:r>
    </w:p>
    <w:p w14:paraId="64C92E93" w14:textId="77777777" w:rsidR="00383AC1" w:rsidRPr="00383AC1" w:rsidRDefault="00383AC1" w:rsidP="00383AC1">
      <w:pPr>
        <w:pStyle w:val="FootnoteText"/>
        <w:rPr>
          <w:sz w:val="24"/>
          <w:szCs w:val="24"/>
        </w:rPr>
      </w:pPr>
    </w:p>
    <w:p w14:paraId="4084F755" w14:textId="77777777" w:rsidR="00383AC1" w:rsidRDefault="00383AC1" w:rsidP="00383AC1">
      <w:pPr>
        <w:pStyle w:val="FootnoteText"/>
        <w:rPr>
          <w:sz w:val="24"/>
          <w:szCs w:val="24"/>
        </w:rPr>
      </w:pPr>
    </w:p>
    <w:p w14:paraId="5D6CFB03" w14:textId="42AB701F" w:rsidR="00383AC1" w:rsidRDefault="00383AC1" w:rsidP="00383AC1">
      <w:pPr>
        <w:pStyle w:val="FootnoteText"/>
        <w:rPr>
          <w:sz w:val="24"/>
          <w:szCs w:val="24"/>
        </w:rPr>
      </w:pPr>
      <w:r w:rsidRPr="00171943">
        <w:rPr>
          <w:sz w:val="24"/>
          <w:szCs w:val="24"/>
        </w:rPr>
        <w:t xml:space="preserve">Riley, J. M. ‘” Love the Child who Holds You by the Hand”: Intertextuality in </w:t>
      </w:r>
      <w:r w:rsidRPr="00171943">
        <w:rPr>
          <w:i/>
          <w:iCs/>
          <w:sz w:val="24"/>
          <w:szCs w:val="24"/>
        </w:rPr>
        <w:t>The Odyssey</w:t>
      </w:r>
      <w:r w:rsidRPr="00171943">
        <w:rPr>
          <w:sz w:val="24"/>
          <w:szCs w:val="24"/>
        </w:rPr>
        <w:t xml:space="preserve"> and </w:t>
      </w:r>
      <w:r w:rsidRPr="00171943">
        <w:rPr>
          <w:i/>
          <w:iCs/>
          <w:sz w:val="24"/>
          <w:szCs w:val="24"/>
        </w:rPr>
        <w:t>The Epic of Gilgamesh”</w:t>
      </w:r>
      <w:r w:rsidRPr="00171943">
        <w:rPr>
          <w:sz w:val="24"/>
          <w:szCs w:val="24"/>
        </w:rPr>
        <w:t xml:space="preserve"> in </w:t>
      </w:r>
      <w:r w:rsidRPr="00171943">
        <w:rPr>
          <w:i/>
          <w:iCs/>
          <w:sz w:val="24"/>
          <w:szCs w:val="24"/>
        </w:rPr>
        <w:t xml:space="preserve">Studia Antiqua, </w:t>
      </w:r>
      <w:r w:rsidRPr="00171943">
        <w:rPr>
          <w:sz w:val="24"/>
          <w:szCs w:val="24"/>
        </w:rPr>
        <w:t>vol.12 (2), (Utah: Brigham Young University, 2014).</w:t>
      </w:r>
    </w:p>
    <w:p w14:paraId="5A32A957" w14:textId="77777777" w:rsidR="00383AC1" w:rsidRDefault="00383AC1" w:rsidP="00383AC1">
      <w:pPr>
        <w:pStyle w:val="FootnoteText"/>
        <w:rPr>
          <w:sz w:val="24"/>
          <w:szCs w:val="24"/>
        </w:rPr>
      </w:pPr>
    </w:p>
    <w:p w14:paraId="1B194B35" w14:textId="77777777" w:rsidR="00383AC1" w:rsidRDefault="00383AC1" w:rsidP="00383AC1">
      <w:pPr>
        <w:pStyle w:val="FootnoteText"/>
        <w:rPr>
          <w:sz w:val="24"/>
          <w:szCs w:val="24"/>
        </w:rPr>
      </w:pPr>
    </w:p>
    <w:p w14:paraId="3467011A" w14:textId="77777777" w:rsidR="00383AC1" w:rsidRDefault="00383AC1" w:rsidP="00383AC1">
      <w:pPr>
        <w:pStyle w:val="FootnoteText"/>
        <w:rPr>
          <w:sz w:val="24"/>
          <w:szCs w:val="24"/>
        </w:rPr>
      </w:pPr>
      <w:r w:rsidRPr="00383AC1">
        <w:rPr>
          <w:sz w:val="24"/>
          <w:szCs w:val="24"/>
        </w:rPr>
        <w:lastRenderedPageBreak/>
        <w:t>Robinson, M. ‘Ovid and the “</w:t>
      </w:r>
      <w:proofErr w:type="spellStart"/>
      <w:r w:rsidRPr="00383AC1">
        <w:rPr>
          <w:sz w:val="24"/>
          <w:szCs w:val="24"/>
        </w:rPr>
        <w:t>Catasterismi</w:t>
      </w:r>
      <w:proofErr w:type="spellEnd"/>
      <w:r w:rsidRPr="00383AC1">
        <w:rPr>
          <w:sz w:val="24"/>
          <w:szCs w:val="24"/>
        </w:rPr>
        <w:t xml:space="preserve">” of Eratosthenes’, in </w:t>
      </w:r>
      <w:r w:rsidRPr="00383AC1">
        <w:rPr>
          <w:i/>
          <w:iCs/>
          <w:sz w:val="24"/>
          <w:szCs w:val="24"/>
        </w:rPr>
        <w:t xml:space="preserve">The American Journal of Philology </w:t>
      </w:r>
      <w:r w:rsidRPr="00383AC1">
        <w:rPr>
          <w:sz w:val="24"/>
          <w:szCs w:val="24"/>
        </w:rPr>
        <w:t>vol.134 (3), (Baltimore: John Hopkins University Press, 2013).</w:t>
      </w:r>
    </w:p>
    <w:p w14:paraId="347D245C" w14:textId="77777777" w:rsidR="00383AC1" w:rsidRDefault="00383AC1" w:rsidP="00383AC1">
      <w:pPr>
        <w:pStyle w:val="FootnoteText"/>
        <w:rPr>
          <w:sz w:val="24"/>
          <w:szCs w:val="24"/>
        </w:rPr>
      </w:pPr>
    </w:p>
    <w:p w14:paraId="02D5CA62" w14:textId="77777777" w:rsidR="00383AC1" w:rsidRDefault="00383AC1" w:rsidP="00383AC1">
      <w:pPr>
        <w:pStyle w:val="FootnoteText"/>
        <w:rPr>
          <w:sz w:val="24"/>
          <w:szCs w:val="24"/>
        </w:rPr>
      </w:pPr>
    </w:p>
    <w:p w14:paraId="4895FA41" w14:textId="08D1472C" w:rsidR="00383AC1" w:rsidRDefault="00383AC1" w:rsidP="00383AC1">
      <w:pPr>
        <w:spacing w:line="360" w:lineRule="auto"/>
      </w:pPr>
      <w:r>
        <w:t xml:space="preserve">Ronnie G. Dreyer, G. R. </w:t>
      </w:r>
      <w:r>
        <w:rPr>
          <w:i/>
          <w:iCs/>
        </w:rPr>
        <w:t xml:space="preserve">Vedic Astrology: A Guide to the Fundamentals of </w:t>
      </w:r>
      <w:proofErr w:type="spellStart"/>
      <w:r>
        <w:rPr>
          <w:i/>
          <w:iCs/>
        </w:rPr>
        <w:t>Jyotish</w:t>
      </w:r>
      <w:proofErr w:type="spellEnd"/>
      <w:r>
        <w:rPr>
          <w:i/>
          <w:iCs/>
        </w:rPr>
        <w:t xml:space="preserve"> </w:t>
      </w:r>
      <w:r>
        <w:t>(Maine, USA: Samuel Weiser Inc, 1997).</w:t>
      </w:r>
    </w:p>
    <w:p w14:paraId="5F149A2E" w14:textId="77777777" w:rsidR="00383AC1" w:rsidRDefault="00383AC1" w:rsidP="00383AC1">
      <w:pPr>
        <w:pStyle w:val="FootnoteText"/>
        <w:rPr>
          <w:sz w:val="24"/>
          <w:szCs w:val="24"/>
        </w:rPr>
      </w:pPr>
    </w:p>
    <w:p w14:paraId="1A94A86E" w14:textId="5850D203" w:rsidR="00383AC1" w:rsidRDefault="00383AC1" w:rsidP="00383AC1">
      <w:pPr>
        <w:spacing w:line="360" w:lineRule="auto"/>
      </w:pPr>
      <w:proofErr w:type="spellStart"/>
      <w:r>
        <w:t>Sandars</w:t>
      </w:r>
      <w:proofErr w:type="spellEnd"/>
      <w:r>
        <w:t xml:space="preserve">, N. K. </w:t>
      </w:r>
      <w:r>
        <w:rPr>
          <w:i/>
          <w:iCs/>
        </w:rPr>
        <w:t xml:space="preserve">Gilgamesh and Enkidu </w:t>
      </w:r>
      <w:r>
        <w:t>(London: The Penguin Press, 1995).</w:t>
      </w:r>
    </w:p>
    <w:p w14:paraId="4151CB46" w14:textId="77777777" w:rsidR="00383AC1" w:rsidRPr="00383AC1" w:rsidRDefault="00383AC1" w:rsidP="00383AC1">
      <w:pPr>
        <w:pStyle w:val="FootnoteText"/>
        <w:rPr>
          <w:sz w:val="24"/>
          <w:szCs w:val="24"/>
        </w:rPr>
      </w:pPr>
    </w:p>
    <w:p w14:paraId="55467D54" w14:textId="77777777" w:rsidR="00171943" w:rsidRPr="00171943" w:rsidRDefault="00171943" w:rsidP="00171943">
      <w:pPr>
        <w:pStyle w:val="FootnoteText"/>
        <w:rPr>
          <w:sz w:val="24"/>
          <w:szCs w:val="24"/>
        </w:rPr>
      </w:pPr>
    </w:p>
    <w:p w14:paraId="1E59E890" w14:textId="56F39645" w:rsidR="00171943" w:rsidRDefault="00171943" w:rsidP="00171943">
      <w:pPr>
        <w:pStyle w:val="FootnoteText"/>
        <w:rPr>
          <w:sz w:val="24"/>
          <w:szCs w:val="24"/>
        </w:rPr>
      </w:pPr>
      <w:r w:rsidRPr="00171943">
        <w:rPr>
          <w:sz w:val="24"/>
          <w:szCs w:val="24"/>
        </w:rPr>
        <w:t xml:space="preserve">Smith, </w:t>
      </w:r>
      <w:r w:rsidRPr="00171943">
        <w:rPr>
          <w:sz w:val="24"/>
          <w:szCs w:val="24"/>
        </w:rPr>
        <w:t xml:space="preserve">C. </w:t>
      </w:r>
      <w:r w:rsidRPr="00171943">
        <w:rPr>
          <w:i/>
          <w:iCs/>
          <w:sz w:val="24"/>
          <w:szCs w:val="24"/>
        </w:rPr>
        <w:t xml:space="preserve">Adorned in Divinity </w:t>
      </w:r>
      <w:r w:rsidRPr="00171943">
        <w:rPr>
          <w:sz w:val="24"/>
          <w:szCs w:val="24"/>
        </w:rPr>
        <w:t>(2024) https://sites.rhodes.edu/coins/adorned-divinity [accessed 10th December 2023].</w:t>
      </w:r>
    </w:p>
    <w:p w14:paraId="24DF0630" w14:textId="77777777" w:rsidR="00383AC1" w:rsidRDefault="00383AC1" w:rsidP="00171943">
      <w:pPr>
        <w:pStyle w:val="FootnoteText"/>
        <w:rPr>
          <w:sz w:val="24"/>
          <w:szCs w:val="24"/>
        </w:rPr>
      </w:pPr>
    </w:p>
    <w:p w14:paraId="598E504D" w14:textId="77777777" w:rsidR="00383AC1" w:rsidRDefault="00383AC1" w:rsidP="00171943">
      <w:pPr>
        <w:pStyle w:val="FootnoteText"/>
        <w:rPr>
          <w:sz w:val="24"/>
          <w:szCs w:val="24"/>
        </w:rPr>
      </w:pPr>
    </w:p>
    <w:p w14:paraId="27A5B4C6" w14:textId="09D7F915" w:rsidR="00383AC1" w:rsidRPr="00171943" w:rsidRDefault="00383AC1" w:rsidP="00171943">
      <w:pPr>
        <w:pStyle w:val="FootnoteText"/>
        <w:rPr>
          <w:sz w:val="24"/>
          <w:szCs w:val="24"/>
        </w:rPr>
      </w:pPr>
      <w:proofErr w:type="spellStart"/>
      <w:r w:rsidRPr="00171943">
        <w:rPr>
          <w:sz w:val="24"/>
          <w:szCs w:val="24"/>
        </w:rPr>
        <w:t>Soltysiak</w:t>
      </w:r>
      <w:proofErr w:type="spellEnd"/>
      <w:r w:rsidRPr="00171943">
        <w:rPr>
          <w:sz w:val="24"/>
          <w:szCs w:val="24"/>
        </w:rPr>
        <w:t xml:space="preserve">, A. ‘The Bull of Heaven in Mesopotamian Sources’, </w:t>
      </w:r>
      <w:r w:rsidRPr="00171943">
        <w:rPr>
          <w:i/>
          <w:iCs/>
          <w:sz w:val="24"/>
          <w:szCs w:val="24"/>
        </w:rPr>
        <w:t>Culture and Cosmos</w:t>
      </w:r>
      <w:r w:rsidRPr="00171943">
        <w:rPr>
          <w:sz w:val="24"/>
          <w:szCs w:val="24"/>
        </w:rPr>
        <w:t xml:space="preserve">, vol.5 no 2, Autumn/Winter 2001. </w:t>
      </w:r>
    </w:p>
    <w:p w14:paraId="685BF038" w14:textId="77777777" w:rsidR="00171943" w:rsidRDefault="00171943" w:rsidP="00171943">
      <w:pPr>
        <w:pStyle w:val="FootnoteText"/>
        <w:rPr>
          <w:sz w:val="24"/>
          <w:szCs w:val="24"/>
        </w:rPr>
      </w:pPr>
    </w:p>
    <w:p w14:paraId="7A9A635D" w14:textId="77777777" w:rsidR="00383AC1" w:rsidRPr="00171943" w:rsidRDefault="00383AC1" w:rsidP="00171943">
      <w:pPr>
        <w:pStyle w:val="FootnoteText"/>
        <w:rPr>
          <w:sz w:val="24"/>
          <w:szCs w:val="24"/>
        </w:rPr>
      </w:pPr>
    </w:p>
    <w:p w14:paraId="5C3DF006" w14:textId="3D7B4BEF" w:rsidR="00171943" w:rsidRDefault="00171943" w:rsidP="00171943">
      <w:pPr>
        <w:pStyle w:val="FootnoteText"/>
        <w:rPr>
          <w:sz w:val="24"/>
          <w:szCs w:val="24"/>
        </w:rPr>
      </w:pPr>
      <w:r w:rsidRPr="00171943">
        <w:rPr>
          <w:sz w:val="24"/>
          <w:szCs w:val="24"/>
        </w:rPr>
        <w:t>Stephany,</w:t>
      </w:r>
      <w:r w:rsidRPr="00171943">
        <w:rPr>
          <w:sz w:val="24"/>
          <w:szCs w:val="24"/>
        </w:rPr>
        <w:t xml:space="preserve"> T. J.</w:t>
      </w:r>
      <w:r w:rsidRPr="00171943">
        <w:rPr>
          <w:sz w:val="24"/>
          <w:szCs w:val="24"/>
        </w:rPr>
        <w:t xml:space="preserve"> </w:t>
      </w:r>
      <w:r w:rsidRPr="00171943">
        <w:rPr>
          <w:i/>
          <w:iCs/>
          <w:sz w:val="24"/>
          <w:szCs w:val="24"/>
        </w:rPr>
        <w:t xml:space="preserve">The Gilgamesh Cycle: A </w:t>
      </w:r>
      <w:proofErr w:type="gramStart"/>
      <w:r w:rsidRPr="00171943">
        <w:rPr>
          <w:i/>
          <w:iCs/>
          <w:sz w:val="24"/>
          <w:szCs w:val="24"/>
        </w:rPr>
        <w:t>5,000 Year Old</w:t>
      </w:r>
      <w:proofErr w:type="gramEnd"/>
      <w:r w:rsidRPr="00171943">
        <w:rPr>
          <w:i/>
          <w:iCs/>
          <w:sz w:val="24"/>
          <w:szCs w:val="24"/>
        </w:rPr>
        <w:t xml:space="preserve"> Epic Poem with Zodiacal Connections</w:t>
      </w:r>
      <w:r w:rsidRPr="00171943">
        <w:rPr>
          <w:sz w:val="24"/>
          <w:szCs w:val="24"/>
        </w:rPr>
        <w:t xml:space="preserve"> (U.S.A: </w:t>
      </w:r>
      <w:proofErr w:type="spellStart"/>
      <w:r w:rsidRPr="00171943">
        <w:rPr>
          <w:sz w:val="24"/>
          <w:szCs w:val="24"/>
        </w:rPr>
        <w:t>Createspace</w:t>
      </w:r>
      <w:proofErr w:type="spellEnd"/>
      <w:r w:rsidRPr="00171943">
        <w:rPr>
          <w:sz w:val="24"/>
          <w:szCs w:val="24"/>
        </w:rPr>
        <w:t>, 2013)</w:t>
      </w:r>
      <w:r w:rsidRPr="00171943">
        <w:rPr>
          <w:sz w:val="24"/>
          <w:szCs w:val="24"/>
        </w:rPr>
        <w:t>.</w:t>
      </w:r>
    </w:p>
    <w:p w14:paraId="1039F8D9" w14:textId="77777777" w:rsidR="00383AC1" w:rsidRPr="00171943" w:rsidRDefault="00383AC1" w:rsidP="00171943">
      <w:pPr>
        <w:pStyle w:val="FootnoteText"/>
        <w:rPr>
          <w:sz w:val="24"/>
          <w:szCs w:val="24"/>
        </w:rPr>
      </w:pPr>
    </w:p>
    <w:p w14:paraId="683D68F5" w14:textId="77777777" w:rsidR="00171943" w:rsidRPr="00171943" w:rsidRDefault="00171943" w:rsidP="00171943">
      <w:pPr>
        <w:pStyle w:val="FootnoteText"/>
        <w:rPr>
          <w:sz w:val="24"/>
          <w:szCs w:val="24"/>
        </w:rPr>
      </w:pPr>
    </w:p>
    <w:p w14:paraId="37B5371F" w14:textId="4B937AE4" w:rsidR="00171943" w:rsidRDefault="00171943" w:rsidP="00171943">
      <w:pPr>
        <w:pStyle w:val="FootnoteText"/>
        <w:rPr>
          <w:sz w:val="24"/>
          <w:szCs w:val="24"/>
        </w:rPr>
      </w:pPr>
      <w:r w:rsidRPr="00171943">
        <w:rPr>
          <w:sz w:val="24"/>
          <w:szCs w:val="24"/>
        </w:rPr>
        <w:t>Thomas,</w:t>
      </w:r>
      <w:r w:rsidRPr="00171943">
        <w:rPr>
          <w:sz w:val="24"/>
          <w:szCs w:val="24"/>
        </w:rPr>
        <w:t xml:space="preserve"> P. A.</w:t>
      </w:r>
      <w:r w:rsidRPr="00171943">
        <w:rPr>
          <w:sz w:val="24"/>
          <w:szCs w:val="24"/>
        </w:rPr>
        <w:t xml:space="preserve"> </w:t>
      </w:r>
      <w:r w:rsidRPr="00171943">
        <w:rPr>
          <w:i/>
          <w:iCs/>
          <w:sz w:val="24"/>
          <w:szCs w:val="24"/>
        </w:rPr>
        <w:t xml:space="preserve">Egyptian Gods and Myths </w:t>
      </w:r>
      <w:r w:rsidRPr="00171943">
        <w:rPr>
          <w:sz w:val="24"/>
          <w:szCs w:val="24"/>
        </w:rPr>
        <w:t>(Aylesbury: Shire Publications LTD, 1986)</w:t>
      </w:r>
      <w:r w:rsidRPr="00171943">
        <w:rPr>
          <w:sz w:val="24"/>
          <w:szCs w:val="24"/>
        </w:rPr>
        <w:t>.</w:t>
      </w:r>
    </w:p>
    <w:p w14:paraId="439F8ACB" w14:textId="77777777" w:rsidR="00383AC1" w:rsidRPr="00171943" w:rsidRDefault="00383AC1" w:rsidP="00171943">
      <w:pPr>
        <w:pStyle w:val="FootnoteText"/>
        <w:rPr>
          <w:sz w:val="24"/>
          <w:szCs w:val="24"/>
        </w:rPr>
      </w:pPr>
    </w:p>
    <w:p w14:paraId="5CFDEF50" w14:textId="77777777" w:rsidR="00A43B52" w:rsidRDefault="00A43B52" w:rsidP="009E51C6">
      <w:pPr>
        <w:spacing w:line="360" w:lineRule="auto"/>
      </w:pPr>
    </w:p>
    <w:p w14:paraId="33666315" w14:textId="77777777" w:rsidR="00204935" w:rsidRDefault="00204935" w:rsidP="00204935">
      <w:pPr>
        <w:pStyle w:val="FootnoteText"/>
        <w:rPr>
          <w:sz w:val="24"/>
          <w:szCs w:val="24"/>
        </w:rPr>
      </w:pPr>
      <w:r w:rsidRPr="00E62CFF">
        <w:rPr>
          <w:sz w:val="24"/>
          <w:szCs w:val="24"/>
        </w:rPr>
        <w:t xml:space="preserve">White, G. </w:t>
      </w:r>
      <w:r w:rsidRPr="00E62CFF">
        <w:rPr>
          <w:i/>
          <w:iCs/>
          <w:sz w:val="24"/>
          <w:szCs w:val="24"/>
        </w:rPr>
        <w:t xml:space="preserve">Babylonian Star Lore: An Illustrated Guide to the Star-lore and Constellations of Ancient Babylon </w:t>
      </w:r>
      <w:r w:rsidRPr="00E62CFF">
        <w:rPr>
          <w:sz w:val="24"/>
          <w:szCs w:val="24"/>
        </w:rPr>
        <w:t>(London: Solaria Publications, 2014).</w:t>
      </w:r>
    </w:p>
    <w:p w14:paraId="74FA247A" w14:textId="77777777" w:rsidR="00A43B52" w:rsidRDefault="00A43B52" w:rsidP="009E51C6">
      <w:pPr>
        <w:spacing w:line="360" w:lineRule="auto"/>
      </w:pPr>
    </w:p>
    <w:p w14:paraId="41FAC315" w14:textId="3033FB30" w:rsidR="00383AC1" w:rsidRDefault="00383AC1" w:rsidP="00383AC1">
      <w:pPr>
        <w:pStyle w:val="FootnoteText"/>
        <w:rPr>
          <w:color w:val="000000"/>
          <w:spacing w:val="-5"/>
          <w:sz w:val="24"/>
          <w:szCs w:val="24"/>
          <w:shd w:val="clear" w:color="auto" w:fill="FFFFFF"/>
        </w:rPr>
      </w:pPr>
      <w:r w:rsidRPr="00383AC1">
        <w:rPr>
          <w:color w:val="000000"/>
          <w:spacing w:val="-5"/>
          <w:sz w:val="24"/>
          <w:szCs w:val="24"/>
          <w:shd w:val="clear" w:color="auto" w:fill="FFFFFF"/>
        </w:rPr>
        <w:t xml:space="preserve">Van der Leeuw, G., et al. “MYTH.” In </w:t>
      </w:r>
      <w:r w:rsidRPr="00383AC1">
        <w:rPr>
          <w:i/>
          <w:iCs/>
          <w:color w:val="000000"/>
          <w:spacing w:val="-5"/>
          <w:sz w:val="24"/>
          <w:szCs w:val="24"/>
          <w:shd w:val="clear" w:color="auto" w:fill="FFFFFF"/>
        </w:rPr>
        <w:t>Religion in Essence and Manifestation</w:t>
      </w:r>
      <w:r w:rsidRPr="00383AC1">
        <w:rPr>
          <w:color w:val="000000"/>
          <w:spacing w:val="-5"/>
          <w:sz w:val="24"/>
          <w:szCs w:val="24"/>
          <w:shd w:val="clear" w:color="auto" w:fill="FFFFFF"/>
        </w:rPr>
        <w:t>, (USA: Princeton University Press, 1986)</w:t>
      </w:r>
      <w:r w:rsidRPr="00383AC1">
        <w:rPr>
          <w:color w:val="000000"/>
          <w:spacing w:val="-5"/>
          <w:sz w:val="24"/>
          <w:szCs w:val="24"/>
          <w:shd w:val="clear" w:color="auto" w:fill="FFFFFF"/>
        </w:rPr>
        <w:t xml:space="preserve">. </w:t>
      </w:r>
    </w:p>
    <w:p w14:paraId="6440595D" w14:textId="77777777" w:rsidR="00383AC1" w:rsidRPr="00383AC1" w:rsidRDefault="00383AC1" w:rsidP="00383AC1">
      <w:pPr>
        <w:pStyle w:val="FootnoteText"/>
        <w:rPr>
          <w:sz w:val="24"/>
          <w:szCs w:val="24"/>
        </w:rPr>
      </w:pPr>
    </w:p>
    <w:sectPr w:rsidR="00383AC1" w:rsidRPr="00383AC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CC77E4" w14:textId="77777777" w:rsidR="000304A3" w:rsidRDefault="000304A3" w:rsidP="007869FE">
      <w:r>
        <w:separator/>
      </w:r>
    </w:p>
  </w:endnote>
  <w:endnote w:type="continuationSeparator" w:id="0">
    <w:p w14:paraId="707FDF99" w14:textId="77777777" w:rsidR="000304A3" w:rsidRDefault="000304A3" w:rsidP="007869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IDFont+F3">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51713B" w14:textId="77777777" w:rsidR="000304A3" w:rsidRDefault="000304A3" w:rsidP="007869FE">
      <w:r>
        <w:separator/>
      </w:r>
    </w:p>
  </w:footnote>
  <w:footnote w:type="continuationSeparator" w:id="0">
    <w:p w14:paraId="62CC839A" w14:textId="77777777" w:rsidR="000304A3" w:rsidRDefault="000304A3" w:rsidP="007869FE">
      <w:r>
        <w:continuationSeparator/>
      </w:r>
    </w:p>
  </w:footnote>
  <w:footnote w:id="1">
    <w:p w14:paraId="5BBE28E9" w14:textId="404B34A3" w:rsidR="00B26D59" w:rsidRPr="00B26D59" w:rsidRDefault="00B26D59">
      <w:pPr>
        <w:pStyle w:val="FootnoteText"/>
      </w:pPr>
      <w:r>
        <w:rPr>
          <w:rStyle w:val="FootnoteReference"/>
        </w:rPr>
        <w:footnoteRef/>
      </w:r>
      <w:r>
        <w:t xml:space="preserve"> Heather Goldstone and Elsa </w:t>
      </w:r>
      <w:proofErr w:type="spellStart"/>
      <w:r>
        <w:t>Partan</w:t>
      </w:r>
      <w:proofErr w:type="spellEnd"/>
      <w:r>
        <w:t xml:space="preserve">, </w:t>
      </w:r>
      <w:r>
        <w:rPr>
          <w:i/>
          <w:iCs/>
        </w:rPr>
        <w:t xml:space="preserve">Star Stories Span Centuries and Cultures </w:t>
      </w:r>
      <w:r>
        <w:t xml:space="preserve">(2023) </w:t>
      </w:r>
      <w:r w:rsidRPr="00B26D59">
        <w:t>https://www.wgbh.org/news/national/2019-11-26/star-stories-span-centuries-and-cultures#:~:text=For%20thousands%20of%20years%2C%20people,and%20to%20teach%20moral%20lessons.</w:t>
      </w:r>
      <w:r>
        <w:t xml:space="preserve"> [accessed 19</w:t>
      </w:r>
      <w:r w:rsidRPr="00B26D59">
        <w:rPr>
          <w:vertAlign w:val="superscript"/>
        </w:rPr>
        <w:t>th</w:t>
      </w:r>
      <w:r>
        <w:t xml:space="preserve"> December 2024].</w:t>
      </w:r>
    </w:p>
  </w:footnote>
  <w:footnote w:id="2">
    <w:p w14:paraId="5D87413F" w14:textId="76C28DD6" w:rsidR="00B26D59" w:rsidRPr="00B26D59" w:rsidRDefault="00B26D59">
      <w:pPr>
        <w:pStyle w:val="FootnoteText"/>
      </w:pPr>
      <w:r>
        <w:rPr>
          <w:rStyle w:val="FootnoteReference"/>
        </w:rPr>
        <w:footnoteRef/>
      </w:r>
      <w:r>
        <w:t xml:space="preserve"> Anthony </w:t>
      </w:r>
      <w:proofErr w:type="spellStart"/>
      <w:r>
        <w:t>Aveni</w:t>
      </w:r>
      <w:proofErr w:type="spellEnd"/>
      <w:r>
        <w:t xml:space="preserve">, </w:t>
      </w:r>
      <w:r>
        <w:rPr>
          <w:i/>
          <w:iCs/>
        </w:rPr>
        <w:t xml:space="preserve">Star Stories: Constellations and People </w:t>
      </w:r>
      <w:r>
        <w:t xml:space="preserve">(London: Yale University Press, 2019) </w:t>
      </w:r>
      <w:proofErr w:type="spellStart"/>
      <w:proofErr w:type="gramStart"/>
      <w:r>
        <w:t>p.ix</w:t>
      </w:r>
      <w:proofErr w:type="spellEnd"/>
      <w:r>
        <w:t>.</w:t>
      </w:r>
      <w:proofErr w:type="gramEnd"/>
    </w:p>
  </w:footnote>
  <w:footnote w:id="3">
    <w:p w14:paraId="059D9C53" w14:textId="1CCB34C9" w:rsidR="00D44D38" w:rsidRPr="00D44D38" w:rsidRDefault="00D44D38">
      <w:pPr>
        <w:pStyle w:val="FootnoteText"/>
      </w:pPr>
      <w:r>
        <w:rPr>
          <w:rStyle w:val="FootnoteReference"/>
        </w:rPr>
        <w:footnoteRef/>
      </w:r>
      <w:r>
        <w:t xml:space="preserve"> </w:t>
      </w:r>
      <w:r>
        <w:rPr>
          <w:i/>
          <w:iCs/>
        </w:rPr>
        <w:t xml:space="preserve">Ibid, </w:t>
      </w:r>
      <w:r>
        <w:t>p.4.</w:t>
      </w:r>
    </w:p>
  </w:footnote>
  <w:footnote w:id="4">
    <w:p w14:paraId="0BD9860D" w14:textId="7AC9CDA4" w:rsidR="00D5680E" w:rsidRDefault="00D5680E">
      <w:pPr>
        <w:pStyle w:val="FootnoteText"/>
      </w:pPr>
      <w:r>
        <w:rPr>
          <w:rStyle w:val="FootnoteReference"/>
        </w:rPr>
        <w:footnoteRef/>
      </w:r>
      <w:r>
        <w:t xml:space="preserve"> </w:t>
      </w:r>
      <w:r w:rsidRPr="00F57552">
        <w:t>A</w:t>
      </w:r>
      <w:r>
        <w:t xml:space="preserve">nthony </w:t>
      </w:r>
      <w:proofErr w:type="spellStart"/>
      <w:r>
        <w:t>Aveni</w:t>
      </w:r>
      <w:proofErr w:type="spellEnd"/>
      <w:r>
        <w:t xml:space="preserve">, </w:t>
      </w:r>
      <w:r>
        <w:rPr>
          <w:i/>
          <w:iCs/>
        </w:rPr>
        <w:t xml:space="preserve">Star Stories: Constellations and People </w:t>
      </w:r>
      <w:r>
        <w:t>(London: Yale University Press, 2019) p.</w:t>
      </w:r>
      <w:r>
        <w:t>164.</w:t>
      </w:r>
    </w:p>
  </w:footnote>
  <w:footnote w:id="5">
    <w:p w14:paraId="63F761E0" w14:textId="17B5B3A2" w:rsidR="00D5680E" w:rsidRPr="00D5680E" w:rsidRDefault="00D5680E">
      <w:pPr>
        <w:pStyle w:val="FootnoteText"/>
      </w:pPr>
      <w:r>
        <w:rPr>
          <w:rStyle w:val="FootnoteReference"/>
        </w:rPr>
        <w:footnoteRef/>
      </w:r>
      <w:r>
        <w:t xml:space="preserve"> Kata </w:t>
      </w:r>
      <w:proofErr w:type="spellStart"/>
      <w:r>
        <w:t>Karath</w:t>
      </w:r>
      <w:proofErr w:type="spellEnd"/>
      <w:r>
        <w:t xml:space="preserve">, </w:t>
      </w:r>
      <w:r>
        <w:rPr>
          <w:i/>
          <w:iCs/>
        </w:rPr>
        <w:t xml:space="preserve">Bronze Age people looked to the skyscape to navigate </w:t>
      </w:r>
      <w:r w:rsidR="00383AC1">
        <w:rPr>
          <w:i/>
          <w:iCs/>
        </w:rPr>
        <w:t>their</w:t>
      </w:r>
      <w:r>
        <w:rPr>
          <w:i/>
          <w:iCs/>
        </w:rPr>
        <w:t xml:space="preserve"> lives </w:t>
      </w:r>
      <w:r>
        <w:t xml:space="preserve">(2024) </w:t>
      </w:r>
      <w:r w:rsidRPr="00D5680E">
        <w:t>https://psyche.co/ideas/bronze-age-people-looked-to-the-skyscape-to-navigate-their-lives</w:t>
      </w:r>
      <w:r>
        <w:t xml:space="preserve"> [accessed 19th December 2024].</w:t>
      </w:r>
    </w:p>
  </w:footnote>
  <w:footnote w:id="6">
    <w:p w14:paraId="596D6E73" w14:textId="76688FB7" w:rsidR="00444015" w:rsidRPr="00444015" w:rsidRDefault="00444015">
      <w:pPr>
        <w:pStyle w:val="FootnoteText"/>
      </w:pPr>
      <w:r>
        <w:rPr>
          <w:rStyle w:val="FootnoteReference"/>
        </w:rPr>
        <w:footnoteRef/>
      </w:r>
      <w:r>
        <w:t xml:space="preserve"> Larry McHenry, </w:t>
      </w:r>
      <w:r>
        <w:rPr>
          <w:i/>
          <w:iCs/>
        </w:rPr>
        <w:t xml:space="preserve">Star Myths </w:t>
      </w:r>
      <w:r>
        <w:t xml:space="preserve">(2024) </w:t>
      </w:r>
      <w:r w:rsidRPr="00444015">
        <w:t>https://www.stellar-journeys.org/starmyths.htm</w:t>
      </w:r>
      <w:r>
        <w:t xml:space="preserve"> [accessed 19th December 2024]. </w:t>
      </w:r>
    </w:p>
  </w:footnote>
  <w:footnote w:id="7">
    <w:p w14:paraId="1F3A55EE" w14:textId="57C1193A" w:rsidR="00763950" w:rsidRPr="00763950" w:rsidRDefault="00763950">
      <w:pPr>
        <w:pStyle w:val="FootnoteText"/>
      </w:pPr>
      <w:r>
        <w:rPr>
          <w:rStyle w:val="FootnoteReference"/>
        </w:rPr>
        <w:footnoteRef/>
      </w:r>
      <w:r>
        <w:t xml:space="preserve"> </w:t>
      </w:r>
      <w:r>
        <w:t>Online Etymology Dictionary</w:t>
      </w:r>
      <w:r>
        <w:t xml:space="preserve">, </w:t>
      </w:r>
      <w:r>
        <w:rPr>
          <w:i/>
          <w:iCs/>
        </w:rPr>
        <w:t xml:space="preserve">Sky </w:t>
      </w:r>
      <w:r>
        <w:t xml:space="preserve">(2024) </w:t>
      </w:r>
      <w:r w:rsidRPr="00763950">
        <w:t>https://www.etymonline.com/search?q=sky</w:t>
      </w:r>
      <w:r>
        <w:t xml:space="preserve"> [accessed 20</w:t>
      </w:r>
      <w:r w:rsidRPr="00763950">
        <w:rPr>
          <w:vertAlign w:val="superscript"/>
        </w:rPr>
        <w:t>th</w:t>
      </w:r>
      <w:r>
        <w:t xml:space="preserve"> December 2024].</w:t>
      </w:r>
    </w:p>
  </w:footnote>
  <w:footnote w:id="8">
    <w:p w14:paraId="6ED1CEF0" w14:textId="070D7D81" w:rsidR="005006C5" w:rsidRPr="005006C5" w:rsidRDefault="005006C5">
      <w:pPr>
        <w:pStyle w:val="FootnoteText"/>
      </w:pPr>
      <w:r>
        <w:rPr>
          <w:rStyle w:val="FootnoteReference"/>
        </w:rPr>
        <w:footnoteRef/>
      </w:r>
      <w:r>
        <w:t xml:space="preserve"> Online Etymology Dictionary, </w:t>
      </w:r>
      <w:r>
        <w:rPr>
          <w:i/>
          <w:iCs/>
        </w:rPr>
        <w:t xml:space="preserve">Star </w:t>
      </w:r>
      <w:r>
        <w:t xml:space="preserve">(2024) </w:t>
      </w:r>
      <w:r w:rsidRPr="005006C5">
        <w:t>https://www.etymonline.com/word/star</w:t>
      </w:r>
      <w:r>
        <w:t xml:space="preserve"> [accessed 20th December 2024].</w:t>
      </w:r>
    </w:p>
  </w:footnote>
  <w:footnote w:id="9">
    <w:p w14:paraId="754AECD1" w14:textId="77777777" w:rsidR="001534A4" w:rsidRDefault="001534A4" w:rsidP="001534A4">
      <w:pPr>
        <w:pStyle w:val="FootnoteText"/>
      </w:pPr>
      <w:r>
        <w:rPr>
          <w:rStyle w:val="FootnoteReference"/>
        </w:rPr>
        <w:footnoteRef/>
      </w:r>
      <w:r>
        <w:t xml:space="preserve"> James. W. </w:t>
      </w:r>
      <w:r w:rsidRPr="00A13067">
        <w:rPr>
          <w:color w:val="000000"/>
          <w:spacing w:val="-5"/>
          <w:shd w:val="clear" w:color="auto" w:fill="FFFFFF"/>
        </w:rPr>
        <w:t>Menzie</w:t>
      </w:r>
      <w:r>
        <w:rPr>
          <w:color w:val="000000"/>
          <w:spacing w:val="-5"/>
          <w:shd w:val="clear" w:color="auto" w:fill="FFFFFF"/>
        </w:rPr>
        <w:t>s,</w:t>
      </w:r>
      <w:r w:rsidRPr="00A13067">
        <w:rPr>
          <w:color w:val="000000"/>
          <w:spacing w:val="-5"/>
          <w:shd w:val="clear" w:color="auto" w:fill="FFFFFF"/>
        </w:rPr>
        <w:t xml:space="preserve"> “Myth, An Attempt to Define the Indefinable.” </w:t>
      </w:r>
      <w:r w:rsidRPr="00A13067">
        <w:rPr>
          <w:i/>
          <w:iCs/>
          <w:color w:val="000000"/>
          <w:spacing w:val="-5"/>
          <w:shd w:val="clear" w:color="auto" w:fill="FFFFFF"/>
        </w:rPr>
        <w:t>True Myth: C.S. Lewis and Joseph Campbell on the Veracity of Christianity</w:t>
      </w:r>
      <w:r w:rsidRPr="00A13067">
        <w:rPr>
          <w:color w:val="000000"/>
          <w:spacing w:val="-5"/>
          <w:shd w:val="clear" w:color="auto" w:fill="FFFFFF"/>
        </w:rPr>
        <w:t xml:space="preserve">, 1st ed., </w:t>
      </w:r>
      <w:r>
        <w:rPr>
          <w:color w:val="000000"/>
          <w:spacing w:val="-5"/>
          <w:shd w:val="clear" w:color="auto" w:fill="FFFFFF"/>
        </w:rPr>
        <w:t>(</w:t>
      </w:r>
      <w:r w:rsidRPr="00A13067">
        <w:rPr>
          <w:color w:val="000000"/>
          <w:spacing w:val="-5"/>
          <w:shd w:val="clear" w:color="auto" w:fill="FFFFFF"/>
        </w:rPr>
        <w:t>The Lutterworth Press, 2014</w:t>
      </w:r>
      <w:r>
        <w:rPr>
          <w:color w:val="000000"/>
          <w:spacing w:val="-5"/>
          <w:shd w:val="clear" w:color="auto" w:fill="FFFFFF"/>
        </w:rPr>
        <w:t>)</w:t>
      </w:r>
      <w:r w:rsidRPr="00A13067">
        <w:rPr>
          <w:color w:val="000000"/>
          <w:spacing w:val="-5"/>
          <w:shd w:val="clear" w:color="auto" w:fill="FFFFFF"/>
        </w:rPr>
        <w:t>, pp. 22–41. </w:t>
      </w:r>
    </w:p>
  </w:footnote>
  <w:footnote w:id="10">
    <w:p w14:paraId="3CD4C8FB" w14:textId="77777777" w:rsidR="00C879A5" w:rsidRDefault="00C879A5" w:rsidP="00C879A5">
      <w:pPr>
        <w:pStyle w:val="FootnoteText"/>
      </w:pPr>
      <w:r>
        <w:rPr>
          <w:rStyle w:val="FootnoteReference"/>
        </w:rPr>
        <w:footnoteRef/>
      </w:r>
      <w:r>
        <w:t xml:space="preserve"> </w:t>
      </w:r>
      <w:r w:rsidRPr="001F004B">
        <w:rPr>
          <w:color w:val="000000"/>
          <w:spacing w:val="-5"/>
          <w:shd w:val="clear" w:color="auto" w:fill="FFFFFF"/>
        </w:rPr>
        <w:t>V</w:t>
      </w:r>
      <w:r>
        <w:rPr>
          <w:color w:val="000000"/>
          <w:spacing w:val="-5"/>
          <w:shd w:val="clear" w:color="auto" w:fill="FFFFFF"/>
        </w:rPr>
        <w:t>an der</w:t>
      </w:r>
      <w:r w:rsidRPr="001F004B">
        <w:rPr>
          <w:color w:val="000000"/>
          <w:spacing w:val="-5"/>
          <w:shd w:val="clear" w:color="auto" w:fill="FFFFFF"/>
        </w:rPr>
        <w:t xml:space="preserve"> L</w:t>
      </w:r>
      <w:r>
        <w:rPr>
          <w:color w:val="000000"/>
          <w:spacing w:val="-5"/>
          <w:shd w:val="clear" w:color="auto" w:fill="FFFFFF"/>
        </w:rPr>
        <w:t>eeuw</w:t>
      </w:r>
      <w:r w:rsidRPr="001F004B">
        <w:rPr>
          <w:color w:val="000000"/>
          <w:spacing w:val="-5"/>
          <w:shd w:val="clear" w:color="auto" w:fill="FFFFFF"/>
        </w:rPr>
        <w:t>, G., et al. “MYTH.” </w:t>
      </w:r>
      <w:r>
        <w:rPr>
          <w:color w:val="000000"/>
          <w:spacing w:val="-5"/>
          <w:shd w:val="clear" w:color="auto" w:fill="FFFFFF"/>
        </w:rPr>
        <w:t xml:space="preserve">In </w:t>
      </w:r>
      <w:r w:rsidRPr="001F004B">
        <w:rPr>
          <w:i/>
          <w:iCs/>
          <w:color w:val="000000"/>
          <w:spacing w:val="-5"/>
          <w:shd w:val="clear" w:color="auto" w:fill="FFFFFF"/>
        </w:rPr>
        <w:t>Religion in Essence and Manifestation</w:t>
      </w:r>
      <w:r w:rsidRPr="001F004B">
        <w:rPr>
          <w:color w:val="000000"/>
          <w:spacing w:val="-5"/>
          <w:shd w:val="clear" w:color="auto" w:fill="FFFFFF"/>
        </w:rPr>
        <w:t xml:space="preserve">, </w:t>
      </w:r>
      <w:r>
        <w:rPr>
          <w:color w:val="000000"/>
          <w:spacing w:val="-5"/>
          <w:shd w:val="clear" w:color="auto" w:fill="FFFFFF"/>
        </w:rPr>
        <w:t xml:space="preserve">(USA: </w:t>
      </w:r>
      <w:r w:rsidRPr="001F004B">
        <w:rPr>
          <w:color w:val="000000"/>
          <w:spacing w:val="-5"/>
          <w:shd w:val="clear" w:color="auto" w:fill="FFFFFF"/>
        </w:rPr>
        <w:t>Princeton University Press, 1986</w:t>
      </w:r>
      <w:r>
        <w:rPr>
          <w:color w:val="000000"/>
          <w:spacing w:val="-5"/>
          <w:shd w:val="clear" w:color="auto" w:fill="FFFFFF"/>
        </w:rPr>
        <w:t>), p.413.</w:t>
      </w:r>
    </w:p>
  </w:footnote>
  <w:footnote w:id="11">
    <w:p w14:paraId="5C7F92AB" w14:textId="77777777" w:rsidR="00C879A5" w:rsidRPr="00B11B8A" w:rsidRDefault="00C879A5" w:rsidP="00C879A5">
      <w:pPr>
        <w:pStyle w:val="FootnoteText"/>
      </w:pPr>
      <w:r>
        <w:rPr>
          <w:rStyle w:val="FootnoteReference"/>
        </w:rPr>
        <w:footnoteRef/>
      </w:r>
      <w:r>
        <w:t xml:space="preserve"> James Frazer, </w:t>
      </w:r>
      <w:r>
        <w:rPr>
          <w:i/>
          <w:iCs/>
        </w:rPr>
        <w:t xml:space="preserve">The Golden Bough, </w:t>
      </w:r>
      <w:r>
        <w:t>(London: Macmillan, 1911), pp.10-20.</w:t>
      </w:r>
    </w:p>
  </w:footnote>
  <w:footnote w:id="12">
    <w:p w14:paraId="0BC49AB5" w14:textId="77777777" w:rsidR="001534A4" w:rsidRPr="007869FE" w:rsidRDefault="001534A4" w:rsidP="001534A4">
      <w:pPr>
        <w:pStyle w:val="FootnoteText"/>
      </w:pPr>
      <w:r>
        <w:rPr>
          <w:rStyle w:val="FootnoteReference"/>
        </w:rPr>
        <w:footnoteRef/>
      </w:r>
      <w:r>
        <w:t xml:space="preserve"> Walter </w:t>
      </w:r>
      <w:proofErr w:type="spellStart"/>
      <w:r>
        <w:t>Burkurt</w:t>
      </w:r>
      <w:proofErr w:type="spellEnd"/>
      <w:r>
        <w:t xml:space="preserve">, </w:t>
      </w:r>
      <w:r>
        <w:rPr>
          <w:i/>
          <w:iCs/>
        </w:rPr>
        <w:t xml:space="preserve">Homo </w:t>
      </w:r>
      <w:proofErr w:type="spellStart"/>
      <w:r>
        <w:rPr>
          <w:i/>
          <w:iCs/>
        </w:rPr>
        <w:t>Necans</w:t>
      </w:r>
      <w:proofErr w:type="spellEnd"/>
      <w:r>
        <w:rPr>
          <w:i/>
          <w:iCs/>
        </w:rPr>
        <w:t xml:space="preserve">: The Anthropology of Ancient Greek Sacrificial Ritual and Myth </w:t>
      </w:r>
      <w:r>
        <w:t>(California: University of California Press), pp.31-32.</w:t>
      </w:r>
    </w:p>
  </w:footnote>
  <w:footnote w:id="13">
    <w:p w14:paraId="106FDB1D" w14:textId="77777777" w:rsidR="001534A4" w:rsidRPr="007869FE" w:rsidRDefault="001534A4" w:rsidP="001534A4">
      <w:pPr>
        <w:pStyle w:val="FootnoteText"/>
      </w:pPr>
      <w:r>
        <w:rPr>
          <w:rStyle w:val="FootnoteReference"/>
        </w:rPr>
        <w:footnoteRef/>
      </w:r>
      <w:r>
        <w:t xml:space="preserve"> Julien </w:t>
      </w:r>
      <w:proofErr w:type="spellStart"/>
      <w:r>
        <w:t>d’Huy</w:t>
      </w:r>
      <w:proofErr w:type="spellEnd"/>
      <w:r>
        <w:t xml:space="preserve">, ‘The Evolution of Myths’, in </w:t>
      </w:r>
      <w:r>
        <w:rPr>
          <w:i/>
          <w:iCs/>
        </w:rPr>
        <w:t>Scientific American</w:t>
      </w:r>
      <w:r>
        <w:t>, December vol. 315 (6), (New York: Scientific American, 2016) pp.62-69.</w:t>
      </w:r>
    </w:p>
  </w:footnote>
  <w:footnote w:id="14">
    <w:p w14:paraId="0FDF269D" w14:textId="08723018" w:rsidR="00884E67" w:rsidRPr="00884E67" w:rsidRDefault="00884E67">
      <w:pPr>
        <w:pStyle w:val="FootnoteText"/>
      </w:pPr>
      <w:r>
        <w:rPr>
          <w:rStyle w:val="FootnoteReference"/>
        </w:rPr>
        <w:footnoteRef/>
      </w:r>
      <w:r>
        <w:t xml:space="preserve"> Ralph Ellis, </w:t>
      </w:r>
      <w:r>
        <w:rPr>
          <w:i/>
          <w:iCs/>
        </w:rPr>
        <w:t xml:space="preserve">Jesus: Last of the Pharaohs </w:t>
      </w:r>
      <w:r>
        <w:t>(</w:t>
      </w:r>
      <w:proofErr w:type="spellStart"/>
      <w:r>
        <w:t>Chesire</w:t>
      </w:r>
      <w:proofErr w:type="spellEnd"/>
      <w:r>
        <w:t xml:space="preserve">: </w:t>
      </w:r>
      <w:proofErr w:type="spellStart"/>
      <w:r>
        <w:t>Edfu</w:t>
      </w:r>
      <w:proofErr w:type="spellEnd"/>
      <w:r>
        <w:t xml:space="preserve"> Books, 2001) p.68.</w:t>
      </w:r>
    </w:p>
  </w:footnote>
  <w:footnote w:id="15">
    <w:p w14:paraId="4EF0C01D" w14:textId="0832F53A" w:rsidR="00AC6715" w:rsidRPr="00AC6715" w:rsidRDefault="00AC6715">
      <w:pPr>
        <w:pStyle w:val="FootnoteText"/>
      </w:pPr>
      <w:r>
        <w:rPr>
          <w:rStyle w:val="FootnoteReference"/>
        </w:rPr>
        <w:footnoteRef/>
      </w:r>
      <w:r>
        <w:t xml:space="preserve"> Andrew George, </w:t>
      </w:r>
      <w:r>
        <w:rPr>
          <w:i/>
          <w:iCs/>
        </w:rPr>
        <w:t xml:space="preserve">The Epic of Gilgamesh </w:t>
      </w:r>
      <w:r>
        <w:t xml:space="preserve">(London: The Penguin Press, 1999) </w:t>
      </w:r>
      <w:proofErr w:type="spellStart"/>
      <w:proofErr w:type="gramStart"/>
      <w:r>
        <w:t>p.xxviii</w:t>
      </w:r>
      <w:proofErr w:type="spellEnd"/>
      <w:r>
        <w:t>.</w:t>
      </w:r>
      <w:proofErr w:type="gramEnd"/>
    </w:p>
  </w:footnote>
  <w:footnote w:id="16">
    <w:p w14:paraId="3697C177" w14:textId="7DA33E0E" w:rsidR="00393746" w:rsidRPr="00393746" w:rsidRDefault="00393746">
      <w:pPr>
        <w:pStyle w:val="FootnoteText"/>
      </w:pPr>
      <w:r>
        <w:rPr>
          <w:rStyle w:val="FootnoteReference"/>
        </w:rPr>
        <w:footnoteRef/>
      </w:r>
      <w:r>
        <w:t xml:space="preserve"> Stephen Langdon, </w:t>
      </w:r>
      <w:r>
        <w:rPr>
          <w:i/>
          <w:iCs/>
        </w:rPr>
        <w:t xml:space="preserve">The Epic of </w:t>
      </w:r>
      <w:proofErr w:type="spellStart"/>
      <w:r>
        <w:rPr>
          <w:i/>
          <w:iCs/>
        </w:rPr>
        <w:t>Gilgamish</w:t>
      </w:r>
      <w:proofErr w:type="spellEnd"/>
      <w:r>
        <w:rPr>
          <w:i/>
          <w:iCs/>
        </w:rPr>
        <w:t xml:space="preserve"> </w:t>
      </w:r>
      <w:r>
        <w:t xml:space="preserve">(2024) </w:t>
      </w:r>
      <w:r w:rsidRPr="00393746">
        <w:t>https://www.penn.museum/sites/journal/550/</w:t>
      </w:r>
      <w:r>
        <w:t xml:space="preserve"> [accessed 19</w:t>
      </w:r>
      <w:r w:rsidRPr="00393746">
        <w:rPr>
          <w:vertAlign w:val="superscript"/>
        </w:rPr>
        <w:t>th</w:t>
      </w:r>
      <w:r>
        <w:t xml:space="preserve"> December 2024].</w:t>
      </w:r>
    </w:p>
  </w:footnote>
  <w:footnote w:id="17">
    <w:p w14:paraId="262F6A4B" w14:textId="065B8FE6" w:rsidR="00DE6A18" w:rsidRDefault="00DE6A18">
      <w:pPr>
        <w:pStyle w:val="FootnoteText"/>
      </w:pPr>
      <w:r>
        <w:rPr>
          <w:rStyle w:val="FootnoteReference"/>
        </w:rPr>
        <w:footnoteRef/>
      </w:r>
      <w:r>
        <w:t xml:space="preserve"> </w:t>
      </w:r>
      <w:r w:rsidRPr="00DE6A18">
        <w:rPr>
          <w:i/>
          <w:iCs/>
        </w:rPr>
        <w:t>Ibid</w:t>
      </w:r>
      <w:r>
        <w:t xml:space="preserve">, </w:t>
      </w:r>
      <w:proofErr w:type="spellStart"/>
      <w:r>
        <w:t>p.xxi</w:t>
      </w:r>
      <w:proofErr w:type="spellEnd"/>
      <w:r>
        <w:t>.</w:t>
      </w:r>
    </w:p>
  </w:footnote>
  <w:footnote w:id="18">
    <w:p w14:paraId="09306472" w14:textId="136588FD" w:rsidR="007D6029" w:rsidRPr="007D6029" w:rsidRDefault="007D6029">
      <w:pPr>
        <w:pStyle w:val="FootnoteText"/>
      </w:pPr>
      <w:r>
        <w:rPr>
          <w:rStyle w:val="FootnoteReference"/>
        </w:rPr>
        <w:footnoteRef/>
      </w:r>
      <w:r>
        <w:t xml:space="preserve"> Benjamin R. Foster, </w:t>
      </w:r>
      <w:r>
        <w:rPr>
          <w:i/>
          <w:iCs/>
        </w:rPr>
        <w:t xml:space="preserve">The Epic of Gilgamesh </w:t>
      </w:r>
      <w:r>
        <w:t>2</w:t>
      </w:r>
      <w:r w:rsidRPr="007D6029">
        <w:rPr>
          <w:vertAlign w:val="superscript"/>
        </w:rPr>
        <w:t>nd</w:t>
      </w:r>
      <w:r>
        <w:t xml:space="preserve"> edition (New </w:t>
      </w:r>
      <w:r w:rsidR="00D95735">
        <w:t xml:space="preserve">York: W.W Norton &amp; Company, 2019) </w:t>
      </w:r>
      <w:proofErr w:type="spellStart"/>
      <w:r w:rsidR="00D95735">
        <w:t>p.xiv</w:t>
      </w:r>
      <w:proofErr w:type="spellEnd"/>
      <w:r w:rsidR="00D95735">
        <w:t>.</w:t>
      </w:r>
    </w:p>
  </w:footnote>
  <w:footnote w:id="19">
    <w:p w14:paraId="030CF0CC" w14:textId="72DCAC05" w:rsidR="007B57EF" w:rsidRPr="007B57EF" w:rsidRDefault="007B57EF">
      <w:pPr>
        <w:pStyle w:val="FootnoteText"/>
      </w:pPr>
      <w:r>
        <w:rPr>
          <w:rStyle w:val="FootnoteReference"/>
        </w:rPr>
        <w:footnoteRef/>
      </w:r>
      <w:r>
        <w:t xml:space="preserve"> Gerald K. </w:t>
      </w:r>
      <w:proofErr w:type="spellStart"/>
      <w:r>
        <w:t>Gresseth</w:t>
      </w:r>
      <w:proofErr w:type="spellEnd"/>
      <w:r>
        <w:t xml:space="preserve">, ‘The Gilgamesh Epic and Homer’ in </w:t>
      </w:r>
      <w:r>
        <w:rPr>
          <w:i/>
          <w:iCs/>
        </w:rPr>
        <w:t xml:space="preserve">The Classical Journal </w:t>
      </w:r>
      <w:r>
        <w:t>vol.70 (4)</w:t>
      </w:r>
      <w:r>
        <w:rPr>
          <w:i/>
          <w:iCs/>
        </w:rPr>
        <w:t xml:space="preserve"> </w:t>
      </w:r>
      <w:r>
        <w:t xml:space="preserve">(Illinois: </w:t>
      </w:r>
      <w:r w:rsidRPr="007B57EF">
        <w:t>The Classical Association of the Middle West and South</w:t>
      </w:r>
      <w:r>
        <w:t>,1975)</w:t>
      </w:r>
      <w:r w:rsidRPr="007B57EF">
        <w:t xml:space="preserve"> p.4</w:t>
      </w:r>
    </w:p>
  </w:footnote>
  <w:footnote w:id="20">
    <w:p w14:paraId="4536A324" w14:textId="3AB3F6FC" w:rsidR="00BA2AB6" w:rsidRDefault="00BA2AB6">
      <w:pPr>
        <w:pStyle w:val="FootnoteText"/>
      </w:pPr>
      <w:r>
        <w:rPr>
          <w:rStyle w:val="FootnoteReference"/>
        </w:rPr>
        <w:footnoteRef/>
      </w:r>
      <w:r>
        <w:t xml:space="preserve"> </w:t>
      </w:r>
      <w:r>
        <w:t xml:space="preserve">Andrew George, </w:t>
      </w:r>
      <w:r>
        <w:rPr>
          <w:i/>
          <w:iCs/>
        </w:rPr>
        <w:t xml:space="preserve">The Epic of Gilgamesh </w:t>
      </w:r>
      <w:r>
        <w:t xml:space="preserve">(London: The Penguin Press, 1999) </w:t>
      </w:r>
      <w:proofErr w:type="spellStart"/>
      <w:r>
        <w:t>p.x</w:t>
      </w:r>
      <w:r>
        <w:t>ix</w:t>
      </w:r>
      <w:proofErr w:type="spellEnd"/>
      <w:r>
        <w:t>.</w:t>
      </w:r>
    </w:p>
  </w:footnote>
  <w:footnote w:id="21">
    <w:p w14:paraId="2B02660A" w14:textId="299AF08A" w:rsidR="00BA2AB6" w:rsidRPr="00BA2AB6" w:rsidRDefault="00BA2AB6">
      <w:pPr>
        <w:pStyle w:val="FootnoteText"/>
      </w:pPr>
      <w:r>
        <w:rPr>
          <w:rStyle w:val="FootnoteReference"/>
        </w:rPr>
        <w:footnoteRef/>
      </w:r>
      <w:r>
        <w:t xml:space="preserve"> Nancy K. </w:t>
      </w:r>
      <w:proofErr w:type="spellStart"/>
      <w:r>
        <w:t>Sandars</w:t>
      </w:r>
      <w:proofErr w:type="spellEnd"/>
      <w:r>
        <w:t xml:space="preserve">, </w:t>
      </w:r>
      <w:r>
        <w:rPr>
          <w:i/>
          <w:iCs/>
        </w:rPr>
        <w:t xml:space="preserve">Gilgamesh and Enkidu </w:t>
      </w:r>
      <w:r>
        <w:t>(</w:t>
      </w:r>
      <w:r>
        <w:t>London: The Penguin Press</w:t>
      </w:r>
      <w:r>
        <w:t>, 1995) p.1.</w:t>
      </w:r>
    </w:p>
  </w:footnote>
  <w:footnote w:id="22">
    <w:p w14:paraId="6D3E65B1" w14:textId="67BB0EF4" w:rsidR="00BA2AB6" w:rsidRDefault="00BA2AB6">
      <w:pPr>
        <w:pStyle w:val="FootnoteText"/>
      </w:pPr>
      <w:r>
        <w:rPr>
          <w:rStyle w:val="FootnoteReference"/>
        </w:rPr>
        <w:footnoteRef/>
      </w:r>
      <w:r>
        <w:t xml:space="preserve"> </w:t>
      </w:r>
      <w:r>
        <w:t xml:space="preserve">Benjamin R. Foster, </w:t>
      </w:r>
      <w:r>
        <w:rPr>
          <w:i/>
          <w:iCs/>
        </w:rPr>
        <w:t xml:space="preserve">The Epic of Gilgamesh </w:t>
      </w:r>
      <w:r>
        <w:t>2</w:t>
      </w:r>
      <w:r w:rsidRPr="007D6029">
        <w:rPr>
          <w:vertAlign w:val="superscript"/>
        </w:rPr>
        <w:t>nd</w:t>
      </w:r>
      <w:r>
        <w:t xml:space="preserve"> edition (New York: W.W Norton &amp; Company, 2019) </w:t>
      </w:r>
      <w:proofErr w:type="spellStart"/>
      <w:r>
        <w:t>p.xi</w:t>
      </w:r>
      <w:r>
        <w:t>i</w:t>
      </w:r>
      <w:proofErr w:type="spellEnd"/>
    </w:p>
  </w:footnote>
  <w:footnote w:id="23">
    <w:p w14:paraId="1B815D23" w14:textId="39AA14ED" w:rsidR="004D1377" w:rsidRDefault="004D1377">
      <w:pPr>
        <w:pStyle w:val="FootnoteText"/>
      </w:pPr>
      <w:r>
        <w:rPr>
          <w:rStyle w:val="FootnoteReference"/>
        </w:rPr>
        <w:footnoteRef/>
      </w:r>
      <w:r>
        <w:t xml:space="preserve"> </w:t>
      </w:r>
      <w:r>
        <w:t xml:space="preserve">Andrew George, </w:t>
      </w:r>
      <w:r>
        <w:rPr>
          <w:i/>
          <w:iCs/>
        </w:rPr>
        <w:t xml:space="preserve">The Epic of Gilgamesh </w:t>
      </w:r>
      <w:r>
        <w:t xml:space="preserve">(London: The Penguin Press, 1999) </w:t>
      </w:r>
      <w:proofErr w:type="spellStart"/>
      <w:proofErr w:type="gramStart"/>
      <w:r>
        <w:t>p.xx</w:t>
      </w:r>
      <w:r>
        <w:t>xi</w:t>
      </w:r>
      <w:proofErr w:type="spellEnd"/>
      <w:r w:rsidR="00BA2AB6">
        <w:t>.</w:t>
      </w:r>
      <w:proofErr w:type="gramEnd"/>
    </w:p>
  </w:footnote>
  <w:footnote w:id="24">
    <w:p w14:paraId="4264FF6D" w14:textId="3729E97E" w:rsidR="00824009" w:rsidRDefault="00824009">
      <w:pPr>
        <w:pStyle w:val="FootnoteText"/>
      </w:pPr>
      <w:r>
        <w:rPr>
          <w:rStyle w:val="FootnoteReference"/>
        </w:rPr>
        <w:footnoteRef/>
      </w:r>
      <w:r>
        <w:t xml:space="preserve"> </w:t>
      </w:r>
      <w:r>
        <w:t xml:space="preserve">Benjamin R. Foster, </w:t>
      </w:r>
      <w:r>
        <w:rPr>
          <w:i/>
          <w:iCs/>
        </w:rPr>
        <w:t xml:space="preserve">The Epic of Gilgamesh </w:t>
      </w:r>
      <w:r>
        <w:t>2</w:t>
      </w:r>
      <w:r w:rsidRPr="007D6029">
        <w:rPr>
          <w:vertAlign w:val="superscript"/>
        </w:rPr>
        <w:t>nd</w:t>
      </w:r>
      <w:r>
        <w:t xml:space="preserve"> edition (New York: W.W Norton &amp; Company, 2019) </w:t>
      </w:r>
      <w:proofErr w:type="spellStart"/>
      <w:proofErr w:type="gramStart"/>
      <w:r>
        <w:t>p.</w:t>
      </w:r>
      <w:r>
        <w:t>xi</w:t>
      </w:r>
      <w:proofErr w:type="spellEnd"/>
      <w:r>
        <w:t>.</w:t>
      </w:r>
      <w:proofErr w:type="gramEnd"/>
    </w:p>
  </w:footnote>
  <w:footnote w:id="25">
    <w:p w14:paraId="528E9B24" w14:textId="572712BC" w:rsidR="004E52EF" w:rsidRPr="004E52EF" w:rsidRDefault="004E52EF">
      <w:pPr>
        <w:pStyle w:val="FootnoteText"/>
      </w:pPr>
      <w:r>
        <w:rPr>
          <w:rStyle w:val="FootnoteReference"/>
        </w:rPr>
        <w:footnoteRef/>
      </w:r>
      <w:r>
        <w:t xml:space="preserve"> </w:t>
      </w:r>
      <w:r>
        <w:rPr>
          <w:i/>
          <w:iCs/>
        </w:rPr>
        <w:t xml:space="preserve">Ibid, </w:t>
      </w:r>
      <w:r>
        <w:t>p.3.</w:t>
      </w:r>
    </w:p>
  </w:footnote>
  <w:footnote w:id="26">
    <w:p w14:paraId="734D9BA4" w14:textId="6A90B637" w:rsidR="006432AE" w:rsidRPr="006432AE" w:rsidRDefault="006432AE">
      <w:pPr>
        <w:pStyle w:val="FootnoteText"/>
      </w:pPr>
      <w:r>
        <w:rPr>
          <w:rStyle w:val="FootnoteReference"/>
        </w:rPr>
        <w:footnoteRef/>
      </w:r>
      <w:r>
        <w:t xml:space="preserve"> Joshua J. Mark, </w:t>
      </w:r>
      <w:proofErr w:type="spellStart"/>
      <w:r>
        <w:rPr>
          <w:i/>
          <w:iCs/>
        </w:rPr>
        <w:t>Uruk</w:t>
      </w:r>
      <w:proofErr w:type="spellEnd"/>
      <w:r>
        <w:rPr>
          <w:i/>
          <w:iCs/>
        </w:rPr>
        <w:t xml:space="preserve"> </w:t>
      </w:r>
      <w:r>
        <w:t xml:space="preserve">(2011) </w:t>
      </w:r>
      <w:r w:rsidRPr="006432AE">
        <w:t>https://www.worldhistory.org/uruk/</w:t>
      </w:r>
      <w:r>
        <w:t xml:space="preserve"> [accessed 12 December 2024].</w:t>
      </w:r>
    </w:p>
  </w:footnote>
  <w:footnote w:id="27">
    <w:p w14:paraId="61B90611" w14:textId="7EE53C8F" w:rsidR="00F36F9F" w:rsidRDefault="00F36F9F">
      <w:pPr>
        <w:pStyle w:val="FootnoteText"/>
      </w:pPr>
      <w:r>
        <w:rPr>
          <w:rStyle w:val="FootnoteReference"/>
        </w:rPr>
        <w:footnoteRef/>
      </w:r>
      <w:r>
        <w:t xml:space="preserve"> </w:t>
      </w:r>
      <w:r>
        <w:t xml:space="preserve">Nicholas Campion, </w:t>
      </w:r>
      <w:r>
        <w:rPr>
          <w:i/>
          <w:iCs/>
        </w:rPr>
        <w:t>The Dawn of Astrology: A Cultural History of Western Astrology: The Ancient and Classical Worlds</w:t>
      </w:r>
      <w:r>
        <w:t>,</w:t>
      </w:r>
      <w:r w:rsidRPr="00852268">
        <w:rPr>
          <w:color w:val="000000"/>
        </w:rPr>
        <w:t xml:space="preserve"> (London: Continuum Books, 2008). P.</w:t>
      </w:r>
      <w:r>
        <w:rPr>
          <w:color w:val="000000"/>
        </w:rPr>
        <w:t>39.</w:t>
      </w:r>
    </w:p>
  </w:footnote>
  <w:footnote w:id="28">
    <w:p w14:paraId="144DCA76" w14:textId="1B487068" w:rsidR="00800E38" w:rsidRDefault="00800E38">
      <w:pPr>
        <w:pStyle w:val="FootnoteText"/>
      </w:pPr>
      <w:r>
        <w:rPr>
          <w:rStyle w:val="FootnoteReference"/>
        </w:rPr>
        <w:footnoteRef/>
      </w:r>
      <w:r>
        <w:t xml:space="preserve"> </w:t>
      </w:r>
      <w:r>
        <w:t xml:space="preserve">Scott Irvine, </w:t>
      </w:r>
      <w:r>
        <w:rPr>
          <w:i/>
          <w:iCs/>
        </w:rPr>
        <w:t xml:space="preserve">Ishtar and </w:t>
      </w:r>
      <w:proofErr w:type="spellStart"/>
      <w:r>
        <w:rPr>
          <w:i/>
          <w:iCs/>
        </w:rPr>
        <w:t>Ereshkigal</w:t>
      </w:r>
      <w:proofErr w:type="spellEnd"/>
      <w:r>
        <w:rPr>
          <w:i/>
          <w:iCs/>
        </w:rPr>
        <w:t xml:space="preserve">: The Daughters of sin, </w:t>
      </w:r>
      <w:r>
        <w:t>(Hampshire: John Hunt Publishing, 2020). p.</w:t>
      </w:r>
      <w:r>
        <w:t>14.</w:t>
      </w:r>
    </w:p>
  </w:footnote>
  <w:footnote w:id="29">
    <w:p w14:paraId="62FE1667" w14:textId="098372A9" w:rsidR="00875AD1" w:rsidRDefault="00875AD1">
      <w:pPr>
        <w:pStyle w:val="FootnoteText"/>
      </w:pPr>
      <w:r>
        <w:rPr>
          <w:rStyle w:val="FootnoteReference"/>
        </w:rPr>
        <w:footnoteRef/>
      </w:r>
      <w:r>
        <w:t xml:space="preserve"> </w:t>
      </w:r>
      <w:r>
        <w:t xml:space="preserve">Andrew George, </w:t>
      </w:r>
      <w:r>
        <w:rPr>
          <w:i/>
          <w:iCs/>
        </w:rPr>
        <w:t xml:space="preserve">The Epic of Gilgamesh </w:t>
      </w:r>
      <w:r>
        <w:t xml:space="preserve">(London: The Penguin Press, 1999) </w:t>
      </w:r>
      <w:proofErr w:type="spellStart"/>
      <w:proofErr w:type="gramStart"/>
      <w:r>
        <w:t>p.x</w:t>
      </w:r>
      <w:r>
        <w:t>lvi</w:t>
      </w:r>
      <w:proofErr w:type="spellEnd"/>
      <w:r>
        <w:t>.</w:t>
      </w:r>
      <w:proofErr w:type="gramEnd"/>
    </w:p>
  </w:footnote>
  <w:footnote w:id="30">
    <w:p w14:paraId="316E6816" w14:textId="0BC84B43" w:rsidR="00875AD1" w:rsidRDefault="00875AD1">
      <w:pPr>
        <w:pStyle w:val="FootnoteText"/>
      </w:pPr>
      <w:r>
        <w:rPr>
          <w:rStyle w:val="FootnoteReference"/>
        </w:rPr>
        <w:footnoteRef/>
      </w:r>
      <w:r>
        <w:t xml:space="preserve"> Paul W. </w:t>
      </w:r>
      <w:proofErr w:type="spellStart"/>
      <w:r>
        <w:t>Pruyser</w:t>
      </w:r>
      <w:proofErr w:type="spellEnd"/>
      <w:r>
        <w:t xml:space="preserve"> and J. Tracy Luke, ‘The Epic of Gilgamesh’ in </w:t>
      </w:r>
      <w:r>
        <w:rPr>
          <w:i/>
          <w:iCs/>
        </w:rPr>
        <w:t xml:space="preserve">American Imago, </w:t>
      </w:r>
      <w:r>
        <w:t>vol.39 (2) (Baltimore: The John Hopkins University Press, 1982) Pp.77-78.</w:t>
      </w:r>
    </w:p>
  </w:footnote>
  <w:footnote w:id="31">
    <w:p w14:paraId="3FCADA7F" w14:textId="1E18C244" w:rsidR="00AC6CA0" w:rsidRDefault="00AC6CA0">
      <w:pPr>
        <w:pStyle w:val="FootnoteText"/>
      </w:pPr>
      <w:r>
        <w:rPr>
          <w:rStyle w:val="FootnoteReference"/>
        </w:rPr>
        <w:footnoteRef/>
      </w:r>
      <w:r>
        <w:t xml:space="preserve"> </w:t>
      </w:r>
      <w:r>
        <w:t xml:space="preserve">Andrew George, </w:t>
      </w:r>
      <w:r>
        <w:rPr>
          <w:i/>
          <w:iCs/>
        </w:rPr>
        <w:t xml:space="preserve">The Epic of Gilgamesh </w:t>
      </w:r>
      <w:r>
        <w:t xml:space="preserve">(London: The Penguin Press, 1999) </w:t>
      </w:r>
      <w:proofErr w:type="spellStart"/>
      <w:proofErr w:type="gramStart"/>
      <w:r>
        <w:t>p</w:t>
      </w:r>
      <w:r>
        <w:t>.xlvii</w:t>
      </w:r>
      <w:proofErr w:type="spellEnd"/>
      <w:r>
        <w:t>.</w:t>
      </w:r>
      <w:proofErr w:type="gramEnd"/>
    </w:p>
  </w:footnote>
  <w:footnote w:id="32">
    <w:p w14:paraId="071995A5" w14:textId="0DF8D72D" w:rsidR="00544F12" w:rsidRDefault="00544F12">
      <w:pPr>
        <w:pStyle w:val="FootnoteText"/>
      </w:pPr>
      <w:r>
        <w:rPr>
          <w:rStyle w:val="FootnoteReference"/>
        </w:rPr>
        <w:footnoteRef/>
      </w:r>
      <w:r>
        <w:t xml:space="preserve"> </w:t>
      </w:r>
      <w:r>
        <w:t xml:space="preserve">Nancy K. </w:t>
      </w:r>
      <w:proofErr w:type="spellStart"/>
      <w:r>
        <w:t>Sandars</w:t>
      </w:r>
      <w:proofErr w:type="spellEnd"/>
      <w:r>
        <w:t xml:space="preserve">, </w:t>
      </w:r>
      <w:r>
        <w:rPr>
          <w:i/>
          <w:iCs/>
        </w:rPr>
        <w:t xml:space="preserve">Gilgamesh and Enkidu </w:t>
      </w:r>
      <w:r>
        <w:t>(London: The Penguin Press, 1995) p.4.</w:t>
      </w:r>
    </w:p>
  </w:footnote>
  <w:footnote w:id="33">
    <w:p w14:paraId="1D22C097" w14:textId="27875186" w:rsidR="00E67DBC" w:rsidRPr="00544F12" w:rsidRDefault="00E67DBC">
      <w:pPr>
        <w:pStyle w:val="FootnoteText"/>
      </w:pPr>
      <w:r>
        <w:rPr>
          <w:rStyle w:val="FootnoteReference"/>
        </w:rPr>
        <w:footnoteRef/>
      </w:r>
      <w:r>
        <w:t xml:space="preserve"> </w:t>
      </w:r>
      <w:r w:rsidR="00544F12">
        <w:rPr>
          <w:i/>
          <w:iCs/>
        </w:rPr>
        <w:t xml:space="preserve">Ibid, </w:t>
      </w:r>
      <w:r w:rsidR="00544F12">
        <w:t>p.4.</w:t>
      </w:r>
    </w:p>
  </w:footnote>
  <w:footnote w:id="34">
    <w:p w14:paraId="4BFC589F" w14:textId="3580B63A" w:rsidR="004E52EF" w:rsidRDefault="004E52EF">
      <w:pPr>
        <w:pStyle w:val="FootnoteText"/>
      </w:pPr>
      <w:r>
        <w:rPr>
          <w:rStyle w:val="FootnoteReference"/>
        </w:rPr>
        <w:footnoteRef/>
      </w:r>
      <w:r>
        <w:t xml:space="preserve"> </w:t>
      </w:r>
      <w:r>
        <w:t xml:space="preserve">Benjamin R. Foster, </w:t>
      </w:r>
      <w:r>
        <w:rPr>
          <w:i/>
          <w:iCs/>
        </w:rPr>
        <w:t xml:space="preserve">The Epic of Gilgamesh </w:t>
      </w:r>
      <w:r>
        <w:t>2</w:t>
      </w:r>
      <w:r w:rsidRPr="007D6029">
        <w:rPr>
          <w:vertAlign w:val="superscript"/>
        </w:rPr>
        <w:t>nd</w:t>
      </w:r>
      <w:r>
        <w:t xml:space="preserve"> edition (New York: W.W Norton &amp; Company, 2019) p.</w:t>
      </w:r>
      <w:r>
        <w:t>13.</w:t>
      </w:r>
    </w:p>
  </w:footnote>
  <w:footnote w:id="35">
    <w:p w14:paraId="20B4A41B" w14:textId="571C7D44" w:rsidR="003A04A0" w:rsidRDefault="003A04A0">
      <w:pPr>
        <w:pStyle w:val="FootnoteText"/>
      </w:pPr>
      <w:r>
        <w:rPr>
          <w:rStyle w:val="FootnoteReference"/>
        </w:rPr>
        <w:footnoteRef/>
      </w:r>
      <w:r>
        <w:t xml:space="preserve"> </w:t>
      </w:r>
      <w:r>
        <w:t xml:space="preserve">Paul W. </w:t>
      </w:r>
      <w:proofErr w:type="spellStart"/>
      <w:r>
        <w:t>Pruyser</w:t>
      </w:r>
      <w:proofErr w:type="spellEnd"/>
      <w:r>
        <w:t xml:space="preserve"> and J. Tracy Luke, ‘The Epic of Gilgamesh’ in </w:t>
      </w:r>
      <w:r>
        <w:rPr>
          <w:i/>
          <w:iCs/>
        </w:rPr>
        <w:t xml:space="preserve">American Imago, </w:t>
      </w:r>
      <w:r>
        <w:t>vol.39 (2) (Baltimore: The John Hopkins University Press, 1982) P</w:t>
      </w:r>
      <w:r>
        <w:t>.78.</w:t>
      </w:r>
    </w:p>
  </w:footnote>
  <w:footnote w:id="36">
    <w:p w14:paraId="74E1358B" w14:textId="0F003413" w:rsidR="003A04A0" w:rsidRPr="003A04A0" w:rsidRDefault="003A04A0">
      <w:pPr>
        <w:pStyle w:val="FootnoteText"/>
      </w:pPr>
      <w:r>
        <w:rPr>
          <w:rStyle w:val="FootnoteReference"/>
        </w:rPr>
        <w:footnoteRef/>
      </w:r>
      <w:r>
        <w:t xml:space="preserve"> James B. Pritchard, </w:t>
      </w:r>
      <w:r>
        <w:rPr>
          <w:i/>
          <w:iCs/>
        </w:rPr>
        <w:t xml:space="preserve">Myths and Epics from Mesopotamia </w:t>
      </w:r>
      <w:r>
        <w:t>(New Jersey: Princeton University Press, 2011) p.49.</w:t>
      </w:r>
    </w:p>
  </w:footnote>
  <w:footnote w:id="37">
    <w:p w14:paraId="4393EE55" w14:textId="7A938C1B" w:rsidR="00D329A2" w:rsidRDefault="00D329A2">
      <w:pPr>
        <w:pStyle w:val="FootnoteText"/>
      </w:pPr>
      <w:r>
        <w:rPr>
          <w:rStyle w:val="FootnoteReference"/>
        </w:rPr>
        <w:footnoteRef/>
      </w:r>
      <w:r>
        <w:t xml:space="preserve"> </w:t>
      </w:r>
      <w:r>
        <w:t xml:space="preserve">Paul W. </w:t>
      </w:r>
      <w:proofErr w:type="spellStart"/>
      <w:r>
        <w:t>Pruyser</w:t>
      </w:r>
      <w:proofErr w:type="spellEnd"/>
      <w:r>
        <w:t xml:space="preserve"> and J. Tracy Luke, ‘The Epic of Gilgamesh’ in </w:t>
      </w:r>
      <w:r>
        <w:rPr>
          <w:i/>
          <w:iCs/>
        </w:rPr>
        <w:t xml:space="preserve">American Imago, </w:t>
      </w:r>
      <w:r>
        <w:t>vol.39 (2) (Baltimore: The John Hopkins University Press, 1982) P</w:t>
      </w:r>
      <w:r>
        <w:t>.82.</w:t>
      </w:r>
    </w:p>
  </w:footnote>
  <w:footnote w:id="38">
    <w:p w14:paraId="4B6333C7" w14:textId="0E160DE1" w:rsidR="00176677" w:rsidRDefault="00176677">
      <w:pPr>
        <w:pStyle w:val="FootnoteText"/>
      </w:pPr>
      <w:r>
        <w:rPr>
          <w:rStyle w:val="FootnoteReference"/>
        </w:rPr>
        <w:footnoteRef/>
      </w:r>
      <w:r>
        <w:t xml:space="preserve"> </w:t>
      </w:r>
      <w:r>
        <w:t xml:space="preserve">Benjamin R. Foster, </w:t>
      </w:r>
      <w:r>
        <w:rPr>
          <w:i/>
          <w:iCs/>
        </w:rPr>
        <w:t xml:space="preserve">The Epic of Gilgamesh </w:t>
      </w:r>
      <w:r>
        <w:t>2</w:t>
      </w:r>
      <w:r w:rsidRPr="007D6029">
        <w:rPr>
          <w:vertAlign w:val="superscript"/>
        </w:rPr>
        <w:t>nd</w:t>
      </w:r>
      <w:r>
        <w:t xml:space="preserve"> edition (New York: W.W Norton &amp; Company, 2019) </w:t>
      </w:r>
      <w:proofErr w:type="spellStart"/>
      <w:proofErr w:type="gramStart"/>
      <w:r>
        <w:t>p.</w:t>
      </w:r>
      <w:r>
        <w:t>xlviii</w:t>
      </w:r>
      <w:proofErr w:type="spellEnd"/>
      <w:r>
        <w:t>.</w:t>
      </w:r>
      <w:proofErr w:type="gramEnd"/>
    </w:p>
  </w:footnote>
  <w:footnote w:id="39">
    <w:p w14:paraId="2F3A3414" w14:textId="5B37162A" w:rsidR="00A274F7" w:rsidRDefault="00A274F7">
      <w:pPr>
        <w:pStyle w:val="FootnoteText"/>
      </w:pPr>
      <w:r>
        <w:rPr>
          <w:rStyle w:val="FootnoteReference"/>
        </w:rPr>
        <w:footnoteRef/>
      </w:r>
      <w:r>
        <w:t xml:space="preserve"> Scott Irvine, </w:t>
      </w:r>
      <w:r>
        <w:rPr>
          <w:i/>
          <w:iCs/>
        </w:rPr>
        <w:t xml:space="preserve">Ishtar and </w:t>
      </w:r>
      <w:proofErr w:type="spellStart"/>
      <w:r>
        <w:rPr>
          <w:i/>
          <w:iCs/>
        </w:rPr>
        <w:t>Ereshkigal</w:t>
      </w:r>
      <w:proofErr w:type="spellEnd"/>
      <w:r>
        <w:rPr>
          <w:i/>
          <w:iCs/>
        </w:rPr>
        <w:t xml:space="preserve">: The Daughters of sin, </w:t>
      </w:r>
      <w:r>
        <w:t>(Hampshire: John Hunt Publishing, 2020). p.30.</w:t>
      </w:r>
    </w:p>
  </w:footnote>
  <w:footnote w:id="40">
    <w:p w14:paraId="7A3E1BCA" w14:textId="2AE0D6F8" w:rsidR="00A274F7" w:rsidRDefault="00A274F7">
      <w:pPr>
        <w:pStyle w:val="FootnoteText"/>
      </w:pPr>
      <w:r>
        <w:rPr>
          <w:rStyle w:val="FootnoteReference"/>
        </w:rPr>
        <w:footnoteRef/>
      </w:r>
      <w:r>
        <w:t xml:space="preserve"> James, B Pritchard, (ed.). </w:t>
      </w:r>
      <w:r>
        <w:rPr>
          <w:i/>
          <w:iCs/>
        </w:rPr>
        <w:t xml:space="preserve">The Ancient Near East: An Anthology of Texts and Pictures, </w:t>
      </w:r>
      <w:r>
        <w:t>(Princeton: Princeton University Press, 2011). P.53.</w:t>
      </w:r>
    </w:p>
  </w:footnote>
  <w:footnote w:id="41">
    <w:p w14:paraId="2C4D7310" w14:textId="7C46A41B" w:rsidR="00884E67" w:rsidRDefault="00884E67">
      <w:pPr>
        <w:pStyle w:val="FootnoteText"/>
      </w:pPr>
      <w:r>
        <w:rPr>
          <w:rStyle w:val="FootnoteReference"/>
        </w:rPr>
        <w:footnoteRef/>
      </w:r>
      <w:r>
        <w:t xml:space="preserve"> </w:t>
      </w:r>
      <w:r>
        <w:t xml:space="preserve">Scott Irvine, </w:t>
      </w:r>
      <w:r>
        <w:rPr>
          <w:i/>
          <w:iCs/>
        </w:rPr>
        <w:t xml:space="preserve">Ishtar and </w:t>
      </w:r>
      <w:proofErr w:type="spellStart"/>
      <w:r>
        <w:rPr>
          <w:i/>
          <w:iCs/>
        </w:rPr>
        <w:t>Ereshkigal</w:t>
      </w:r>
      <w:proofErr w:type="spellEnd"/>
      <w:r>
        <w:rPr>
          <w:i/>
          <w:iCs/>
        </w:rPr>
        <w:t xml:space="preserve">: The Daughters of sin, </w:t>
      </w:r>
      <w:r>
        <w:t>(Hampshire: John Hunt Publishing, 2020). p.30.</w:t>
      </w:r>
    </w:p>
  </w:footnote>
  <w:footnote w:id="42">
    <w:p w14:paraId="107450A7" w14:textId="4124F912" w:rsidR="0034093B" w:rsidRDefault="0034093B">
      <w:pPr>
        <w:pStyle w:val="FootnoteText"/>
      </w:pPr>
      <w:r>
        <w:rPr>
          <w:rStyle w:val="FootnoteReference"/>
        </w:rPr>
        <w:footnoteRef/>
      </w:r>
      <w:r>
        <w:t xml:space="preserve"> Gavin White, </w:t>
      </w:r>
      <w:r>
        <w:rPr>
          <w:i/>
          <w:iCs/>
        </w:rPr>
        <w:t xml:space="preserve">Babylonian Star Lore: An Illustrated Guide to the Star-lore and Constellations of Ancient Babylon </w:t>
      </w:r>
      <w:r>
        <w:t>(London: Solaria Publications, 2014). P.88.</w:t>
      </w:r>
    </w:p>
  </w:footnote>
  <w:footnote w:id="43">
    <w:p w14:paraId="39661E0D" w14:textId="5241ED5E" w:rsidR="0034093B" w:rsidRDefault="0034093B">
      <w:pPr>
        <w:pStyle w:val="FootnoteText"/>
      </w:pPr>
      <w:r>
        <w:rPr>
          <w:rStyle w:val="FootnoteReference"/>
        </w:rPr>
        <w:footnoteRef/>
      </w:r>
      <w:r>
        <w:t xml:space="preserve"> </w:t>
      </w:r>
      <w:r>
        <w:t xml:space="preserve">Andrew George, </w:t>
      </w:r>
      <w:r>
        <w:rPr>
          <w:i/>
          <w:iCs/>
        </w:rPr>
        <w:t xml:space="preserve">The Epic of Gilgamesh </w:t>
      </w:r>
      <w:r>
        <w:t>(London: The Penguin Press, 1999) p</w:t>
      </w:r>
      <w:r>
        <w:t>p.54-62</w:t>
      </w:r>
    </w:p>
  </w:footnote>
  <w:footnote w:id="44">
    <w:p w14:paraId="1B8D5C85" w14:textId="6FEE3D60" w:rsidR="005F2143" w:rsidRPr="005F2143" w:rsidRDefault="005F2143">
      <w:pPr>
        <w:pStyle w:val="FootnoteText"/>
      </w:pPr>
      <w:r>
        <w:rPr>
          <w:rStyle w:val="FootnoteReference"/>
        </w:rPr>
        <w:footnoteRef/>
      </w:r>
      <w:r>
        <w:t xml:space="preserve"> Herbert Mason, ‘The Death of Enkidu: From Gilgamesh’, in </w:t>
      </w:r>
      <w:r>
        <w:rPr>
          <w:i/>
          <w:iCs/>
        </w:rPr>
        <w:t xml:space="preserve">The American Scholar, </w:t>
      </w:r>
      <w:r>
        <w:t>vol. 40 (1) (Washington D.C: The Phi Beta Kappa Society, 1970) pp.138-141.</w:t>
      </w:r>
    </w:p>
  </w:footnote>
  <w:footnote w:id="45">
    <w:p w14:paraId="71C30115" w14:textId="45CEDCEF" w:rsidR="00B32F93" w:rsidRDefault="00B32F93">
      <w:pPr>
        <w:pStyle w:val="FootnoteText"/>
      </w:pPr>
      <w:r>
        <w:rPr>
          <w:rStyle w:val="FootnoteReference"/>
        </w:rPr>
        <w:footnoteRef/>
      </w:r>
      <w:r>
        <w:t xml:space="preserve"> </w:t>
      </w:r>
      <w:r>
        <w:t xml:space="preserve">Paul W. </w:t>
      </w:r>
      <w:proofErr w:type="spellStart"/>
      <w:r>
        <w:t>Pruyser</w:t>
      </w:r>
      <w:proofErr w:type="spellEnd"/>
      <w:r>
        <w:t xml:space="preserve"> and J. Tracy Luke, ‘The Epic of Gilgamesh’ in </w:t>
      </w:r>
      <w:r>
        <w:rPr>
          <w:i/>
          <w:iCs/>
        </w:rPr>
        <w:t xml:space="preserve">American Imago, </w:t>
      </w:r>
      <w:r>
        <w:t>vol.39 (2) (Baltimore: The John Hopkins University Press, 1982) P</w:t>
      </w:r>
      <w:r>
        <w:t>.85</w:t>
      </w:r>
      <w:r w:rsidR="00763252">
        <w:t>.</w:t>
      </w:r>
    </w:p>
  </w:footnote>
  <w:footnote w:id="46">
    <w:p w14:paraId="14C81BFE" w14:textId="353C193E" w:rsidR="00603780" w:rsidRDefault="00603780">
      <w:pPr>
        <w:pStyle w:val="FootnoteText"/>
      </w:pPr>
      <w:r>
        <w:rPr>
          <w:rStyle w:val="FootnoteReference"/>
        </w:rPr>
        <w:footnoteRef/>
      </w:r>
      <w:r>
        <w:t xml:space="preserve"> </w:t>
      </w:r>
      <w:r>
        <w:t xml:space="preserve">Benjamin R. Foster, </w:t>
      </w:r>
      <w:r>
        <w:rPr>
          <w:i/>
          <w:iCs/>
        </w:rPr>
        <w:t xml:space="preserve">The Epic of Gilgamesh </w:t>
      </w:r>
      <w:r>
        <w:t>2</w:t>
      </w:r>
      <w:r w:rsidRPr="007D6029">
        <w:rPr>
          <w:vertAlign w:val="superscript"/>
        </w:rPr>
        <w:t>nd</w:t>
      </w:r>
      <w:r>
        <w:t xml:space="preserve"> edition (New York: W.W Norton &amp; Company, 2019) p</w:t>
      </w:r>
      <w:r>
        <w:t>p.70-71.</w:t>
      </w:r>
    </w:p>
  </w:footnote>
  <w:footnote w:id="47">
    <w:p w14:paraId="624654F1" w14:textId="7F89393C" w:rsidR="00763252" w:rsidRDefault="00763252">
      <w:pPr>
        <w:pStyle w:val="FootnoteText"/>
      </w:pPr>
      <w:r>
        <w:rPr>
          <w:rStyle w:val="FootnoteReference"/>
        </w:rPr>
        <w:footnoteRef/>
      </w:r>
      <w:r>
        <w:t xml:space="preserve"> </w:t>
      </w:r>
      <w:r>
        <w:t xml:space="preserve">Andrew George, </w:t>
      </w:r>
      <w:r>
        <w:rPr>
          <w:i/>
          <w:iCs/>
        </w:rPr>
        <w:t xml:space="preserve">The Epic of Gilgamesh </w:t>
      </w:r>
      <w:r>
        <w:t>(London: The Penguin Press, 1999) p</w:t>
      </w:r>
      <w:r>
        <w:t>.88.</w:t>
      </w:r>
    </w:p>
  </w:footnote>
  <w:footnote w:id="48">
    <w:p w14:paraId="13D5EA4B" w14:textId="66EB79BF" w:rsidR="00763252" w:rsidRDefault="00763252">
      <w:pPr>
        <w:pStyle w:val="FootnoteText"/>
      </w:pPr>
      <w:r>
        <w:rPr>
          <w:rStyle w:val="FootnoteReference"/>
        </w:rPr>
        <w:footnoteRef/>
      </w:r>
      <w:r>
        <w:t xml:space="preserve"> </w:t>
      </w:r>
      <w:r>
        <w:t xml:space="preserve">Paul W. </w:t>
      </w:r>
      <w:proofErr w:type="spellStart"/>
      <w:r>
        <w:t>Pruyser</w:t>
      </w:r>
      <w:proofErr w:type="spellEnd"/>
      <w:r>
        <w:t xml:space="preserve"> and J. Tracy Luke, ‘The Epic of Gilgamesh’ in </w:t>
      </w:r>
      <w:r>
        <w:rPr>
          <w:i/>
          <w:iCs/>
        </w:rPr>
        <w:t xml:space="preserve">American Imago, </w:t>
      </w:r>
      <w:r>
        <w:t>vol.39 (2) (Baltimore: The John Hopkins University Press, 1982) P.82.</w:t>
      </w:r>
    </w:p>
  </w:footnote>
  <w:footnote w:id="49">
    <w:p w14:paraId="12E37DC0" w14:textId="10EF424A" w:rsidR="00763252" w:rsidRDefault="00763252">
      <w:pPr>
        <w:pStyle w:val="FootnoteText"/>
      </w:pPr>
      <w:r>
        <w:rPr>
          <w:rStyle w:val="FootnoteReference"/>
        </w:rPr>
        <w:footnoteRef/>
      </w:r>
      <w:r>
        <w:t xml:space="preserve"> </w:t>
      </w:r>
      <w:r>
        <w:t xml:space="preserve">Gerald K. </w:t>
      </w:r>
      <w:proofErr w:type="spellStart"/>
      <w:r>
        <w:t>Gresseth</w:t>
      </w:r>
      <w:proofErr w:type="spellEnd"/>
      <w:r>
        <w:t xml:space="preserve">, ‘The Gilgamesh Epic and Homer’ in </w:t>
      </w:r>
      <w:r>
        <w:rPr>
          <w:i/>
          <w:iCs/>
        </w:rPr>
        <w:t xml:space="preserve">The Classical Journal </w:t>
      </w:r>
      <w:r>
        <w:t>vol.70 (4)</w:t>
      </w:r>
      <w:r>
        <w:rPr>
          <w:i/>
          <w:iCs/>
        </w:rPr>
        <w:t xml:space="preserve"> </w:t>
      </w:r>
      <w:r>
        <w:t xml:space="preserve">(Illinois: </w:t>
      </w:r>
      <w:r w:rsidRPr="007B57EF">
        <w:t>The Classical Association of the Middle West and South</w:t>
      </w:r>
      <w:r>
        <w:t>,1975)</w:t>
      </w:r>
      <w:r w:rsidRPr="007B57EF">
        <w:t xml:space="preserve"> p.</w:t>
      </w:r>
      <w:r>
        <w:t>6.</w:t>
      </w:r>
    </w:p>
  </w:footnote>
  <w:footnote w:id="50">
    <w:p w14:paraId="2FB92B2B" w14:textId="72362856" w:rsidR="00763252" w:rsidRDefault="00763252">
      <w:pPr>
        <w:pStyle w:val="FootnoteText"/>
      </w:pPr>
      <w:r>
        <w:rPr>
          <w:rStyle w:val="FootnoteReference"/>
        </w:rPr>
        <w:footnoteRef/>
      </w:r>
      <w:r>
        <w:t xml:space="preserve"> </w:t>
      </w:r>
      <w:r>
        <w:t xml:space="preserve">Andrew George, </w:t>
      </w:r>
      <w:r>
        <w:rPr>
          <w:i/>
          <w:iCs/>
        </w:rPr>
        <w:t xml:space="preserve">The Epic of Gilgamesh </w:t>
      </w:r>
      <w:r>
        <w:t>(London: The Penguin Press, 1999) p.88.</w:t>
      </w:r>
    </w:p>
  </w:footnote>
  <w:footnote w:id="51">
    <w:p w14:paraId="3C4B0D37" w14:textId="711E2991" w:rsidR="00E430A7" w:rsidRPr="00E430A7" w:rsidRDefault="00E430A7">
      <w:pPr>
        <w:pStyle w:val="FootnoteText"/>
      </w:pPr>
      <w:r>
        <w:rPr>
          <w:rStyle w:val="FootnoteReference"/>
        </w:rPr>
        <w:footnoteRef/>
      </w:r>
      <w:r>
        <w:t xml:space="preserve"> Joseph </w:t>
      </w:r>
      <w:proofErr w:type="spellStart"/>
      <w:r>
        <w:t>Fontenrose</w:t>
      </w:r>
      <w:proofErr w:type="spellEnd"/>
      <w:r>
        <w:t xml:space="preserve">, </w:t>
      </w:r>
      <w:r>
        <w:rPr>
          <w:i/>
          <w:iCs/>
        </w:rPr>
        <w:t xml:space="preserve">Orion: The Myth of the Hunter and the Huntress </w:t>
      </w:r>
      <w:r>
        <w:t>(California: University of California Press, 1981) p.5.</w:t>
      </w:r>
    </w:p>
  </w:footnote>
  <w:footnote w:id="52">
    <w:p w14:paraId="2A0F6915" w14:textId="02175BEE" w:rsidR="007C1266" w:rsidRPr="007C1266" w:rsidRDefault="007C1266">
      <w:pPr>
        <w:pStyle w:val="FootnoteText"/>
      </w:pPr>
      <w:r>
        <w:rPr>
          <w:rStyle w:val="FootnoteReference"/>
        </w:rPr>
        <w:footnoteRef/>
      </w:r>
      <w:r>
        <w:t xml:space="preserve"> Homer, </w:t>
      </w:r>
      <w:r>
        <w:rPr>
          <w:i/>
          <w:iCs/>
        </w:rPr>
        <w:t xml:space="preserve">The Iliad. </w:t>
      </w:r>
      <w:r>
        <w:t>trans. Martin Hammond (London: Penguin Book, 1987) p.307.</w:t>
      </w:r>
    </w:p>
  </w:footnote>
  <w:footnote w:id="53">
    <w:p w14:paraId="2B8430B1" w14:textId="500EA50F" w:rsidR="007C1266" w:rsidRPr="007C1266" w:rsidRDefault="007C1266">
      <w:pPr>
        <w:pStyle w:val="FootnoteText"/>
      </w:pPr>
      <w:r>
        <w:rPr>
          <w:rStyle w:val="FootnoteReference"/>
        </w:rPr>
        <w:footnoteRef/>
      </w:r>
      <w:r>
        <w:t xml:space="preserve"> </w:t>
      </w:r>
      <w:r>
        <w:rPr>
          <w:i/>
          <w:iCs/>
        </w:rPr>
        <w:t xml:space="preserve">Ibid, </w:t>
      </w:r>
      <w:r>
        <w:t>pp.351-352.</w:t>
      </w:r>
    </w:p>
  </w:footnote>
  <w:footnote w:id="54">
    <w:p w14:paraId="16B4A73C" w14:textId="0C7C41C5" w:rsidR="007C1266" w:rsidRPr="007C1266" w:rsidRDefault="007C1266">
      <w:pPr>
        <w:pStyle w:val="FootnoteText"/>
      </w:pPr>
      <w:r>
        <w:rPr>
          <w:rStyle w:val="FootnoteReference"/>
        </w:rPr>
        <w:footnoteRef/>
      </w:r>
      <w:r>
        <w:t xml:space="preserve"> Homer, </w:t>
      </w:r>
      <w:r>
        <w:rPr>
          <w:i/>
          <w:iCs/>
        </w:rPr>
        <w:t xml:space="preserve">The Odyssey. </w:t>
      </w:r>
      <w:r>
        <w:t xml:space="preserve">trans. Walter </w:t>
      </w:r>
      <w:proofErr w:type="spellStart"/>
      <w:r>
        <w:t>Shewring</w:t>
      </w:r>
      <w:proofErr w:type="spellEnd"/>
      <w:r>
        <w:t xml:space="preserve"> (Oxford: Oxford University Press, 1980) p.135.</w:t>
      </w:r>
    </w:p>
  </w:footnote>
  <w:footnote w:id="55">
    <w:p w14:paraId="08F9B423" w14:textId="29E0597F" w:rsidR="007C1266" w:rsidRPr="007C1266" w:rsidRDefault="007C1266">
      <w:pPr>
        <w:pStyle w:val="FootnoteText"/>
      </w:pPr>
      <w:r>
        <w:rPr>
          <w:rStyle w:val="FootnoteReference"/>
        </w:rPr>
        <w:footnoteRef/>
      </w:r>
      <w:r>
        <w:t xml:space="preserve"> </w:t>
      </w:r>
      <w:r>
        <w:rPr>
          <w:i/>
          <w:iCs/>
        </w:rPr>
        <w:t xml:space="preserve">Ibid, </w:t>
      </w:r>
      <w:r>
        <w:t>p.141.</w:t>
      </w:r>
    </w:p>
  </w:footnote>
  <w:footnote w:id="56">
    <w:p w14:paraId="3E0BF3F2" w14:textId="39F0D412" w:rsidR="008A505F" w:rsidRPr="008A505F" w:rsidRDefault="008A505F">
      <w:pPr>
        <w:pStyle w:val="FootnoteText"/>
      </w:pPr>
      <w:r>
        <w:rPr>
          <w:rStyle w:val="FootnoteReference"/>
        </w:rPr>
        <w:footnoteRef/>
      </w:r>
      <w:r>
        <w:t xml:space="preserve"> Aaron J. </w:t>
      </w:r>
      <w:proofErr w:type="spellStart"/>
      <w:r>
        <w:t>Atsma</w:t>
      </w:r>
      <w:proofErr w:type="spellEnd"/>
      <w:r>
        <w:t xml:space="preserve">, </w:t>
      </w:r>
      <w:r>
        <w:rPr>
          <w:i/>
          <w:iCs/>
        </w:rPr>
        <w:t xml:space="preserve">Hesiod: Fragments </w:t>
      </w:r>
      <w:r>
        <w:t xml:space="preserve">(2017) </w:t>
      </w:r>
      <w:r w:rsidRPr="008A505F">
        <w:t>https://www.theoi.com/Text/HesiodMiscellany.html</w:t>
      </w:r>
      <w:r>
        <w:t xml:space="preserve"> [accessed 19th December 2024].</w:t>
      </w:r>
    </w:p>
  </w:footnote>
  <w:footnote w:id="57">
    <w:p w14:paraId="7A99147F" w14:textId="37767DA1" w:rsidR="00EC4941" w:rsidRDefault="00EC4941">
      <w:pPr>
        <w:pStyle w:val="FootnoteText"/>
      </w:pPr>
      <w:r>
        <w:rPr>
          <w:rStyle w:val="FootnoteReference"/>
        </w:rPr>
        <w:footnoteRef/>
      </w:r>
      <w:r>
        <w:t xml:space="preserve"> </w:t>
      </w:r>
      <w:r w:rsidRPr="008A505F">
        <w:t>Hesiod</w:t>
      </w:r>
      <w:r>
        <w:t>,</w:t>
      </w:r>
      <w:r>
        <w:rPr>
          <w:i/>
          <w:iCs/>
        </w:rPr>
        <w:t xml:space="preserve"> The Homeric Hymns and </w:t>
      </w:r>
      <w:proofErr w:type="spellStart"/>
      <w:r>
        <w:rPr>
          <w:i/>
          <w:iCs/>
        </w:rPr>
        <w:t>Homerica</w:t>
      </w:r>
      <w:proofErr w:type="spellEnd"/>
      <w:r>
        <w:rPr>
          <w:i/>
          <w:iCs/>
        </w:rPr>
        <w:t xml:space="preserve">. </w:t>
      </w:r>
      <w:r>
        <w:t>Trans. Hugh, G. Evelyn White (London: The Macmillan Co., 1914) pp.71-3.</w:t>
      </w:r>
    </w:p>
  </w:footnote>
  <w:footnote w:id="58">
    <w:p w14:paraId="04DF3BE4" w14:textId="30E83F7F" w:rsidR="00EC4941" w:rsidRPr="00EC4941" w:rsidRDefault="00EC4941">
      <w:pPr>
        <w:pStyle w:val="FootnoteText"/>
      </w:pPr>
      <w:r>
        <w:rPr>
          <w:rStyle w:val="FootnoteReference"/>
        </w:rPr>
        <w:footnoteRef/>
      </w:r>
      <w:r>
        <w:t xml:space="preserve"> Jay </w:t>
      </w:r>
      <w:proofErr w:type="spellStart"/>
      <w:r>
        <w:t>Dolmage</w:t>
      </w:r>
      <w:proofErr w:type="spellEnd"/>
      <w:r>
        <w:t xml:space="preserve">, </w:t>
      </w:r>
      <w:proofErr w:type="gramStart"/>
      <w:r>
        <w:t>‘”Breathe</w:t>
      </w:r>
      <w:proofErr w:type="gramEnd"/>
      <w:r>
        <w:t xml:space="preserve"> upon Us an Even Flame”: Hephaestus, History, and the Body of Rhetoric’, in </w:t>
      </w:r>
      <w:r>
        <w:rPr>
          <w:i/>
          <w:iCs/>
        </w:rPr>
        <w:t xml:space="preserve">Rhetoric Review </w:t>
      </w:r>
      <w:r>
        <w:t>vol.25 (2) (Oxfordshire: Taylor &amp; Francis Ltd, 2006) p.120.</w:t>
      </w:r>
    </w:p>
  </w:footnote>
  <w:footnote w:id="59">
    <w:p w14:paraId="2DE3E043" w14:textId="7C6F3A6D" w:rsidR="008A505F" w:rsidRPr="008A505F" w:rsidRDefault="008A505F">
      <w:pPr>
        <w:pStyle w:val="FootnoteText"/>
      </w:pPr>
      <w:r>
        <w:rPr>
          <w:rStyle w:val="FootnoteReference"/>
        </w:rPr>
        <w:footnoteRef/>
      </w:r>
      <w:r>
        <w:t xml:space="preserve"> </w:t>
      </w:r>
      <w:r w:rsidRPr="008A505F">
        <w:t>Hesiod</w:t>
      </w:r>
      <w:r>
        <w:t>,</w:t>
      </w:r>
      <w:r>
        <w:rPr>
          <w:i/>
          <w:iCs/>
        </w:rPr>
        <w:t xml:space="preserve"> The Homeric Hymns and </w:t>
      </w:r>
      <w:proofErr w:type="spellStart"/>
      <w:r>
        <w:rPr>
          <w:i/>
          <w:iCs/>
        </w:rPr>
        <w:t>Homerica</w:t>
      </w:r>
      <w:proofErr w:type="spellEnd"/>
      <w:r>
        <w:rPr>
          <w:i/>
          <w:iCs/>
        </w:rPr>
        <w:t xml:space="preserve">. </w:t>
      </w:r>
      <w:r>
        <w:t xml:space="preserve">Trans. </w:t>
      </w:r>
      <w:r>
        <w:t>Hugh, G. Evelyn White</w:t>
      </w:r>
      <w:r>
        <w:t xml:space="preserve"> (London: The Macmillan Co., 1914) pp.71-3.</w:t>
      </w:r>
    </w:p>
  </w:footnote>
  <w:footnote w:id="60">
    <w:p w14:paraId="7947A7FA" w14:textId="73220DEC" w:rsidR="00C235B8" w:rsidRDefault="00C235B8">
      <w:pPr>
        <w:pStyle w:val="FootnoteText"/>
      </w:pPr>
      <w:r>
        <w:rPr>
          <w:rStyle w:val="FootnoteReference"/>
        </w:rPr>
        <w:footnoteRef/>
      </w:r>
      <w:r>
        <w:t xml:space="preserve"> Matthew Robinson, ‘Ovid and the “</w:t>
      </w:r>
      <w:proofErr w:type="spellStart"/>
      <w:r>
        <w:t>Catasterismi</w:t>
      </w:r>
      <w:proofErr w:type="spellEnd"/>
      <w:r>
        <w:t xml:space="preserve">” of Eratosthenes’, in </w:t>
      </w:r>
      <w:r>
        <w:rPr>
          <w:i/>
          <w:iCs/>
        </w:rPr>
        <w:t xml:space="preserve">The American Journal of Philology </w:t>
      </w:r>
      <w:r>
        <w:t>vol.134 (3), (Baltimore: John Hopkins University Press, 2013) p.460.</w:t>
      </w:r>
    </w:p>
  </w:footnote>
  <w:footnote w:id="61">
    <w:p w14:paraId="0BEF2EA5" w14:textId="48D1B2C6" w:rsidR="003E7EC8" w:rsidRPr="003E7EC8" w:rsidRDefault="003E7EC8">
      <w:pPr>
        <w:pStyle w:val="FootnoteText"/>
      </w:pPr>
      <w:r>
        <w:rPr>
          <w:rStyle w:val="FootnoteReference"/>
        </w:rPr>
        <w:footnoteRef/>
      </w:r>
      <w:r>
        <w:t xml:space="preserve"> D. Mark </w:t>
      </w:r>
      <w:proofErr w:type="spellStart"/>
      <w:r>
        <w:t>Possanza</w:t>
      </w:r>
      <w:proofErr w:type="spellEnd"/>
      <w:r>
        <w:t xml:space="preserve">, </w:t>
      </w:r>
      <w:r w:rsidRPr="003E7EC8">
        <w:rPr>
          <w:i/>
          <w:iCs/>
        </w:rPr>
        <w:t>Translating the heavens: Aratus, Germanicus, and the poetics of Latin translation</w:t>
      </w:r>
      <w:r>
        <w:rPr>
          <w:i/>
          <w:iCs/>
        </w:rPr>
        <w:t xml:space="preserve"> </w:t>
      </w:r>
      <w:r>
        <w:t>(Washington D.C: Peter Lang, 2004) p.279.</w:t>
      </w:r>
    </w:p>
  </w:footnote>
  <w:footnote w:id="62">
    <w:p w14:paraId="5B8A25B3" w14:textId="70BC8BEE" w:rsidR="0097699B" w:rsidRPr="0097699B" w:rsidRDefault="0097699B">
      <w:pPr>
        <w:pStyle w:val="FootnoteText"/>
      </w:pPr>
      <w:r>
        <w:rPr>
          <w:rStyle w:val="FootnoteReference"/>
        </w:rPr>
        <w:footnoteRef/>
      </w:r>
      <w:r>
        <w:t xml:space="preserve"> Emanuele </w:t>
      </w:r>
      <w:proofErr w:type="spellStart"/>
      <w:r>
        <w:t>Berti</w:t>
      </w:r>
      <w:proofErr w:type="spellEnd"/>
      <w:r>
        <w:t xml:space="preserve">, ‘Orion's Club. A Note on Germanicus, </w:t>
      </w:r>
      <w:proofErr w:type="spellStart"/>
      <w:r>
        <w:t>Arati</w:t>
      </w:r>
      <w:proofErr w:type="spellEnd"/>
      <w:r>
        <w:t xml:space="preserve"> Phaenomena 651’, in </w:t>
      </w:r>
      <w:r>
        <w:rPr>
          <w:i/>
          <w:iCs/>
        </w:rPr>
        <w:t xml:space="preserve">The Classical Quarterly </w:t>
      </w:r>
      <w:r>
        <w:t>vol.69 (2), (Cambridge: Cambridge University Press, 2019) pp.916-917.</w:t>
      </w:r>
    </w:p>
  </w:footnote>
  <w:footnote w:id="63">
    <w:p w14:paraId="4D8A7F3D" w14:textId="0B3E2C57" w:rsidR="00211A6C" w:rsidRPr="00211A6C" w:rsidRDefault="00211A6C">
      <w:pPr>
        <w:pStyle w:val="FootnoteText"/>
      </w:pPr>
      <w:r>
        <w:rPr>
          <w:rStyle w:val="FootnoteReference"/>
        </w:rPr>
        <w:footnoteRef/>
      </w:r>
      <w:r>
        <w:t xml:space="preserve"> Encyclopaedia Britannica, </w:t>
      </w:r>
      <w:r>
        <w:rPr>
          <w:i/>
          <w:iCs/>
        </w:rPr>
        <w:t xml:space="preserve">Orion </w:t>
      </w:r>
      <w:r>
        <w:t xml:space="preserve">(2024) </w:t>
      </w:r>
      <w:r w:rsidRPr="00211A6C">
        <w:t>https://www.britannica.com/science/constellation</w:t>
      </w:r>
      <w:r>
        <w:t xml:space="preserve"> [accessed 19th December 2024].</w:t>
      </w:r>
    </w:p>
  </w:footnote>
  <w:footnote w:id="64">
    <w:p w14:paraId="3BE51C20" w14:textId="49EC6021" w:rsidR="00F30242" w:rsidRDefault="00F30242">
      <w:pPr>
        <w:pStyle w:val="FootnoteText"/>
      </w:pPr>
      <w:r>
        <w:rPr>
          <w:rStyle w:val="FootnoteReference"/>
        </w:rPr>
        <w:footnoteRef/>
      </w:r>
      <w:r>
        <w:t xml:space="preserve"> </w:t>
      </w:r>
      <w:r>
        <w:t xml:space="preserve">Benjamin R. Foster, </w:t>
      </w:r>
      <w:r>
        <w:rPr>
          <w:i/>
          <w:iCs/>
        </w:rPr>
        <w:t xml:space="preserve">The Epic of Gilgamesh </w:t>
      </w:r>
      <w:r>
        <w:t>2</w:t>
      </w:r>
      <w:r w:rsidRPr="007D6029">
        <w:rPr>
          <w:vertAlign w:val="superscript"/>
        </w:rPr>
        <w:t>nd</w:t>
      </w:r>
      <w:r>
        <w:t xml:space="preserve"> edition (New York: W.W Norton &amp; Company, 2019) p</w:t>
      </w:r>
      <w:r>
        <w:t>p.197-198.</w:t>
      </w:r>
    </w:p>
  </w:footnote>
  <w:footnote w:id="65">
    <w:p w14:paraId="61638D61" w14:textId="23E60343" w:rsidR="00E80A39" w:rsidRDefault="00E80A39">
      <w:pPr>
        <w:pStyle w:val="FootnoteText"/>
      </w:pPr>
      <w:r>
        <w:rPr>
          <w:rStyle w:val="FootnoteReference"/>
        </w:rPr>
        <w:footnoteRef/>
      </w:r>
      <w:r>
        <w:t xml:space="preserve"> </w:t>
      </w:r>
      <w:r w:rsidRPr="008A505F">
        <w:t>Hesiod</w:t>
      </w:r>
      <w:r>
        <w:t>,</w:t>
      </w:r>
      <w:r>
        <w:rPr>
          <w:i/>
          <w:iCs/>
        </w:rPr>
        <w:t xml:space="preserve"> The Homeric Hymns and </w:t>
      </w:r>
      <w:proofErr w:type="spellStart"/>
      <w:r>
        <w:rPr>
          <w:i/>
          <w:iCs/>
        </w:rPr>
        <w:t>Homerica</w:t>
      </w:r>
      <w:proofErr w:type="spellEnd"/>
      <w:r>
        <w:rPr>
          <w:i/>
          <w:iCs/>
        </w:rPr>
        <w:t xml:space="preserve">. </w:t>
      </w:r>
      <w:r>
        <w:t>Trans. Hugh, G. Evelyn White (London: The Macmillan Co., 1914) pp.71-3.</w:t>
      </w:r>
    </w:p>
  </w:footnote>
  <w:footnote w:id="66">
    <w:p w14:paraId="2C951ED2" w14:textId="77777777" w:rsidR="00870B06" w:rsidRPr="007B57EF" w:rsidRDefault="00870B06" w:rsidP="00870B06">
      <w:pPr>
        <w:pStyle w:val="FootnoteText"/>
      </w:pPr>
      <w:r>
        <w:rPr>
          <w:rStyle w:val="FootnoteReference"/>
        </w:rPr>
        <w:footnoteRef/>
      </w:r>
      <w:r>
        <w:t xml:space="preserve"> Alexander </w:t>
      </w:r>
      <w:proofErr w:type="spellStart"/>
      <w:r>
        <w:t>Heidel</w:t>
      </w:r>
      <w:proofErr w:type="spellEnd"/>
      <w:r>
        <w:t xml:space="preserve">, </w:t>
      </w:r>
      <w:r>
        <w:rPr>
          <w:i/>
          <w:iCs/>
        </w:rPr>
        <w:t xml:space="preserve">The Gilgamesh Epic and Old Testament Parallels </w:t>
      </w:r>
      <w:r>
        <w:t>(Chicago: Phoenix Books, 1963) p.224.</w:t>
      </w:r>
    </w:p>
  </w:footnote>
  <w:footnote w:id="67">
    <w:p w14:paraId="2D741210" w14:textId="36EF3996" w:rsidR="00B1425F" w:rsidRDefault="00B1425F">
      <w:pPr>
        <w:pStyle w:val="FootnoteText"/>
      </w:pPr>
      <w:r>
        <w:rPr>
          <w:rStyle w:val="FootnoteReference"/>
        </w:rPr>
        <w:footnoteRef/>
      </w:r>
      <w:r>
        <w:t xml:space="preserve"> </w:t>
      </w:r>
      <w:r>
        <w:t xml:space="preserve">Ajay Kumar </w:t>
      </w:r>
      <w:proofErr w:type="spellStart"/>
      <w:r>
        <w:t>Gangopadhyay</w:t>
      </w:r>
      <w:proofErr w:type="spellEnd"/>
      <w:r>
        <w:t>, ‘</w:t>
      </w:r>
      <w:r>
        <w:rPr>
          <w:i/>
          <w:iCs/>
        </w:rPr>
        <w:t>The Epic of Gilgamesh</w:t>
      </w:r>
      <w:r>
        <w:t xml:space="preserve">: A Saga of Humanism </w:t>
      </w:r>
      <w:proofErr w:type="spellStart"/>
      <w:r>
        <w:t>Mythified</w:t>
      </w:r>
      <w:proofErr w:type="spellEnd"/>
      <w:r>
        <w:t xml:space="preserve">’, in </w:t>
      </w:r>
      <w:r>
        <w:rPr>
          <w:i/>
          <w:iCs/>
        </w:rPr>
        <w:t xml:space="preserve">New </w:t>
      </w:r>
      <w:proofErr w:type="spellStart"/>
      <w:r>
        <w:rPr>
          <w:i/>
          <w:iCs/>
        </w:rPr>
        <w:t>Literaria</w:t>
      </w:r>
      <w:proofErr w:type="spellEnd"/>
      <w:r>
        <w:rPr>
          <w:i/>
          <w:iCs/>
        </w:rPr>
        <w:t xml:space="preserve"> </w:t>
      </w:r>
      <w:r>
        <w:t xml:space="preserve">vol.1 (1), (Bankura: </w:t>
      </w:r>
      <w:proofErr w:type="spellStart"/>
      <w:r>
        <w:t>Adrija</w:t>
      </w:r>
      <w:proofErr w:type="spellEnd"/>
      <w:r>
        <w:t xml:space="preserve"> Press, 2020) p.99.</w:t>
      </w:r>
    </w:p>
  </w:footnote>
  <w:footnote w:id="68">
    <w:p w14:paraId="7A9F60DE" w14:textId="77777777" w:rsidR="00B1425F" w:rsidRDefault="00B1425F" w:rsidP="00B1425F">
      <w:pPr>
        <w:pStyle w:val="FootnoteText"/>
      </w:pPr>
      <w:r>
        <w:rPr>
          <w:rStyle w:val="FootnoteReference"/>
        </w:rPr>
        <w:footnoteRef/>
      </w:r>
      <w:r>
        <w:t xml:space="preserve"> Andrew George, </w:t>
      </w:r>
      <w:r>
        <w:rPr>
          <w:i/>
          <w:iCs/>
        </w:rPr>
        <w:t xml:space="preserve">The Epic of Gilgamesh </w:t>
      </w:r>
      <w:r>
        <w:t xml:space="preserve">(London: The Penguin Press, 1999) </w:t>
      </w:r>
      <w:proofErr w:type="spellStart"/>
      <w:proofErr w:type="gramStart"/>
      <w:r>
        <w:t>p.xlvii</w:t>
      </w:r>
      <w:proofErr w:type="spellEnd"/>
      <w:r>
        <w:t>.</w:t>
      </w:r>
      <w:proofErr w:type="gramEnd"/>
    </w:p>
  </w:footnote>
  <w:footnote w:id="69">
    <w:p w14:paraId="4F541D48" w14:textId="77777777" w:rsidR="00B1425F" w:rsidRDefault="00B1425F" w:rsidP="00B1425F">
      <w:pPr>
        <w:pStyle w:val="FootnoteText"/>
      </w:pPr>
      <w:r>
        <w:rPr>
          <w:rStyle w:val="FootnoteReference"/>
        </w:rPr>
        <w:footnoteRef/>
      </w:r>
      <w:r>
        <w:t xml:space="preserve"> </w:t>
      </w:r>
      <w:r>
        <w:rPr>
          <w:i/>
          <w:iCs/>
        </w:rPr>
        <w:t xml:space="preserve">Ibid, </w:t>
      </w:r>
      <w:proofErr w:type="spellStart"/>
      <w:proofErr w:type="gramStart"/>
      <w:r>
        <w:t>p.xlvi</w:t>
      </w:r>
      <w:proofErr w:type="spellEnd"/>
      <w:r>
        <w:t>.</w:t>
      </w:r>
      <w:proofErr w:type="gramEnd"/>
    </w:p>
  </w:footnote>
  <w:footnote w:id="70">
    <w:p w14:paraId="68F43E14" w14:textId="77777777" w:rsidR="00B1425F" w:rsidRDefault="00B1425F" w:rsidP="00B1425F">
      <w:pPr>
        <w:pStyle w:val="FootnoteText"/>
      </w:pPr>
      <w:r>
        <w:rPr>
          <w:rStyle w:val="FootnoteReference"/>
        </w:rPr>
        <w:footnoteRef/>
      </w:r>
      <w:r>
        <w:t xml:space="preserve"> Emanuele </w:t>
      </w:r>
      <w:proofErr w:type="spellStart"/>
      <w:r>
        <w:t>Berti</w:t>
      </w:r>
      <w:proofErr w:type="spellEnd"/>
      <w:r>
        <w:t xml:space="preserve">, ‘Orion's Club. A Note on Germanicus, </w:t>
      </w:r>
      <w:proofErr w:type="spellStart"/>
      <w:r>
        <w:t>Arati</w:t>
      </w:r>
      <w:proofErr w:type="spellEnd"/>
      <w:r>
        <w:t xml:space="preserve"> Phaenomena 651’, in </w:t>
      </w:r>
      <w:r>
        <w:rPr>
          <w:i/>
          <w:iCs/>
        </w:rPr>
        <w:t xml:space="preserve">The Classical Quarterly </w:t>
      </w:r>
      <w:r>
        <w:t>vol.69 (2), (Cambridge: Cambridge University Press, 2019) pp.916-917.</w:t>
      </w:r>
    </w:p>
  </w:footnote>
  <w:footnote w:id="71">
    <w:p w14:paraId="7CFE66D2" w14:textId="77777777" w:rsidR="00B1425F" w:rsidRDefault="00B1425F" w:rsidP="00B1425F">
      <w:pPr>
        <w:pStyle w:val="FootnoteText"/>
      </w:pPr>
      <w:r>
        <w:rPr>
          <w:rStyle w:val="FootnoteReference"/>
        </w:rPr>
        <w:footnoteRef/>
      </w:r>
      <w:r>
        <w:t xml:space="preserve"> </w:t>
      </w:r>
      <w:r w:rsidRPr="008A505F">
        <w:t>Hesiod</w:t>
      </w:r>
      <w:r>
        <w:t>,</w:t>
      </w:r>
      <w:r>
        <w:rPr>
          <w:i/>
          <w:iCs/>
        </w:rPr>
        <w:t xml:space="preserve"> The Homeric Hymns and </w:t>
      </w:r>
      <w:proofErr w:type="spellStart"/>
      <w:r>
        <w:rPr>
          <w:i/>
          <w:iCs/>
        </w:rPr>
        <w:t>Homerica</w:t>
      </w:r>
      <w:proofErr w:type="spellEnd"/>
      <w:r>
        <w:rPr>
          <w:i/>
          <w:iCs/>
        </w:rPr>
        <w:t xml:space="preserve">. </w:t>
      </w:r>
      <w:r>
        <w:t>Trans. Hugh, G. Evelyn White (London: The Macmillan Co., 1914) pp.71-3.</w:t>
      </w:r>
    </w:p>
  </w:footnote>
  <w:footnote w:id="72">
    <w:p w14:paraId="46BB7329" w14:textId="77777777" w:rsidR="00B1425F" w:rsidRDefault="00B1425F" w:rsidP="00B1425F">
      <w:pPr>
        <w:pStyle w:val="FootnoteText"/>
      </w:pPr>
      <w:r>
        <w:rPr>
          <w:rStyle w:val="FootnoteReference"/>
        </w:rPr>
        <w:footnoteRef/>
      </w:r>
      <w:r>
        <w:t xml:space="preserve"> Encyclopaedia Britannica, </w:t>
      </w:r>
      <w:r>
        <w:rPr>
          <w:i/>
          <w:iCs/>
        </w:rPr>
        <w:t xml:space="preserve">Orion </w:t>
      </w:r>
      <w:r>
        <w:t xml:space="preserve">(2024) </w:t>
      </w:r>
      <w:r w:rsidRPr="00211A6C">
        <w:t>https://www.britannica.com/science/constellation</w:t>
      </w:r>
      <w:r>
        <w:t xml:space="preserve"> [accessed 19th December 2024].</w:t>
      </w:r>
    </w:p>
  </w:footnote>
  <w:footnote w:id="73">
    <w:p w14:paraId="2E7E8F60" w14:textId="27B0AD9F" w:rsidR="00B26D06" w:rsidRDefault="00B26D06">
      <w:pPr>
        <w:pStyle w:val="FootnoteText"/>
      </w:pPr>
      <w:r>
        <w:rPr>
          <w:rStyle w:val="FootnoteReference"/>
        </w:rPr>
        <w:footnoteRef/>
      </w:r>
      <w:r>
        <w:t xml:space="preserve"> </w:t>
      </w:r>
      <w:r>
        <w:t xml:space="preserve">James, B Pritchard, (ed.). </w:t>
      </w:r>
      <w:r>
        <w:rPr>
          <w:i/>
          <w:iCs/>
        </w:rPr>
        <w:t xml:space="preserve">The Ancient Near East: An Anthology of Texts and Pictures, </w:t>
      </w:r>
      <w:r>
        <w:t>(Princeton: Princeton University Press, 2011). P.53.</w:t>
      </w:r>
    </w:p>
  </w:footnote>
  <w:footnote w:id="74">
    <w:p w14:paraId="71BDEEB2" w14:textId="3A716C83" w:rsidR="009C090D" w:rsidRDefault="009C090D">
      <w:pPr>
        <w:pStyle w:val="FootnoteText"/>
      </w:pPr>
      <w:r>
        <w:rPr>
          <w:rStyle w:val="FootnoteReference"/>
        </w:rPr>
        <w:footnoteRef/>
      </w:r>
      <w:r>
        <w:t xml:space="preserve"> Arkadiusz </w:t>
      </w:r>
      <w:proofErr w:type="spellStart"/>
      <w:r>
        <w:t>Soltysiak</w:t>
      </w:r>
      <w:proofErr w:type="spellEnd"/>
      <w:r>
        <w:t xml:space="preserve">, ‘The Bull of Heaven in Mesopotamian Sources’, </w:t>
      </w:r>
      <w:r>
        <w:rPr>
          <w:i/>
          <w:iCs/>
        </w:rPr>
        <w:t>Culture and Cosmos</w:t>
      </w:r>
      <w:r>
        <w:t>, vol.5 no 2, Autumn/Winter 2001. P</w:t>
      </w:r>
      <w:r>
        <w:t>p.5-8.</w:t>
      </w:r>
    </w:p>
  </w:footnote>
  <w:footnote w:id="75">
    <w:p w14:paraId="7A82F950" w14:textId="2451A76C" w:rsidR="009C090D" w:rsidRPr="009C090D" w:rsidRDefault="009C090D">
      <w:pPr>
        <w:pStyle w:val="FootnoteText"/>
      </w:pPr>
      <w:r>
        <w:rPr>
          <w:rStyle w:val="FootnoteReference"/>
        </w:rPr>
        <w:footnoteRef/>
      </w:r>
      <w:r>
        <w:t xml:space="preserve"> Erica Reiner and David, E. Pingree, </w:t>
      </w:r>
      <w:r>
        <w:rPr>
          <w:i/>
          <w:iCs/>
        </w:rPr>
        <w:t xml:space="preserve">BPO 2, text 15 S (P237799) clay tablet </w:t>
      </w:r>
      <w:r>
        <w:t xml:space="preserve">(1981) </w:t>
      </w:r>
      <w:r w:rsidRPr="009C090D">
        <w:t>https://cdli.mpiwg-berlin.mpg.de/artifacts/237799</w:t>
      </w:r>
      <w:r>
        <w:t xml:space="preserve"> [accessed 19th December 2024].</w:t>
      </w:r>
    </w:p>
  </w:footnote>
  <w:footnote w:id="76">
    <w:p w14:paraId="469CCAC4" w14:textId="12C4E7BA" w:rsidR="009C090D" w:rsidRDefault="009C090D">
      <w:pPr>
        <w:pStyle w:val="FootnoteText"/>
      </w:pPr>
      <w:r>
        <w:rPr>
          <w:rStyle w:val="FootnoteReference"/>
        </w:rPr>
        <w:footnoteRef/>
      </w:r>
      <w:r>
        <w:t xml:space="preserve"> Arkadiusz </w:t>
      </w:r>
      <w:proofErr w:type="spellStart"/>
      <w:r>
        <w:t>Soltysiak</w:t>
      </w:r>
      <w:proofErr w:type="spellEnd"/>
      <w:r>
        <w:t xml:space="preserve">, ‘The Bull of Heaven in Mesopotamian Sources’, </w:t>
      </w:r>
      <w:r>
        <w:rPr>
          <w:i/>
          <w:iCs/>
        </w:rPr>
        <w:t>Culture and Cosmos</w:t>
      </w:r>
      <w:r>
        <w:t>, vol.5 no 2, Autumn/Winter 2001. Pp.5-8.</w:t>
      </w:r>
    </w:p>
  </w:footnote>
  <w:footnote w:id="77">
    <w:p w14:paraId="6BE47847" w14:textId="79F8846E" w:rsidR="00C87960" w:rsidRDefault="00C87960">
      <w:pPr>
        <w:pStyle w:val="FootnoteText"/>
      </w:pPr>
      <w:r>
        <w:rPr>
          <w:rStyle w:val="FootnoteReference"/>
        </w:rPr>
        <w:footnoteRef/>
      </w:r>
      <w:r>
        <w:t xml:space="preserve"> </w:t>
      </w:r>
      <w:r>
        <w:t xml:space="preserve">Jessica Davidson, </w:t>
      </w:r>
      <w:r w:rsidRPr="00B50BA4">
        <w:rPr>
          <w:i/>
          <w:iCs/>
        </w:rPr>
        <w:t>The Astrological Ages: some historical speculation</w:t>
      </w:r>
      <w:r>
        <w:rPr>
          <w:i/>
          <w:iCs/>
        </w:rPr>
        <w:t xml:space="preserve">, </w:t>
      </w:r>
      <w:r>
        <w:t xml:space="preserve">(2021) </w:t>
      </w:r>
      <w:r w:rsidRPr="00B50BA4">
        <w:t>https://jessicadavidson.co.uk/2021/02/15/the-astrological-ages-some-historical-speculation/</w:t>
      </w:r>
      <w:r>
        <w:t xml:space="preserve"> [accessed </w:t>
      </w:r>
      <w:r>
        <w:t>December</w:t>
      </w:r>
      <w:r>
        <w:t xml:space="preserve"> </w:t>
      </w:r>
      <w:r>
        <w:t>19</w:t>
      </w:r>
      <w:r w:rsidRPr="00B50BA4">
        <w:rPr>
          <w:vertAlign w:val="superscript"/>
        </w:rPr>
        <w:t>th</w:t>
      </w:r>
      <w:proofErr w:type="gramStart"/>
      <w:r>
        <w:t xml:space="preserve"> 2024</w:t>
      </w:r>
      <w:proofErr w:type="gramEnd"/>
      <w:r>
        <w:t>].</w:t>
      </w:r>
    </w:p>
  </w:footnote>
  <w:footnote w:id="78">
    <w:p w14:paraId="43C21D34" w14:textId="28AA5C39" w:rsidR="00772547" w:rsidRDefault="00772547">
      <w:pPr>
        <w:pStyle w:val="FootnoteText"/>
      </w:pPr>
      <w:r>
        <w:rPr>
          <w:rStyle w:val="FootnoteReference"/>
        </w:rPr>
        <w:footnoteRef/>
      </w:r>
      <w:r>
        <w:t xml:space="preserve"> </w:t>
      </w:r>
      <w:r>
        <w:t xml:space="preserve">Stephen Langdon, </w:t>
      </w:r>
      <w:r>
        <w:rPr>
          <w:i/>
          <w:iCs/>
        </w:rPr>
        <w:t xml:space="preserve">The Epic of </w:t>
      </w:r>
      <w:proofErr w:type="spellStart"/>
      <w:r>
        <w:rPr>
          <w:i/>
          <w:iCs/>
        </w:rPr>
        <w:t>Gilgamish</w:t>
      </w:r>
      <w:proofErr w:type="spellEnd"/>
      <w:r>
        <w:rPr>
          <w:i/>
          <w:iCs/>
        </w:rPr>
        <w:t xml:space="preserve"> </w:t>
      </w:r>
      <w:r>
        <w:t xml:space="preserve">(2024) </w:t>
      </w:r>
      <w:r w:rsidRPr="00393746">
        <w:t>https://www.penn.museum/sites/journal/550/</w:t>
      </w:r>
      <w:r>
        <w:t xml:space="preserve"> [accessed 19</w:t>
      </w:r>
      <w:r w:rsidRPr="00393746">
        <w:rPr>
          <w:vertAlign w:val="superscript"/>
        </w:rPr>
        <w:t>th</w:t>
      </w:r>
      <w:r>
        <w:t xml:space="preserve"> December 2024].</w:t>
      </w:r>
    </w:p>
  </w:footnote>
  <w:footnote w:id="79">
    <w:p w14:paraId="131B9967" w14:textId="08758AE7" w:rsidR="00A656E5" w:rsidRDefault="00A656E5">
      <w:pPr>
        <w:pStyle w:val="FootnoteText"/>
      </w:pPr>
      <w:r>
        <w:rPr>
          <w:rStyle w:val="FootnoteReference"/>
        </w:rPr>
        <w:footnoteRef/>
      </w:r>
      <w:r>
        <w:t xml:space="preserve"> Edward W. Maunder and Annie S. D. Maunder, ‘Vernal equinox, date of passage of the, from Taurus into Aries’ in </w:t>
      </w:r>
      <w:r>
        <w:rPr>
          <w:i/>
          <w:iCs/>
        </w:rPr>
        <w:t xml:space="preserve">Monthly Notices of the Royal Astronomical Society </w:t>
      </w:r>
      <w:r>
        <w:t>Vol.64 (Oxford: Oxford University Press, 1904) p.488.</w:t>
      </w:r>
    </w:p>
  </w:footnote>
  <w:footnote w:id="80">
    <w:p w14:paraId="6B26C40C" w14:textId="77777777" w:rsidR="009C0545" w:rsidRDefault="009C0545" w:rsidP="009C0545">
      <w:pPr>
        <w:pStyle w:val="FootnoteText"/>
      </w:pPr>
      <w:r>
        <w:rPr>
          <w:rStyle w:val="FootnoteReference"/>
        </w:rPr>
        <w:footnoteRef/>
      </w:r>
      <w:r>
        <w:t xml:space="preserve"> Ralph Ellis, </w:t>
      </w:r>
      <w:r>
        <w:rPr>
          <w:i/>
          <w:iCs/>
        </w:rPr>
        <w:t xml:space="preserve">Jesus: Last of the Pharaohs </w:t>
      </w:r>
      <w:r>
        <w:t>(</w:t>
      </w:r>
      <w:proofErr w:type="spellStart"/>
      <w:r>
        <w:t>Chesire</w:t>
      </w:r>
      <w:proofErr w:type="spellEnd"/>
      <w:r>
        <w:t xml:space="preserve">: </w:t>
      </w:r>
      <w:proofErr w:type="spellStart"/>
      <w:r>
        <w:t>Edfu</w:t>
      </w:r>
      <w:proofErr w:type="spellEnd"/>
      <w:r>
        <w:t xml:space="preserve"> Books, 2001) pp.67-74.</w:t>
      </w:r>
    </w:p>
  </w:footnote>
  <w:footnote w:id="81">
    <w:p w14:paraId="493C0150" w14:textId="77777777" w:rsidR="009C0545" w:rsidRPr="001E38E1" w:rsidRDefault="009C0545" w:rsidP="009C0545">
      <w:pPr>
        <w:pStyle w:val="FootnoteText"/>
      </w:pPr>
      <w:r>
        <w:rPr>
          <w:rStyle w:val="FootnoteReference"/>
        </w:rPr>
        <w:footnoteRef/>
      </w:r>
      <w:r>
        <w:t xml:space="preserve"> </w:t>
      </w:r>
      <w:r>
        <w:rPr>
          <w:i/>
          <w:iCs/>
        </w:rPr>
        <w:t xml:space="preserve">Ibid, </w:t>
      </w:r>
      <w:r>
        <w:t>p.70.</w:t>
      </w:r>
    </w:p>
  </w:footnote>
  <w:footnote w:id="82">
    <w:p w14:paraId="526FEE25" w14:textId="574C2930" w:rsidR="009C090D" w:rsidRDefault="009C090D">
      <w:pPr>
        <w:pStyle w:val="FootnoteText"/>
      </w:pPr>
      <w:r>
        <w:rPr>
          <w:rStyle w:val="FootnoteReference"/>
        </w:rPr>
        <w:footnoteRef/>
      </w:r>
      <w:r>
        <w:t xml:space="preserve"> Arkadiusz </w:t>
      </w:r>
      <w:proofErr w:type="spellStart"/>
      <w:r>
        <w:t>Soltysiak</w:t>
      </w:r>
      <w:proofErr w:type="spellEnd"/>
      <w:r>
        <w:t xml:space="preserve">, ‘The Bull of Heaven in Mesopotamian Sources’, </w:t>
      </w:r>
      <w:r>
        <w:rPr>
          <w:i/>
          <w:iCs/>
        </w:rPr>
        <w:t>Culture and Cosmos</w:t>
      </w:r>
      <w:r>
        <w:t>, vol.5 no 2, Autumn/Winter 2001. P.6.</w:t>
      </w:r>
    </w:p>
  </w:footnote>
  <w:footnote w:id="83">
    <w:p w14:paraId="2E88AC84" w14:textId="580CADFE" w:rsidR="009C090D" w:rsidRDefault="009C090D">
      <w:pPr>
        <w:pStyle w:val="FootnoteText"/>
      </w:pPr>
      <w:r>
        <w:rPr>
          <w:rStyle w:val="FootnoteReference"/>
        </w:rPr>
        <w:footnoteRef/>
      </w:r>
      <w:r>
        <w:t xml:space="preserve"> </w:t>
      </w:r>
      <w:r>
        <w:t xml:space="preserve">Gavin White, </w:t>
      </w:r>
      <w:r>
        <w:rPr>
          <w:i/>
          <w:iCs/>
        </w:rPr>
        <w:t xml:space="preserve">Babylonian Star Lore: An Illustrated Guide to the Star-lore and Constellations of Ancient Babylon </w:t>
      </w:r>
      <w:r>
        <w:t>(London: Solaria Publications, 2014). P.</w:t>
      </w:r>
      <w:r>
        <w:t>89.</w:t>
      </w:r>
    </w:p>
  </w:footnote>
  <w:footnote w:id="84">
    <w:p w14:paraId="02FB05AC" w14:textId="53B86C10" w:rsidR="009C090D" w:rsidRDefault="009C090D">
      <w:pPr>
        <w:pStyle w:val="FootnoteText"/>
      </w:pPr>
      <w:r>
        <w:rPr>
          <w:rStyle w:val="FootnoteReference"/>
        </w:rPr>
        <w:footnoteRef/>
      </w:r>
      <w:r>
        <w:t xml:space="preserve"> </w:t>
      </w:r>
      <w:r>
        <w:t xml:space="preserve">Paul W. </w:t>
      </w:r>
      <w:proofErr w:type="spellStart"/>
      <w:r>
        <w:t>Pruyser</w:t>
      </w:r>
      <w:proofErr w:type="spellEnd"/>
      <w:r>
        <w:t xml:space="preserve"> and J. Tracy Luke, ‘The Epic of Gilgamesh’ in </w:t>
      </w:r>
      <w:r>
        <w:rPr>
          <w:i/>
          <w:iCs/>
        </w:rPr>
        <w:t xml:space="preserve">American Imago, </w:t>
      </w:r>
      <w:r>
        <w:t>vol.39 (2) (Baltimore: The John Hopkins University Press, 1982) P.7</w:t>
      </w:r>
      <w:r>
        <w:t>0</w:t>
      </w:r>
      <w:r>
        <w:t>.</w:t>
      </w:r>
    </w:p>
  </w:footnote>
  <w:footnote w:id="85">
    <w:p w14:paraId="65E45288" w14:textId="1008957B" w:rsidR="006B4CD6" w:rsidRPr="006B4CD6" w:rsidRDefault="006B4CD6">
      <w:pPr>
        <w:pStyle w:val="FootnoteText"/>
      </w:pPr>
      <w:r>
        <w:rPr>
          <w:rStyle w:val="FootnoteReference"/>
        </w:rPr>
        <w:footnoteRef/>
      </w:r>
      <w:r>
        <w:t xml:space="preserve"> Peter </w:t>
      </w:r>
      <w:proofErr w:type="spellStart"/>
      <w:r>
        <w:t>Lemesurier</w:t>
      </w:r>
      <w:proofErr w:type="spellEnd"/>
      <w:r>
        <w:t xml:space="preserve">, </w:t>
      </w:r>
      <w:r>
        <w:rPr>
          <w:i/>
          <w:iCs/>
        </w:rPr>
        <w:t xml:space="preserve">Gospel of the Stars: The Mystery of the Cycle of the Ages </w:t>
      </w:r>
      <w:r>
        <w:t>(Dorset: Element Books Limited, 1990) p.2.</w:t>
      </w:r>
    </w:p>
  </w:footnote>
  <w:footnote w:id="86">
    <w:p w14:paraId="055CAE8A" w14:textId="0A27CD7D" w:rsidR="006B4CD6" w:rsidRDefault="006B4CD6">
      <w:pPr>
        <w:pStyle w:val="FootnoteText"/>
      </w:pPr>
      <w:r>
        <w:rPr>
          <w:rStyle w:val="FootnoteReference"/>
        </w:rPr>
        <w:footnoteRef/>
      </w:r>
      <w:r>
        <w:t xml:space="preserve"> Ronnie G. Dreyer, </w:t>
      </w:r>
      <w:r>
        <w:rPr>
          <w:i/>
          <w:iCs/>
        </w:rPr>
        <w:t xml:space="preserve">Vedic Astrology: A Guide to the Fundamentals of </w:t>
      </w:r>
      <w:proofErr w:type="spellStart"/>
      <w:r>
        <w:rPr>
          <w:i/>
          <w:iCs/>
        </w:rPr>
        <w:t>Jyotish</w:t>
      </w:r>
      <w:proofErr w:type="spellEnd"/>
      <w:r>
        <w:rPr>
          <w:i/>
          <w:iCs/>
        </w:rPr>
        <w:t xml:space="preserve"> </w:t>
      </w:r>
      <w:r>
        <w:t>(Maine, USA: Samuel Weiser Inc, 1997) p.29.</w:t>
      </w:r>
    </w:p>
  </w:footnote>
  <w:footnote w:id="87">
    <w:p w14:paraId="31D01418" w14:textId="0C4F4210" w:rsidR="00B5588B" w:rsidRPr="00B5588B" w:rsidRDefault="00B5588B">
      <w:pPr>
        <w:pStyle w:val="FootnoteText"/>
      </w:pPr>
      <w:r>
        <w:rPr>
          <w:rStyle w:val="FootnoteReference"/>
        </w:rPr>
        <w:footnoteRef/>
      </w:r>
      <w:r>
        <w:t xml:space="preserve"> Figure 1: Luke Collin, </w:t>
      </w:r>
      <w:r>
        <w:rPr>
          <w:i/>
          <w:iCs/>
        </w:rPr>
        <w:t xml:space="preserve">The Suns location at the Spring Equinox 4000 years ago. </w:t>
      </w:r>
      <w:r>
        <w:t xml:space="preserve">Taken from </w:t>
      </w:r>
      <w:proofErr w:type="spellStart"/>
      <w:r>
        <w:t>Stellarium</w:t>
      </w:r>
      <w:proofErr w:type="spellEnd"/>
      <w:r>
        <w:t>. [accessed 19</w:t>
      </w:r>
      <w:r w:rsidRPr="00B5588B">
        <w:rPr>
          <w:vertAlign w:val="superscript"/>
        </w:rPr>
        <w:t>th</w:t>
      </w:r>
      <w:r>
        <w:t xml:space="preserve"> December 2024].</w:t>
      </w:r>
    </w:p>
  </w:footnote>
  <w:footnote w:id="88">
    <w:p w14:paraId="12338B1E" w14:textId="5A5A41C0" w:rsidR="001E38E1" w:rsidRPr="00C03A5A" w:rsidRDefault="001E38E1" w:rsidP="001E38E1">
      <w:pPr>
        <w:pStyle w:val="FootnoteText"/>
      </w:pPr>
      <w:r>
        <w:rPr>
          <w:rStyle w:val="FootnoteReference"/>
        </w:rPr>
        <w:footnoteRef/>
      </w:r>
      <w:r>
        <w:t xml:space="preserve"> Lilly </w:t>
      </w:r>
      <w:proofErr w:type="spellStart"/>
      <w:r>
        <w:t>Polidova</w:t>
      </w:r>
      <w:proofErr w:type="spellEnd"/>
      <w:r>
        <w:t xml:space="preserve">, </w:t>
      </w:r>
      <w:r>
        <w:rPr>
          <w:i/>
          <w:iCs/>
        </w:rPr>
        <w:t xml:space="preserve">Orion: A Constellation between Taurus &amp; Gemini – but like, barely </w:t>
      </w:r>
      <w:r>
        <w:t xml:space="preserve">(2023) </w:t>
      </w:r>
      <w:r w:rsidRPr="00C03A5A">
        <w:t xml:space="preserve">https://astrologyvibez.com/blog/2023/2/6/orion-a-zodiac-signconstellation-between-taurus-amp-gemini </w:t>
      </w:r>
      <w:r>
        <w:t xml:space="preserve">[accessed </w:t>
      </w:r>
      <w:r>
        <w:t>10</w:t>
      </w:r>
      <w:r w:rsidRPr="00C953E2">
        <w:rPr>
          <w:vertAlign w:val="superscript"/>
        </w:rPr>
        <w:t>th</w:t>
      </w:r>
      <w:r>
        <w:t xml:space="preserve"> </w:t>
      </w:r>
      <w:r>
        <w:t>December</w:t>
      </w:r>
      <w:r>
        <w:t xml:space="preserve"> 2024].</w:t>
      </w:r>
    </w:p>
  </w:footnote>
  <w:footnote w:id="89">
    <w:p w14:paraId="59FC7290" w14:textId="77777777" w:rsidR="001E5EDB" w:rsidRDefault="001E5EDB" w:rsidP="001E5EDB">
      <w:pPr>
        <w:pStyle w:val="FootnoteText"/>
      </w:pPr>
      <w:r>
        <w:rPr>
          <w:rStyle w:val="FootnoteReference"/>
        </w:rPr>
        <w:footnoteRef/>
      </w:r>
      <w:r>
        <w:t xml:space="preserve"> Benjamin R. Foster, </w:t>
      </w:r>
      <w:r>
        <w:rPr>
          <w:i/>
          <w:iCs/>
        </w:rPr>
        <w:t xml:space="preserve">The Epic of Gilgamesh </w:t>
      </w:r>
      <w:r>
        <w:t>2</w:t>
      </w:r>
      <w:r w:rsidRPr="007D6029">
        <w:rPr>
          <w:vertAlign w:val="superscript"/>
        </w:rPr>
        <w:t>nd</w:t>
      </w:r>
      <w:r>
        <w:t xml:space="preserve"> edition (New York: W.W Norton &amp; Company, 2019) pp.70-71.</w:t>
      </w:r>
    </w:p>
  </w:footnote>
  <w:footnote w:id="90">
    <w:p w14:paraId="44C3D215" w14:textId="77777777" w:rsidR="001E5EDB" w:rsidRDefault="001E5EDB" w:rsidP="001E5EDB">
      <w:pPr>
        <w:pStyle w:val="FootnoteText"/>
      </w:pPr>
      <w:r>
        <w:rPr>
          <w:rStyle w:val="FootnoteReference"/>
        </w:rPr>
        <w:footnoteRef/>
      </w:r>
      <w:r>
        <w:t xml:space="preserve"> Anthony </w:t>
      </w:r>
      <w:proofErr w:type="spellStart"/>
      <w:r>
        <w:t>Aveni</w:t>
      </w:r>
      <w:proofErr w:type="spellEnd"/>
      <w:r>
        <w:t xml:space="preserve">, </w:t>
      </w:r>
      <w:r>
        <w:rPr>
          <w:i/>
          <w:iCs/>
        </w:rPr>
        <w:t xml:space="preserve">Star Stories: Constellations and People </w:t>
      </w:r>
      <w:r>
        <w:t>(Connecticut: Yale University Press, 2019) p.7.</w:t>
      </w:r>
    </w:p>
  </w:footnote>
  <w:footnote w:id="91">
    <w:p w14:paraId="0D20C07D" w14:textId="00EC1F84" w:rsidR="00B9401A" w:rsidRPr="00B9401A" w:rsidRDefault="00B9401A">
      <w:pPr>
        <w:pStyle w:val="FootnoteText"/>
      </w:pPr>
      <w:r>
        <w:rPr>
          <w:rStyle w:val="FootnoteReference"/>
        </w:rPr>
        <w:footnoteRef/>
      </w:r>
      <w:r>
        <w:t xml:space="preserve"> Deborah Smith Parker, </w:t>
      </w:r>
      <w:r>
        <w:rPr>
          <w:i/>
          <w:iCs/>
        </w:rPr>
        <w:t xml:space="preserve">A Seasonal Mythic Tale: Why Scorpio &amp; Orion Are Opposite Each Other in the Sky </w:t>
      </w:r>
      <w:r>
        <w:t xml:space="preserve">(2013) </w:t>
      </w:r>
      <w:r w:rsidRPr="00B9401A">
        <w:t>https://www.astrologicuspress.com/blog-banner-page/a-seasonal-mythic-tale-why-scorpio-orion-are-opposite-each-other-in-the-sky</w:t>
      </w:r>
      <w:r>
        <w:t xml:space="preserve"> [accessed 19th December 2024].</w:t>
      </w:r>
    </w:p>
  </w:footnote>
  <w:footnote w:id="92">
    <w:p w14:paraId="354EF2E4" w14:textId="44E1AFB7" w:rsidR="00336C9D" w:rsidRDefault="00336C9D">
      <w:pPr>
        <w:pStyle w:val="FootnoteText"/>
      </w:pPr>
      <w:r>
        <w:rPr>
          <w:rStyle w:val="FootnoteReference"/>
        </w:rPr>
        <w:footnoteRef/>
      </w:r>
      <w:r>
        <w:t xml:space="preserve"> </w:t>
      </w:r>
      <w:r>
        <w:t xml:space="preserve">Gavin White, </w:t>
      </w:r>
      <w:r>
        <w:rPr>
          <w:i/>
          <w:iCs/>
        </w:rPr>
        <w:t xml:space="preserve">Babylonian Star Lore: An Illustrated Guide to the Star-lore and Constellations of Ancient Babylon </w:t>
      </w:r>
      <w:r>
        <w:t>(London: Solaria Publications, 2014). P.</w:t>
      </w:r>
      <w:r>
        <w:t>232.</w:t>
      </w:r>
    </w:p>
  </w:footnote>
  <w:footnote w:id="93">
    <w:p w14:paraId="23E70952" w14:textId="3F5F397C" w:rsidR="00A06246" w:rsidRDefault="00A06246">
      <w:pPr>
        <w:pStyle w:val="FootnoteText"/>
      </w:pPr>
      <w:r>
        <w:rPr>
          <w:rStyle w:val="FootnoteReference"/>
        </w:rPr>
        <w:footnoteRef/>
      </w:r>
      <w:r>
        <w:t xml:space="preserve"> Reverend Bill </w:t>
      </w:r>
      <w:proofErr w:type="spellStart"/>
      <w:r>
        <w:t>Darlison</w:t>
      </w:r>
      <w:proofErr w:type="spellEnd"/>
      <w:r>
        <w:t xml:space="preserve">, </w:t>
      </w:r>
      <w:r>
        <w:rPr>
          <w:i/>
          <w:iCs/>
        </w:rPr>
        <w:t xml:space="preserve">The Gospel and the Zodiac: The Secret Truth About Jesus, </w:t>
      </w:r>
      <w:r>
        <w:t>(Wiltshire: Cromwell Press Limited, 2007). p.158.</w:t>
      </w:r>
    </w:p>
  </w:footnote>
  <w:footnote w:id="94">
    <w:p w14:paraId="35616ED2" w14:textId="783CD1E3" w:rsidR="00293925" w:rsidRDefault="00293925">
      <w:pPr>
        <w:pStyle w:val="FootnoteText"/>
      </w:pPr>
      <w:r>
        <w:rPr>
          <w:rStyle w:val="FootnoteReference"/>
        </w:rPr>
        <w:footnoteRef/>
      </w:r>
      <w:r>
        <w:t xml:space="preserve"> Hermann Hunger and David Pingree, ‘MUL.APIN: An Astronomical Compendium in Cuneiform’, in </w:t>
      </w:r>
      <w:proofErr w:type="spellStart"/>
      <w:r>
        <w:rPr>
          <w:i/>
          <w:iCs/>
        </w:rPr>
        <w:t>Archiv</w:t>
      </w:r>
      <w:proofErr w:type="spellEnd"/>
      <w:r>
        <w:rPr>
          <w:i/>
          <w:iCs/>
        </w:rPr>
        <w:t xml:space="preserve"> fur </w:t>
      </w:r>
      <w:proofErr w:type="spellStart"/>
      <w:r>
        <w:rPr>
          <w:i/>
          <w:iCs/>
        </w:rPr>
        <w:t>Orientforschung</w:t>
      </w:r>
      <w:proofErr w:type="spellEnd"/>
      <w:r>
        <w:rPr>
          <w:i/>
          <w:iCs/>
        </w:rPr>
        <w:t xml:space="preserve"> </w:t>
      </w:r>
      <w:proofErr w:type="spellStart"/>
      <w:r>
        <w:rPr>
          <w:i/>
          <w:iCs/>
        </w:rPr>
        <w:t>Beiheft</w:t>
      </w:r>
      <w:proofErr w:type="spellEnd"/>
      <w:r>
        <w:rPr>
          <w:i/>
          <w:iCs/>
        </w:rPr>
        <w:t xml:space="preserve"> </w:t>
      </w:r>
      <w:r>
        <w:t xml:space="preserve">42 (Horn: Berger &amp; </w:t>
      </w:r>
      <w:proofErr w:type="spellStart"/>
      <w:r>
        <w:t>Sohne</w:t>
      </w:r>
      <w:proofErr w:type="spellEnd"/>
      <w:r>
        <w:t>, 1989). p.33.</w:t>
      </w:r>
    </w:p>
  </w:footnote>
  <w:footnote w:id="95">
    <w:p w14:paraId="42C87BE3" w14:textId="3EE30EF1" w:rsidR="00B5588B" w:rsidRPr="00B5588B" w:rsidRDefault="00B5588B">
      <w:pPr>
        <w:pStyle w:val="FootnoteText"/>
      </w:pPr>
      <w:r>
        <w:rPr>
          <w:rStyle w:val="FootnoteReference"/>
        </w:rPr>
        <w:footnoteRef/>
      </w:r>
      <w:r>
        <w:t xml:space="preserve"> Figure 3: Luke Collin, </w:t>
      </w:r>
      <w:r w:rsidRPr="00B5588B">
        <w:rPr>
          <w:i/>
          <w:iCs/>
          <w:sz w:val="21"/>
          <w:szCs w:val="21"/>
        </w:rPr>
        <w:t>The Sun in the horns of the scorpion at the autumnal equinox</w:t>
      </w:r>
      <w:r>
        <w:rPr>
          <w:i/>
          <w:iCs/>
          <w:sz w:val="21"/>
          <w:szCs w:val="21"/>
        </w:rPr>
        <w:t xml:space="preserve">. </w:t>
      </w:r>
      <w:r>
        <w:rPr>
          <w:sz w:val="21"/>
          <w:szCs w:val="21"/>
        </w:rPr>
        <w:t xml:space="preserve">Taken from </w:t>
      </w:r>
      <w:proofErr w:type="spellStart"/>
      <w:r>
        <w:rPr>
          <w:sz w:val="21"/>
          <w:szCs w:val="21"/>
        </w:rPr>
        <w:t>Stellarium</w:t>
      </w:r>
      <w:proofErr w:type="spellEnd"/>
      <w:r>
        <w:rPr>
          <w:sz w:val="21"/>
          <w:szCs w:val="21"/>
        </w:rPr>
        <w:t>. [accessed 20</w:t>
      </w:r>
      <w:r w:rsidRPr="00B5588B">
        <w:rPr>
          <w:sz w:val="21"/>
          <w:szCs w:val="21"/>
          <w:vertAlign w:val="superscript"/>
        </w:rPr>
        <w:t>th</w:t>
      </w:r>
      <w:r>
        <w:rPr>
          <w:sz w:val="21"/>
          <w:szCs w:val="21"/>
        </w:rPr>
        <w:t xml:space="preserve"> December 2024].</w:t>
      </w:r>
    </w:p>
  </w:footnote>
  <w:footnote w:id="96">
    <w:p w14:paraId="1ACFF0AE" w14:textId="77777777" w:rsidR="001E5EDB" w:rsidRDefault="001E5EDB" w:rsidP="001E5EDB">
      <w:pPr>
        <w:pStyle w:val="FootnoteText"/>
      </w:pPr>
      <w:r>
        <w:rPr>
          <w:rStyle w:val="FootnoteReference"/>
        </w:rPr>
        <w:footnoteRef/>
      </w:r>
      <w:r>
        <w:t xml:space="preserve"> Gavin White, </w:t>
      </w:r>
      <w:r>
        <w:rPr>
          <w:i/>
          <w:iCs/>
        </w:rPr>
        <w:t xml:space="preserve">Babylonian Star Lore: An Illustrated Guide to the Star-lore and Constellations of Ancient Babylon </w:t>
      </w:r>
      <w:r>
        <w:t>(London: Solaria Publications, 2014). p.42.</w:t>
      </w:r>
    </w:p>
  </w:footnote>
  <w:footnote w:id="97">
    <w:p w14:paraId="3650F2DE" w14:textId="77777777" w:rsidR="001E5EDB" w:rsidRPr="00926B3F" w:rsidRDefault="001E5EDB" w:rsidP="001E5EDB">
      <w:pPr>
        <w:pStyle w:val="FootnoteText"/>
      </w:pPr>
      <w:r>
        <w:rPr>
          <w:rStyle w:val="FootnoteReference"/>
        </w:rPr>
        <w:footnoteRef/>
      </w:r>
      <w:r>
        <w:t xml:space="preserve"> Timothy J. Stephany, </w:t>
      </w:r>
      <w:r>
        <w:rPr>
          <w:i/>
          <w:iCs/>
        </w:rPr>
        <w:t>The Gilgamesh Cycle: A 5,000 Year Old Epic Poem with Zodiacal Connections</w:t>
      </w:r>
      <w:r>
        <w:t xml:space="preserve"> (U.S.A: </w:t>
      </w:r>
      <w:proofErr w:type="spellStart"/>
      <w:r>
        <w:t>Createspace</w:t>
      </w:r>
      <w:proofErr w:type="spellEnd"/>
      <w:r>
        <w:t xml:space="preserve">, 2013) </w:t>
      </w:r>
      <w:proofErr w:type="spellStart"/>
      <w:proofErr w:type="gramStart"/>
      <w:r>
        <w:t>p.ix</w:t>
      </w:r>
      <w:proofErr w:type="spellEnd"/>
      <w:r>
        <w:t>.</w:t>
      </w:r>
      <w:proofErr w:type="gramEnd"/>
    </w:p>
  </w:footnote>
  <w:footnote w:id="98">
    <w:p w14:paraId="5A81F634" w14:textId="77777777" w:rsidR="001E5EDB" w:rsidRDefault="001E5EDB" w:rsidP="001E5EDB">
      <w:pPr>
        <w:pStyle w:val="FootnoteText"/>
      </w:pPr>
      <w:r>
        <w:rPr>
          <w:rStyle w:val="FootnoteReference"/>
        </w:rPr>
        <w:footnoteRef/>
      </w:r>
      <w:r>
        <w:t xml:space="preserve"> Ralph Ellis, </w:t>
      </w:r>
      <w:r>
        <w:rPr>
          <w:i/>
          <w:iCs/>
        </w:rPr>
        <w:t xml:space="preserve">Jesus: Last of the Pharaohs </w:t>
      </w:r>
      <w:r>
        <w:t>(</w:t>
      </w:r>
      <w:proofErr w:type="spellStart"/>
      <w:r>
        <w:t>Chesire</w:t>
      </w:r>
      <w:proofErr w:type="spellEnd"/>
      <w:r>
        <w:t xml:space="preserve">: </w:t>
      </w:r>
      <w:proofErr w:type="spellStart"/>
      <w:r>
        <w:t>Edfu</w:t>
      </w:r>
      <w:proofErr w:type="spellEnd"/>
      <w:r>
        <w:t xml:space="preserve"> Books, 2001) p.69.</w:t>
      </w:r>
    </w:p>
  </w:footnote>
  <w:footnote w:id="99">
    <w:p w14:paraId="46CF14A3" w14:textId="77777777" w:rsidR="001E5EDB" w:rsidRPr="00FD5548" w:rsidRDefault="001E5EDB" w:rsidP="001E5EDB">
      <w:pPr>
        <w:pStyle w:val="FootnoteText"/>
      </w:pPr>
      <w:r>
        <w:rPr>
          <w:rStyle w:val="FootnoteReference"/>
        </w:rPr>
        <w:footnoteRef/>
      </w:r>
      <w:r>
        <w:t xml:space="preserve"> Hermann Hunger, </w:t>
      </w:r>
      <w:r>
        <w:rPr>
          <w:i/>
          <w:iCs/>
        </w:rPr>
        <w:t xml:space="preserve">Astrological Reports to Assyrian Kings </w:t>
      </w:r>
      <w:r>
        <w:t>(Helsinki: Helsinki University Press, 1992) pp.260-2.</w:t>
      </w:r>
    </w:p>
  </w:footnote>
  <w:footnote w:id="100">
    <w:p w14:paraId="63E18939" w14:textId="29F91F7A" w:rsidR="00F57552" w:rsidRDefault="00F57552">
      <w:pPr>
        <w:pStyle w:val="FootnoteText"/>
      </w:pPr>
      <w:r>
        <w:rPr>
          <w:rStyle w:val="FootnoteReference"/>
        </w:rPr>
        <w:footnoteRef/>
      </w:r>
      <w:r>
        <w:t xml:space="preserve"> A</w:t>
      </w:r>
      <w:r>
        <w:t xml:space="preserve">nthony </w:t>
      </w:r>
      <w:proofErr w:type="spellStart"/>
      <w:r>
        <w:t>Aveni</w:t>
      </w:r>
      <w:proofErr w:type="spellEnd"/>
      <w:r>
        <w:t xml:space="preserve">, </w:t>
      </w:r>
      <w:r>
        <w:rPr>
          <w:i/>
          <w:iCs/>
        </w:rPr>
        <w:t xml:space="preserve">Star Stories: Constellations and People </w:t>
      </w:r>
      <w:r>
        <w:t>(London: Yale University Press, 2019) p.164.</w:t>
      </w:r>
    </w:p>
  </w:footnote>
  <w:footnote w:id="101">
    <w:p w14:paraId="6341CEB6" w14:textId="659E9219" w:rsidR="00C97885" w:rsidRDefault="00C97885">
      <w:pPr>
        <w:pStyle w:val="FootnoteText"/>
      </w:pPr>
      <w:r>
        <w:rPr>
          <w:rStyle w:val="FootnoteReference"/>
        </w:rPr>
        <w:footnoteRef/>
      </w:r>
      <w:r>
        <w:t xml:space="preserve"> </w:t>
      </w:r>
      <w:r>
        <w:t xml:space="preserve">James Frazer, </w:t>
      </w:r>
      <w:r>
        <w:rPr>
          <w:i/>
          <w:iCs/>
        </w:rPr>
        <w:t xml:space="preserve">The Golden Bough, </w:t>
      </w:r>
      <w:r>
        <w:t>(London: Macmillan, 1911), pp.10-20.</w:t>
      </w:r>
    </w:p>
  </w:footnote>
  <w:footnote w:id="102">
    <w:p w14:paraId="5C5F3DB8" w14:textId="1AA78128" w:rsidR="00685BAB" w:rsidRPr="00685BAB" w:rsidRDefault="00685BAB">
      <w:pPr>
        <w:pStyle w:val="FootnoteText"/>
      </w:pPr>
      <w:r>
        <w:rPr>
          <w:rStyle w:val="FootnoteReference"/>
        </w:rPr>
        <w:footnoteRef/>
      </w:r>
      <w:r>
        <w:t xml:space="preserve"> Ajay Kumar </w:t>
      </w:r>
      <w:proofErr w:type="spellStart"/>
      <w:r>
        <w:t>Gangopadhyay</w:t>
      </w:r>
      <w:proofErr w:type="spellEnd"/>
      <w:r>
        <w:t>, ‘</w:t>
      </w:r>
      <w:r>
        <w:rPr>
          <w:i/>
          <w:iCs/>
        </w:rPr>
        <w:t>The Epic of Gilgamesh</w:t>
      </w:r>
      <w:r>
        <w:t xml:space="preserve">: A Saga of Humanism </w:t>
      </w:r>
      <w:proofErr w:type="spellStart"/>
      <w:r>
        <w:t>Mythified</w:t>
      </w:r>
      <w:proofErr w:type="spellEnd"/>
      <w:r>
        <w:t xml:space="preserve">’, in </w:t>
      </w:r>
      <w:r>
        <w:rPr>
          <w:i/>
          <w:iCs/>
        </w:rPr>
        <w:t xml:space="preserve">New </w:t>
      </w:r>
      <w:proofErr w:type="spellStart"/>
      <w:r>
        <w:rPr>
          <w:i/>
          <w:iCs/>
        </w:rPr>
        <w:t>Literaria</w:t>
      </w:r>
      <w:proofErr w:type="spellEnd"/>
      <w:r>
        <w:rPr>
          <w:i/>
          <w:iCs/>
        </w:rPr>
        <w:t xml:space="preserve"> </w:t>
      </w:r>
      <w:r>
        <w:t xml:space="preserve">vol.1 (1), (Bankura: </w:t>
      </w:r>
      <w:proofErr w:type="spellStart"/>
      <w:r>
        <w:t>Adrija</w:t>
      </w:r>
      <w:proofErr w:type="spellEnd"/>
      <w:r>
        <w:t xml:space="preserve"> Press, 2020) p.99.</w:t>
      </w:r>
    </w:p>
  </w:footnote>
  <w:footnote w:id="103">
    <w:p w14:paraId="2AE79BAB" w14:textId="6C47A8AE" w:rsidR="00900065" w:rsidRDefault="00900065" w:rsidP="00900065">
      <w:pPr>
        <w:pStyle w:val="FootnoteText"/>
      </w:pPr>
      <w:r>
        <w:rPr>
          <w:rStyle w:val="FootnoteReference"/>
        </w:rPr>
        <w:footnoteRef/>
      </w:r>
      <w:r>
        <w:t xml:space="preserve"> </w:t>
      </w:r>
      <w:r>
        <w:t xml:space="preserve">Andrew George, </w:t>
      </w:r>
      <w:r>
        <w:rPr>
          <w:i/>
          <w:iCs/>
        </w:rPr>
        <w:t xml:space="preserve">The Epic of Gilgamesh </w:t>
      </w:r>
      <w:r>
        <w:t>(London: The Penguin Press, 1999)</w:t>
      </w:r>
      <w:r w:rsidR="00BD0B9F">
        <w:t xml:space="preserve"> </w:t>
      </w:r>
      <w:proofErr w:type="spellStart"/>
      <w:proofErr w:type="gramStart"/>
      <w:r w:rsidR="00BD0B9F">
        <w:t>p.xxxi</w:t>
      </w:r>
      <w:proofErr w:type="spellEnd"/>
      <w:r w:rsidR="00BD0B9F">
        <w:t>.</w:t>
      </w:r>
      <w:proofErr w:type="gramEnd"/>
      <w:r>
        <w:t xml:space="preserve"> </w:t>
      </w:r>
      <w:r>
        <w:t xml:space="preserve">and </w:t>
      </w:r>
    </w:p>
    <w:p w14:paraId="49BD566E" w14:textId="124BA632" w:rsidR="00900065" w:rsidRDefault="00900065">
      <w:pPr>
        <w:pStyle w:val="FootnoteText"/>
      </w:pPr>
      <w:r>
        <w:t xml:space="preserve">Benjamin R. Foster, </w:t>
      </w:r>
      <w:r>
        <w:rPr>
          <w:i/>
          <w:iCs/>
        </w:rPr>
        <w:t xml:space="preserve">The Epic of Gilgamesh </w:t>
      </w:r>
      <w:r>
        <w:t>2</w:t>
      </w:r>
      <w:r w:rsidRPr="007D6029">
        <w:rPr>
          <w:vertAlign w:val="superscript"/>
        </w:rPr>
        <w:t>nd</w:t>
      </w:r>
      <w:r>
        <w:t xml:space="preserve"> edition (New York: W.W Norton &amp; Company, 2019)</w:t>
      </w:r>
      <w:r>
        <w:t>.</w:t>
      </w:r>
    </w:p>
  </w:footnote>
  <w:footnote w:id="104">
    <w:p w14:paraId="586E147B" w14:textId="6DCF1087" w:rsidR="0061316F" w:rsidRPr="0061316F" w:rsidRDefault="0061316F">
      <w:pPr>
        <w:pStyle w:val="FootnoteText"/>
        <w:rPr>
          <w:i/>
          <w:iCs/>
        </w:rPr>
      </w:pPr>
      <w:r>
        <w:rPr>
          <w:rStyle w:val="FootnoteReference"/>
        </w:rPr>
        <w:footnoteRef/>
      </w:r>
      <w:r>
        <w:t xml:space="preserve"> William L. Moran, </w:t>
      </w:r>
      <w:r>
        <w:rPr>
          <w:i/>
          <w:iCs/>
        </w:rPr>
        <w:t xml:space="preserve">UT-NAPISHTIM REVISITED </w:t>
      </w:r>
      <w:r w:rsidRPr="0061316F">
        <w:t>(1984) https://www.nytimes.com/1984/11/11/books/utnapishtim-re</w:t>
      </w:r>
      <w:r w:rsidRPr="0061316F">
        <w:t>v</w:t>
      </w:r>
      <w:r w:rsidRPr="0061316F">
        <w:t>isited.html</w:t>
      </w:r>
      <w:r>
        <w:t xml:space="preserve"> [accessed 30th December 2024].</w:t>
      </w:r>
    </w:p>
  </w:footnote>
  <w:footnote w:id="105">
    <w:p w14:paraId="52CA955B" w14:textId="3B4CB9C2" w:rsidR="006F75AE" w:rsidRDefault="006F75AE">
      <w:pPr>
        <w:pStyle w:val="FootnoteText"/>
      </w:pPr>
      <w:r>
        <w:rPr>
          <w:rStyle w:val="FootnoteReference"/>
        </w:rPr>
        <w:footnoteRef/>
      </w:r>
      <w:r>
        <w:t xml:space="preserve"> </w:t>
      </w:r>
      <w:r>
        <w:t xml:space="preserve">Arkadiusz </w:t>
      </w:r>
      <w:proofErr w:type="spellStart"/>
      <w:r>
        <w:t>Soltysiak</w:t>
      </w:r>
      <w:proofErr w:type="spellEnd"/>
      <w:r>
        <w:t xml:space="preserve">, ‘The Bull of Heaven in Mesopotamian Sources’, </w:t>
      </w:r>
      <w:r>
        <w:rPr>
          <w:i/>
          <w:iCs/>
        </w:rPr>
        <w:t>Culture and Cosmos</w:t>
      </w:r>
      <w:r>
        <w:t>, vol.5 no 2, Autumn/Winter 2001. P.</w:t>
      </w:r>
      <w:r>
        <w:t>5.</w:t>
      </w:r>
    </w:p>
  </w:footnote>
  <w:footnote w:id="106">
    <w:p w14:paraId="61866906" w14:textId="4F9C1187" w:rsidR="0022546D" w:rsidRPr="0022546D" w:rsidRDefault="0022546D">
      <w:pPr>
        <w:pStyle w:val="FootnoteText"/>
      </w:pPr>
      <w:r>
        <w:rPr>
          <w:rStyle w:val="FootnoteReference"/>
        </w:rPr>
        <w:footnoteRef/>
      </w:r>
      <w:r>
        <w:t xml:space="preserve"> Henry Fairfield Burton, ‘The worship of the Roman Emperors’, in </w:t>
      </w:r>
      <w:r>
        <w:rPr>
          <w:i/>
          <w:iCs/>
        </w:rPr>
        <w:t xml:space="preserve">The Biblical World, </w:t>
      </w:r>
      <w:r>
        <w:t>vol.40 (2), (Chicago: Chicago University Press, 1912) p.80.</w:t>
      </w:r>
    </w:p>
  </w:footnote>
  <w:footnote w:id="107">
    <w:p w14:paraId="752F5C9A" w14:textId="4FE3A159" w:rsidR="009C0545" w:rsidRPr="009C0545" w:rsidRDefault="009C0545">
      <w:pPr>
        <w:pStyle w:val="FootnoteText"/>
      </w:pPr>
      <w:r>
        <w:rPr>
          <w:rStyle w:val="FootnoteReference"/>
        </w:rPr>
        <w:footnoteRef/>
      </w:r>
      <w:r>
        <w:t xml:space="preserve"> Angela P. Thomas, </w:t>
      </w:r>
      <w:r>
        <w:rPr>
          <w:i/>
          <w:iCs/>
        </w:rPr>
        <w:t xml:space="preserve">Egyptian Gods and Myths </w:t>
      </w:r>
      <w:r>
        <w:t>(Aylesbury: Shire Publications LTD, 1986) p.25.</w:t>
      </w:r>
    </w:p>
  </w:footnote>
  <w:footnote w:id="108">
    <w:p w14:paraId="5B756074" w14:textId="28FC7226" w:rsidR="00A43B52" w:rsidRDefault="00A43B52">
      <w:pPr>
        <w:pStyle w:val="FootnoteText"/>
      </w:pPr>
      <w:r>
        <w:rPr>
          <w:rStyle w:val="FootnoteReference"/>
        </w:rPr>
        <w:footnoteRef/>
      </w:r>
      <w:r>
        <w:t xml:space="preserve"> </w:t>
      </w:r>
      <w:r>
        <w:t xml:space="preserve">Claire Smith, </w:t>
      </w:r>
      <w:r>
        <w:rPr>
          <w:i/>
          <w:iCs/>
        </w:rPr>
        <w:t xml:space="preserve">Adorned in Divinity </w:t>
      </w:r>
      <w:r>
        <w:t xml:space="preserve">(2024) </w:t>
      </w:r>
      <w:r w:rsidRPr="00A43B52">
        <w:t>https://sites.rhodes.edu/coins/adorned-divinity</w:t>
      </w:r>
      <w:r>
        <w:t xml:space="preserve"> [accessed 10th December 2023].</w:t>
      </w:r>
    </w:p>
  </w:footnote>
  <w:footnote w:id="109">
    <w:p w14:paraId="2B5F3026" w14:textId="0CF3E45F" w:rsidR="006B4CD6" w:rsidRDefault="006B4CD6" w:rsidP="006B4CD6">
      <w:pPr>
        <w:pStyle w:val="FootnoteText"/>
      </w:pPr>
      <w:r>
        <w:rPr>
          <w:rStyle w:val="FootnoteReference"/>
        </w:rPr>
        <w:footnoteRef/>
      </w:r>
      <w:r>
        <w:t xml:space="preserve"> Andrew George, </w:t>
      </w:r>
      <w:r>
        <w:rPr>
          <w:i/>
          <w:iCs/>
        </w:rPr>
        <w:t xml:space="preserve">The Epic of Gilgamesh </w:t>
      </w:r>
      <w:r>
        <w:t xml:space="preserve">(London: The Penguin Press, 1999) </w:t>
      </w:r>
      <w:proofErr w:type="spellStart"/>
      <w:proofErr w:type="gramStart"/>
      <w:r>
        <w:t>p.xxxi</w:t>
      </w:r>
      <w:proofErr w:type="spellEnd"/>
      <w:r>
        <w:t>.</w:t>
      </w:r>
      <w:proofErr w:type="gramEnd"/>
    </w:p>
  </w:footnote>
  <w:footnote w:id="110">
    <w:p w14:paraId="7DC6F7AB" w14:textId="77777777" w:rsidR="006B4CD6" w:rsidRDefault="006B4CD6" w:rsidP="006B4CD6">
      <w:pPr>
        <w:pStyle w:val="FootnoteText"/>
      </w:pPr>
      <w:r>
        <w:rPr>
          <w:rStyle w:val="FootnoteReference"/>
        </w:rPr>
        <w:footnoteRef/>
      </w:r>
      <w:r>
        <w:t xml:space="preserve"> Ralph Ellis, </w:t>
      </w:r>
      <w:r>
        <w:rPr>
          <w:i/>
          <w:iCs/>
        </w:rPr>
        <w:t xml:space="preserve">Jesus: Last of the Pharaohs </w:t>
      </w:r>
      <w:r>
        <w:t>(</w:t>
      </w:r>
      <w:proofErr w:type="spellStart"/>
      <w:r>
        <w:t>Chesire</w:t>
      </w:r>
      <w:proofErr w:type="spellEnd"/>
      <w:r>
        <w:t xml:space="preserve">: </w:t>
      </w:r>
      <w:proofErr w:type="spellStart"/>
      <w:r>
        <w:t>Edfu</w:t>
      </w:r>
      <w:proofErr w:type="spellEnd"/>
      <w:r>
        <w:t xml:space="preserve"> Books, 2001) p.74.</w:t>
      </w:r>
    </w:p>
  </w:footnote>
  <w:footnote w:id="111">
    <w:p w14:paraId="0E516321" w14:textId="77777777" w:rsidR="006B4CD6" w:rsidRDefault="006B4CD6" w:rsidP="006B4CD6">
      <w:pPr>
        <w:pStyle w:val="FootnoteText"/>
      </w:pPr>
      <w:r>
        <w:rPr>
          <w:rStyle w:val="FootnoteReference"/>
        </w:rPr>
        <w:footnoteRef/>
      </w:r>
      <w:r>
        <w:t xml:space="preserve"> Anthony </w:t>
      </w:r>
      <w:proofErr w:type="spellStart"/>
      <w:r>
        <w:t>Aveni</w:t>
      </w:r>
      <w:proofErr w:type="spellEnd"/>
      <w:r>
        <w:t xml:space="preserve">, </w:t>
      </w:r>
      <w:r>
        <w:rPr>
          <w:i/>
          <w:iCs/>
        </w:rPr>
        <w:t xml:space="preserve">Star Stories: Constellations and People </w:t>
      </w:r>
      <w:r>
        <w:t>(Connecticut: Yale University Press, 2019) p.10.</w:t>
      </w:r>
    </w:p>
  </w:footnote>
  <w:footnote w:id="112">
    <w:p w14:paraId="45565510" w14:textId="0925BE6D" w:rsidR="00A43B52" w:rsidRPr="00A43B52" w:rsidRDefault="00A43B52">
      <w:pPr>
        <w:pStyle w:val="FootnoteText"/>
      </w:pPr>
      <w:r>
        <w:rPr>
          <w:rStyle w:val="FootnoteReference"/>
        </w:rPr>
        <w:footnoteRef/>
      </w:r>
      <w:r>
        <w:t xml:space="preserve"> Figure 3: Claire Smith, </w:t>
      </w:r>
      <w:r>
        <w:rPr>
          <w:i/>
          <w:iCs/>
        </w:rPr>
        <w:t xml:space="preserve">Adorned in Divinity </w:t>
      </w:r>
      <w:r>
        <w:t xml:space="preserve">(2024) </w:t>
      </w:r>
      <w:r w:rsidRPr="00A43B52">
        <w:t>https://sites.rhodes.edu/coins/adorned-divinity</w:t>
      </w:r>
      <w:r>
        <w:t xml:space="preserve"> [accessed 10th December 2023].</w:t>
      </w:r>
    </w:p>
  </w:footnote>
  <w:footnote w:id="113">
    <w:p w14:paraId="2A549585" w14:textId="7044702C" w:rsidR="00A52047" w:rsidRDefault="00A52047">
      <w:pPr>
        <w:pStyle w:val="FootnoteText"/>
      </w:pPr>
      <w:r>
        <w:rPr>
          <w:rStyle w:val="FootnoteReference"/>
        </w:rPr>
        <w:footnoteRef/>
      </w:r>
      <w:r>
        <w:t xml:space="preserve"> </w:t>
      </w:r>
      <w:r w:rsidRPr="008A505F">
        <w:t>Hesiod</w:t>
      </w:r>
      <w:r>
        <w:t>,</w:t>
      </w:r>
      <w:r>
        <w:rPr>
          <w:i/>
          <w:iCs/>
        </w:rPr>
        <w:t xml:space="preserve"> The Homeric Hymns and </w:t>
      </w:r>
      <w:proofErr w:type="spellStart"/>
      <w:r>
        <w:rPr>
          <w:i/>
          <w:iCs/>
        </w:rPr>
        <w:t>Homerica</w:t>
      </w:r>
      <w:proofErr w:type="spellEnd"/>
      <w:r>
        <w:rPr>
          <w:i/>
          <w:iCs/>
        </w:rPr>
        <w:t xml:space="preserve">. </w:t>
      </w:r>
      <w:r>
        <w:t>Trans. Hugh, G. Evelyn White (London: The Macmillan Co., 1914) pp.71-3.</w:t>
      </w:r>
    </w:p>
  </w:footnote>
  <w:footnote w:id="114">
    <w:p w14:paraId="6F9C0456" w14:textId="77A8ACA7" w:rsidR="00A52047" w:rsidRDefault="00A52047">
      <w:pPr>
        <w:pStyle w:val="FootnoteText"/>
      </w:pPr>
      <w:r>
        <w:rPr>
          <w:rStyle w:val="FootnoteReference"/>
        </w:rPr>
        <w:footnoteRef/>
      </w:r>
      <w:r>
        <w:t xml:space="preserve"> </w:t>
      </w:r>
      <w:r>
        <w:t xml:space="preserve">Anthony </w:t>
      </w:r>
      <w:proofErr w:type="spellStart"/>
      <w:r>
        <w:t>Aveni</w:t>
      </w:r>
      <w:proofErr w:type="spellEnd"/>
      <w:r>
        <w:t xml:space="preserve">, </w:t>
      </w:r>
      <w:r>
        <w:rPr>
          <w:i/>
          <w:iCs/>
        </w:rPr>
        <w:t xml:space="preserve">Star Stories: Constellations and People </w:t>
      </w:r>
      <w:r>
        <w:t>(London: Yale University Press, 2019) p.164.</w:t>
      </w:r>
    </w:p>
  </w:footnote>
  <w:footnote w:id="115">
    <w:p w14:paraId="08EEF976" w14:textId="21C9093B" w:rsidR="003A0C7F" w:rsidRPr="003A0C7F" w:rsidRDefault="003A0C7F">
      <w:pPr>
        <w:pStyle w:val="FootnoteText"/>
      </w:pPr>
      <w:r>
        <w:rPr>
          <w:rStyle w:val="FootnoteReference"/>
        </w:rPr>
        <w:footnoteRef/>
      </w:r>
      <w:r>
        <w:t xml:space="preserve"> Jonathon M. Riley, ‘” Love the Child who Holds You by the Hand”: Intertextuality in </w:t>
      </w:r>
      <w:r w:rsidRPr="003A0C7F">
        <w:rPr>
          <w:i/>
          <w:iCs/>
        </w:rPr>
        <w:t>The Odyssey</w:t>
      </w:r>
      <w:r>
        <w:t xml:space="preserve"> and </w:t>
      </w:r>
      <w:r w:rsidRPr="003A0C7F">
        <w:rPr>
          <w:i/>
          <w:iCs/>
        </w:rPr>
        <w:t>The Epic of Gilgamesh”</w:t>
      </w:r>
      <w:r>
        <w:t xml:space="preserve"> in </w:t>
      </w:r>
      <w:r>
        <w:rPr>
          <w:i/>
          <w:iCs/>
        </w:rPr>
        <w:t xml:space="preserve">Studia Antiqua, </w:t>
      </w:r>
      <w:r>
        <w:t>vol.12 (2), (Utah: Brigham Young University, 2014) p.20.</w:t>
      </w:r>
    </w:p>
  </w:footnote>
  <w:footnote w:id="116">
    <w:p w14:paraId="00E129AC" w14:textId="43CD8CA2" w:rsidR="00610255" w:rsidRPr="00610255" w:rsidRDefault="00610255">
      <w:pPr>
        <w:pStyle w:val="FootnoteText"/>
      </w:pPr>
      <w:r>
        <w:rPr>
          <w:rStyle w:val="FootnoteReference"/>
        </w:rPr>
        <w:footnoteRef/>
      </w:r>
      <w:r>
        <w:t xml:space="preserve"> Walter Burkert, ‘Chapter Twenty: Near Eastern Connections’, in John Miles Foley (ed.) </w:t>
      </w:r>
      <w:r>
        <w:rPr>
          <w:i/>
          <w:iCs/>
        </w:rPr>
        <w:t xml:space="preserve">A Companion to Ancient Epic </w:t>
      </w:r>
      <w:r>
        <w:t>(New York: Blackwell Publishing, 20</w:t>
      </w:r>
      <w:r w:rsidR="007162E5">
        <w:t>05</w:t>
      </w:r>
      <w:r>
        <w:t>), pp.299-300.</w:t>
      </w:r>
    </w:p>
  </w:footnote>
  <w:footnote w:id="117">
    <w:p w14:paraId="6CDEFF02" w14:textId="13FE83E8" w:rsidR="00154FA9" w:rsidRDefault="00154FA9">
      <w:pPr>
        <w:pStyle w:val="FootnoteText"/>
      </w:pPr>
      <w:r>
        <w:rPr>
          <w:rStyle w:val="FootnoteReference"/>
        </w:rPr>
        <w:footnoteRef/>
      </w:r>
      <w:r>
        <w:t xml:space="preserve"> </w:t>
      </w:r>
      <w:r>
        <w:t xml:space="preserve">Walter </w:t>
      </w:r>
      <w:proofErr w:type="spellStart"/>
      <w:r>
        <w:t>Burkurt</w:t>
      </w:r>
      <w:proofErr w:type="spellEnd"/>
      <w:r>
        <w:t xml:space="preserve">, </w:t>
      </w:r>
      <w:r>
        <w:rPr>
          <w:i/>
          <w:iCs/>
        </w:rPr>
        <w:t xml:space="preserve">Homo </w:t>
      </w:r>
      <w:proofErr w:type="spellStart"/>
      <w:r>
        <w:rPr>
          <w:i/>
          <w:iCs/>
        </w:rPr>
        <w:t>Necans</w:t>
      </w:r>
      <w:proofErr w:type="spellEnd"/>
      <w:r>
        <w:rPr>
          <w:i/>
          <w:iCs/>
        </w:rPr>
        <w:t xml:space="preserve">: The Anthropology of Ancient Greek Sacrificial Ritual and Myth </w:t>
      </w:r>
      <w:r>
        <w:t>(California: University of California Press), pp.31-32.</w:t>
      </w:r>
    </w:p>
  </w:footnote>
  <w:footnote w:id="118">
    <w:p w14:paraId="6B129FAD" w14:textId="4B6CDA6D" w:rsidR="00A52047" w:rsidRDefault="00A52047">
      <w:pPr>
        <w:pStyle w:val="FootnoteText"/>
      </w:pPr>
      <w:r>
        <w:rPr>
          <w:rStyle w:val="FootnoteReference"/>
        </w:rPr>
        <w:footnoteRef/>
      </w:r>
      <w:r>
        <w:t xml:space="preserve"> </w:t>
      </w:r>
      <w:r>
        <w:t xml:space="preserve">Andrew George, </w:t>
      </w:r>
      <w:r>
        <w:rPr>
          <w:i/>
          <w:iCs/>
        </w:rPr>
        <w:t xml:space="preserve">The Epic of Gilgamesh </w:t>
      </w:r>
      <w:r>
        <w:t xml:space="preserve">(London: The Penguin Press, 1999) </w:t>
      </w:r>
      <w:proofErr w:type="spellStart"/>
      <w:proofErr w:type="gramStart"/>
      <w:r>
        <w:t>p.xx</w:t>
      </w:r>
      <w:r>
        <w:t>xi</w:t>
      </w:r>
      <w:proofErr w:type="spellEnd"/>
      <w:r>
        <w:t>.</w:t>
      </w:r>
      <w:proofErr w:type="gramEnd"/>
    </w:p>
  </w:footnote>
  <w:footnote w:id="119">
    <w:p w14:paraId="059181E3" w14:textId="7407ADF4" w:rsidR="00A52047" w:rsidRDefault="00A52047">
      <w:pPr>
        <w:pStyle w:val="FootnoteText"/>
      </w:pPr>
      <w:r>
        <w:rPr>
          <w:rStyle w:val="FootnoteReference"/>
        </w:rPr>
        <w:footnoteRef/>
      </w:r>
      <w:r>
        <w:t xml:space="preserve"> </w:t>
      </w:r>
      <w:r>
        <w:t xml:space="preserve">Nicholas Campion, </w:t>
      </w:r>
      <w:r>
        <w:rPr>
          <w:i/>
          <w:iCs/>
        </w:rPr>
        <w:t>The Dawn of Astrology: A Cultural History of Western Astrology: The Ancient and Classical Worlds</w:t>
      </w:r>
      <w:r>
        <w:t>,</w:t>
      </w:r>
      <w:r w:rsidRPr="00852268">
        <w:rPr>
          <w:color w:val="000000"/>
        </w:rPr>
        <w:t xml:space="preserve"> (London: Continuum Books, 2008). P.</w:t>
      </w:r>
      <w:r>
        <w:rPr>
          <w:color w:val="000000"/>
        </w:rPr>
        <w:t>39.</w:t>
      </w:r>
    </w:p>
  </w:footnote>
  <w:footnote w:id="120">
    <w:p w14:paraId="7D787452" w14:textId="157DF4EC" w:rsidR="008553BD" w:rsidRDefault="008553BD">
      <w:pPr>
        <w:pStyle w:val="FootnoteText"/>
      </w:pPr>
      <w:r>
        <w:rPr>
          <w:rStyle w:val="FootnoteReference"/>
        </w:rPr>
        <w:footnoteRef/>
      </w:r>
      <w:r>
        <w:t xml:space="preserve"> </w:t>
      </w:r>
      <w:r>
        <w:t xml:space="preserve">Michael Baigent, </w:t>
      </w:r>
      <w:r>
        <w:rPr>
          <w:i/>
          <w:iCs/>
        </w:rPr>
        <w:t xml:space="preserve">Astrology in Ancient Mesopotamia: The Science of Omens and the Knowledge of the Heavens, </w:t>
      </w:r>
      <w:r>
        <w:t xml:space="preserve">(London: </w:t>
      </w:r>
      <w:proofErr w:type="spellStart"/>
      <w:r>
        <w:t>Arkana</w:t>
      </w:r>
      <w:proofErr w:type="spellEnd"/>
      <w:r>
        <w:t>, 1994) p.</w:t>
      </w:r>
      <w:r>
        <w:t>91.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4F42"/>
    <w:rsid w:val="000172DD"/>
    <w:rsid w:val="00023C98"/>
    <w:rsid w:val="000304A3"/>
    <w:rsid w:val="000578C6"/>
    <w:rsid w:val="00064ADD"/>
    <w:rsid w:val="00066BA9"/>
    <w:rsid w:val="00070724"/>
    <w:rsid w:val="000B316D"/>
    <w:rsid w:val="00103F00"/>
    <w:rsid w:val="00124A1A"/>
    <w:rsid w:val="0013266B"/>
    <w:rsid w:val="001505A7"/>
    <w:rsid w:val="001534A4"/>
    <w:rsid w:val="00154FA9"/>
    <w:rsid w:val="001570BE"/>
    <w:rsid w:val="0016151B"/>
    <w:rsid w:val="0016704E"/>
    <w:rsid w:val="0016773F"/>
    <w:rsid w:val="00171943"/>
    <w:rsid w:val="00174FD9"/>
    <w:rsid w:val="0017592A"/>
    <w:rsid w:val="00176677"/>
    <w:rsid w:val="001B526D"/>
    <w:rsid w:val="001B5730"/>
    <w:rsid w:val="001C2996"/>
    <w:rsid w:val="001C3377"/>
    <w:rsid w:val="001E38E1"/>
    <w:rsid w:val="001E5EDB"/>
    <w:rsid w:val="002009AE"/>
    <w:rsid w:val="00201C9D"/>
    <w:rsid w:val="00204935"/>
    <w:rsid w:val="00211A6C"/>
    <w:rsid w:val="0022546D"/>
    <w:rsid w:val="0023418B"/>
    <w:rsid w:val="00285A25"/>
    <w:rsid w:val="0029075D"/>
    <w:rsid w:val="00293925"/>
    <w:rsid w:val="00295F9D"/>
    <w:rsid w:val="002B1228"/>
    <w:rsid w:val="002B72AC"/>
    <w:rsid w:val="002E4BE6"/>
    <w:rsid w:val="002E6052"/>
    <w:rsid w:val="002E62BA"/>
    <w:rsid w:val="002F48C9"/>
    <w:rsid w:val="002F4C05"/>
    <w:rsid w:val="002F6A08"/>
    <w:rsid w:val="00304FB6"/>
    <w:rsid w:val="00306C14"/>
    <w:rsid w:val="00310E43"/>
    <w:rsid w:val="00314346"/>
    <w:rsid w:val="00317139"/>
    <w:rsid w:val="003336E2"/>
    <w:rsid w:val="00336C9D"/>
    <w:rsid w:val="0034093B"/>
    <w:rsid w:val="00354227"/>
    <w:rsid w:val="00355113"/>
    <w:rsid w:val="00383AC1"/>
    <w:rsid w:val="00393746"/>
    <w:rsid w:val="00397C0F"/>
    <w:rsid w:val="003A04A0"/>
    <w:rsid w:val="003A0C7F"/>
    <w:rsid w:val="003E7EC8"/>
    <w:rsid w:val="0043624A"/>
    <w:rsid w:val="00444015"/>
    <w:rsid w:val="0046563A"/>
    <w:rsid w:val="004663A8"/>
    <w:rsid w:val="00497816"/>
    <w:rsid w:val="004B6385"/>
    <w:rsid w:val="004B6EB9"/>
    <w:rsid w:val="004D1377"/>
    <w:rsid w:val="004E52EF"/>
    <w:rsid w:val="004F0EB4"/>
    <w:rsid w:val="004F71F1"/>
    <w:rsid w:val="005006C5"/>
    <w:rsid w:val="00500E9E"/>
    <w:rsid w:val="00510A8C"/>
    <w:rsid w:val="00537B6A"/>
    <w:rsid w:val="00544F12"/>
    <w:rsid w:val="00594ADA"/>
    <w:rsid w:val="005E7BD0"/>
    <w:rsid w:val="005F2143"/>
    <w:rsid w:val="00603780"/>
    <w:rsid w:val="00610255"/>
    <w:rsid w:val="0061316F"/>
    <w:rsid w:val="0061362F"/>
    <w:rsid w:val="00626068"/>
    <w:rsid w:val="00626073"/>
    <w:rsid w:val="00631DD4"/>
    <w:rsid w:val="006416D2"/>
    <w:rsid w:val="006432AE"/>
    <w:rsid w:val="00646627"/>
    <w:rsid w:val="00685BAB"/>
    <w:rsid w:val="006A44A4"/>
    <w:rsid w:val="006A4505"/>
    <w:rsid w:val="006B4CD6"/>
    <w:rsid w:val="006B65EE"/>
    <w:rsid w:val="006B7AB0"/>
    <w:rsid w:val="006C1C96"/>
    <w:rsid w:val="006D6100"/>
    <w:rsid w:val="006E548C"/>
    <w:rsid w:val="006F6085"/>
    <w:rsid w:val="006F75AE"/>
    <w:rsid w:val="007162E5"/>
    <w:rsid w:val="00717E73"/>
    <w:rsid w:val="00721D63"/>
    <w:rsid w:val="00722618"/>
    <w:rsid w:val="00763252"/>
    <w:rsid w:val="00763950"/>
    <w:rsid w:val="00770C1E"/>
    <w:rsid w:val="00772547"/>
    <w:rsid w:val="007738C3"/>
    <w:rsid w:val="00776015"/>
    <w:rsid w:val="00780C47"/>
    <w:rsid w:val="00781263"/>
    <w:rsid w:val="007869FE"/>
    <w:rsid w:val="00791091"/>
    <w:rsid w:val="007B57EF"/>
    <w:rsid w:val="007C0355"/>
    <w:rsid w:val="007C1266"/>
    <w:rsid w:val="007D075F"/>
    <w:rsid w:val="007D6029"/>
    <w:rsid w:val="007D62BE"/>
    <w:rsid w:val="00800910"/>
    <w:rsid w:val="00800E38"/>
    <w:rsid w:val="00824009"/>
    <w:rsid w:val="0082624C"/>
    <w:rsid w:val="0083164A"/>
    <w:rsid w:val="00841F64"/>
    <w:rsid w:val="0084361A"/>
    <w:rsid w:val="008553BD"/>
    <w:rsid w:val="00861349"/>
    <w:rsid w:val="00870B06"/>
    <w:rsid w:val="00875AD1"/>
    <w:rsid w:val="00876D43"/>
    <w:rsid w:val="00884E67"/>
    <w:rsid w:val="00897CB5"/>
    <w:rsid w:val="008A2D5A"/>
    <w:rsid w:val="008A505F"/>
    <w:rsid w:val="008A5A02"/>
    <w:rsid w:val="008C1D22"/>
    <w:rsid w:val="008D3DE5"/>
    <w:rsid w:val="008F6716"/>
    <w:rsid w:val="008F7AA3"/>
    <w:rsid w:val="00900065"/>
    <w:rsid w:val="00903E57"/>
    <w:rsid w:val="009228A2"/>
    <w:rsid w:val="00926B3F"/>
    <w:rsid w:val="00937355"/>
    <w:rsid w:val="009509FE"/>
    <w:rsid w:val="00953908"/>
    <w:rsid w:val="00957F98"/>
    <w:rsid w:val="0097195B"/>
    <w:rsid w:val="0097699B"/>
    <w:rsid w:val="00980375"/>
    <w:rsid w:val="0099014C"/>
    <w:rsid w:val="009C01E2"/>
    <w:rsid w:val="009C0545"/>
    <w:rsid w:val="009C090D"/>
    <w:rsid w:val="009E51C6"/>
    <w:rsid w:val="009F07B5"/>
    <w:rsid w:val="00A04B79"/>
    <w:rsid w:val="00A06246"/>
    <w:rsid w:val="00A1316F"/>
    <w:rsid w:val="00A15EC7"/>
    <w:rsid w:val="00A16628"/>
    <w:rsid w:val="00A16FA8"/>
    <w:rsid w:val="00A204F5"/>
    <w:rsid w:val="00A274F7"/>
    <w:rsid w:val="00A35C1B"/>
    <w:rsid w:val="00A36475"/>
    <w:rsid w:val="00A43B52"/>
    <w:rsid w:val="00A4407F"/>
    <w:rsid w:val="00A518F2"/>
    <w:rsid w:val="00A52047"/>
    <w:rsid w:val="00A656E5"/>
    <w:rsid w:val="00A7515B"/>
    <w:rsid w:val="00A856EF"/>
    <w:rsid w:val="00AB29F0"/>
    <w:rsid w:val="00AC6715"/>
    <w:rsid w:val="00AC6CA0"/>
    <w:rsid w:val="00B058E0"/>
    <w:rsid w:val="00B1425F"/>
    <w:rsid w:val="00B26D06"/>
    <w:rsid w:val="00B26D59"/>
    <w:rsid w:val="00B32F93"/>
    <w:rsid w:val="00B33B6D"/>
    <w:rsid w:val="00B4162D"/>
    <w:rsid w:val="00B4290B"/>
    <w:rsid w:val="00B5588B"/>
    <w:rsid w:val="00B63965"/>
    <w:rsid w:val="00B75138"/>
    <w:rsid w:val="00B75510"/>
    <w:rsid w:val="00B9401A"/>
    <w:rsid w:val="00BA2AB6"/>
    <w:rsid w:val="00BB1443"/>
    <w:rsid w:val="00BC4F42"/>
    <w:rsid w:val="00BC77BA"/>
    <w:rsid w:val="00BD0B9F"/>
    <w:rsid w:val="00BF4A82"/>
    <w:rsid w:val="00BF4BBB"/>
    <w:rsid w:val="00C02C84"/>
    <w:rsid w:val="00C14127"/>
    <w:rsid w:val="00C17FCB"/>
    <w:rsid w:val="00C235B8"/>
    <w:rsid w:val="00C272AA"/>
    <w:rsid w:val="00C33533"/>
    <w:rsid w:val="00C57423"/>
    <w:rsid w:val="00C700C4"/>
    <w:rsid w:val="00C7540B"/>
    <w:rsid w:val="00C87960"/>
    <w:rsid w:val="00C879A5"/>
    <w:rsid w:val="00C95D72"/>
    <w:rsid w:val="00C97885"/>
    <w:rsid w:val="00CC2354"/>
    <w:rsid w:val="00CC2539"/>
    <w:rsid w:val="00CE6703"/>
    <w:rsid w:val="00CF0A19"/>
    <w:rsid w:val="00D329A2"/>
    <w:rsid w:val="00D35781"/>
    <w:rsid w:val="00D44D38"/>
    <w:rsid w:val="00D53851"/>
    <w:rsid w:val="00D5680E"/>
    <w:rsid w:val="00D67369"/>
    <w:rsid w:val="00D700E6"/>
    <w:rsid w:val="00D95735"/>
    <w:rsid w:val="00DC49B7"/>
    <w:rsid w:val="00DE2FF3"/>
    <w:rsid w:val="00DE6A18"/>
    <w:rsid w:val="00E430A7"/>
    <w:rsid w:val="00E6249E"/>
    <w:rsid w:val="00E63169"/>
    <w:rsid w:val="00E67DBC"/>
    <w:rsid w:val="00E80A39"/>
    <w:rsid w:val="00E84DE7"/>
    <w:rsid w:val="00EC4941"/>
    <w:rsid w:val="00F05074"/>
    <w:rsid w:val="00F11689"/>
    <w:rsid w:val="00F30242"/>
    <w:rsid w:val="00F35B36"/>
    <w:rsid w:val="00F36F9F"/>
    <w:rsid w:val="00F54DE0"/>
    <w:rsid w:val="00F554B2"/>
    <w:rsid w:val="00F57552"/>
    <w:rsid w:val="00FA093F"/>
    <w:rsid w:val="00FA2AC6"/>
    <w:rsid w:val="00FB455F"/>
    <w:rsid w:val="00FD5548"/>
    <w:rsid w:val="00FD734A"/>
    <w:rsid w:val="00FF7D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40586AD"/>
  <w15:chartTrackingRefBased/>
  <w15:docId w15:val="{D6182C8B-B1BD-684C-923A-2C9B2C1EB6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4F42"/>
    <w:rPr>
      <w:rFonts w:ascii="Times New Roman" w:eastAsia="SimSun" w:hAnsi="Times New Roman" w:cs="Times New Roman"/>
      <w:kern w:val="0"/>
      <w:lang w:eastAsia="zh-CN"/>
      <w14:ligatures w14:val="none"/>
    </w:rPr>
  </w:style>
  <w:style w:type="paragraph" w:styleId="Heading3">
    <w:name w:val="heading 3"/>
    <w:basedOn w:val="Normal"/>
    <w:link w:val="Heading3Char"/>
    <w:qFormat/>
    <w:rsid w:val="00BC4F42"/>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BC4F42"/>
    <w:rPr>
      <w:rFonts w:ascii="Tahoma" w:eastAsia="SimSun" w:hAnsi="Tahoma" w:cs="Tahoma"/>
      <w:b/>
      <w:bCs/>
      <w:kern w:val="0"/>
      <w:sz w:val="20"/>
      <w:szCs w:val="20"/>
      <w:lang w:eastAsia="zh-CN"/>
      <w14:ligatures w14:val="none"/>
    </w:rPr>
  </w:style>
  <w:style w:type="paragraph" w:styleId="NormalWeb">
    <w:name w:val="Normal (Web)"/>
    <w:basedOn w:val="Normal"/>
    <w:uiPriority w:val="99"/>
    <w:rsid w:val="00BC4F42"/>
    <w:pPr>
      <w:spacing w:before="100" w:beforeAutospacing="1" w:after="100" w:afterAutospacing="1"/>
    </w:pPr>
    <w:rPr>
      <w:rFonts w:ascii="Georgia" w:hAnsi="Georgia"/>
      <w:color w:val="000000"/>
      <w:sz w:val="21"/>
      <w:szCs w:val="21"/>
    </w:rPr>
  </w:style>
  <w:style w:type="paragraph" w:styleId="FootnoteText">
    <w:name w:val="footnote text"/>
    <w:basedOn w:val="Normal"/>
    <w:link w:val="FootnoteTextChar"/>
    <w:unhideWhenUsed/>
    <w:rsid w:val="007869FE"/>
    <w:rPr>
      <w:sz w:val="20"/>
      <w:szCs w:val="20"/>
    </w:rPr>
  </w:style>
  <w:style w:type="character" w:customStyle="1" w:styleId="FootnoteTextChar">
    <w:name w:val="Footnote Text Char"/>
    <w:basedOn w:val="DefaultParagraphFont"/>
    <w:link w:val="FootnoteText"/>
    <w:rsid w:val="007869FE"/>
    <w:rPr>
      <w:rFonts w:ascii="Times New Roman" w:eastAsia="SimSun" w:hAnsi="Times New Roman" w:cs="Times New Roman"/>
      <w:kern w:val="0"/>
      <w:sz w:val="20"/>
      <w:szCs w:val="20"/>
      <w:lang w:eastAsia="zh-CN"/>
      <w14:ligatures w14:val="none"/>
    </w:rPr>
  </w:style>
  <w:style w:type="character" w:styleId="FootnoteReference">
    <w:name w:val="footnote reference"/>
    <w:basedOn w:val="DefaultParagraphFont"/>
    <w:unhideWhenUsed/>
    <w:rsid w:val="007869FE"/>
    <w:rPr>
      <w:vertAlign w:val="superscript"/>
    </w:rPr>
  </w:style>
  <w:style w:type="character" w:styleId="Hyperlink">
    <w:name w:val="Hyperlink"/>
    <w:basedOn w:val="DefaultParagraphFont"/>
    <w:uiPriority w:val="99"/>
    <w:unhideWhenUsed/>
    <w:rsid w:val="006432AE"/>
    <w:rPr>
      <w:color w:val="0563C1" w:themeColor="hyperlink"/>
      <w:u w:val="single"/>
    </w:rPr>
  </w:style>
  <w:style w:type="character" w:styleId="UnresolvedMention">
    <w:name w:val="Unresolved Mention"/>
    <w:basedOn w:val="DefaultParagraphFont"/>
    <w:uiPriority w:val="99"/>
    <w:semiHidden/>
    <w:unhideWhenUsed/>
    <w:rsid w:val="006432AE"/>
    <w:rPr>
      <w:color w:val="605E5C"/>
      <w:shd w:val="clear" w:color="auto" w:fill="E1DFDD"/>
    </w:rPr>
  </w:style>
  <w:style w:type="character" w:styleId="FollowedHyperlink">
    <w:name w:val="FollowedHyperlink"/>
    <w:basedOn w:val="DefaultParagraphFont"/>
    <w:uiPriority w:val="99"/>
    <w:semiHidden/>
    <w:unhideWhenUsed/>
    <w:rsid w:val="0061316F"/>
    <w:rPr>
      <w:color w:val="954F72" w:themeColor="followedHyperlink"/>
      <w:u w:val="single"/>
    </w:rPr>
  </w:style>
  <w:style w:type="paragraph" w:styleId="Header">
    <w:name w:val="header"/>
    <w:basedOn w:val="Normal"/>
    <w:link w:val="HeaderChar"/>
    <w:uiPriority w:val="99"/>
    <w:unhideWhenUsed/>
    <w:rsid w:val="00171943"/>
    <w:pPr>
      <w:tabs>
        <w:tab w:val="center" w:pos="4513"/>
        <w:tab w:val="right" w:pos="9026"/>
      </w:tabs>
    </w:pPr>
  </w:style>
  <w:style w:type="character" w:customStyle="1" w:styleId="HeaderChar">
    <w:name w:val="Header Char"/>
    <w:basedOn w:val="DefaultParagraphFont"/>
    <w:link w:val="Header"/>
    <w:uiPriority w:val="99"/>
    <w:rsid w:val="00171943"/>
    <w:rPr>
      <w:rFonts w:ascii="Times New Roman" w:eastAsia="SimSun" w:hAnsi="Times New Roman" w:cs="Times New Roman"/>
      <w:kern w:val="0"/>
      <w:lang w:eastAsia="zh-CN"/>
      <w14:ligatures w14:val="none"/>
    </w:rPr>
  </w:style>
  <w:style w:type="paragraph" w:styleId="Footer">
    <w:name w:val="footer"/>
    <w:basedOn w:val="Normal"/>
    <w:link w:val="FooterChar"/>
    <w:uiPriority w:val="99"/>
    <w:unhideWhenUsed/>
    <w:rsid w:val="00171943"/>
    <w:pPr>
      <w:tabs>
        <w:tab w:val="center" w:pos="4513"/>
        <w:tab w:val="right" w:pos="9026"/>
      </w:tabs>
    </w:pPr>
  </w:style>
  <w:style w:type="character" w:customStyle="1" w:styleId="FooterChar">
    <w:name w:val="Footer Char"/>
    <w:basedOn w:val="DefaultParagraphFont"/>
    <w:link w:val="Footer"/>
    <w:uiPriority w:val="99"/>
    <w:rsid w:val="00171943"/>
    <w:rPr>
      <w:rFonts w:ascii="Times New Roman" w:eastAsia="SimSun" w:hAnsi="Times New Roman" w:cs="Times New Roman"/>
      <w:kern w:val="0"/>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9550997">
      <w:bodyDiv w:val="1"/>
      <w:marLeft w:val="0"/>
      <w:marRight w:val="0"/>
      <w:marTop w:val="0"/>
      <w:marBottom w:val="0"/>
      <w:divBdr>
        <w:top w:val="none" w:sz="0" w:space="0" w:color="auto"/>
        <w:left w:val="none" w:sz="0" w:space="0" w:color="auto"/>
        <w:bottom w:val="none" w:sz="0" w:space="0" w:color="auto"/>
        <w:right w:val="none" w:sz="0" w:space="0" w:color="auto"/>
      </w:divBdr>
      <w:divsChild>
        <w:div w:id="1720586226">
          <w:marLeft w:val="0"/>
          <w:marRight w:val="0"/>
          <w:marTop w:val="0"/>
          <w:marBottom w:val="0"/>
          <w:divBdr>
            <w:top w:val="none" w:sz="0" w:space="0" w:color="auto"/>
            <w:left w:val="none" w:sz="0" w:space="0" w:color="auto"/>
            <w:bottom w:val="none" w:sz="0" w:space="0" w:color="auto"/>
            <w:right w:val="none" w:sz="0" w:space="0" w:color="auto"/>
          </w:divBdr>
          <w:divsChild>
            <w:div w:id="1236746737">
              <w:marLeft w:val="0"/>
              <w:marRight w:val="0"/>
              <w:marTop w:val="0"/>
              <w:marBottom w:val="0"/>
              <w:divBdr>
                <w:top w:val="none" w:sz="0" w:space="0" w:color="auto"/>
                <w:left w:val="none" w:sz="0" w:space="0" w:color="auto"/>
                <w:bottom w:val="none" w:sz="0" w:space="0" w:color="auto"/>
                <w:right w:val="none" w:sz="0" w:space="0" w:color="auto"/>
              </w:divBdr>
              <w:divsChild>
                <w:div w:id="1444685191">
                  <w:marLeft w:val="0"/>
                  <w:marRight w:val="0"/>
                  <w:marTop w:val="0"/>
                  <w:marBottom w:val="0"/>
                  <w:divBdr>
                    <w:top w:val="none" w:sz="0" w:space="0" w:color="auto"/>
                    <w:left w:val="none" w:sz="0" w:space="0" w:color="auto"/>
                    <w:bottom w:val="none" w:sz="0" w:space="0" w:color="auto"/>
                    <w:right w:val="none" w:sz="0" w:space="0" w:color="auto"/>
                  </w:divBdr>
                  <w:divsChild>
                    <w:div w:id="278345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4388927">
      <w:bodyDiv w:val="1"/>
      <w:marLeft w:val="0"/>
      <w:marRight w:val="0"/>
      <w:marTop w:val="0"/>
      <w:marBottom w:val="0"/>
      <w:divBdr>
        <w:top w:val="none" w:sz="0" w:space="0" w:color="auto"/>
        <w:left w:val="none" w:sz="0" w:space="0" w:color="auto"/>
        <w:bottom w:val="none" w:sz="0" w:space="0" w:color="auto"/>
        <w:right w:val="none" w:sz="0" w:space="0" w:color="auto"/>
      </w:divBdr>
      <w:divsChild>
        <w:div w:id="54203346">
          <w:marLeft w:val="0"/>
          <w:marRight w:val="0"/>
          <w:marTop w:val="0"/>
          <w:marBottom w:val="0"/>
          <w:divBdr>
            <w:top w:val="none" w:sz="0" w:space="0" w:color="auto"/>
            <w:left w:val="none" w:sz="0" w:space="0" w:color="auto"/>
            <w:bottom w:val="none" w:sz="0" w:space="0" w:color="auto"/>
            <w:right w:val="none" w:sz="0" w:space="0" w:color="auto"/>
          </w:divBdr>
          <w:divsChild>
            <w:div w:id="809442983">
              <w:marLeft w:val="0"/>
              <w:marRight w:val="0"/>
              <w:marTop w:val="0"/>
              <w:marBottom w:val="0"/>
              <w:divBdr>
                <w:top w:val="none" w:sz="0" w:space="0" w:color="auto"/>
                <w:left w:val="none" w:sz="0" w:space="0" w:color="auto"/>
                <w:bottom w:val="none" w:sz="0" w:space="0" w:color="auto"/>
                <w:right w:val="none" w:sz="0" w:space="0" w:color="auto"/>
              </w:divBdr>
              <w:divsChild>
                <w:div w:id="1808548293">
                  <w:marLeft w:val="0"/>
                  <w:marRight w:val="0"/>
                  <w:marTop w:val="0"/>
                  <w:marBottom w:val="0"/>
                  <w:divBdr>
                    <w:top w:val="none" w:sz="0" w:space="0" w:color="auto"/>
                    <w:left w:val="none" w:sz="0" w:space="0" w:color="auto"/>
                    <w:bottom w:val="none" w:sz="0" w:space="0" w:color="auto"/>
                    <w:right w:val="none" w:sz="0" w:space="0" w:color="auto"/>
                  </w:divBdr>
                  <w:divsChild>
                    <w:div w:id="1415592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https://images.squarespace-cdn.com/content/v1/5c1e94d2f93fd4d532c11f07/3f477666-184e-44f9-8590-aad264c36a4d/tumblr_3dcf24e2cba6af4698a581727c5f8f14_5d7bb8a3_540.jpg"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942B95-C6B5-074C-A385-CD0D304EF8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22</Pages>
  <Words>5101</Words>
  <Characters>26475</Characters>
  <Application>Microsoft Office Word</Application>
  <DocSecurity>0</DocSecurity>
  <Lines>715</Lines>
  <Paragraphs>159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Collin</dc:creator>
  <cp:keywords/>
  <dc:description/>
  <cp:lastModifiedBy>Luke Collin</cp:lastModifiedBy>
  <cp:revision>2</cp:revision>
  <dcterms:created xsi:type="dcterms:W3CDTF">2025-01-06T19:22:00Z</dcterms:created>
  <dcterms:modified xsi:type="dcterms:W3CDTF">2025-01-06T19:22:00Z</dcterms:modified>
</cp:coreProperties>
</file>