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98457D" w14:textId="2453A6FF" w:rsidR="0011164D" w:rsidRPr="001F5443" w:rsidRDefault="00486D30" w:rsidP="00BB6C07">
      <w:pPr>
        <w:pStyle w:val="NormalWeb"/>
        <w:shd w:val="clear" w:color="auto" w:fill="FFFFFF"/>
        <w:spacing w:line="360" w:lineRule="auto"/>
        <w:rPr>
          <w:rFonts w:asciiTheme="minorHAnsi" w:hAnsiTheme="minorHAnsi" w:cstheme="minorHAnsi"/>
        </w:rPr>
      </w:pPr>
      <w:r w:rsidRPr="001F5443">
        <w:rPr>
          <w:rFonts w:asciiTheme="minorHAnsi" w:hAnsiTheme="minorHAnsi" w:cstheme="minorHAnsi"/>
        </w:rPr>
        <w:t xml:space="preserve">The relationships throughout Alexander the Great life may be characterised as controversial due to their credibility. This is something which is apparent within both modern scholarship and the original source material. However, </w:t>
      </w:r>
      <w:r w:rsidR="00054D0B" w:rsidRPr="001F5443">
        <w:rPr>
          <w:rFonts w:asciiTheme="minorHAnsi" w:hAnsiTheme="minorHAnsi" w:cstheme="minorHAnsi"/>
        </w:rPr>
        <w:t>the marital union between Alexander and his first wife, Roxan</w:t>
      </w:r>
      <w:r w:rsidR="00C5664F">
        <w:rPr>
          <w:rFonts w:asciiTheme="minorHAnsi" w:hAnsiTheme="minorHAnsi" w:cstheme="minorHAnsi"/>
        </w:rPr>
        <w:t>n</w:t>
      </w:r>
      <w:r w:rsidR="00054D0B" w:rsidRPr="001F5443">
        <w:rPr>
          <w:rFonts w:asciiTheme="minorHAnsi" w:hAnsiTheme="minorHAnsi" w:cstheme="minorHAnsi"/>
        </w:rPr>
        <w:t>e, is one that is relevant within most sources, accentuating its reliability.</w:t>
      </w:r>
      <w:r w:rsidR="001F5443">
        <w:rPr>
          <w:rStyle w:val="FootnoteReference"/>
          <w:rFonts w:asciiTheme="minorHAnsi" w:hAnsiTheme="minorHAnsi" w:cstheme="minorHAnsi"/>
        </w:rPr>
        <w:footnoteReference w:id="1"/>
      </w:r>
      <w:r w:rsidR="00054D0B" w:rsidRPr="001F5443">
        <w:rPr>
          <w:rFonts w:asciiTheme="minorHAnsi" w:hAnsiTheme="minorHAnsi" w:cstheme="minorHAnsi"/>
        </w:rPr>
        <w:t xml:space="preserve"> Ancient sources depict the </w:t>
      </w:r>
      <w:r w:rsidR="00302F5F">
        <w:rPr>
          <w:rFonts w:asciiTheme="minorHAnsi" w:hAnsiTheme="minorHAnsi" w:cstheme="minorHAnsi"/>
        </w:rPr>
        <w:t>marriage</w:t>
      </w:r>
      <w:r w:rsidR="00054D0B" w:rsidRPr="001F5443">
        <w:rPr>
          <w:rFonts w:asciiTheme="minorHAnsi" w:hAnsiTheme="minorHAnsi" w:cstheme="minorHAnsi"/>
        </w:rPr>
        <w:t xml:space="preserve"> as </w:t>
      </w:r>
      <w:r w:rsidR="0011164D" w:rsidRPr="001F5443">
        <w:rPr>
          <w:rFonts w:asciiTheme="minorHAnsi" w:hAnsiTheme="minorHAnsi" w:cstheme="minorHAnsi"/>
        </w:rPr>
        <w:t xml:space="preserve">having a political narrative as well as being a product of </w:t>
      </w:r>
      <w:proofErr w:type="spellStart"/>
      <w:r w:rsidR="0011164D" w:rsidRPr="001F5443">
        <w:rPr>
          <w:rFonts w:asciiTheme="minorHAnsi" w:hAnsiTheme="minorHAnsi" w:cstheme="minorHAnsi"/>
          <w:i/>
          <w:iCs/>
        </w:rPr>
        <w:t>erōs</w:t>
      </w:r>
      <w:proofErr w:type="spellEnd"/>
      <w:r w:rsidR="0011164D" w:rsidRPr="001F5443">
        <w:rPr>
          <w:rFonts w:asciiTheme="minorHAnsi" w:hAnsiTheme="minorHAnsi" w:cstheme="minorHAnsi"/>
          <w:i/>
          <w:iCs/>
        </w:rPr>
        <w:t xml:space="preserve">, </w:t>
      </w:r>
      <w:r w:rsidR="0011164D" w:rsidRPr="001F5443">
        <w:rPr>
          <w:rFonts w:asciiTheme="minorHAnsi" w:hAnsiTheme="minorHAnsi" w:cstheme="minorHAnsi"/>
        </w:rPr>
        <w:t>suggesting his control as a leader.</w:t>
      </w:r>
      <w:r w:rsidR="0011164D" w:rsidRPr="001F5443">
        <w:rPr>
          <w:rStyle w:val="FootnoteReference"/>
          <w:rFonts w:asciiTheme="minorHAnsi" w:hAnsiTheme="minorHAnsi" w:cstheme="minorHAnsi"/>
        </w:rPr>
        <w:footnoteReference w:id="2"/>
      </w:r>
      <w:r w:rsidR="000A4503">
        <w:rPr>
          <w:rFonts w:asciiTheme="minorHAnsi" w:hAnsiTheme="minorHAnsi" w:cstheme="minorHAnsi"/>
        </w:rPr>
        <w:t xml:space="preserve"> All of the sources encountered </w:t>
      </w:r>
      <w:r w:rsidR="00830118">
        <w:rPr>
          <w:rFonts w:asciiTheme="minorHAnsi" w:hAnsiTheme="minorHAnsi" w:cstheme="minorHAnsi"/>
        </w:rPr>
        <w:t>however, have a different purpose as will be illustrated within this account.</w:t>
      </w:r>
      <w:r w:rsidR="008970A4">
        <w:rPr>
          <w:rFonts w:asciiTheme="minorHAnsi" w:hAnsiTheme="minorHAnsi" w:cstheme="minorHAnsi"/>
        </w:rPr>
        <w:t xml:space="preserve"> This may be due to the time of writing as well as their main influence.</w:t>
      </w:r>
    </w:p>
    <w:p w14:paraId="6FE31722" w14:textId="0B125E8E" w:rsidR="00486D30" w:rsidRDefault="00663FED" w:rsidP="00BB6C07">
      <w:pPr>
        <w:spacing w:line="360" w:lineRule="auto"/>
      </w:pPr>
      <w:r>
        <w:t xml:space="preserve">Plutarch briefly mentions their first encounter as a way of glorifying </w:t>
      </w:r>
      <w:r w:rsidR="00C41D54">
        <w:t xml:space="preserve">Alexander character by </w:t>
      </w:r>
      <w:r w:rsidR="004A200B">
        <w:t>addressing</w:t>
      </w:r>
      <w:r w:rsidR="00C41D54">
        <w:t xml:space="preserve"> </w:t>
      </w:r>
      <w:r w:rsidR="004A200B">
        <w:t>that he was first to have a “sanction of law” before he would approach the maiden.</w:t>
      </w:r>
      <w:r w:rsidR="004A200B">
        <w:rPr>
          <w:rStyle w:val="FootnoteReference"/>
        </w:rPr>
        <w:footnoteReference w:id="3"/>
      </w:r>
      <w:r w:rsidR="00791F6B">
        <w:t xml:space="preserve"> Powell (1939) reinstates this ideology by suggestion tha</w:t>
      </w:r>
      <w:r w:rsidR="0042448D">
        <w:t xml:space="preserve">t </w:t>
      </w:r>
      <w:r w:rsidR="0042448D">
        <w:rPr>
          <w:i/>
          <w:iCs/>
        </w:rPr>
        <w:t>Lives</w:t>
      </w:r>
      <w:r w:rsidR="0042448D">
        <w:t>, is a biographical account, not one of an historical nature, which aims to provide details based on the ‘King’s’ character.</w:t>
      </w:r>
      <w:r w:rsidR="0042448D">
        <w:rPr>
          <w:rStyle w:val="FootnoteReference"/>
        </w:rPr>
        <w:footnoteReference w:id="4"/>
      </w:r>
      <w:r w:rsidR="00830118">
        <w:t xml:space="preserve"> It is important to clarify that Plutarch’s writing would have been an attempt to give warning</w:t>
      </w:r>
      <w:r w:rsidR="008065C2">
        <w:t xml:space="preserve"> to</w:t>
      </w:r>
      <w:r w:rsidR="00830118">
        <w:t xml:space="preserve"> his contemporary society of what may come if they were to allow corrupt leadership such as that of Julius Caesar and Alexander the Great.</w:t>
      </w:r>
      <w:r w:rsidR="008065C2">
        <w:t xml:space="preserve"> Therefore, by including the meeting of Roxanne in this piece, Plutarch is perpetuating Alexander’s brilliance through the legal affair which took place before his actual greeting of his first wife.</w:t>
      </w:r>
      <w:r w:rsidR="008065C2">
        <w:rPr>
          <w:rStyle w:val="FootnoteReference"/>
        </w:rPr>
        <w:footnoteReference w:id="5"/>
      </w:r>
      <w:r w:rsidR="00195FAD">
        <w:t xml:space="preserve"> Furthermore, he is depicting to the population what kind of union should take place in light of marriage. </w:t>
      </w:r>
    </w:p>
    <w:p w14:paraId="5AC2197E" w14:textId="6358E18B" w:rsidR="00EA381E" w:rsidRDefault="00EA381E" w:rsidP="00BB6C07">
      <w:pPr>
        <w:spacing w:line="360" w:lineRule="auto"/>
      </w:pPr>
    </w:p>
    <w:p w14:paraId="03771104" w14:textId="31992C52" w:rsidR="007439AD" w:rsidRDefault="00EA381E" w:rsidP="00BB6C07">
      <w:pPr>
        <w:spacing w:line="360" w:lineRule="auto"/>
        <w:rPr>
          <w:rFonts w:cstheme="minorHAnsi"/>
        </w:rPr>
      </w:pPr>
      <w:r>
        <w:t xml:space="preserve">Plutarch’s account of Alexander’s espousal was to relay the concept that this union was both spawned from </w:t>
      </w:r>
      <w:proofErr w:type="spellStart"/>
      <w:r w:rsidRPr="001F5443">
        <w:rPr>
          <w:rFonts w:cstheme="minorHAnsi"/>
          <w:i/>
          <w:iCs/>
        </w:rPr>
        <w:t>erōs</w:t>
      </w:r>
      <w:proofErr w:type="spellEnd"/>
      <w:r>
        <w:rPr>
          <w:rFonts w:cstheme="minorHAnsi"/>
          <w:i/>
          <w:iCs/>
        </w:rPr>
        <w:t xml:space="preserve"> </w:t>
      </w:r>
      <w:r>
        <w:rPr>
          <w:rFonts w:cstheme="minorHAnsi"/>
        </w:rPr>
        <w:t xml:space="preserve">whilst allowing him to </w:t>
      </w:r>
      <w:r w:rsidR="00F07E41">
        <w:rPr>
          <w:rFonts w:cstheme="minorHAnsi"/>
        </w:rPr>
        <w:t>establish</w:t>
      </w:r>
      <w:r>
        <w:rPr>
          <w:rFonts w:cstheme="minorHAnsi"/>
        </w:rPr>
        <w:t xml:space="preserve"> more power. This </w:t>
      </w:r>
      <w:r w:rsidR="007439AD">
        <w:rPr>
          <w:rFonts w:cstheme="minorHAnsi"/>
        </w:rPr>
        <w:t xml:space="preserve">would have been in an attempt to suggest that in order to be a good leader, one would need balance of power and promiscuity and it would not have been respectable for this union to have come from desire as this could have overcome Alexander’s emotions. This allows the deduction </w:t>
      </w:r>
      <w:r w:rsidR="007439AD">
        <w:rPr>
          <w:rFonts w:cstheme="minorHAnsi"/>
        </w:rPr>
        <w:lastRenderedPageBreak/>
        <w:t xml:space="preserve">that if Alexander’s union was based purely on his </w:t>
      </w:r>
      <w:r w:rsidR="00952A04">
        <w:rPr>
          <w:rFonts w:cstheme="minorHAnsi"/>
        </w:rPr>
        <w:t>passion,</w:t>
      </w:r>
      <w:r w:rsidR="007439AD">
        <w:rPr>
          <w:rFonts w:cstheme="minorHAnsi"/>
        </w:rPr>
        <w:t xml:space="preserve"> it would have made him a bad leader in the eyes of Plutarch.</w:t>
      </w:r>
      <w:r w:rsidR="00DE4AEE">
        <w:rPr>
          <w:rFonts w:cstheme="minorHAnsi"/>
        </w:rPr>
        <w:t xml:space="preserve"> This ideology is also presented in Quintus </w:t>
      </w:r>
      <w:proofErr w:type="spellStart"/>
      <w:r w:rsidR="00DE4AEE">
        <w:rPr>
          <w:rFonts w:cstheme="minorHAnsi"/>
        </w:rPr>
        <w:t>Curtius</w:t>
      </w:r>
      <w:proofErr w:type="spellEnd"/>
      <w:r w:rsidR="00DE4AEE">
        <w:rPr>
          <w:rFonts w:cstheme="minorHAnsi"/>
        </w:rPr>
        <w:t xml:space="preserve">’ narrative whereby </w:t>
      </w:r>
      <w:r w:rsidR="001E6894">
        <w:rPr>
          <w:rFonts w:cstheme="minorHAnsi"/>
        </w:rPr>
        <w:t>there was importance in “establishing his empire that Persians and Macedonians be joined in wedlock”.</w:t>
      </w:r>
      <w:r w:rsidR="00DE4AEE">
        <w:rPr>
          <w:rStyle w:val="FootnoteReference"/>
          <w:rFonts w:cstheme="minorHAnsi"/>
        </w:rPr>
        <w:footnoteReference w:id="6"/>
      </w:r>
      <w:r w:rsidR="001E6894">
        <w:rPr>
          <w:rFonts w:cstheme="minorHAnsi"/>
        </w:rPr>
        <w:t xml:space="preserve"> Although Quintus </w:t>
      </w:r>
      <w:proofErr w:type="spellStart"/>
      <w:r w:rsidR="001E6894">
        <w:rPr>
          <w:rFonts w:cstheme="minorHAnsi"/>
        </w:rPr>
        <w:t>Curtius</w:t>
      </w:r>
      <w:proofErr w:type="spellEnd"/>
      <w:r w:rsidR="001E6894">
        <w:rPr>
          <w:rFonts w:cstheme="minorHAnsi"/>
        </w:rPr>
        <w:t xml:space="preserve"> does not dismiss Roxanne’s beauty which originally drew Alexander to the maiden, this inclusion reinstates that this union would have been based on </w:t>
      </w:r>
      <w:r w:rsidR="00FA5832">
        <w:rPr>
          <w:rFonts w:cstheme="minorHAnsi"/>
        </w:rPr>
        <w:t>political monopolisation</w:t>
      </w:r>
      <w:r w:rsidR="00952A04">
        <w:rPr>
          <w:rFonts w:cstheme="minorHAnsi"/>
        </w:rPr>
        <w:t xml:space="preserve"> and moves the narrative away from that of lust, which too often equates to a loss of self-control</w:t>
      </w:r>
      <w:r w:rsidR="00FA5832">
        <w:rPr>
          <w:rFonts w:cstheme="minorHAnsi"/>
        </w:rPr>
        <w:t xml:space="preserve">. </w:t>
      </w:r>
      <w:r w:rsidR="006826D1">
        <w:rPr>
          <w:rFonts w:cstheme="minorHAnsi"/>
        </w:rPr>
        <w:t xml:space="preserve">Carney (1996) supports this view and suggests that Roxanne existed in Alexander’s world to appease </w:t>
      </w:r>
      <w:r w:rsidR="00B5612B">
        <w:rPr>
          <w:rFonts w:cstheme="minorHAnsi"/>
        </w:rPr>
        <w:t>those still resisting his rule, rather than to give Roxanne any type of power.</w:t>
      </w:r>
      <w:r w:rsidR="00B5612B">
        <w:rPr>
          <w:rStyle w:val="FootnoteReference"/>
          <w:rFonts w:cstheme="minorHAnsi"/>
        </w:rPr>
        <w:footnoteReference w:id="7"/>
      </w:r>
    </w:p>
    <w:p w14:paraId="49ABCBD6" w14:textId="5EB7AEA0" w:rsidR="00AE4DA7" w:rsidRDefault="00AE4DA7" w:rsidP="00BB6C07">
      <w:pPr>
        <w:spacing w:line="360" w:lineRule="auto"/>
        <w:rPr>
          <w:rFonts w:cstheme="minorHAnsi"/>
        </w:rPr>
      </w:pPr>
    </w:p>
    <w:p w14:paraId="052BFF64" w14:textId="145AC26B" w:rsidR="008970A4" w:rsidRDefault="00AE4DA7" w:rsidP="00BB6C07">
      <w:pPr>
        <w:spacing w:line="360" w:lineRule="auto"/>
        <w:rPr>
          <w:rFonts w:cstheme="minorHAnsi"/>
        </w:rPr>
      </w:pPr>
      <w:r>
        <w:rPr>
          <w:rFonts w:cstheme="minorHAnsi"/>
        </w:rPr>
        <w:t xml:space="preserve">Powell (1939) </w:t>
      </w:r>
      <w:r w:rsidR="00887B53">
        <w:rPr>
          <w:rFonts w:cstheme="minorHAnsi"/>
        </w:rPr>
        <w:t>also suggests that similarities between Arrian and Plutarch allow “assumption of a common source”.</w:t>
      </w:r>
      <w:r w:rsidR="00B5612B">
        <w:rPr>
          <w:rStyle w:val="FootnoteReference"/>
          <w:rFonts w:cstheme="minorHAnsi"/>
        </w:rPr>
        <w:footnoteReference w:id="8"/>
      </w:r>
      <w:r w:rsidR="00887B53">
        <w:rPr>
          <w:rFonts w:cstheme="minorHAnsi"/>
        </w:rPr>
        <w:t xml:space="preserve"> This can be </w:t>
      </w:r>
      <w:r w:rsidR="00DE4AEE">
        <w:rPr>
          <w:rFonts w:cstheme="minorHAnsi"/>
        </w:rPr>
        <w:t>depicted through Alexander’s restraint shown when not approaching Roxanne.</w:t>
      </w:r>
      <w:r w:rsidR="00DE4AEE">
        <w:rPr>
          <w:rStyle w:val="FootnoteReference"/>
          <w:rFonts w:cstheme="minorHAnsi"/>
        </w:rPr>
        <w:footnoteReference w:id="9"/>
      </w:r>
      <w:r w:rsidR="00952A04">
        <w:rPr>
          <w:rFonts w:cstheme="minorHAnsi"/>
        </w:rPr>
        <w:t xml:space="preserve"> </w:t>
      </w:r>
      <w:r w:rsidR="00C12537">
        <w:rPr>
          <w:rFonts w:cstheme="minorHAnsi"/>
        </w:rPr>
        <w:t xml:space="preserve">This alludes that Arrian and Plutarch were supportive of Alexander’s ways, despite what their underlying manipulation may have been (as seen in Plutarch’s account). On the contrary, </w:t>
      </w:r>
      <w:r w:rsidR="008970A4">
        <w:rPr>
          <w:rFonts w:cstheme="minorHAnsi"/>
        </w:rPr>
        <w:t xml:space="preserve">Quintus </w:t>
      </w:r>
      <w:proofErr w:type="spellStart"/>
      <w:r w:rsidR="008970A4">
        <w:rPr>
          <w:rFonts w:cstheme="minorHAnsi"/>
        </w:rPr>
        <w:t>Curtius</w:t>
      </w:r>
      <w:proofErr w:type="spellEnd"/>
      <w:r w:rsidR="00C12537">
        <w:rPr>
          <w:rFonts w:cstheme="minorHAnsi"/>
        </w:rPr>
        <w:t xml:space="preserve">’ depiction of </w:t>
      </w:r>
      <w:r w:rsidR="008970A4">
        <w:rPr>
          <w:rFonts w:cstheme="minorHAnsi"/>
        </w:rPr>
        <w:t xml:space="preserve">Alexander </w:t>
      </w:r>
      <w:r w:rsidR="00C12537">
        <w:rPr>
          <w:rFonts w:cstheme="minorHAnsi"/>
        </w:rPr>
        <w:t>is</w:t>
      </w:r>
      <w:r w:rsidR="008970A4">
        <w:rPr>
          <w:rFonts w:cstheme="minorHAnsi"/>
        </w:rPr>
        <w:t xml:space="preserve"> much less favourable</w:t>
      </w:r>
      <w:r w:rsidR="00F07E41">
        <w:rPr>
          <w:rFonts w:cstheme="minorHAnsi"/>
        </w:rPr>
        <w:t xml:space="preserve"> which was most likely a response to the tyrannical rule of Caligula and Tiberius</w:t>
      </w:r>
      <w:r w:rsidR="008970A4">
        <w:rPr>
          <w:rFonts w:cstheme="minorHAnsi"/>
        </w:rPr>
        <w:t>. Alexander is described as having “less mastery over his passions amid the constant indulgence of Fortune, against whom mortal man in not sufficiently on his guard”.</w:t>
      </w:r>
      <w:r w:rsidR="008970A4">
        <w:rPr>
          <w:rStyle w:val="FootnoteReference"/>
          <w:rFonts w:cstheme="minorHAnsi"/>
        </w:rPr>
        <w:footnoteReference w:id="10"/>
      </w:r>
      <w:r w:rsidR="008970A4">
        <w:rPr>
          <w:rFonts w:cstheme="minorHAnsi"/>
        </w:rPr>
        <w:t xml:space="preserve"> This imagery depicts Alexander negatively due to his </w:t>
      </w:r>
      <w:r w:rsidR="00D77914">
        <w:rPr>
          <w:rFonts w:cstheme="minorHAnsi"/>
        </w:rPr>
        <w:t xml:space="preserve">ardent </w:t>
      </w:r>
      <w:r w:rsidR="008970A4">
        <w:rPr>
          <w:rFonts w:cstheme="minorHAnsi"/>
        </w:rPr>
        <w:t>passion overcoming his rational thought</w:t>
      </w:r>
      <w:r w:rsidR="00D77914">
        <w:rPr>
          <w:rFonts w:cstheme="minorHAnsi"/>
        </w:rPr>
        <w:t xml:space="preserve">. Quintus </w:t>
      </w:r>
      <w:proofErr w:type="spellStart"/>
      <w:r w:rsidR="00D77914">
        <w:rPr>
          <w:rFonts w:cstheme="minorHAnsi"/>
        </w:rPr>
        <w:t>Curtius</w:t>
      </w:r>
      <w:proofErr w:type="spellEnd"/>
      <w:r w:rsidR="00D77914">
        <w:rPr>
          <w:rFonts w:cstheme="minorHAnsi"/>
        </w:rPr>
        <w:t xml:space="preserve"> also alludes that Alexander’s fellow Macedonian’s did not approve of his new marital affair, and disguised </w:t>
      </w:r>
      <w:r w:rsidR="00BB6C07">
        <w:rPr>
          <w:rFonts w:cstheme="minorHAnsi"/>
        </w:rPr>
        <w:t>their</w:t>
      </w:r>
      <w:r w:rsidR="00D77914">
        <w:rPr>
          <w:rFonts w:cstheme="minorHAnsi"/>
        </w:rPr>
        <w:t xml:space="preserve"> true feelings. “His friends were ashamed that a father-in-law had been chosen from among the surrendered amid wine and feasting” further establishes their distain for Alexander’s current conq</w:t>
      </w:r>
      <w:r w:rsidR="00BB6C07">
        <w:rPr>
          <w:rFonts w:cstheme="minorHAnsi"/>
        </w:rPr>
        <w:t>uest.</w:t>
      </w:r>
      <w:r w:rsidR="00217DB9">
        <w:rPr>
          <w:rStyle w:val="FootnoteReference"/>
          <w:rFonts w:cstheme="minorHAnsi"/>
        </w:rPr>
        <w:footnoteReference w:id="11"/>
      </w:r>
      <w:r w:rsidR="00BB6C07">
        <w:rPr>
          <w:rFonts w:cstheme="minorHAnsi"/>
        </w:rPr>
        <w:t xml:space="preserve"> This may cause the further deduction that Alexander’s troops were unsupportive of the matrimony due to the father of </w:t>
      </w:r>
      <w:r w:rsidR="00BB6C07">
        <w:rPr>
          <w:rFonts w:cstheme="minorHAnsi"/>
        </w:rPr>
        <w:lastRenderedPageBreak/>
        <w:t xml:space="preserve">Roxanne showing weakness through his surrender. </w:t>
      </w:r>
      <w:r w:rsidR="006826D1">
        <w:rPr>
          <w:rFonts w:cstheme="minorHAnsi"/>
        </w:rPr>
        <w:t>This could also have strong relation to the ideologies that were held of Persian women and how they may impact hierarchies within the monarchy.</w:t>
      </w:r>
      <w:r w:rsidR="006826D1">
        <w:rPr>
          <w:rStyle w:val="FootnoteReference"/>
          <w:rFonts w:cstheme="minorHAnsi"/>
        </w:rPr>
        <w:footnoteReference w:id="12"/>
      </w:r>
      <w:r w:rsidR="0006256E">
        <w:rPr>
          <w:rFonts w:cstheme="minorHAnsi"/>
        </w:rPr>
        <w:t xml:space="preserve"> However, as is included in the passage, the Macedonian’s kept their views to themselves due to </w:t>
      </w:r>
      <w:r w:rsidR="00195797">
        <w:rPr>
          <w:rFonts w:cstheme="minorHAnsi"/>
        </w:rPr>
        <w:t xml:space="preserve">the killing of </w:t>
      </w:r>
      <w:proofErr w:type="spellStart"/>
      <w:r w:rsidR="00195797">
        <w:rPr>
          <w:rFonts w:cstheme="minorHAnsi"/>
        </w:rPr>
        <w:t>Clitus</w:t>
      </w:r>
      <w:proofErr w:type="spellEnd"/>
      <w:r w:rsidR="00195797">
        <w:rPr>
          <w:rFonts w:cstheme="minorHAnsi"/>
        </w:rPr>
        <w:t xml:space="preserve">, </w:t>
      </w:r>
      <w:r w:rsidR="00E43552">
        <w:rPr>
          <w:rFonts w:cstheme="minorHAnsi"/>
        </w:rPr>
        <w:t>who</w:t>
      </w:r>
      <w:r w:rsidR="00195797">
        <w:rPr>
          <w:rFonts w:cstheme="minorHAnsi"/>
        </w:rPr>
        <w:t xml:space="preserve"> had lost his life due to speaking out of turn.</w:t>
      </w:r>
      <w:r w:rsidR="00195797">
        <w:rPr>
          <w:rStyle w:val="FootnoteReference"/>
          <w:rFonts w:cstheme="minorHAnsi"/>
        </w:rPr>
        <w:footnoteReference w:id="13"/>
      </w:r>
    </w:p>
    <w:p w14:paraId="683F2080" w14:textId="16713B6C" w:rsidR="0006256E" w:rsidRDefault="0006256E" w:rsidP="00BB6C07">
      <w:pPr>
        <w:spacing w:line="360" w:lineRule="auto"/>
        <w:rPr>
          <w:rFonts w:cstheme="minorHAnsi"/>
        </w:rPr>
      </w:pPr>
    </w:p>
    <w:p w14:paraId="110166FE" w14:textId="50CC22A9" w:rsidR="00195797" w:rsidRDefault="00195797" w:rsidP="00BB6C07">
      <w:pPr>
        <w:spacing w:line="360" w:lineRule="auto"/>
        <w:rPr>
          <w:rFonts w:cstheme="minorHAnsi"/>
        </w:rPr>
      </w:pPr>
      <w:r>
        <w:rPr>
          <w:rFonts w:cstheme="minorHAnsi"/>
        </w:rPr>
        <w:t xml:space="preserve">Quintus </w:t>
      </w:r>
      <w:proofErr w:type="spellStart"/>
      <w:r>
        <w:rPr>
          <w:rFonts w:cstheme="minorHAnsi"/>
        </w:rPr>
        <w:t>Curtius</w:t>
      </w:r>
      <w:proofErr w:type="spellEnd"/>
      <w:r>
        <w:rPr>
          <w:rFonts w:cstheme="minorHAnsi"/>
        </w:rPr>
        <w:t xml:space="preserve">’ account also differs from that of Arrian and Plutarch due to the inclusion of Achilles when identifying </w:t>
      </w:r>
      <w:r w:rsidR="00C2716A">
        <w:rPr>
          <w:rFonts w:cstheme="minorHAnsi"/>
        </w:rPr>
        <w:t>why Alexander had a “desire to marry Roxane”.</w:t>
      </w:r>
      <w:r w:rsidR="00C2716A">
        <w:rPr>
          <w:rStyle w:val="FootnoteReference"/>
          <w:rFonts w:cstheme="minorHAnsi"/>
        </w:rPr>
        <w:footnoteReference w:id="14"/>
      </w:r>
      <w:r w:rsidR="00C2716A">
        <w:rPr>
          <w:rFonts w:cstheme="minorHAnsi"/>
        </w:rPr>
        <w:t xml:space="preserve"> </w:t>
      </w:r>
      <w:r w:rsidR="00DD3C62">
        <w:rPr>
          <w:rFonts w:cstheme="minorHAnsi"/>
        </w:rPr>
        <w:t xml:space="preserve">He notes that Achilles was an ancestor of </w:t>
      </w:r>
      <w:r w:rsidR="00E43552">
        <w:rPr>
          <w:rFonts w:cstheme="minorHAnsi"/>
        </w:rPr>
        <w:t>Alexander,</w:t>
      </w:r>
      <w:r w:rsidR="00DD3C62">
        <w:rPr>
          <w:rFonts w:cstheme="minorHAnsi"/>
        </w:rPr>
        <w:t xml:space="preserve"> and t</w:t>
      </w:r>
      <w:r w:rsidR="006B65A2">
        <w:rPr>
          <w:rFonts w:cstheme="minorHAnsi"/>
        </w:rPr>
        <w:t xml:space="preserve">his further develops </w:t>
      </w:r>
      <w:r w:rsidR="00E43552">
        <w:rPr>
          <w:rFonts w:cstheme="minorHAnsi"/>
        </w:rPr>
        <w:t>the descendant’s</w:t>
      </w:r>
      <w:r w:rsidR="006B65A2">
        <w:rPr>
          <w:rFonts w:cstheme="minorHAnsi"/>
        </w:rPr>
        <w:t xml:space="preserve"> supposed obsession with the epic hero.</w:t>
      </w:r>
      <w:r w:rsidR="00302F5F">
        <w:rPr>
          <w:rFonts w:cstheme="minorHAnsi"/>
        </w:rPr>
        <w:t xml:space="preserve"> Arrian’s account did not exist to glorify Alexander’s physical relationships, but instead focused on Alexander’s military</w:t>
      </w:r>
      <w:r w:rsidR="00D1148C">
        <w:rPr>
          <w:rFonts w:cstheme="minorHAnsi"/>
        </w:rPr>
        <w:t xml:space="preserve"> conquests connecting him to Darius the Great. This then </w:t>
      </w:r>
      <w:r w:rsidR="00F80A09">
        <w:rPr>
          <w:rFonts w:cstheme="minorHAnsi"/>
        </w:rPr>
        <w:t>couples</w:t>
      </w:r>
      <w:r w:rsidR="00D1148C">
        <w:rPr>
          <w:rFonts w:cstheme="minorHAnsi"/>
        </w:rPr>
        <w:t xml:space="preserve"> Quintus </w:t>
      </w:r>
      <w:proofErr w:type="spellStart"/>
      <w:r w:rsidR="00D1148C">
        <w:rPr>
          <w:rFonts w:cstheme="minorHAnsi"/>
        </w:rPr>
        <w:t>Curtius</w:t>
      </w:r>
      <w:proofErr w:type="spellEnd"/>
      <w:r w:rsidR="00D1148C">
        <w:rPr>
          <w:rFonts w:cstheme="minorHAnsi"/>
        </w:rPr>
        <w:t>’ account to Arrian through the inclusion of the Persian king</w:t>
      </w:r>
      <w:r w:rsidR="00F80A09">
        <w:rPr>
          <w:rFonts w:cstheme="minorHAnsi"/>
        </w:rPr>
        <w:t xml:space="preserve"> and the beauty of their wives</w:t>
      </w:r>
      <w:r w:rsidR="00D1148C">
        <w:rPr>
          <w:rFonts w:cstheme="minorHAnsi"/>
        </w:rPr>
        <w:t>.</w:t>
      </w:r>
      <w:r w:rsidR="00F80A09">
        <w:rPr>
          <w:rStyle w:val="FootnoteReference"/>
          <w:rFonts w:cstheme="minorHAnsi"/>
        </w:rPr>
        <w:footnoteReference w:id="15"/>
      </w:r>
      <w:r w:rsidR="00D1148C">
        <w:rPr>
          <w:rFonts w:cstheme="minorHAnsi"/>
        </w:rPr>
        <w:t xml:space="preserve"> </w:t>
      </w:r>
    </w:p>
    <w:p w14:paraId="0D29343E" w14:textId="00C5F808" w:rsidR="0069086C" w:rsidRPr="0069086C" w:rsidRDefault="0069086C" w:rsidP="00BB6C07">
      <w:pPr>
        <w:spacing w:line="360" w:lineRule="auto"/>
      </w:pPr>
    </w:p>
    <w:p w14:paraId="45C905A6" w14:textId="5C20B06B" w:rsidR="0042448D" w:rsidRDefault="007439AD" w:rsidP="00BB6C07">
      <w:pPr>
        <w:spacing w:line="360" w:lineRule="auto"/>
      </w:pPr>
      <w:r>
        <w:t>The original encounter of Alexander and Roxanne is definitely one that suggests the ruler’s character through his immediate infatuation with his first love, whom he remained married too until his death in 3</w:t>
      </w:r>
      <w:r w:rsidR="00AE4DA7">
        <w:t>23 BCE. The sources seek to mould the narrative in a way that best fits their purpose of writing</w:t>
      </w:r>
      <w:r w:rsidR="00166C92">
        <w:t>,</w:t>
      </w:r>
      <w:r w:rsidR="00AE4DA7">
        <w:t xml:space="preserve"> </w:t>
      </w:r>
      <w:r w:rsidR="006B65A2">
        <w:t>whether that be to glorify Alexander or to suggest his weaknesses and warn the future of the Roman empire what his negative traits were.</w:t>
      </w:r>
      <w:r w:rsidR="00B648E6">
        <w:t xml:space="preserve"> Despite varying differences among the passages, all of the sources are certain that Alexander fell in love with Roxanne because of her beauty.</w:t>
      </w:r>
      <w:r w:rsidR="00B648E6">
        <w:rPr>
          <w:rStyle w:val="FootnoteReference"/>
        </w:rPr>
        <w:footnoteReference w:id="16"/>
      </w:r>
      <w:r w:rsidR="00A84217">
        <w:t xml:space="preserve"> This common ground throughout the accounts adds to the reliability of this being the truth. However, that is not to say that the omission of some scenarios within the instantiations means that it is not the whole truth, instead it reinstates how authors pick and choose what they publish in order to impact the audience in which they are targeting.</w:t>
      </w:r>
      <w:r w:rsidR="0042448D">
        <w:br w:type="page"/>
      </w:r>
    </w:p>
    <w:p w14:paraId="023ECCAE" w14:textId="2B7415D5" w:rsidR="0069086C" w:rsidRDefault="0069086C" w:rsidP="0069086C">
      <w:r>
        <w:lastRenderedPageBreak/>
        <w:t>Bibliography</w:t>
      </w:r>
    </w:p>
    <w:p w14:paraId="4705BD4B" w14:textId="119F742E" w:rsidR="0069086C" w:rsidRDefault="0069086C" w:rsidP="0069086C"/>
    <w:p w14:paraId="2D38B765" w14:textId="03A9FDA3" w:rsidR="0042448D" w:rsidRDefault="0042448D" w:rsidP="0069086C">
      <w:r>
        <w:t>Ancient:</w:t>
      </w:r>
    </w:p>
    <w:p w14:paraId="0830EA15" w14:textId="03BF4542" w:rsidR="0069086C" w:rsidRDefault="0069086C" w:rsidP="0069086C"/>
    <w:p w14:paraId="5BD0B3B1" w14:textId="0805371E" w:rsidR="0069086C" w:rsidRDefault="0069086C" w:rsidP="0069086C">
      <w:r>
        <w:t xml:space="preserve">Plutarch, </w:t>
      </w:r>
      <w:r>
        <w:rPr>
          <w:i/>
          <w:iCs/>
        </w:rPr>
        <w:t>Lives.</w:t>
      </w:r>
      <w:r>
        <w:t xml:space="preserve"> </w:t>
      </w:r>
      <w:r w:rsidR="00F55922">
        <w:t xml:space="preserve">B. Perrin (trans.). 1919. London: Harvard University Press </w:t>
      </w:r>
    </w:p>
    <w:p w14:paraId="4B201F5D" w14:textId="2A6005BB" w:rsidR="00F55922" w:rsidRDefault="00F55922" w:rsidP="0069086C"/>
    <w:p w14:paraId="40C8B3B2" w14:textId="69843C2D" w:rsidR="00F55922" w:rsidRPr="00F55922" w:rsidRDefault="00F55922" w:rsidP="0069086C">
      <w:r>
        <w:t xml:space="preserve">Quintus </w:t>
      </w:r>
      <w:proofErr w:type="spellStart"/>
      <w:r>
        <w:t>Curtius</w:t>
      </w:r>
      <w:proofErr w:type="spellEnd"/>
      <w:r>
        <w:t xml:space="preserve">, </w:t>
      </w:r>
      <w:r>
        <w:rPr>
          <w:i/>
          <w:iCs/>
        </w:rPr>
        <w:t xml:space="preserve">History of Alexander Volume II. </w:t>
      </w:r>
      <w:r>
        <w:t xml:space="preserve">J. C. Rolfe (trans.). 1946. </w:t>
      </w:r>
    </w:p>
    <w:p w14:paraId="4AFE5926" w14:textId="1105835C" w:rsidR="0069086C" w:rsidRDefault="0069086C" w:rsidP="0069086C"/>
    <w:p w14:paraId="1B8D2150" w14:textId="1F764806" w:rsidR="00F55922" w:rsidRDefault="00F55922" w:rsidP="0069086C">
      <w:r>
        <w:t>Arrian</w:t>
      </w:r>
      <w:r w:rsidR="00E236DA">
        <w:t xml:space="preserve">, </w:t>
      </w:r>
      <w:r w:rsidR="00E236DA">
        <w:rPr>
          <w:i/>
          <w:iCs/>
        </w:rPr>
        <w:t xml:space="preserve">Anabasis of Alexander Volume I. </w:t>
      </w:r>
      <w:r w:rsidR="00E236DA">
        <w:t>P. A. Brunt (trans.). 1976</w:t>
      </w:r>
    </w:p>
    <w:p w14:paraId="58362CC6" w14:textId="43FCB039" w:rsidR="0042448D" w:rsidRDefault="0042448D" w:rsidP="0069086C"/>
    <w:p w14:paraId="5001470F" w14:textId="77777777" w:rsidR="005820B8" w:rsidRDefault="005820B8" w:rsidP="0069086C"/>
    <w:p w14:paraId="225EB8FB" w14:textId="67E3F228" w:rsidR="0042448D" w:rsidRDefault="0042448D" w:rsidP="0069086C">
      <w:r>
        <w:t>Scholarship:</w:t>
      </w:r>
    </w:p>
    <w:p w14:paraId="2ECDCAD7" w14:textId="27EB5992" w:rsidR="005820B8" w:rsidRDefault="005820B8" w:rsidP="0069086C"/>
    <w:p w14:paraId="0AD80A1D" w14:textId="56DB2368" w:rsidR="005820B8" w:rsidRPr="005820B8" w:rsidRDefault="005820B8" w:rsidP="0069086C">
      <w:r>
        <w:t xml:space="preserve">Beneker, J. (2012) </w:t>
      </w:r>
      <w:r>
        <w:rPr>
          <w:i/>
          <w:iCs/>
        </w:rPr>
        <w:t xml:space="preserve">The Passionate Statesman: Eros and Politics in Plutarch’s Lives. </w:t>
      </w:r>
      <w:r>
        <w:t xml:space="preserve">Oxford: Oxford University Press </w:t>
      </w:r>
    </w:p>
    <w:p w14:paraId="6B4F76AF" w14:textId="628906E1" w:rsidR="007172B8" w:rsidRDefault="007172B8" w:rsidP="0069086C"/>
    <w:p w14:paraId="3DD9CC2A" w14:textId="6B1DF373" w:rsidR="007172B8" w:rsidRDefault="007172B8" w:rsidP="0069086C">
      <w:r>
        <w:t xml:space="preserve">Carney, E. D. (1996) ‘Alexander and Persian Women’, </w:t>
      </w:r>
      <w:r>
        <w:rPr>
          <w:i/>
          <w:iCs/>
        </w:rPr>
        <w:t xml:space="preserve">The American Journal of Philology. </w:t>
      </w:r>
      <w:r>
        <w:t>117(4) pp. 563-583</w:t>
      </w:r>
    </w:p>
    <w:p w14:paraId="771166CE" w14:textId="71A1D98E" w:rsidR="005820B8" w:rsidRDefault="005820B8" w:rsidP="0069086C"/>
    <w:p w14:paraId="69240C01" w14:textId="765C0A1B" w:rsidR="005820B8" w:rsidRPr="005820B8" w:rsidRDefault="005820B8" w:rsidP="0069086C">
      <w:proofErr w:type="spellStart"/>
      <w:r>
        <w:t>Heckel</w:t>
      </w:r>
      <w:proofErr w:type="spellEnd"/>
      <w:r>
        <w:t xml:space="preserve">, W. (1994) ‘Notes on Q. </w:t>
      </w:r>
      <w:proofErr w:type="spellStart"/>
      <w:r>
        <w:t>Curtius</w:t>
      </w:r>
      <w:proofErr w:type="spellEnd"/>
      <w:r>
        <w:t xml:space="preserve"> Rufus’ “History of Alexander”’, </w:t>
      </w:r>
      <w:r>
        <w:rPr>
          <w:i/>
          <w:iCs/>
        </w:rPr>
        <w:t xml:space="preserve">Acta Classica. </w:t>
      </w:r>
      <w:r>
        <w:t>37. Pp. 67-78</w:t>
      </w:r>
    </w:p>
    <w:p w14:paraId="09C3737C" w14:textId="2A320CFA" w:rsidR="005B6E06" w:rsidRDefault="005B6E06" w:rsidP="0069086C"/>
    <w:p w14:paraId="5D289DBF" w14:textId="76D782D3" w:rsidR="005B6E06" w:rsidRPr="005B6E06" w:rsidRDefault="005B6E06" w:rsidP="0069086C">
      <w:r w:rsidRPr="005B6E06">
        <w:rPr>
          <w:rFonts w:cstheme="minorHAnsi"/>
          <w:color w:val="000000" w:themeColor="text1"/>
        </w:rPr>
        <w:t>Müller</w:t>
      </w:r>
      <w:r>
        <w:rPr>
          <w:rFonts w:cstheme="minorHAnsi"/>
          <w:color w:val="000000" w:themeColor="text1"/>
        </w:rPr>
        <w:t xml:space="preserve">, S. (2012) ‘Stories of the Persian Bride: Alexander and Roxane’ in, Stoneman, </w:t>
      </w:r>
      <w:r w:rsidRPr="007172B8">
        <w:rPr>
          <w:rFonts w:cstheme="minorHAnsi"/>
          <w:color w:val="000000" w:themeColor="text1"/>
        </w:rPr>
        <w:t>R. The Greek Alexander in Persia and the East</w:t>
      </w:r>
      <w:r>
        <w:rPr>
          <w:rFonts w:cstheme="minorHAnsi"/>
          <w:i/>
          <w:iCs/>
          <w:color w:val="000000" w:themeColor="text1"/>
        </w:rPr>
        <w:t xml:space="preserve">. </w:t>
      </w:r>
      <w:r>
        <w:rPr>
          <w:rFonts w:cstheme="minorHAnsi"/>
          <w:color w:val="000000" w:themeColor="text1"/>
        </w:rPr>
        <w:t>Pp. 295-310</w:t>
      </w:r>
    </w:p>
    <w:p w14:paraId="22C50A42" w14:textId="7C274DAE" w:rsidR="0042448D" w:rsidRDefault="0042448D" w:rsidP="0069086C"/>
    <w:p w14:paraId="0ADC05E6" w14:textId="6A910B83" w:rsidR="0042448D" w:rsidRDefault="0042448D" w:rsidP="0069086C">
      <w:r>
        <w:t xml:space="preserve">Powell, </w:t>
      </w:r>
      <w:r w:rsidR="0045040C">
        <w:t xml:space="preserve">J. E. (1939) ‘The Sources of Plutarch’s Alexander’, </w:t>
      </w:r>
      <w:r w:rsidR="0045040C">
        <w:rPr>
          <w:i/>
          <w:iCs/>
        </w:rPr>
        <w:t xml:space="preserve">The Journal of Hellenic Studies. </w:t>
      </w:r>
      <w:r w:rsidR="005B6E06">
        <w:t>59(2) pp.229-240</w:t>
      </w:r>
    </w:p>
    <w:p w14:paraId="59738EBC" w14:textId="41379C96" w:rsidR="007172B8" w:rsidRPr="007172B8" w:rsidRDefault="007172B8" w:rsidP="007172B8"/>
    <w:p w14:paraId="0D7EFB9D" w14:textId="19A5BCD7" w:rsidR="007172B8" w:rsidRPr="007172B8" w:rsidRDefault="007172B8" w:rsidP="007172B8">
      <w:proofErr w:type="spellStart"/>
      <w:r>
        <w:t>Vorhis</w:t>
      </w:r>
      <w:proofErr w:type="spellEnd"/>
      <w:r>
        <w:t xml:space="preserve">, J. G. (2017) ‘The Best of the Macedonians: Alexander as Achilles in Arrian, </w:t>
      </w:r>
      <w:proofErr w:type="spellStart"/>
      <w:r>
        <w:t>Curtius</w:t>
      </w:r>
      <w:proofErr w:type="spellEnd"/>
      <w:r>
        <w:t>, and Plutarch’ Dissertation. University of California, Los Angeles.</w:t>
      </w:r>
    </w:p>
    <w:p w14:paraId="76E1817F" w14:textId="77777777" w:rsidR="007172B8" w:rsidRPr="007172B8" w:rsidRDefault="007172B8" w:rsidP="007172B8"/>
    <w:sectPr w:rsidR="007172B8" w:rsidRPr="007172B8" w:rsidSect="00C9430C">
      <w:headerReference w:type="default" r:id="rId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F0E92B" w14:textId="77777777" w:rsidR="006F2F17" w:rsidRDefault="006F2F17" w:rsidP="0011164D">
      <w:r>
        <w:separator/>
      </w:r>
    </w:p>
  </w:endnote>
  <w:endnote w:type="continuationSeparator" w:id="0">
    <w:p w14:paraId="559CAE78" w14:textId="77777777" w:rsidR="006F2F17" w:rsidRDefault="006F2F17" w:rsidP="001116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275658" w14:textId="77777777" w:rsidR="006F2F17" w:rsidRDefault="006F2F17" w:rsidP="0011164D">
      <w:r>
        <w:separator/>
      </w:r>
    </w:p>
  </w:footnote>
  <w:footnote w:type="continuationSeparator" w:id="0">
    <w:p w14:paraId="639A416D" w14:textId="77777777" w:rsidR="006F2F17" w:rsidRDefault="006F2F17" w:rsidP="0011164D">
      <w:r>
        <w:continuationSeparator/>
      </w:r>
    </w:p>
  </w:footnote>
  <w:footnote w:id="1">
    <w:p w14:paraId="45F2AE3F" w14:textId="377F758F" w:rsidR="001F5443" w:rsidRDefault="001F5443">
      <w:pPr>
        <w:pStyle w:val="FootnoteText"/>
      </w:pPr>
      <w:r>
        <w:rPr>
          <w:rStyle w:val="FootnoteReference"/>
        </w:rPr>
        <w:footnoteRef/>
      </w:r>
      <w:r w:rsidR="00146549">
        <w:t>Curt. 8. 4. 21-30;</w:t>
      </w:r>
      <w:r>
        <w:t xml:space="preserve"> </w:t>
      </w:r>
      <w:r w:rsidR="0045040C">
        <w:t xml:space="preserve">Plut. Alex 47. 4; </w:t>
      </w:r>
      <w:r w:rsidR="00146549">
        <w:t>Arr. An 4. 19. 5-6</w:t>
      </w:r>
    </w:p>
  </w:footnote>
  <w:footnote w:id="2">
    <w:p w14:paraId="70AFEEFB" w14:textId="4010C102" w:rsidR="0011164D" w:rsidRDefault="0011164D">
      <w:pPr>
        <w:pStyle w:val="FootnoteText"/>
      </w:pPr>
      <w:r>
        <w:rPr>
          <w:rStyle w:val="FootnoteReference"/>
        </w:rPr>
        <w:footnoteRef/>
      </w:r>
      <w:r>
        <w:t xml:space="preserve"> Beneker, 2012: </w:t>
      </w:r>
      <w:r w:rsidR="001F5443">
        <w:t>129</w:t>
      </w:r>
    </w:p>
  </w:footnote>
  <w:footnote w:id="3">
    <w:p w14:paraId="367D03C9" w14:textId="5B9C3E00" w:rsidR="004A200B" w:rsidRDefault="004A200B">
      <w:pPr>
        <w:pStyle w:val="FootnoteText"/>
      </w:pPr>
      <w:r>
        <w:rPr>
          <w:rStyle w:val="FootnoteReference"/>
        </w:rPr>
        <w:footnoteRef/>
      </w:r>
      <w:r>
        <w:t xml:space="preserve"> Plut</w:t>
      </w:r>
      <w:r w:rsidR="00146549">
        <w:t>.</w:t>
      </w:r>
      <w:r>
        <w:t xml:space="preserve"> Alex 47. 4</w:t>
      </w:r>
    </w:p>
  </w:footnote>
  <w:footnote w:id="4">
    <w:p w14:paraId="3B42B067" w14:textId="792B6A71" w:rsidR="0042448D" w:rsidRDefault="0042448D">
      <w:pPr>
        <w:pStyle w:val="FootnoteText"/>
      </w:pPr>
      <w:r>
        <w:rPr>
          <w:rStyle w:val="FootnoteReference"/>
        </w:rPr>
        <w:footnoteRef/>
      </w:r>
      <w:r>
        <w:t xml:space="preserve"> Powell, 1939: 229</w:t>
      </w:r>
    </w:p>
  </w:footnote>
  <w:footnote w:id="5">
    <w:p w14:paraId="3F8A1085" w14:textId="19F2CB00" w:rsidR="008065C2" w:rsidRDefault="008065C2">
      <w:pPr>
        <w:pStyle w:val="FootnoteText"/>
      </w:pPr>
      <w:r>
        <w:rPr>
          <w:rStyle w:val="FootnoteReference"/>
        </w:rPr>
        <w:footnoteRef/>
      </w:r>
      <w:r>
        <w:t xml:space="preserve"> Plut. Alex 47. 4</w:t>
      </w:r>
    </w:p>
  </w:footnote>
  <w:footnote w:id="6">
    <w:p w14:paraId="60CA27C5" w14:textId="391568B9" w:rsidR="00DE4AEE" w:rsidRDefault="00DE4AEE">
      <w:pPr>
        <w:pStyle w:val="FootnoteText"/>
      </w:pPr>
      <w:r>
        <w:rPr>
          <w:rStyle w:val="FootnoteReference"/>
        </w:rPr>
        <w:footnoteRef/>
      </w:r>
      <w:r>
        <w:t xml:space="preserve"> Curt. 8. 4. 25</w:t>
      </w:r>
    </w:p>
  </w:footnote>
  <w:footnote w:id="7">
    <w:p w14:paraId="5BE0E368" w14:textId="77D6676E" w:rsidR="00B5612B" w:rsidRDefault="00B5612B">
      <w:pPr>
        <w:pStyle w:val="FootnoteText"/>
      </w:pPr>
      <w:r>
        <w:rPr>
          <w:rStyle w:val="FootnoteReference"/>
        </w:rPr>
        <w:footnoteRef/>
      </w:r>
      <w:r>
        <w:t xml:space="preserve"> Carney, 1996: 576</w:t>
      </w:r>
    </w:p>
  </w:footnote>
  <w:footnote w:id="8">
    <w:p w14:paraId="0F034E79" w14:textId="1206B579" w:rsidR="00B5612B" w:rsidRDefault="00B5612B">
      <w:pPr>
        <w:pStyle w:val="FootnoteText"/>
      </w:pPr>
      <w:r>
        <w:rPr>
          <w:rStyle w:val="FootnoteReference"/>
        </w:rPr>
        <w:footnoteRef/>
      </w:r>
      <w:r>
        <w:t xml:space="preserve"> Powell, 1939: 231</w:t>
      </w:r>
    </w:p>
  </w:footnote>
  <w:footnote w:id="9">
    <w:p w14:paraId="4702CA90" w14:textId="51C292A8" w:rsidR="00DE4AEE" w:rsidRDefault="00DE4AEE">
      <w:pPr>
        <w:pStyle w:val="FootnoteText"/>
      </w:pPr>
      <w:r>
        <w:rPr>
          <w:rStyle w:val="FootnoteReference"/>
        </w:rPr>
        <w:footnoteRef/>
      </w:r>
      <w:r>
        <w:t xml:space="preserve"> Plut. Alex 47. 4; Arr. An. 4. 19. 6</w:t>
      </w:r>
    </w:p>
  </w:footnote>
  <w:footnote w:id="10">
    <w:p w14:paraId="444DEB51" w14:textId="758648C0" w:rsidR="008970A4" w:rsidRDefault="008970A4">
      <w:pPr>
        <w:pStyle w:val="FootnoteText"/>
      </w:pPr>
      <w:r>
        <w:rPr>
          <w:rStyle w:val="FootnoteReference"/>
        </w:rPr>
        <w:footnoteRef/>
      </w:r>
      <w:r>
        <w:t xml:space="preserve"> Curt. 8. 4. 24-25</w:t>
      </w:r>
    </w:p>
  </w:footnote>
  <w:footnote w:id="11">
    <w:p w14:paraId="78E140AF" w14:textId="76752200" w:rsidR="00217DB9" w:rsidRDefault="00217DB9">
      <w:pPr>
        <w:pStyle w:val="FootnoteText"/>
      </w:pPr>
      <w:r>
        <w:rPr>
          <w:rStyle w:val="FootnoteReference"/>
        </w:rPr>
        <w:footnoteRef/>
      </w:r>
      <w:r>
        <w:t xml:space="preserve"> </w:t>
      </w:r>
      <w:r>
        <w:t xml:space="preserve">Curt. 8. 4. </w:t>
      </w:r>
      <w:r>
        <w:t>30</w:t>
      </w:r>
    </w:p>
  </w:footnote>
  <w:footnote w:id="12">
    <w:p w14:paraId="3E8239C6" w14:textId="2F26651C" w:rsidR="006826D1" w:rsidRDefault="006826D1">
      <w:pPr>
        <w:pStyle w:val="FootnoteText"/>
      </w:pPr>
      <w:r>
        <w:rPr>
          <w:rStyle w:val="FootnoteReference"/>
        </w:rPr>
        <w:footnoteRef/>
      </w:r>
      <w:r>
        <w:t xml:space="preserve"> Carney, 1996: 571</w:t>
      </w:r>
    </w:p>
  </w:footnote>
  <w:footnote w:id="13">
    <w:p w14:paraId="3D3F53DF" w14:textId="549BD3E2" w:rsidR="00195797" w:rsidRDefault="00195797">
      <w:pPr>
        <w:pStyle w:val="FootnoteText"/>
      </w:pPr>
      <w:r>
        <w:rPr>
          <w:rStyle w:val="FootnoteReference"/>
        </w:rPr>
        <w:footnoteRef/>
      </w:r>
      <w:r>
        <w:t xml:space="preserve"> </w:t>
      </w:r>
      <w:proofErr w:type="spellStart"/>
      <w:r>
        <w:t>Heckel</w:t>
      </w:r>
      <w:proofErr w:type="spellEnd"/>
      <w:r>
        <w:t>, 1994: 74</w:t>
      </w:r>
      <w:r w:rsidR="00C2716A">
        <w:t>; Curt. 8. 4. 30</w:t>
      </w:r>
    </w:p>
  </w:footnote>
  <w:footnote w:id="14">
    <w:p w14:paraId="7AE5470D" w14:textId="171C7B45" w:rsidR="00C2716A" w:rsidRDefault="00C2716A">
      <w:pPr>
        <w:pStyle w:val="FootnoteText"/>
      </w:pPr>
      <w:r>
        <w:rPr>
          <w:rStyle w:val="FootnoteReference"/>
        </w:rPr>
        <w:footnoteRef/>
      </w:r>
      <w:r>
        <w:t xml:space="preserve"> </w:t>
      </w:r>
      <w:proofErr w:type="spellStart"/>
      <w:r>
        <w:t>Heckel</w:t>
      </w:r>
      <w:proofErr w:type="spellEnd"/>
      <w:r>
        <w:t>, 1994: 74; Curt. 8. 4. 26</w:t>
      </w:r>
    </w:p>
  </w:footnote>
  <w:footnote w:id="15">
    <w:p w14:paraId="25FCDBFE" w14:textId="7F05D667" w:rsidR="00F80A09" w:rsidRDefault="00F80A09">
      <w:pPr>
        <w:pStyle w:val="FootnoteText"/>
      </w:pPr>
      <w:r>
        <w:rPr>
          <w:rStyle w:val="FootnoteReference"/>
        </w:rPr>
        <w:footnoteRef/>
      </w:r>
      <w:r>
        <w:t xml:space="preserve"> Curt. 8. 4. 25; Arr. An. 4. 19. 6</w:t>
      </w:r>
    </w:p>
  </w:footnote>
  <w:footnote w:id="16">
    <w:p w14:paraId="57B95992" w14:textId="34E0FF8A" w:rsidR="00B648E6" w:rsidRPr="00B648E6" w:rsidRDefault="00B648E6">
      <w:pPr>
        <w:pStyle w:val="FootnoteText"/>
      </w:pPr>
      <w:r w:rsidRPr="00B648E6">
        <w:rPr>
          <w:rStyle w:val="FootnoteReference"/>
        </w:rPr>
        <w:footnoteRef/>
      </w:r>
      <w:r w:rsidRPr="00B648E6">
        <w:t xml:space="preserve"> </w:t>
      </w:r>
      <w:r w:rsidRPr="00B648E6">
        <w:rPr>
          <w:rFonts w:cstheme="minorHAnsi"/>
          <w:color w:val="000000" w:themeColor="text1"/>
        </w:rPr>
        <w:t>Müller</w:t>
      </w:r>
      <w:r>
        <w:rPr>
          <w:rFonts w:cstheme="minorHAnsi"/>
          <w:color w:val="000000" w:themeColor="text1"/>
        </w:rPr>
        <w:t>, 2012: 296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3EEB3" w14:textId="77777777" w:rsidR="001E45DE" w:rsidRDefault="001F5443" w:rsidP="001E45DE">
    <w:pPr>
      <w:pStyle w:val="NormalWeb"/>
      <w:spacing w:before="0" w:beforeAutospacing="0" w:after="0" w:afterAutospacing="0"/>
      <w:rPr>
        <w:rFonts w:asciiTheme="minorHAnsi" w:hAnsiTheme="minorHAnsi" w:cstheme="minorHAnsi"/>
        <w:color w:val="000000"/>
      </w:rPr>
    </w:pPr>
    <w:r w:rsidRPr="001F5443">
      <w:rPr>
        <w:rFonts w:asciiTheme="minorHAnsi" w:hAnsiTheme="minorHAnsi" w:cstheme="minorHAnsi"/>
        <w:color w:val="000000"/>
      </w:rPr>
      <w:t>Feryn Walmsley-1901540</w:t>
    </w:r>
  </w:p>
  <w:p w14:paraId="27519BA4" w14:textId="122EE355" w:rsidR="001F5443" w:rsidRDefault="001F5443" w:rsidP="001E45DE">
    <w:pPr>
      <w:pStyle w:val="NormalWeb"/>
      <w:spacing w:before="0" w:beforeAutospacing="0" w:after="0" w:afterAutospacing="0"/>
      <w:rPr>
        <w:rFonts w:asciiTheme="minorHAnsi" w:hAnsiTheme="minorHAnsi" w:cstheme="minorHAnsi"/>
        <w:color w:val="000000"/>
      </w:rPr>
    </w:pPr>
    <w:r w:rsidRPr="001F5443">
      <w:rPr>
        <w:rFonts w:asciiTheme="minorHAnsi" w:hAnsiTheme="minorHAnsi" w:cstheme="minorHAnsi"/>
        <w:color w:val="000000"/>
      </w:rPr>
      <w:t>HPAH6059-Assignment 1</w:t>
    </w:r>
  </w:p>
  <w:p w14:paraId="754C6A8F" w14:textId="32D8195C" w:rsidR="001F5443" w:rsidRPr="001F5443" w:rsidRDefault="001F5443" w:rsidP="001F5443">
    <w:pPr>
      <w:pStyle w:val="NormalWeb"/>
      <w:rPr>
        <w:rFonts w:asciiTheme="minorHAnsi" w:hAnsiTheme="minorHAnsi" w:cstheme="minorHAnsi"/>
        <w:color w:val="000000"/>
      </w:rPr>
    </w:pPr>
    <w:r w:rsidRPr="001F5443">
      <w:rPr>
        <w:rFonts w:asciiTheme="minorHAnsi" w:hAnsiTheme="minorHAnsi" w:cstheme="minorHAnsi"/>
        <w:color w:val="000000"/>
      </w:rPr>
      <w:t xml:space="preserve">Give a detailed account of Alexander’s relationship with Roxanne in the sources and include analysis of reasons for the differences. Focus upon Quintus </w:t>
    </w:r>
    <w:proofErr w:type="spellStart"/>
    <w:r w:rsidRPr="001F5443">
      <w:rPr>
        <w:rFonts w:asciiTheme="minorHAnsi" w:hAnsiTheme="minorHAnsi" w:cstheme="minorHAnsi"/>
        <w:color w:val="000000"/>
      </w:rPr>
      <w:t>Curtius</w:t>
    </w:r>
    <w:proofErr w:type="spellEnd"/>
    <w:r w:rsidRPr="001F5443">
      <w:rPr>
        <w:rFonts w:asciiTheme="minorHAnsi" w:hAnsiTheme="minorHAnsi" w:cstheme="minorHAnsi"/>
        <w:color w:val="000000"/>
      </w:rPr>
      <w:t xml:space="preserve"> Rufus </w:t>
    </w:r>
    <w:r w:rsidRPr="001F5443">
      <w:rPr>
        <w:rFonts w:asciiTheme="minorHAnsi" w:hAnsiTheme="minorHAnsi" w:cstheme="minorHAnsi"/>
      </w:rPr>
      <w:t>8.4.21-</w:t>
    </w:r>
    <w:proofErr w:type="gramStart"/>
    <w:r w:rsidRPr="001F5443">
      <w:rPr>
        <w:rFonts w:asciiTheme="minorHAnsi" w:hAnsiTheme="minorHAnsi" w:cstheme="minorHAnsi"/>
      </w:rPr>
      <w:t>30;</w:t>
    </w:r>
    <w:proofErr w:type="gramEnd"/>
    <w:r w:rsidRPr="001F5443">
      <w:rPr>
        <w:rFonts w:asciiTheme="minorHAnsi" w:hAnsiTheme="minorHAnsi" w:cstheme="minorHAnsi"/>
      </w:rPr>
      <w:t xml:space="preserve"> </w:t>
    </w:r>
    <w:r w:rsidRPr="001F5443">
      <w:rPr>
        <w:rFonts w:asciiTheme="minorHAnsi" w:hAnsiTheme="minorHAnsi" w:cstheme="minorHAnsi"/>
        <w:color w:val="000000"/>
      </w:rPr>
      <w:t xml:space="preserve">Plutarch </w:t>
    </w:r>
    <w:r w:rsidRPr="001F5443">
      <w:rPr>
        <w:rFonts w:asciiTheme="minorHAnsi" w:hAnsiTheme="minorHAnsi" w:cstheme="minorHAnsi"/>
        <w:i/>
        <w:iCs/>
        <w:color w:val="000000"/>
      </w:rPr>
      <w:t>Alex</w:t>
    </w:r>
    <w:r w:rsidRPr="001F5443">
      <w:rPr>
        <w:rFonts w:asciiTheme="minorHAnsi" w:hAnsiTheme="minorHAnsi" w:cstheme="minorHAnsi"/>
        <w:color w:val="000000"/>
      </w:rPr>
      <w:t xml:space="preserve">. 47.4; Arrian 4.19.5-6.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CB39D2"/>
    <w:multiLevelType w:val="multilevel"/>
    <w:tmpl w:val="F0CA0704"/>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num w:numId="1" w16cid:durableId="21295413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3249"/>
    <w:rsid w:val="00054D0B"/>
    <w:rsid w:val="0006256E"/>
    <w:rsid w:val="000A4503"/>
    <w:rsid w:val="000E6D7B"/>
    <w:rsid w:val="0011164D"/>
    <w:rsid w:val="00146549"/>
    <w:rsid w:val="00166C92"/>
    <w:rsid w:val="00195797"/>
    <w:rsid w:val="00195FAD"/>
    <w:rsid w:val="001E45DE"/>
    <w:rsid w:val="001E6894"/>
    <w:rsid w:val="001F5443"/>
    <w:rsid w:val="00217DB9"/>
    <w:rsid w:val="00302F5F"/>
    <w:rsid w:val="0042448D"/>
    <w:rsid w:val="0045040C"/>
    <w:rsid w:val="00486D30"/>
    <w:rsid w:val="004A200B"/>
    <w:rsid w:val="005820B8"/>
    <w:rsid w:val="005B6E06"/>
    <w:rsid w:val="00663FED"/>
    <w:rsid w:val="006826D1"/>
    <w:rsid w:val="0069086C"/>
    <w:rsid w:val="006B65A2"/>
    <w:rsid w:val="006F2F17"/>
    <w:rsid w:val="007172B8"/>
    <w:rsid w:val="007439AD"/>
    <w:rsid w:val="00791F6B"/>
    <w:rsid w:val="008065C2"/>
    <w:rsid w:val="00830118"/>
    <w:rsid w:val="00887B53"/>
    <w:rsid w:val="008970A4"/>
    <w:rsid w:val="008D2E82"/>
    <w:rsid w:val="00952A04"/>
    <w:rsid w:val="009B4717"/>
    <w:rsid w:val="00A55B81"/>
    <w:rsid w:val="00A84217"/>
    <w:rsid w:val="00AE4DA7"/>
    <w:rsid w:val="00B5612B"/>
    <w:rsid w:val="00B648E6"/>
    <w:rsid w:val="00BB6C07"/>
    <w:rsid w:val="00BE24B7"/>
    <w:rsid w:val="00C12537"/>
    <w:rsid w:val="00C2716A"/>
    <w:rsid w:val="00C41D54"/>
    <w:rsid w:val="00C5664F"/>
    <w:rsid w:val="00C9430C"/>
    <w:rsid w:val="00D1148C"/>
    <w:rsid w:val="00D77914"/>
    <w:rsid w:val="00DA1F09"/>
    <w:rsid w:val="00DD3C62"/>
    <w:rsid w:val="00DE4AEE"/>
    <w:rsid w:val="00E236DA"/>
    <w:rsid w:val="00E43552"/>
    <w:rsid w:val="00E54149"/>
    <w:rsid w:val="00E643ED"/>
    <w:rsid w:val="00EA381E"/>
    <w:rsid w:val="00EC5584"/>
    <w:rsid w:val="00EF3249"/>
    <w:rsid w:val="00F07E41"/>
    <w:rsid w:val="00F55922"/>
    <w:rsid w:val="00F80A09"/>
    <w:rsid w:val="00FA58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EE02266"/>
  <w15:chartTrackingRefBased/>
  <w15:docId w15:val="{FC5195CE-3E67-1D4C-9536-B92AD7FD60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9086C"/>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69086C"/>
    <w:pPr>
      <w:spacing w:before="100" w:beforeAutospacing="1" w:after="100" w:afterAutospacing="1"/>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69086C"/>
    <w:pPr>
      <w:spacing w:before="100" w:beforeAutospacing="1" w:after="100" w:afterAutospacing="1"/>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69086C"/>
    <w:pPr>
      <w:spacing w:before="100" w:beforeAutospacing="1" w:after="100" w:afterAutospacing="1"/>
      <w:outlineLvl w:val="3"/>
    </w:pPr>
    <w:rPr>
      <w:rFonts w:ascii="Times New Roman" w:eastAsia="Times New Roman" w:hAnsi="Times New Roman" w:cs="Times New Roman"/>
      <w:b/>
      <w:bCs/>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F324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semiHidden/>
    <w:unhideWhenUsed/>
    <w:rsid w:val="009B4717"/>
    <w:rPr>
      <w:color w:val="0000FF"/>
      <w:u w:val="single"/>
    </w:rPr>
  </w:style>
  <w:style w:type="character" w:customStyle="1" w:styleId="apple-converted-space">
    <w:name w:val="apple-converted-space"/>
    <w:basedOn w:val="DefaultParagraphFont"/>
    <w:rsid w:val="009B4717"/>
  </w:style>
  <w:style w:type="character" w:customStyle="1" w:styleId="marginnote">
    <w:name w:val="marginnote"/>
    <w:basedOn w:val="DefaultParagraphFont"/>
    <w:rsid w:val="009B4717"/>
  </w:style>
  <w:style w:type="character" w:customStyle="1" w:styleId="sc">
    <w:name w:val="sc"/>
    <w:basedOn w:val="DefaultParagraphFont"/>
    <w:rsid w:val="009B4717"/>
  </w:style>
  <w:style w:type="character" w:customStyle="1" w:styleId="innermarginnote">
    <w:name w:val="innermarginnote"/>
    <w:basedOn w:val="DefaultParagraphFont"/>
    <w:rsid w:val="009B4717"/>
  </w:style>
  <w:style w:type="paragraph" w:customStyle="1" w:styleId="noindent">
    <w:name w:val="noindent"/>
    <w:basedOn w:val="Normal"/>
    <w:rsid w:val="00EC5584"/>
    <w:pPr>
      <w:spacing w:before="100" w:beforeAutospacing="1" w:after="100" w:afterAutospacing="1"/>
    </w:pPr>
    <w:rPr>
      <w:rFonts w:ascii="Times New Roman" w:eastAsia="Times New Roman" w:hAnsi="Times New Roman" w:cs="Times New Roman"/>
      <w:lang w:eastAsia="en-GB"/>
    </w:rPr>
  </w:style>
  <w:style w:type="character" w:customStyle="1" w:styleId="linenumber">
    <w:name w:val="linenumber"/>
    <w:basedOn w:val="DefaultParagraphFont"/>
    <w:rsid w:val="00EC5584"/>
  </w:style>
  <w:style w:type="character" w:customStyle="1" w:styleId="english">
    <w:name w:val="english"/>
    <w:basedOn w:val="DefaultParagraphFont"/>
    <w:rsid w:val="0069086C"/>
  </w:style>
  <w:style w:type="character" w:customStyle="1" w:styleId="Heading1Char">
    <w:name w:val="Heading 1 Char"/>
    <w:basedOn w:val="DefaultParagraphFont"/>
    <w:link w:val="Heading1"/>
    <w:uiPriority w:val="9"/>
    <w:rsid w:val="0069086C"/>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69086C"/>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69086C"/>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69086C"/>
    <w:rPr>
      <w:rFonts w:ascii="Times New Roman" w:eastAsia="Times New Roman" w:hAnsi="Times New Roman" w:cs="Times New Roman"/>
      <w:b/>
      <w:bCs/>
      <w:lang w:eastAsia="en-GB"/>
    </w:rPr>
  </w:style>
  <w:style w:type="paragraph" w:styleId="FootnoteText">
    <w:name w:val="footnote text"/>
    <w:basedOn w:val="Normal"/>
    <w:link w:val="FootnoteTextChar"/>
    <w:uiPriority w:val="99"/>
    <w:semiHidden/>
    <w:unhideWhenUsed/>
    <w:rsid w:val="0011164D"/>
    <w:rPr>
      <w:sz w:val="20"/>
      <w:szCs w:val="20"/>
    </w:rPr>
  </w:style>
  <w:style w:type="character" w:customStyle="1" w:styleId="FootnoteTextChar">
    <w:name w:val="Footnote Text Char"/>
    <w:basedOn w:val="DefaultParagraphFont"/>
    <w:link w:val="FootnoteText"/>
    <w:uiPriority w:val="99"/>
    <w:semiHidden/>
    <w:rsid w:val="0011164D"/>
    <w:rPr>
      <w:sz w:val="20"/>
      <w:szCs w:val="20"/>
    </w:rPr>
  </w:style>
  <w:style w:type="character" w:styleId="FootnoteReference">
    <w:name w:val="footnote reference"/>
    <w:basedOn w:val="DefaultParagraphFont"/>
    <w:uiPriority w:val="99"/>
    <w:semiHidden/>
    <w:unhideWhenUsed/>
    <w:rsid w:val="0011164D"/>
    <w:rPr>
      <w:vertAlign w:val="superscript"/>
    </w:rPr>
  </w:style>
  <w:style w:type="paragraph" w:styleId="Header">
    <w:name w:val="header"/>
    <w:basedOn w:val="Normal"/>
    <w:link w:val="HeaderChar"/>
    <w:uiPriority w:val="99"/>
    <w:unhideWhenUsed/>
    <w:rsid w:val="001F5443"/>
    <w:pPr>
      <w:tabs>
        <w:tab w:val="center" w:pos="4513"/>
        <w:tab w:val="right" w:pos="9026"/>
      </w:tabs>
    </w:pPr>
  </w:style>
  <w:style w:type="character" w:customStyle="1" w:styleId="HeaderChar">
    <w:name w:val="Header Char"/>
    <w:basedOn w:val="DefaultParagraphFont"/>
    <w:link w:val="Header"/>
    <w:uiPriority w:val="99"/>
    <w:rsid w:val="001F5443"/>
  </w:style>
  <w:style w:type="paragraph" w:styleId="Footer">
    <w:name w:val="footer"/>
    <w:basedOn w:val="Normal"/>
    <w:link w:val="FooterChar"/>
    <w:uiPriority w:val="99"/>
    <w:unhideWhenUsed/>
    <w:rsid w:val="001F5443"/>
    <w:pPr>
      <w:tabs>
        <w:tab w:val="center" w:pos="4513"/>
        <w:tab w:val="right" w:pos="9026"/>
      </w:tabs>
    </w:pPr>
  </w:style>
  <w:style w:type="character" w:customStyle="1" w:styleId="FooterChar">
    <w:name w:val="Footer Char"/>
    <w:basedOn w:val="DefaultParagraphFont"/>
    <w:link w:val="Footer"/>
    <w:uiPriority w:val="99"/>
    <w:rsid w:val="001F5443"/>
  </w:style>
  <w:style w:type="paragraph" w:customStyle="1" w:styleId="trt0xe">
    <w:name w:val="trt0xe"/>
    <w:basedOn w:val="Normal"/>
    <w:rsid w:val="007172B8"/>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597623">
      <w:bodyDiv w:val="1"/>
      <w:marLeft w:val="0"/>
      <w:marRight w:val="0"/>
      <w:marTop w:val="0"/>
      <w:marBottom w:val="0"/>
      <w:divBdr>
        <w:top w:val="none" w:sz="0" w:space="0" w:color="auto"/>
        <w:left w:val="none" w:sz="0" w:space="0" w:color="auto"/>
        <w:bottom w:val="none" w:sz="0" w:space="0" w:color="auto"/>
        <w:right w:val="none" w:sz="0" w:space="0" w:color="auto"/>
      </w:divBdr>
    </w:div>
    <w:div w:id="158280424">
      <w:bodyDiv w:val="1"/>
      <w:marLeft w:val="0"/>
      <w:marRight w:val="0"/>
      <w:marTop w:val="0"/>
      <w:marBottom w:val="0"/>
      <w:divBdr>
        <w:top w:val="none" w:sz="0" w:space="0" w:color="auto"/>
        <w:left w:val="none" w:sz="0" w:space="0" w:color="auto"/>
        <w:bottom w:val="none" w:sz="0" w:space="0" w:color="auto"/>
        <w:right w:val="none" w:sz="0" w:space="0" w:color="auto"/>
      </w:divBdr>
      <w:divsChild>
        <w:div w:id="1042093458">
          <w:marLeft w:val="0"/>
          <w:marRight w:val="0"/>
          <w:marTop w:val="0"/>
          <w:marBottom w:val="0"/>
          <w:divBdr>
            <w:top w:val="none" w:sz="0" w:space="0" w:color="auto"/>
            <w:left w:val="none" w:sz="0" w:space="0" w:color="auto"/>
            <w:bottom w:val="none" w:sz="0" w:space="0" w:color="auto"/>
            <w:right w:val="none" w:sz="0" w:space="0" w:color="auto"/>
          </w:divBdr>
          <w:divsChild>
            <w:div w:id="65929931">
              <w:marLeft w:val="0"/>
              <w:marRight w:val="0"/>
              <w:marTop w:val="0"/>
              <w:marBottom w:val="0"/>
              <w:divBdr>
                <w:top w:val="none" w:sz="0" w:space="0" w:color="auto"/>
                <w:left w:val="none" w:sz="0" w:space="0" w:color="auto"/>
                <w:bottom w:val="none" w:sz="0" w:space="0" w:color="auto"/>
                <w:right w:val="none" w:sz="0" w:space="0" w:color="auto"/>
              </w:divBdr>
              <w:divsChild>
                <w:div w:id="1576814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0261286">
      <w:bodyDiv w:val="1"/>
      <w:marLeft w:val="0"/>
      <w:marRight w:val="0"/>
      <w:marTop w:val="0"/>
      <w:marBottom w:val="0"/>
      <w:divBdr>
        <w:top w:val="none" w:sz="0" w:space="0" w:color="auto"/>
        <w:left w:val="none" w:sz="0" w:space="0" w:color="auto"/>
        <w:bottom w:val="none" w:sz="0" w:space="0" w:color="auto"/>
        <w:right w:val="none" w:sz="0" w:space="0" w:color="auto"/>
      </w:divBdr>
      <w:divsChild>
        <w:div w:id="1762679454">
          <w:marLeft w:val="0"/>
          <w:marRight w:val="0"/>
          <w:marTop w:val="0"/>
          <w:marBottom w:val="0"/>
          <w:divBdr>
            <w:top w:val="none" w:sz="0" w:space="0" w:color="auto"/>
            <w:left w:val="none" w:sz="0" w:space="0" w:color="auto"/>
            <w:bottom w:val="none" w:sz="0" w:space="0" w:color="auto"/>
            <w:right w:val="none" w:sz="0" w:space="0" w:color="auto"/>
          </w:divBdr>
          <w:divsChild>
            <w:div w:id="352341040">
              <w:marLeft w:val="0"/>
              <w:marRight w:val="0"/>
              <w:marTop w:val="0"/>
              <w:marBottom w:val="0"/>
              <w:divBdr>
                <w:top w:val="none" w:sz="0" w:space="0" w:color="auto"/>
                <w:left w:val="none" w:sz="0" w:space="0" w:color="auto"/>
                <w:bottom w:val="none" w:sz="0" w:space="0" w:color="auto"/>
                <w:right w:val="none" w:sz="0" w:space="0" w:color="auto"/>
              </w:divBdr>
              <w:divsChild>
                <w:div w:id="214041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3399456">
      <w:bodyDiv w:val="1"/>
      <w:marLeft w:val="0"/>
      <w:marRight w:val="0"/>
      <w:marTop w:val="0"/>
      <w:marBottom w:val="0"/>
      <w:divBdr>
        <w:top w:val="none" w:sz="0" w:space="0" w:color="auto"/>
        <w:left w:val="none" w:sz="0" w:space="0" w:color="auto"/>
        <w:bottom w:val="none" w:sz="0" w:space="0" w:color="auto"/>
        <w:right w:val="none" w:sz="0" w:space="0" w:color="auto"/>
      </w:divBdr>
    </w:div>
    <w:div w:id="483668062">
      <w:bodyDiv w:val="1"/>
      <w:marLeft w:val="0"/>
      <w:marRight w:val="0"/>
      <w:marTop w:val="0"/>
      <w:marBottom w:val="0"/>
      <w:divBdr>
        <w:top w:val="none" w:sz="0" w:space="0" w:color="auto"/>
        <w:left w:val="none" w:sz="0" w:space="0" w:color="auto"/>
        <w:bottom w:val="none" w:sz="0" w:space="0" w:color="auto"/>
        <w:right w:val="none" w:sz="0" w:space="0" w:color="auto"/>
      </w:divBdr>
      <w:divsChild>
        <w:div w:id="647826010">
          <w:marLeft w:val="0"/>
          <w:marRight w:val="0"/>
          <w:marTop w:val="0"/>
          <w:marBottom w:val="0"/>
          <w:divBdr>
            <w:top w:val="none" w:sz="0" w:space="0" w:color="auto"/>
            <w:left w:val="none" w:sz="0" w:space="0" w:color="auto"/>
            <w:bottom w:val="none" w:sz="0" w:space="0" w:color="auto"/>
            <w:right w:val="none" w:sz="0" w:space="0" w:color="auto"/>
          </w:divBdr>
          <w:divsChild>
            <w:div w:id="1993558252">
              <w:marLeft w:val="0"/>
              <w:marRight w:val="0"/>
              <w:marTop w:val="0"/>
              <w:marBottom w:val="0"/>
              <w:divBdr>
                <w:top w:val="none" w:sz="0" w:space="0" w:color="auto"/>
                <w:left w:val="none" w:sz="0" w:space="0" w:color="auto"/>
                <w:bottom w:val="none" w:sz="0" w:space="0" w:color="auto"/>
                <w:right w:val="none" w:sz="0" w:space="0" w:color="auto"/>
              </w:divBdr>
              <w:divsChild>
                <w:div w:id="304817581">
                  <w:marLeft w:val="0"/>
                  <w:marRight w:val="0"/>
                  <w:marTop w:val="0"/>
                  <w:marBottom w:val="0"/>
                  <w:divBdr>
                    <w:top w:val="none" w:sz="0" w:space="0" w:color="auto"/>
                    <w:left w:val="none" w:sz="0" w:space="0" w:color="auto"/>
                    <w:bottom w:val="none" w:sz="0" w:space="0" w:color="auto"/>
                    <w:right w:val="none" w:sz="0" w:space="0" w:color="auto"/>
                  </w:divBdr>
                  <w:divsChild>
                    <w:div w:id="1882470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5998579">
      <w:bodyDiv w:val="1"/>
      <w:marLeft w:val="0"/>
      <w:marRight w:val="0"/>
      <w:marTop w:val="0"/>
      <w:marBottom w:val="0"/>
      <w:divBdr>
        <w:top w:val="none" w:sz="0" w:space="0" w:color="auto"/>
        <w:left w:val="none" w:sz="0" w:space="0" w:color="auto"/>
        <w:bottom w:val="none" w:sz="0" w:space="0" w:color="auto"/>
        <w:right w:val="none" w:sz="0" w:space="0" w:color="auto"/>
      </w:divBdr>
    </w:div>
    <w:div w:id="932978238">
      <w:bodyDiv w:val="1"/>
      <w:marLeft w:val="0"/>
      <w:marRight w:val="0"/>
      <w:marTop w:val="0"/>
      <w:marBottom w:val="0"/>
      <w:divBdr>
        <w:top w:val="none" w:sz="0" w:space="0" w:color="auto"/>
        <w:left w:val="none" w:sz="0" w:space="0" w:color="auto"/>
        <w:bottom w:val="none" w:sz="0" w:space="0" w:color="auto"/>
        <w:right w:val="none" w:sz="0" w:space="0" w:color="auto"/>
      </w:divBdr>
      <w:divsChild>
        <w:div w:id="201484904">
          <w:marLeft w:val="0"/>
          <w:marRight w:val="0"/>
          <w:marTop w:val="240"/>
          <w:marBottom w:val="0"/>
          <w:divBdr>
            <w:top w:val="none" w:sz="0" w:space="0" w:color="auto"/>
            <w:left w:val="none" w:sz="0" w:space="0" w:color="auto"/>
            <w:bottom w:val="none" w:sz="0" w:space="0" w:color="auto"/>
            <w:right w:val="none" w:sz="0" w:space="0" w:color="auto"/>
          </w:divBdr>
        </w:div>
      </w:divsChild>
    </w:div>
    <w:div w:id="1302610425">
      <w:bodyDiv w:val="1"/>
      <w:marLeft w:val="0"/>
      <w:marRight w:val="0"/>
      <w:marTop w:val="0"/>
      <w:marBottom w:val="0"/>
      <w:divBdr>
        <w:top w:val="none" w:sz="0" w:space="0" w:color="auto"/>
        <w:left w:val="none" w:sz="0" w:space="0" w:color="auto"/>
        <w:bottom w:val="none" w:sz="0" w:space="0" w:color="auto"/>
        <w:right w:val="none" w:sz="0" w:space="0" w:color="auto"/>
      </w:divBdr>
      <w:divsChild>
        <w:div w:id="1810515665">
          <w:marLeft w:val="0"/>
          <w:marRight w:val="0"/>
          <w:marTop w:val="0"/>
          <w:marBottom w:val="0"/>
          <w:divBdr>
            <w:top w:val="none" w:sz="0" w:space="0" w:color="auto"/>
            <w:left w:val="none" w:sz="0" w:space="0" w:color="auto"/>
            <w:bottom w:val="none" w:sz="0" w:space="0" w:color="auto"/>
            <w:right w:val="none" w:sz="0" w:space="0" w:color="auto"/>
          </w:divBdr>
          <w:divsChild>
            <w:div w:id="1610579669">
              <w:marLeft w:val="0"/>
              <w:marRight w:val="0"/>
              <w:marTop w:val="0"/>
              <w:marBottom w:val="0"/>
              <w:divBdr>
                <w:top w:val="none" w:sz="0" w:space="0" w:color="auto"/>
                <w:left w:val="none" w:sz="0" w:space="0" w:color="auto"/>
                <w:bottom w:val="none" w:sz="0" w:space="0" w:color="auto"/>
                <w:right w:val="none" w:sz="0" w:space="0" w:color="auto"/>
              </w:divBdr>
              <w:divsChild>
                <w:div w:id="128720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0890072">
      <w:bodyDiv w:val="1"/>
      <w:marLeft w:val="0"/>
      <w:marRight w:val="0"/>
      <w:marTop w:val="0"/>
      <w:marBottom w:val="0"/>
      <w:divBdr>
        <w:top w:val="none" w:sz="0" w:space="0" w:color="auto"/>
        <w:left w:val="none" w:sz="0" w:space="0" w:color="auto"/>
        <w:bottom w:val="none" w:sz="0" w:space="0" w:color="auto"/>
        <w:right w:val="none" w:sz="0" w:space="0" w:color="auto"/>
      </w:divBdr>
    </w:div>
    <w:div w:id="1649551142">
      <w:bodyDiv w:val="1"/>
      <w:marLeft w:val="0"/>
      <w:marRight w:val="0"/>
      <w:marTop w:val="0"/>
      <w:marBottom w:val="0"/>
      <w:divBdr>
        <w:top w:val="none" w:sz="0" w:space="0" w:color="auto"/>
        <w:left w:val="none" w:sz="0" w:space="0" w:color="auto"/>
        <w:bottom w:val="none" w:sz="0" w:space="0" w:color="auto"/>
        <w:right w:val="none" w:sz="0" w:space="0" w:color="auto"/>
      </w:divBdr>
      <w:divsChild>
        <w:div w:id="961308051">
          <w:marLeft w:val="0"/>
          <w:marRight w:val="0"/>
          <w:marTop w:val="0"/>
          <w:marBottom w:val="0"/>
          <w:divBdr>
            <w:top w:val="none" w:sz="0" w:space="0" w:color="auto"/>
            <w:left w:val="none" w:sz="0" w:space="0" w:color="auto"/>
            <w:bottom w:val="none" w:sz="0" w:space="0" w:color="auto"/>
            <w:right w:val="none" w:sz="0" w:space="0" w:color="auto"/>
          </w:divBdr>
          <w:divsChild>
            <w:div w:id="336736251">
              <w:marLeft w:val="0"/>
              <w:marRight w:val="0"/>
              <w:marTop w:val="0"/>
              <w:marBottom w:val="0"/>
              <w:divBdr>
                <w:top w:val="none" w:sz="0" w:space="0" w:color="auto"/>
                <w:left w:val="none" w:sz="0" w:space="0" w:color="auto"/>
                <w:bottom w:val="none" w:sz="0" w:space="0" w:color="auto"/>
                <w:right w:val="none" w:sz="0" w:space="0" w:color="auto"/>
              </w:divBdr>
              <w:divsChild>
                <w:div w:id="1299842993">
                  <w:marLeft w:val="0"/>
                  <w:marRight w:val="0"/>
                  <w:marTop w:val="0"/>
                  <w:marBottom w:val="0"/>
                  <w:divBdr>
                    <w:top w:val="none" w:sz="0" w:space="0" w:color="auto"/>
                    <w:left w:val="none" w:sz="0" w:space="0" w:color="auto"/>
                    <w:bottom w:val="none" w:sz="0" w:space="0" w:color="auto"/>
                    <w:right w:val="none" w:sz="0" w:space="0" w:color="auto"/>
                  </w:divBdr>
                  <w:divsChild>
                    <w:div w:id="613098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0404183">
      <w:bodyDiv w:val="1"/>
      <w:marLeft w:val="0"/>
      <w:marRight w:val="0"/>
      <w:marTop w:val="0"/>
      <w:marBottom w:val="0"/>
      <w:divBdr>
        <w:top w:val="none" w:sz="0" w:space="0" w:color="auto"/>
        <w:left w:val="none" w:sz="0" w:space="0" w:color="auto"/>
        <w:bottom w:val="none" w:sz="0" w:space="0" w:color="auto"/>
        <w:right w:val="none" w:sz="0" w:space="0" w:color="auto"/>
      </w:divBdr>
    </w:div>
    <w:div w:id="1656958877">
      <w:bodyDiv w:val="1"/>
      <w:marLeft w:val="0"/>
      <w:marRight w:val="0"/>
      <w:marTop w:val="0"/>
      <w:marBottom w:val="0"/>
      <w:divBdr>
        <w:top w:val="none" w:sz="0" w:space="0" w:color="auto"/>
        <w:left w:val="none" w:sz="0" w:space="0" w:color="auto"/>
        <w:bottom w:val="none" w:sz="0" w:space="0" w:color="auto"/>
        <w:right w:val="none" w:sz="0" w:space="0" w:color="auto"/>
      </w:divBdr>
    </w:div>
    <w:div w:id="1664627883">
      <w:bodyDiv w:val="1"/>
      <w:marLeft w:val="0"/>
      <w:marRight w:val="0"/>
      <w:marTop w:val="0"/>
      <w:marBottom w:val="0"/>
      <w:divBdr>
        <w:top w:val="none" w:sz="0" w:space="0" w:color="auto"/>
        <w:left w:val="none" w:sz="0" w:space="0" w:color="auto"/>
        <w:bottom w:val="none" w:sz="0" w:space="0" w:color="auto"/>
        <w:right w:val="none" w:sz="0" w:space="0" w:color="auto"/>
      </w:divBdr>
    </w:div>
    <w:div w:id="1703285679">
      <w:bodyDiv w:val="1"/>
      <w:marLeft w:val="0"/>
      <w:marRight w:val="0"/>
      <w:marTop w:val="0"/>
      <w:marBottom w:val="0"/>
      <w:divBdr>
        <w:top w:val="none" w:sz="0" w:space="0" w:color="auto"/>
        <w:left w:val="none" w:sz="0" w:space="0" w:color="auto"/>
        <w:bottom w:val="none" w:sz="0" w:space="0" w:color="auto"/>
        <w:right w:val="none" w:sz="0" w:space="0" w:color="auto"/>
      </w:divBdr>
    </w:div>
    <w:div w:id="1740591965">
      <w:bodyDiv w:val="1"/>
      <w:marLeft w:val="0"/>
      <w:marRight w:val="0"/>
      <w:marTop w:val="0"/>
      <w:marBottom w:val="0"/>
      <w:divBdr>
        <w:top w:val="none" w:sz="0" w:space="0" w:color="auto"/>
        <w:left w:val="none" w:sz="0" w:space="0" w:color="auto"/>
        <w:bottom w:val="none" w:sz="0" w:space="0" w:color="auto"/>
        <w:right w:val="none" w:sz="0" w:space="0" w:color="auto"/>
      </w:divBdr>
    </w:div>
    <w:div w:id="1785542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9A966F0-9895-CD41-A85A-ED2EDF75BD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236</TotalTime>
  <Pages>4</Pages>
  <Words>1040</Words>
  <Characters>5930</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Feryn Walmsley (1901540)</dc:creator>
  <cp:keywords/>
  <dc:description/>
  <cp:lastModifiedBy>Feryn Walmsley (1901540)</cp:lastModifiedBy>
  <cp:revision>8</cp:revision>
  <dcterms:created xsi:type="dcterms:W3CDTF">2022-05-16T10:20:00Z</dcterms:created>
  <dcterms:modified xsi:type="dcterms:W3CDTF">2022-05-16T21:46:00Z</dcterms:modified>
</cp:coreProperties>
</file>