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7A3" w:rsidRPr="004E77A3" w:rsidRDefault="004E77A3" w:rsidP="004E77A3">
      <w:pPr>
        <w:shd w:val="clear" w:color="auto" w:fill="000000"/>
        <w:spacing w:after="0" w:line="360" w:lineRule="atLeast"/>
        <w:rPr>
          <w:rFonts w:ascii="Arial" w:eastAsia="Times New Roman" w:hAnsi="Arial" w:cs="Arial"/>
          <w:b/>
          <w:bCs/>
          <w:vanish/>
          <w:color w:val="FFFFFF"/>
          <w:sz w:val="21"/>
          <w:szCs w:val="21"/>
          <w:lang w:eastAsia="en-GB"/>
        </w:rPr>
      </w:pPr>
      <w:r w:rsidRPr="004E77A3">
        <w:rPr>
          <w:rFonts w:ascii="Arial" w:eastAsia="Times New Roman" w:hAnsi="Arial" w:cs="Arial"/>
          <w:b/>
          <w:bCs/>
          <w:vanish/>
          <w:color w:val="FFFFFF"/>
          <w:sz w:val="21"/>
          <w:szCs w:val="21"/>
          <w:lang w:eastAsia="en-GB"/>
        </w:rPr>
        <w:t>What is the Gearing Ratio?</w:t>
      </w:r>
    </w:p>
    <w:p w:rsidR="004E77A3" w:rsidRPr="004E77A3" w:rsidRDefault="004E77A3" w:rsidP="004E77A3">
      <w:pPr>
        <w:shd w:val="clear" w:color="auto" w:fill="000000"/>
        <w:spacing w:after="0" w:line="360" w:lineRule="atLeast"/>
        <w:rPr>
          <w:rFonts w:ascii="Arial" w:eastAsia="Times New Roman" w:hAnsi="Arial" w:cs="Arial"/>
          <w:color w:val="000000"/>
          <w:sz w:val="24"/>
          <w:szCs w:val="24"/>
          <w:lang w:eastAsia="en-GB"/>
        </w:rPr>
      </w:pPr>
      <w:r w:rsidRPr="004E77A3">
        <w:rPr>
          <w:rFonts w:ascii="Arial" w:eastAsia="Times New Roman" w:hAnsi="Arial" w:cs="Arial"/>
          <w:color w:val="000000"/>
          <w:sz w:val="24"/>
          <w:szCs w:val="24"/>
          <w:lang w:eastAsia="en-GB"/>
        </w:rPr>
        <w:t> </w:t>
      </w:r>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 xml:space="preserve">What is the 'Gearing </w:t>
      </w:r>
      <w:proofErr w:type="gramStart"/>
      <w:r w:rsidRPr="004E77A3">
        <w:rPr>
          <w:rFonts w:ascii="Helvetica" w:eastAsia="Times New Roman" w:hAnsi="Helvetica" w:cs="Helvetica"/>
          <w:color w:val="362F2D"/>
          <w:sz w:val="33"/>
          <w:szCs w:val="33"/>
          <w:lang w:eastAsia="en-GB"/>
        </w:rPr>
        <w:t>Ratio</w:t>
      </w:r>
      <w:proofErr w:type="gramEnd"/>
      <w:r w:rsidRPr="004E77A3">
        <w:rPr>
          <w:rFonts w:ascii="Helvetica" w:eastAsia="Times New Roman" w:hAnsi="Helvetica" w:cs="Helvetica"/>
          <w:color w:val="362F2D"/>
          <w:sz w:val="33"/>
          <w:szCs w:val="33"/>
          <w:lang w:eastAsia="en-GB"/>
        </w:rPr>
        <w:t>'</w:t>
      </w:r>
    </w:p>
    <w:p w:rsidR="004E77A3" w:rsidRPr="004E77A3" w:rsidRDefault="004E77A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 xml:space="preserve">A gearing ratio is a general classification describing a financial ratio that compares some form of owner's </w:t>
      </w:r>
      <w:hyperlink r:id="rId5" w:history="1">
        <w:r w:rsidRPr="004E77A3">
          <w:rPr>
            <w:rFonts w:ascii="Helvetica" w:eastAsia="Times New Roman" w:hAnsi="Helvetica" w:cs="Helvetica"/>
            <w:color w:val="005B9D"/>
            <w:sz w:val="26"/>
            <w:szCs w:val="26"/>
            <w:lang w:eastAsia="en-GB"/>
          </w:rPr>
          <w:t>equity</w:t>
        </w:r>
      </w:hyperlink>
      <w:r w:rsidRPr="004E77A3">
        <w:rPr>
          <w:rFonts w:ascii="Helvetica" w:eastAsia="Times New Roman" w:hAnsi="Helvetica" w:cs="Helvetica"/>
          <w:color w:val="000000"/>
          <w:sz w:val="26"/>
          <w:szCs w:val="26"/>
          <w:lang w:eastAsia="en-GB"/>
        </w:rPr>
        <w:t xml:space="preserve"> (or capital) to funds borrowed by the company. </w:t>
      </w:r>
      <w:hyperlink r:id="rId6" w:history="1">
        <w:r w:rsidRPr="004E77A3">
          <w:rPr>
            <w:rFonts w:ascii="Helvetica" w:eastAsia="Times New Roman" w:hAnsi="Helvetica" w:cs="Helvetica"/>
            <w:color w:val="005B9D"/>
            <w:sz w:val="26"/>
            <w:szCs w:val="26"/>
            <w:lang w:eastAsia="en-GB"/>
          </w:rPr>
          <w:t>Gearing</w:t>
        </w:r>
      </w:hyperlink>
      <w:r w:rsidRPr="004E77A3">
        <w:rPr>
          <w:rFonts w:ascii="Helvetica" w:eastAsia="Times New Roman" w:hAnsi="Helvetica" w:cs="Helvetica"/>
          <w:color w:val="000000"/>
          <w:sz w:val="26"/>
          <w:szCs w:val="26"/>
          <w:lang w:eastAsia="en-GB"/>
        </w:rPr>
        <w:t xml:space="preserve"> is a measurement of the entity’s financial </w:t>
      </w:r>
      <w:hyperlink r:id="rId7" w:history="1">
        <w:r w:rsidRPr="004E77A3">
          <w:rPr>
            <w:rFonts w:ascii="Helvetica" w:eastAsia="Times New Roman" w:hAnsi="Helvetica" w:cs="Helvetica"/>
            <w:color w:val="005B9D"/>
            <w:sz w:val="26"/>
            <w:szCs w:val="26"/>
            <w:lang w:eastAsia="en-GB"/>
          </w:rPr>
          <w:t>leverage</w:t>
        </w:r>
      </w:hyperlink>
      <w:r w:rsidRPr="004E77A3">
        <w:rPr>
          <w:rFonts w:ascii="Helvetica" w:eastAsia="Times New Roman" w:hAnsi="Helvetica" w:cs="Helvetica"/>
          <w:color w:val="000000"/>
          <w:sz w:val="26"/>
          <w:szCs w:val="26"/>
          <w:lang w:eastAsia="en-GB"/>
        </w:rPr>
        <w:t xml:space="preserve">, which demonstrates the degree to which a firm's activities are funded by owner's funds versus creditor's funds. </w:t>
      </w:r>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BREAKING DOWN 'Gearing Ratio'</w:t>
      </w:r>
    </w:p>
    <w:p w:rsidR="004E77A3" w:rsidRPr="004E77A3" w:rsidRDefault="004E77A3" w:rsidP="004E77A3">
      <w:pPr>
        <w:shd w:val="clear" w:color="auto" w:fill="FFFFFF"/>
        <w:spacing w:after="0"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 xml:space="preserve">The best known examples of gearing ratios include the debt-to-equity ratio (total debt / </w:t>
      </w:r>
      <w:hyperlink r:id="rId8" w:history="1">
        <w:r w:rsidRPr="004E77A3">
          <w:rPr>
            <w:rFonts w:ascii="Helvetica" w:eastAsia="Times New Roman" w:hAnsi="Helvetica" w:cs="Helvetica"/>
            <w:color w:val="005B9D"/>
            <w:sz w:val="26"/>
            <w:szCs w:val="26"/>
            <w:lang w:eastAsia="en-GB"/>
          </w:rPr>
          <w:t>total equity</w:t>
        </w:r>
      </w:hyperlink>
      <w:r w:rsidRPr="004E77A3">
        <w:rPr>
          <w:rFonts w:ascii="Helvetica" w:eastAsia="Times New Roman" w:hAnsi="Helvetica" w:cs="Helvetica"/>
          <w:color w:val="000000"/>
          <w:sz w:val="26"/>
          <w:szCs w:val="26"/>
          <w:lang w:eastAsia="en-GB"/>
        </w:rPr>
        <w:t xml:space="preserve">), </w:t>
      </w:r>
      <w:hyperlink r:id="rId9" w:history="1">
        <w:r w:rsidRPr="004E77A3">
          <w:rPr>
            <w:rFonts w:ascii="Helvetica" w:eastAsia="Times New Roman" w:hAnsi="Helvetica" w:cs="Helvetica"/>
            <w:color w:val="005B9D"/>
            <w:sz w:val="26"/>
            <w:szCs w:val="26"/>
            <w:lang w:eastAsia="en-GB"/>
          </w:rPr>
          <w:t>times interest earned</w:t>
        </w:r>
      </w:hyperlink>
      <w:r w:rsidRPr="004E77A3">
        <w:rPr>
          <w:rFonts w:ascii="Helvetica" w:eastAsia="Times New Roman" w:hAnsi="Helvetica" w:cs="Helvetica"/>
          <w:color w:val="000000"/>
          <w:sz w:val="26"/>
          <w:szCs w:val="26"/>
          <w:lang w:eastAsia="en-GB"/>
        </w:rPr>
        <w:t xml:space="preserve"> (EBIT / total interest), </w:t>
      </w:r>
      <w:hyperlink r:id="rId10" w:history="1">
        <w:r w:rsidRPr="004E77A3">
          <w:rPr>
            <w:rFonts w:ascii="Helvetica" w:eastAsia="Times New Roman" w:hAnsi="Helvetica" w:cs="Helvetica"/>
            <w:color w:val="005B9D"/>
            <w:sz w:val="26"/>
            <w:szCs w:val="26"/>
            <w:lang w:eastAsia="en-GB"/>
          </w:rPr>
          <w:t>equity ratio</w:t>
        </w:r>
      </w:hyperlink>
      <w:r w:rsidRPr="004E77A3">
        <w:rPr>
          <w:rFonts w:ascii="Helvetica" w:eastAsia="Times New Roman" w:hAnsi="Helvetica" w:cs="Helvetica"/>
          <w:color w:val="000000"/>
          <w:sz w:val="26"/>
          <w:szCs w:val="26"/>
          <w:lang w:eastAsia="en-GB"/>
        </w:rPr>
        <w:t xml:space="preserve"> (equity / assets), and </w:t>
      </w:r>
      <w:hyperlink r:id="rId11" w:history="1">
        <w:r w:rsidRPr="004E77A3">
          <w:rPr>
            <w:rFonts w:ascii="Helvetica" w:eastAsia="Times New Roman" w:hAnsi="Helvetica" w:cs="Helvetica"/>
            <w:color w:val="005B9D"/>
            <w:sz w:val="26"/>
            <w:szCs w:val="26"/>
            <w:lang w:eastAsia="en-GB"/>
          </w:rPr>
          <w:t>debt ratio</w:t>
        </w:r>
      </w:hyperlink>
      <w:r w:rsidRPr="004E77A3">
        <w:rPr>
          <w:rFonts w:ascii="Helvetica" w:eastAsia="Times New Roman" w:hAnsi="Helvetica" w:cs="Helvetica"/>
          <w:color w:val="000000"/>
          <w:sz w:val="26"/>
          <w:szCs w:val="26"/>
          <w:lang w:eastAsia="en-GB"/>
        </w:rPr>
        <w:t xml:space="preserve"> (total debt / total assets).</w:t>
      </w:r>
    </w:p>
    <w:p w:rsidR="00CB2633" w:rsidRDefault="00CB263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Degree of Leverage</w:t>
      </w:r>
    </w:p>
    <w:p w:rsidR="004E77A3" w:rsidRPr="004E77A3" w:rsidRDefault="004E77A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 xml:space="preserve">Higher calculations of a </w:t>
      </w:r>
      <w:hyperlink r:id="rId12" w:history="1">
        <w:r w:rsidRPr="004E77A3">
          <w:rPr>
            <w:rFonts w:ascii="Helvetica" w:eastAsia="Times New Roman" w:hAnsi="Helvetica" w:cs="Helvetica"/>
            <w:color w:val="005B9D"/>
            <w:sz w:val="26"/>
            <w:szCs w:val="26"/>
            <w:lang w:eastAsia="en-GB"/>
          </w:rPr>
          <w:t>gearing</w:t>
        </w:r>
      </w:hyperlink>
      <w:r w:rsidRPr="004E77A3">
        <w:rPr>
          <w:rFonts w:ascii="Helvetica" w:eastAsia="Times New Roman" w:hAnsi="Helvetica" w:cs="Helvetica"/>
          <w:color w:val="000000"/>
          <w:sz w:val="26"/>
          <w:szCs w:val="26"/>
          <w:lang w:eastAsia="en-GB"/>
        </w:rPr>
        <w:t xml:space="preserve"> ratio indicate a company has higher degree of leverage and is more susceptible to downturns in the economy and in the </w:t>
      </w:r>
      <w:hyperlink r:id="rId13" w:history="1">
        <w:r w:rsidRPr="004E77A3">
          <w:rPr>
            <w:rFonts w:ascii="Helvetica" w:eastAsia="Times New Roman" w:hAnsi="Helvetica" w:cs="Helvetica"/>
            <w:color w:val="005B9D"/>
            <w:sz w:val="26"/>
            <w:szCs w:val="26"/>
            <w:lang w:eastAsia="en-GB"/>
          </w:rPr>
          <w:t>business cycle</w:t>
        </w:r>
      </w:hyperlink>
      <w:r w:rsidRPr="004E77A3">
        <w:rPr>
          <w:rFonts w:ascii="Helvetica" w:eastAsia="Times New Roman" w:hAnsi="Helvetica" w:cs="Helvetica"/>
          <w:color w:val="000000"/>
          <w:sz w:val="26"/>
          <w:szCs w:val="26"/>
          <w:lang w:eastAsia="en-GB"/>
        </w:rPr>
        <w:t>. This is because companies that have higher leverage have higher amounts of debt when compared to owner’s equity. Therefore, entities with high gearing ratio findings have higher amounts of debt to service. Companies with lower gearing ratio calculations have more equity to rely upon as financing is needed.</w:t>
      </w:r>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Gearing Ratio Evaluation</w:t>
      </w:r>
    </w:p>
    <w:p w:rsidR="004E77A3" w:rsidRDefault="004E77A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Gearing ratios are most beneficial to companies when used as a tool for comparison. As a standalone calculation, a gearing ratio may not hold any weight or meaning. For example, a company may have a debt ratio of 0.6. Although this figure alone provides some information as to the company’s financial structure, it is more meaningful to benchmark this figure against another. For instance, the company had a debt ratio last year of 0.3, the industry average is 0.8 and the company’s main competitor has a debt ratio of 0.9. More information is derived through the use of comparing gearing ratios to each other.</w:t>
      </w:r>
    </w:p>
    <w:p w:rsidR="00CB2633" w:rsidRDefault="00CB263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p>
    <w:p w:rsidR="00CB2633" w:rsidRPr="004E77A3" w:rsidRDefault="00CB263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bookmarkStart w:id="0" w:name="_GoBack"/>
      <w:bookmarkEnd w:id="0"/>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Users of Gearing Ratios</w:t>
      </w:r>
    </w:p>
    <w:p w:rsidR="004E77A3" w:rsidRPr="004E77A3" w:rsidRDefault="004E77A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 xml:space="preserve">Gearing ratios are useful for both internal and external parties. Financial institutions utilize gearing ratio calculations in preparation of issuing loans. In addition, loan agreements may require companies to operate with specified guidelines regarding acceptable gearing ratio calculations. Alternatively, internal management utilizes gearing ratios to </w:t>
      </w:r>
      <w:proofErr w:type="spellStart"/>
      <w:r w:rsidRPr="004E77A3">
        <w:rPr>
          <w:rFonts w:ascii="Helvetica" w:eastAsia="Times New Roman" w:hAnsi="Helvetica" w:cs="Helvetica"/>
          <w:color w:val="000000"/>
          <w:sz w:val="26"/>
          <w:szCs w:val="26"/>
          <w:lang w:eastAsia="en-GB"/>
        </w:rPr>
        <w:t>analyze</w:t>
      </w:r>
      <w:proofErr w:type="spellEnd"/>
      <w:r w:rsidRPr="004E77A3">
        <w:rPr>
          <w:rFonts w:ascii="Helvetica" w:eastAsia="Times New Roman" w:hAnsi="Helvetica" w:cs="Helvetica"/>
          <w:color w:val="000000"/>
          <w:sz w:val="26"/>
          <w:szCs w:val="26"/>
          <w:lang w:eastAsia="en-GB"/>
        </w:rPr>
        <w:t xml:space="preserve"> future cash flows and leverage.</w:t>
      </w:r>
    </w:p>
    <w:p w:rsidR="004E77A3" w:rsidRPr="004E77A3" w:rsidRDefault="004E77A3" w:rsidP="004E77A3">
      <w:pPr>
        <w:shd w:val="clear" w:color="auto" w:fill="FFFFFF"/>
        <w:spacing w:before="24" w:after="24" w:line="360" w:lineRule="atLeast"/>
        <w:outlineLvl w:val="1"/>
        <w:rPr>
          <w:rFonts w:ascii="Helvetica" w:eastAsia="Times New Roman" w:hAnsi="Helvetica" w:cs="Helvetica"/>
          <w:color w:val="362F2D"/>
          <w:sz w:val="33"/>
          <w:szCs w:val="33"/>
          <w:lang w:eastAsia="en-GB"/>
        </w:rPr>
      </w:pPr>
      <w:r w:rsidRPr="004E77A3">
        <w:rPr>
          <w:rFonts w:ascii="Helvetica" w:eastAsia="Times New Roman" w:hAnsi="Helvetica" w:cs="Helvetica"/>
          <w:color w:val="362F2D"/>
          <w:sz w:val="33"/>
          <w:szCs w:val="33"/>
          <w:lang w:eastAsia="en-GB"/>
        </w:rPr>
        <w:t>Gearing Ratio Tendencies</w:t>
      </w:r>
    </w:p>
    <w:p w:rsidR="004E77A3" w:rsidRPr="004E77A3" w:rsidRDefault="004E77A3" w:rsidP="004E77A3">
      <w:pPr>
        <w:shd w:val="clear" w:color="auto" w:fill="FFFFFF"/>
        <w:spacing w:before="100" w:beforeAutospacing="1" w:after="100" w:afterAutospacing="1" w:line="360" w:lineRule="atLeast"/>
        <w:rPr>
          <w:rFonts w:ascii="Helvetica" w:eastAsia="Times New Roman" w:hAnsi="Helvetica" w:cs="Helvetica"/>
          <w:color w:val="000000"/>
          <w:sz w:val="26"/>
          <w:szCs w:val="26"/>
          <w:lang w:eastAsia="en-GB"/>
        </w:rPr>
      </w:pPr>
      <w:r w:rsidRPr="004E77A3">
        <w:rPr>
          <w:rFonts w:ascii="Helvetica" w:eastAsia="Times New Roman" w:hAnsi="Helvetica" w:cs="Helvetica"/>
          <w:color w:val="000000"/>
          <w:sz w:val="26"/>
          <w:szCs w:val="26"/>
          <w:lang w:eastAsia="en-GB"/>
        </w:rPr>
        <w:t>A high gearing ratio typically indicates a high degree of leverage. This does not indicate a company is in poor financial condition. Instead, a company with a high gearing ratio has a riskier financing structure than a company with a lower gearing ratio. Regulated entities typically have higher gearing ratios, as they are able to operate with higher levels of debt. In addition, companies in monopolistic situations often operate with higher gearing ratios, as their strategic marketing position puts them at a lower risk of default. Finally, industries that utilize expensive fixed assets typically have higher gearing ratios, as these fixed assets typically are financed with debt.</w:t>
      </w:r>
    </w:p>
    <w:p w:rsidR="000D01B0" w:rsidRDefault="004E77A3" w:rsidP="004E77A3">
      <w:r w:rsidRPr="004E77A3">
        <w:rPr>
          <w:rFonts w:ascii="Helvetica" w:eastAsia="Times New Roman" w:hAnsi="Helvetica" w:cs="Helvetica"/>
          <w:color w:val="000000"/>
          <w:sz w:val="23"/>
          <w:szCs w:val="23"/>
          <w:lang w:eastAsia="en-GB"/>
        </w:rPr>
        <w:br/>
      </w:r>
      <w:r w:rsidRPr="004E77A3">
        <w:rPr>
          <w:rFonts w:ascii="Helvetica" w:eastAsia="Times New Roman" w:hAnsi="Helvetica" w:cs="Helvetica"/>
          <w:color w:val="000000"/>
          <w:sz w:val="23"/>
          <w:szCs w:val="23"/>
          <w:lang w:eastAsia="en-GB"/>
        </w:rPr>
        <w:br/>
        <w:t xml:space="preserve">Read more: </w:t>
      </w:r>
      <w:hyperlink r:id="rId14" w:anchor="ixzz4O5jIbW9Q" w:history="1">
        <w:r w:rsidRPr="004E77A3">
          <w:rPr>
            <w:rFonts w:ascii="Helvetica" w:eastAsia="Times New Roman" w:hAnsi="Helvetica" w:cs="Helvetica"/>
            <w:color w:val="003399"/>
            <w:sz w:val="23"/>
            <w:szCs w:val="23"/>
            <w:lang w:eastAsia="en-GB"/>
          </w:rPr>
          <w:t>Gearing Ratio Definition | Investopedia</w:t>
        </w:r>
      </w:hyperlink>
      <w:r w:rsidRPr="004E77A3">
        <w:rPr>
          <w:rFonts w:ascii="Helvetica" w:eastAsia="Times New Roman" w:hAnsi="Helvetica" w:cs="Helvetica"/>
          <w:color w:val="000000"/>
          <w:sz w:val="23"/>
          <w:szCs w:val="23"/>
          <w:lang w:eastAsia="en-GB"/>
        </w:rPr>
        <w:t xml:space="preserve"> </w:t>
      </w:r>
      <w:hyperlink r:id="rId15" w:anchor="ixzz4O5jIbW9Q" w:history="1">
        <w:r w:rsidRPr="004E77A3">
          <w:rPr>
            <w:rFonts w:ascii="Helvetica" w:eastAsia="Times New Roman" w:hAnsi="Helvetica" w:cs="Helvetica"/>
            <w:color w:val="003399"/>
            <w:sz w:val="23"/>
            <w:szCs w:val="23"/>
            <w:lang w:eastAsia="en-GB"/>
          </w:rPr>
          <w:t>http://www.investopedia.com/terms/g/gearingratio.asp#ixzz4O5jIbW9Q</w:t>
        </w:r>
      </w:hyperlink>
      <w:r w:rsidRPr="004E77A3">
        <w:rPr>
          <w:rFonts w:ascii="Helvetica" w:eastAsia="Times New Roman" w:hAnsi="Helvetica" w:cs="Helvetica"/>
          <w:color w:val="000000"/>
          <w:sz w:val="23"/>
          <w:szCs w:val="23"/>
          <w:lang w:eastAsia="en-GB"/>
        </w:rPr>
        <w:t xml:space="preserve"> </w:t>
      </w:r>
      <w:r w:rsidRPr="004E77A3">
        <w:rPr>
          <w:rFonts w:ascii="Helvetica" w:eastAsia="Times New Roman" w:hAnsi="Helvetica" w:cs="Helvetica"/>
          <w:color w:val="000000"/>
          <w:sz w:val="23"/>
          <w:szCs w:val="23"/>
          <w:lang w:eastAsia="en-GB"/>
        </w:rPr>
        <w:br/>
        <w:t xml:space="preserve">Follow us: </w:t>
      </w:r>
      <w:hyperlink r:id="rId16" w:tgtFrame="_blank" w:history="1">
        <w:r w:rsidRPr="004E77A3">
          <w:rPr>
            <w:rFonts w:ascii="Helvetica" w:eastAsia="Times New Roman" w:hAnsi="Helvetica" w:cs="Helvetica"/>
            <w:color w:val="005B9D"/>
            <w:sz w:val="23"/>
            <w:szCs w:val="23"/>
            <w:lang w:eastAsia="en-GB"/>
          </w:rPr>
          <w:t>Investopedia on Facebook</w:t>
        </w:r>
      </w:hyperlink>
    </w:p>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337A8D"/>
    <w:multiLevelType w:val="multilevel"/>
    <w:tmpl w:val="A918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A3"/>
    <w:rsid w:val="000117E7"/>
    <w:rsid w:val="00023E20"/>
    <w:rsid w:val="00024957"/>
    <w:rsid w:val="0004430B"/>
    <w:rsid w:val="00050F72"/>
    <w:rsid w:val="0005181D"/>
    <w:rsid w:val="00070F7F"/>
    <w:rsid w:val="0009272A"/>
    <w:rsid w:val="00094B8D"/>
    <w:rsid w:val="000A406C"/>
    <w:rsid w:val="000A660B"/>
    <w:rsid w:val="000C51AC"/>
    <w:rsid w:val="000D01B0"/>
    <w:rsid w:val="000E2C64"/>
    <w:rsid w:val="00107EC2"/>
    <w:rsid w:val="00113719"/>
    <w:rsid w:val="00161ACE"/>
    <w:rsid w:val="00171421"/>
    <w:rsid w:val="00181098"/>
    <w:rsid w:val="0019172E"/>
    <w:rsid w:val="00192516"/>
    <w:rsid w:val="001B16BD"/>
    <w:rsid w:val="001B582F"/>
    <w:rsid w:val="001C61A1"/>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567BA"/>
    <w:rsid w:val="00275320"/>
    <w:rsid w:val="00280132"/>
    <w:rsid w:val="0029517B"/>
    <w:rsid w:val="002F518C"/>
    <w:rsid w:val="00337970"/>
    <w:rsid w:val="00343CE7"/>
    <w:rsid w:val="00356D9E"/>
    <w:rsid w:val="00394244"/>
    <w:rsid w:val="003A001E"/>
    <w:rsid w:val="003C3C87"/>
    <w:rsid w:val="003D379E"/>
    <w:rsid w:val="003F3148"/>
    <w:rsid w:val="00403D4C"/>
    <w:rsid w:val="00476663"/>
    <w:rsid w:val="00480FDD"/>
    <w:rsid w:val="004872EE"/>
    <w:rsid w:val="004A0756"/>
    <w:rsid w:val="004A18A5"/>
    <w:rsid w:val="004B2454"/>
    <w:rsid w:val="004C23DF"/>
    <w:rsid w:val="004E41FD"/>
    <w:rsid w:val="004E4B07"/>
    <w:rsid w:val="004E4B23"/>
    <w:rsid w:val="004E77A3"/>
    <w:rsid w:val="004E7F63"/>
    <w:rsid w:val="00504966"/>
    <w:rsid w:val="0051565D"/>
    <w:rsid w:val="0051597C"/>
    <w:rsid w:val="00515B3F"/>
    <w:rsid w:val="00546051"/>
    <w:rsid w:val="00560EE1"/>
    <w:rsid w:val="005639A0"/>
    <w:rsid w:val="0056496E"/>
    <w:rsid w:val="00571F84"/>
    <w:rsid w:val="00576663"/>
    <w:rsid w:val="00585FE9"/>
    <w:rsid w:val="00586AEE"/>
    <w:rsid w:val="00587451"/>
    <w:rsid w:val="005C11AA"/>
    <w:rsid w:val="005C482E"/>
    <w:rsid w:val="005E2F29"/>
    <w:rsid w:val="005E6224"/>
    <w:rsid w:val="006159A7"/>
    <w:rsid w:val="006277A9"/>
    <w:rsid w:val="006542B8"/>
    <w:rsid w:val="00695343"/>
    <w:rsid w:val="006A268B"/>
    <w:rsid w:val="006A312E"/>
    <w:rsid w:val="006A6F73"/>
    <w:rsid w:val="006C309D"/>
    <w:rsid w:val="006F2CCD"/>
    <w:rsid w:val="006F5473"/>
    <w:rsid w:val="00704598"/>
    <w:rsid w:val="00734F53"/>
    <w:rsid w:val="00751709"/>
    <w:rsid w:val="00751B99"/>
    <w:rsid w:val="00752A66"/>
    <w:rsid w:val="00795391"/>
    <w:rsid w:val="007A72AD"/>
    <w:rsid w:val="007C57CA"/>
    <w:rsid w:val="007D5781"/>
    <w:rsid w:val="00822E3E"/>
    <w:rsid w:val="008368F8"/>
    <w:rsid w:val="008407E6"/>
    <w:rsid w:val="00851D7E"/>
    <w:rsid w:val="00866A93"/>
    <w:rsid w:val="0089038C"/>
    <w:rsid w:val="00897D37"/>
    <w:rsid w:val="008B327B"/>
    <w:rsid w:val="008D09E9"/>
    <w:rsid w:val="008D1DA0"/>
    <w:rsid w:val="008D630E"/>
    <w:rsid w:val="008E04F4"/>
    <w:rsid w:val="008E1539"/>
    <w:rsid w:val="008F2567"/>
    <w:rsid w:val="00914569"/>
    <w:rsid w:val="0092120C"/>
    <w:rsid w:val="00932515"/>
    <w:rsid w:val="00944153"/>
    <w:rsid w:val="009443F5"/>
    <w:rsid w:val="00950F6C"/>
    <w:rsid w:val="00952B79"/>
    <w:rsid w:val="0095332B"/>
    <w:rsid w:val="00975177"/>
    <w:rsid w:val="009C22E3"/>
    <w:rsid w:val="009C3D87"/>
    <w:rsid w:val="009C6A92"/>
    <w:rsid w:val="00A04E5E"/>
    <w:rsid w:val="00A05B23"/>
    <w:rsid w:val="00A227A8"/>
    <w:rsid w:val="00A60CA1"/>
    <w:rsid w:val="00A635FF"/>
    <w:rsid w:val="00A91402"/>
    <w:rsid w:val="00A93AE9"/>
    <w:rsid w:val="00A9654B"/>
    <w:rsid w:val="00AE114A"/>
    <w:rsid w:val="00AE164F"/>
    <w:rsid w:val="00AE6713"/>
    <w:rsid w:val="00AF172D"/>
    <w:rsid w:val="00AF6033"/>
    <w:rsid w:val="00B10726"/>
    <w:rsid w:val="00B17258"/>
    <w:rsid w:val="00B44602"/>
    <w:rsid w:val="00B66605"/>
    <w:rsid w:val="00B70FA3"/>
    <w:rsid w:val="00B72470"/>
    <w:rsid w:val="00BC6FFC"/>
    <w:rsid w:val="00BD2EDB"/>
    <w:rsid w:val="00BD715B"/>
    <w:rsid w:val="00BE541C"/>
    <w:rsid w:val="00C04C5C"/>
    <w:rsid w:val="00C136BA"/>
    <w:rsid w:val="00C30841"/>
    <w:rsid w:val="00C31440"/>
    <w:rsid w:val="00C346A1"/>
    <w:rsid w:val="00C4410F"/>
    <w:rsid w:val="00C44E45"/>
    <w:rsid w:val="00C51CBF"/>
    <w:rsid w:val="00C620CB"/>
    <w:rsid w:val="00C6433E"/>
    <w:rsid w:val="00C765EF"/>
    <w:rsid w:val="00C83DAD"/>
    <w:rsid w:val="00C87E12"/>
    <w:rsid w:val="00C94EAC"/>
    <w:rsid w:val="00CA3CEA"/>
    <w:rsid w:val="00CB2633"/>
    <w:rsid w:val="00CC4CC8"/>
    <w:rsid w:val="00CD2ED8"/>
    <w:rsid w:val="00CD3F3C"/>
    <w:rsid w:val="00CF410E"/>
    <w:rsid w:val="00D20A93"/>
    <w:rsid w:val="00D27B44"/>
    <w:rsid w:val="00D35ED3"/>
    <w:rsid w:val="00D4320C"/>
    <w:rsid w:val="00D60C38"/>
    <w:rsid w:val="00D8184D"/>
    <w:rsid w:val="00D85267"/>
    <w:rsid w:val="00DE51AA"/>
    <w:rsid w:val="00E172EB"/>
    <w:rsid w:val="00E34461"/>
    <w:rsid w:val="00E40F5D"/>
    <w:rsid w:val="00E52726"/>
    <w:rsid w:val="00E61C9B"/>
    <w:rsid w:val="00E7307D"/>
    <w:rsid w:val="00ED46CD"/>
    <w:rsid w:val="00EE3A2F"/>
    <w:rsid w:val="00F01C3E"/>
    <w:rsid w:val="00F124EC"/>
    <w:rsid w:val="00F2777F"/>
    <w:rsid w:val="00F45C83"/>
    <w:rsid w:val="00F54445"/>
    <w:rsid w:val="00F87A27"/>
    <w:rsid w:val="00FA5906"/>
    <w:rsid w:val="00FA78A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C5FFBB-987F-442C-9B7F-B6ADBC0DC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77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7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829761">
      <w:bodyDiv w:val="1"/>
      <w:marLeft w:val="0"/>
      <w:marRight w:val="0"/>
      <w:marTop w:val="0"/>
      <w:marBottom w:val="0"/>
      <w:divBdr>
        <w:top w:val="none" w:sz="0" w:space="0" w:color="auto"/>
        <w:left w:val="none" w:sz="0" w:space="0" w:color="auto"/>
        <w:bottom w:val="none" w:sz="0" w:space="0" w:color="auto"/>
        <w:right w:val="none" w:sz="0" w:space="0" w:color="auto"/>
      </w:divBdr>
      <w:divsChild>
        <w:div w:id="347416926">
          <w:marLeft w:val="0"/>
          <w:marRight w:val="0"/>
          <w:marTop w:val="0"/>
          <w:marBottom w:val="0"/>
          <w:divBdr>
            <w:top w:val="none" w:sz="0" w:space="0" w:color="auto"/>
            <w:left w:val="none" w:sz="0" w:space="0" w:color="auto"/>
            <w:bottom w:val="none" w:sz="0" w:space="0" w:color="auto"/>
            <w:right w:val="none" w:sz="0" w:space="0" w:color="auto"/>
          </w:divBdr>
          <w:divsChild>
            <w:div w:id="859928355">
              <w:marLeft w:val="0"/>
              <w:marRight w:val="6000"/>
              <w:marTop w:val="0"/>
              <w:marBottom w:val="0"/>
              <w:divBdr>
                <w:top w:val="none" w:sz="0" w:space="0" w:color="auto"/>
                <w:left w:val="none" w:sz="0" w:space="0" w:color="auto"/>
                <w:bottom w:val="none" w:sz="0" w:space="0" w:color="auto"/>
                <w:right w:val="none" w:sz="0" w:space="0" w:color="auto"/>
              </w:divBdr>
              <w:divsChild>
                <w:div w:id="662510679">
                  <w:marLeft w:val="0"/>
                  <w:marRight w:val="0"/>
                  <w:marTop w:val="0"/>
                  <w:marBottom w:val="0"/>
                  <w:divBdr>
                    <w:top w:val="none" w:sz="0" w:space="0" w:color="auto"/>
                    <w:left w:val="none" w:sz="0" w:space="0" w:color="auto"/>
                    <w:bottom w:val="none" w:sz="0" w:space="0" w:color="auto"/>
                    <w:right w:val="none" w:sz="0" w:space="0" w:color="auto"/>
                  </w:divBdr>
                  <w:divsChild>
                    <w:div w:id="330530529">
                      <w:marLeft w:val="0"/>
                      <w:marRight w:val="0"/>
                      <w:marTop w:val="0"/>
                      <w:marBottom w:val="0"/>
                      <w:divBdr>
                        <w:top w:val="none" w:sz="0" w:space="0" w:color="auto"/>
                        <w:left w:val="none" w:sz="0" w:space="0" w:color="auto"/>
                        <w:bottom w:val="none" w:sz="0" w:space="0" w:color="auto"/>
                        <w:right w:val="none" w:sz="0" w:space="0" w:color="auto"/>
                      </w:divBdr>
                      <w:divsChild>
                        <w:div w:id="1812480315">
                          <w:marLeft w:val="0"/>
                          <w:marRight w:val="0"/>
                          <w:marTop w:val="0"/>
                          <w:marBottom w:val="0"/>
                          <w:divBdr>
                            <w:top w:val="none" w:sz="0" w:space="0" w:color="auto"/>
                            <w:left w:val="none" w:sz="0" w:space="0" w:color="auto"/>
                            <w:bottom w:val="none" w:sz="0" w:space="0" w:color="auto"/>
                            <w:right w:val="none" w:sz="0" w:space="0" w:color="auto"/>
                          </w:divBdr>
                          <w:divsChild>
                            <w:div w:id="1230339594">
                              <w:marLeft w:val="0"/>
                              <w:marRight w:val="0"/>
                              <w:marTop w:val="0"/>
                              <w:marBottom w:val="675"/>
                              <w:divBdr>
                                <w:top w:val="none" w:sz="0" w:space="0" w:color="auto"/>
                                <w:left w:val="none" w:sz="0" w:space="0" w:color="auto"/>
                                <w:bottom w:val="none" w:sz="0" w:space="0" w:color="auto"/>
                                <w:right w:val="none" w:sz="0" w:space="0" w:color="auto"/>
                              </w:divBdr>
                              <w:divsChild>
                                <w:div w:id="2105035643">
                                  <w:marLeft w:val="0"/>
                                  <w:marRight w:val="0"/>
                                  <w:marTop w:val="0"/>
                                  <w:marBottom w:val="0"/>
                                  <w:divBdr>
                                    <w:top w:val="none" w:sz="0" w:space="0" w:color="auto"/>
                                    <w:left w:val="none" w:sz="0" w:space="0" w:color="auto"/>
                                    <w:bottom w:val="none" w:sz="0" w:space="0" w:color="auto"/>
                                    <w:right w:val="none" w:sz="0" w:space="0" w:color="auto"/>
                                  </w:divBdr>
                                  <w:divsChild>
                                    <w:div w:id="305671524">
                                      <w:marLeft w:val="375"/>
                                      <w:marRight w:val="-6285"/>
                                      <w:marTop w:val="0"/>
                                      <w:marBottom w:val="0"/>
                                      <w:divBdr>
                                        <w:top w:val="none" w:sz="0" w:space="0" w:color="auto"/>
                                        <w:left w:val="none" w:sz="0" w:space="0" w:color="auto"/>
                                        <w:bottom w:val="none" w:sz="0" w:space="0" w:color="auto"/>
                                        <w:right w:val="none" w:sz="0" w:space="0" w:color="auto"/>
                                      </w:divBdr>
                                      <w:divsChild>
                                        <w:div w:id="1678078417">
                                          <w:marLeft w:val="0"/>
                                          <w:marRight w:val="0"/>
                                          <w:marTop w:val="0"/>
                                          <w:marBottom w:val="0"/>
                                          <w:divBdr>
                                            <w:top w:val="none" w:sz="0" w:space="0" w:color="auto"/>
                                            <w:left w:val="none" w:sz="0" w:space="0" w:color="auto"/>
                                            <w:bottom w:val="none" w:sz="0" w:space="0" w:color="auto"/>
                                            <w:right w:val="none" w:sz="0" w:space="0" w:color="auto"/>
                                          </w:divBdr>
                                          <w:divsChild>
                                            <w:div w:id="498081760">
                                              <w:marLeft w:val="0"/>
                                              <w:marRight w:val="0"/>
                                              <w:marTop w:val="0"/>
                                              <w:marBottom w:val="0"/>
                                              <w:divBdr>
                                                <w:top w:val="none" w:sz="0" w:space="0" w:color="auto"/>
                                                <w:left w:val="none" w:sz="0" w:space="0" w:color="auto"/>
                                                <w:bottom w:val="none" w:sz="0" w:space="0" w:color="auto"/>
                                                <w:right w:val="none" w:sz="0" w:space="0" w:color="auto"/>
                                              </w:divBdr>
                                              <w:divsChild>
                                                <w:div w:id="1380472865">
                                                  <w:marLeft w:val="0"/>
                                                  <w:marRight w:val="0"/>
                                                  <w:marTop w:val="0"/>
                                                  <w:marBottom w:val="0"/>
                                                  <w:divBdr>
                                                    <w:top w:val="none" w:sz="0" w:space="0" w:color="auto"/>
                                                    <w:left w:val="none" w:sz="0" w:space="0" w:color="auto"/>
                                                    <w:bottom w:val="none" w:sz="0" w:space="0" w:color="auto"/>
                                                    <w:right w:val="none" w:sz="0" w:space="0" w:color="auto"/>
                                                  </w:divBdr>
                                                  <w:divsChild>
                                                    <w:div w:id="56637408">
                                                      <w:marLeft w:val="0"/>
                                                      <w:marRight w:val="0"/>
                                                      <w:marTop w:val="0"/>
                                                      <w:marBottom w:val="0"/>
                                                      <w:divBdr>
                                                        <w:top w:val="none" w:sz="0" w:space="0" w:color="auto"/>
                                                        <w:left w:val="none" w:sz="0" w:space="0" w:color="auto"/>
                                                        <w:bottom w:val="none" w:sz="0" w:space="0" w:color="auto"/>
                                                        <w:right w:val="none" w:sz="0" w:space="0" w:color="auto"/>
                                                      </w:divBdr>
                                                      <w:divsChild>
                                                        <w:div w:id="1167938686">
                                                          <w:marLeft w:val="0"/>
                                                          <w:marRight w:val="0"/>
                                                          <w:marTop w:val="0"/>
                                                          <w:marBottom w:val="0"/>
                                                          <w:divBdr>
                                                            <w:top w:val="none" w:sz="0" w:space="0" w:color="auto"/>
                                                            <w:left w:val="none" w:sz="0" w:space="0" w:color="auto"/>
                                                            <w:bottom w:val="none" w:sz="0" w:space="0" w:color="auto"/>
                                                            <w:right w:val="none" w:sz="0" w:space="0" w:color="auto"/>
                                                          </w:divBdr>
                                                        </w:div>
                                                      </w:divsChild>
                                                    </w:div>
                                                    <w:div w:id="1074545040">
                                                      <w:marLeft w:val="0"/>
                                                      <w:marRight w:val="0"/>
                                                      <w:marTop w:val="0"/>
                                                      <w:marBottom w:val="0"/>
                                                      <w:divBdr>
                                                        <w:top w:val="none" w:sz="0" w:space="0" w:color="auto"/>
                                                        <w:left w:val="none" w:sz="0" w:space="0" w:color="auto"/>
                                                        <w:bottom w:val="none" w:sz="0" w:space="0" w:color="auto"/>
                                                        <w:right w:val="none" w:sz="0" w:space="0" w:color="auto"/>
                                                      </w:divBdr>
                                                      <w:divsChild>
                                                        <w:div w:id="1734237255">
                                                          <w:marLeft w:val="0"/>
                                                          <w:marRight w:val="0"/>
                                                          <w:marTop w:val="0"/>
                                                          <w:marBottom w:val="0"/>
                                                          <w:divBdr>
                                                            <w:top w:val="none" w:sz="0" w:space="0" w:color="auto"/>
                                                            <w:left w:val="none" w:sz="0" w:space="0" w:color="auto"/>
                                                            <w:bottom w:val="none" w:sz="0" w:space="0" w:color="auto"/>
                                                            <w:right w:val="none" w:sz="0" w:space="0" w:color="auto"/>
                                                          </w:divBdr>
                                                          <w:divsChild>
                                                            <w:div w:id="1959293155">
                                                              <w:marLeft w:val="0"/>
                                                              <w:marRight w:val="0"/>
                                                              <w:marTop w:val="0"/>
                                                              <w:marBottom w:val="0"/>
                                                              <w:divBdr>
                                                                <w:top w:val="none" w:sz="0" w:space="0" w:color="auto"/>
                                                                <w:left w:val="none" w:sz="0" w:space="0" w:color="auto"/>
                                                                <w:bottom w:val="none" w:sz="0" w:space="0" w:color="auto"/>
                                                                <w:right w:val="none" w:sz="0" w:space="0" w:color="auto"/>
                                                              </w:divBdr>
                                                              <w:divsChild>
                                                                <w:div w:id="800148670">
                                                                  <w:marLeft w:val="0"/>
                                                                  <w:marRight w:val="0"/>
                                                                  <w:marTop w:val="0"/>
                                                                  <w:marBottom w:val="0"/>
                                                                  <w:divBdr>
                                                                    <w:top w:val="none" w:sz="0" w:space="0" w:color="auto"/>
                                                                    <w:left w:val="none" w:sz="0" w:space="0" w:color="auto"/>
                                                                    <w:bottom w:val="none" w:sz="0" w:space="0" w:color="auto"/>
                                                                    <w:right w:val="none" w:sz="0" w:space="0" w:color="auto"/>
                                                                  </w:divBdr>
                                                                </w:div>
                                                                <w:div w:id="1411077059">
                                                                  <w:marLeft w:val="0"/>
                                                                  <w:marRight w:val="0"/>
                                                                  <w:marTop w:val="0"/>
                                                                  <w:marBottom w:val="0"/>
                                                                  <w:divBdr>
                                                                    <w:top w:val="none" w:sz="0" w:space="0" w:color="auto"/>
                                                                    <w:left w:val="none" w:sz="0" w:space="0" w:color="auto"/>
                                                                    <w:bottom w:val="none" w:sz="0" w:space="0" w:color="auto"/>
                                                                    <w:right w:val="none" w:sz="0" w:space="0" w:color="auto"/>
                                                                  </w:divBdr>
                                                                  <w:divsChild>
                                                                    <w:div w:id="1005665844">
                                                                      <w:marLeft w:val="0"/>
                                                                      <w:marRight w:val="0"/>
                                                                      <w:marTop w:val="0"/>
                                                                      <w:marBottom w:val="0"/>
                                                                      <w:divBdr>
                                                                        <w:top w:val="none" w:sz="0" w:space="0" w:color="auto"/>
                                                                        <w:left w:val="none" w:sz="0" w:space="0" w:color="auto"/>
                                                                        <w:bottom w:val="none" w:sz="0" w:space="0" w:color="auto"/>
                                                                        <w:right w:val="none" w:sz="0" w:space="0" w:color="auto"/>
                                                                      </w:divBdr>
                                                                    </w:div>
                                                                    <w:div w:id="135683876">
                                                                      <w:marLeft w:val="0"/>
                                                                      <w:marRight w:val="0"/>
                                                                      <w:marTop w:val="0"/>
                                                                      <w:marBottom w:val="0"/>
                                                                      <w:divBdr>
                                                                        <w:top w:val="none" w:sz="0" w:space="0" w:color="auto"/>
                                                                        <w:left w:val="none" w:sz="0" w:space="0" w:color="auto"/>
                                                                        <w:bottom w:val="none" w:sz="0" w:space="0" w:color="auto"/>
                                                                        <w:right w:val="none" w:sz="0" w:space="0" w:color="auto"/>
                                                                      </w:divBdr>
                                                                    </w:div>
                                                                    <w:div w:id="213084901">
                                                                      <w:marLeft w:val="0"/>
                                                                      <w:marRight w:val="0"/>
                                                                      <w:marTop w:val="0"/>
                                                                      <w:marBottom w:val="0"/>
                                                                      <w:divBdr>
                                                                        <w:top w:val="none" w:sz="0" w:space="0" w:color="auto"/>
                                                                        <w:left w:val="none" w:sz="0" w:space="0" w:color="auto"/>
                                                                        <w:bottom w:val="none" w:sz="0" w:space="0" w:color="auto"/>
                                                                        <w:right w:val="none" w:sz="0" w:space="0" w:color="auto"/>
                                                                      </w:divBdr>
                                                                    </w:div>
                                                                    <w:div w:id="7074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645121">
                                                      <w:marLeft w:val="0"/>
                                                      <w:marRight w:val="0"/>
                                                      <w:marTop w:val="0"/>
                                                      <w:marBottom w:val="0"/>
                                                      <w:divBdr>
                                                        <w:top w:val="none" w:sz="0" w:space="0" w:color="auto"/>
                                                        <w:left w:val="none" w:sz="0" w:space="0" w:color="auto"/>
                                                        <w:bottom w:val="none" w:sz="0" w:space="0" w:color="auto"/>
                                                        <w:right w:val="none" w:sz="0" w:space="0" w:color="auto"/>
                                                      </w:divBdr>
                                                      <w:divsChild>
                                                        <w:div w:id="1977057241">
                                                          <w:marLeft w:val="0"/>
                                                          <w:marRight w:val="0"/>
                                                          <w:marTop w:val="0"/>
                                                          <w:marBottom w:val="0"/>
                                                          <w:divBdr>
                                                            <w:top w:val="none" w:sz="0" w:space="0" w:color="auto"/>
                                                            <w:left w:val="none" w:sz="0" w:space="0" w:color="auto"/>
                                                            <w:bottom w:val="none" w:sz="0" w:space="0" w:color="auto"/>
                                                            <w:right w:val="none" w:sz="0" w:space="0" w:color="auto"/>
                                                          </w:divBdr>
                                                          <w:divsChild>
                                                            <w:div w:id="694694355">
                                                              <w:marLeft w:val="180"/>
                                                              <w:marRight w:val="180"/>
                                                              <w:marTop w:val="180"/>
                                                              <w:marBottom w:val="180"/>
                                                              <w:divBdr>
                                                                <w:top w:val="none" w:sz="0" w:space="0" w:color="auto"/>
                                                                <w:left w:val="none" w:sz="0" w:space="0" w:color="auto"/>
                                                                <w:bottom w:val="none" w:sz="0" w:space="0" w:color="auto"/>
                                                                <w:right w:val="none" w:sz="0" w:space="0" w:color="auto"/>
                                                              </w:divBdr>
                                                              <w:divsChild>
                                                                <w:div w:id="275330773">
                                                                  <w:marLeft w:val="120"/>
                                                                  <w:marRight w:val="120"/>
                                                                  <w:marTop w:val="120"/>
                                                                  <w:marBottom w:val="120"/>
                                                                  <w:divBdr>
                                                                    <w:top w:val="none" w:sz="0" w:space="0" w:color="auto"/>
                                                                    <w:left w:val="none" w:sz="0" w:space="0" w:color="auto"/>
                                                                    <w:bottom w:val="none" w:sz="0" w:space="0" w:color="auto"/>
                                                                    <w:right w:val="none" w:sz="0" w:space="0" w:color="auto"/>
                                                                  </w:divBdr>
                                                                  <w:divsChild>
                                                                    <w:div w:id="102933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557857">
                                                          <w:marLeft w:val="0"/>
                                                          <w:marRight w:val="0"/>
                                                          <w:marTop w:val="0"/>
                                                          <w:marBottom w:val="0"/>
                                                          <w:divBdr>
                                                            <w:top w:val="none" w:sz="0" w:space="0" w:color="auto"/>
                                                            <w:left w:val="none" w:sz="0" w:space="0" w:color="auto"/>
                                                            <w:bottom w:val="none" w:sz="0" w:space="0" w:color="auto"/>
                                                            <w:right w:val="none" w:sz="0" w:space="0" w:color="auto"/>
                                                          </w:divBdr>
                                                          <w:divsChild>
                                                            <w:div w:id="1536427918">
                                                              <w:marLeft w:val="0"/>
                                                              <w:marRight w:val="0"/>
                                                              <w:marTop w:val="0"/>
                                                              <w:marBottom w:val="0"/>
                                                              <w:divBdr>
                                                                <w:top w:val="none" w:sz="0" w:space="0" w:color="auto"/>
                                                                <w:left w:val="none" w:sz="0" w:space="0" w:color="auto"/>
                                                                <w:bottom w:val="none" w:sz="0" w:space="0" w:color="auto"/>
                                                                <w:right w:val="none" w:sz="0" w:space="0" w:color="auto"/>
                                                              </w:divBdr>
                                                            </w:div>
                                                            <w:div w:id="133931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57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vestopedia.com/video/play/what-is-equity/" TargetMode="External"/><Relationship Id="rId13" Type="http://schemas.openxmlformats.org/officeDocument/2006/relationships/hyperlink" Target="http://www.investopedia.com/video/play/leverag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nvestopedia.com/terms/l/leverage.asp" TargetMode="External"/><Relationship Id="rId12" Type="http://schemas.openxmlformats.org/officeDocument/2006/relationships/hyperlink" Target="http://www.investopedia.com/video/play/geari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c.tynt.com/b/rf?id=arwjQmCEqr4l6Cadbi-bnq&amp;u=Investopedia" TargetMode="External"/><Relationship Id="rId1" Type="http://schemas.openxmlformats.org/officeDocument/2006/relationships/numbering" Target="numbering.xml"/><Relationship Id="rId6" Type="http://schemas.openxmlformats.org/officeDocument/2006/relationships/hyperlink" Target="http://www.investopedia.com/terms/g/gearing.asp" TargetMode="External"/><Relationship Id="rId11" Type="http://schemas.openxmlformats.org/officeDocument/2006/relationships/hyperlink" Target="http://www.investopedia.com/terms/d/debtratio.asp" TargetMode="External"/><Relationship Id="rId5" Type="http://schemas.openxmlformats.org/officeDocument/2006/relationships/hyperlink" Target="http://www.investopedia.com/terms/e/equity.asp" TargetMode="External"/><Relationship Id="rId15" Type="http://schemas.openxmlformats.org/officeDocument/2006/relationships/hyperlink" Target="http://www.investopedia.com/terms/g/gearingratio.asp" TargetMode="External"/><Relationship Id="rId10" Type="http://schemas.openxmlformats.org/officeDocument/2006/relationships/hyperlink" Target="http://www.investopedia.com/video/play/debt-to-equity-ratio/" TargetMode="External"/><Relationship Id="rId4" Type="http://schemas.openxmlformats.org/officeDocument/2006/relationships/webSettings" Target="webSettings.xml"/><Relationship Id="rId9" Type="http://schemas.openxmlformats.org/officeDocument/2006/relationships/hyperlink" Target="http://www.investopedia.com/terms/t/tie.asp" TargetMode="External"/><Relationship Id="rId14" Type="http://schemas.openxmlformats.org/officeDocument/2006/relationships/hyperlink" Target="http://www.investopedia.com/terms/g/gearingratio.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cp:lastPrinted>2016-10-25T10:27:00Z</cp:lastPrinted>
  <dcterms:created xsi:type="dcterms:W3CDTF">2016-10-25T10:26:00Z</dcterms:created>
  <dcterms:modified xsi:type="dcterms:W3CDTF">2016-10-25T13:48:00Z</dcterms:modified>
</cp:coreProperties>
</file>