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:rsidR="00C70B1B" w:rsidRPr="00C70B1B" w:rsidRDefault="00C70B1B" w:rsidP="007F78E2">
            <w:pPr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HPAR7007</w:t>
            </w:r>
          </w:p>
        </w:tc>
      </w:tr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Archaeological Specialist Practice</w:t>
            </w:r>
          </w:p>
        </w:tc>
      </w:tr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1041641515"/>
            <w:placeholder>
              <w:docPart w:val="0C871018A6CF45CFA72B29151BC622E8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C70B1B" w:rsidRPr="00C70B1B" w:rsidRDefault="00C70B1B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C70B1B">
                  <w:rPr>
                    <w:rFonts w:cs="Arial"/>
                    <w:szCs w:val="22"/>
                  </w:rPr>
                  <w:t>04/03/2020</w:t>
                </w:r>
              </w:p>
            </w:tc>
          </w:sdtContent>
        </w:sdt>
      </w:tr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1004249444"/>
            <w:placeholder>
              <w:docPart w:val="26E211F0C2AD42C4A4DA363223088D8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C70B1B" w:rsidRPr="00C70B1B" w:rsidRDefault="00C70B1B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C70B1B">
                  <w:rPr>
                    <w:rFonts w:cs="Arial"/>
                    <w:szCs w:val="22"/>
                  </w:rPr>
                  <w:t>7</w:t>
                </w:r>
              </w:p>
            </w:tc>
          </w:sdtContent>
        </w:sdt>
      </w:tr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30</w:t>
            </w:r>
          </w:p>
        </w:tc>
      </w:tr>
      <w:tr w:rsidR="00C70B1B" w:rsidRPr="00C70B1B" w:rsidTr="00C70B1B">
        <w:tc>
          <w:tcPr>
            <w:tcW w:w="1838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70B1B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C70B1B" w:rsidRPr="00C70B1B" w:rsidRDefault="00C70B1B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</w:p>
        </w:tc>
      </w:tr>
    </w:tbl>
    <w:p w:rsidR="00C70B1B" w:rsidRPr="00C70B1B" w:rsidRDefault="00C70B1B" w:rsidP="00C70B1B">
      <w:pPr>
        <w:pBdr>
          <w:bottom w:val="single" w:sz="6" w:space="1" w:color="auto"/>
        </w:pBdr>
        <w:rPr>
          <w:rFonts w:cs="Arial"/>
        </w:rPr>
      </w:pPr>
    </w:p>
    <w:p w:rsidR="00C70B1B" w:rsidRPr="00C70B1B" w:rsidRDefault="00C70B1B" w:rsidP="00C70B1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C70B1B" w:rsidRPr="00C70B1B" w:rsidRDefault="00C70B1B" w:rsidP="00C70B1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C70B1B">
        <w:rPr>
          <w:rFonts w:cs="Arial"/>
          <w:b/>
          <w:szCs w:val="22"/>
        </w:rPr>
        <w:t>AIM(S)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b/>
          <w:szCs w:val="22"/>
        </w:rPr>
      </w:pPr>
      <w:r w:rsidRPr="00C70B1B">
        <w:rPr>
          <w:rFonts w:cs="Arial"/>
          <w:szCs w:val="22"/>
        </w:rPr>
        <w:t>To develop an understanding of the role of archaeological specialists within the profession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b/>
          <w:szCs w:val="22"/>
        </w:rPr>
      </w:pPr>
      <w:r w:rsidRPr="00C70B1B">
        <w:rPr>
          <w:rFonts w:cs="Arial"/>
          <w:szCs w:val="22"/>
        </w:rPr>
        <w:t>To develop the capacity to plan, lead or undertake, and disseminate archaeological specialist practice</w:t>
      </w:r>
    </w:p>
    <w:p w:rsidR="00C70B1B" w:rsidRPr="00C70B1B" w:rsidRDefault="00C70B1B" w:rsidP="00C70B1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C70B1B" w:rsidRPr="00C70B1B" w:rsidRDefault="00C70B1B" w:rsidP="00C70B1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C70B1B">
        <w:rPr>
          <w:rFonts w:cs="Arial"/>
          <w:b/>
          <w:szCs w:val="22"/>
        </w:rPr>
        <w:t>LEARNING OUTCOMES</w:t>
      </w:r>
    </w:p>
    <w:p w:rsidR="00C70B1B" w:rsidRPr="00C70B1B" w:rsidRDefault="00C70B1B" w:rsidP="00C70B1B">
      <w:pPr>
        <w:rPr>
          <w:rFonts w:cs="Arial"/>
          <w:b/>
        </w:rPr>
      </w:pPr>
    </w:p>
    <w:p w:rsidR="00C70B1B" w:rsidRPr="00C70B1B" w:rsidRDefault="00C70B1B" w:rsidP="00C70B1B">
      <w:pPr>
        <w:rPr>
          <w:rFonts w:cs="Arial"/>
        </w:rPr>
      </w:pPr>
      <w:r w:rsidRPr="00C70B1B">
        <w:rPr>
          <w:rFonts w:cs="Arial"/>
        </w:rPr>
        <w:t>Upon the successful completion of this module, the student should be able to: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786"/>
        <w:textAlignment w:val="auto"/>
        <w:rPr>
          <w:rFonts w:cs="Arial"/>
          <w:szCs w:val="22"/>
        </w:rPr>
      </w:pPr>
      <w:proofErr w:type="gramStart"/>
      <w:r w:rsidRPr="00C70B1B">
        <w:rPr>
          <w:rFonts w:cs="Arial"/>
          <w:szCs w:val="22"/>
        </w:rPr>
        <w:t>recognise</w:t>
      </w:r>
      <w:proofErr w:type="gramEnd"/>
      <w:r w:rsidRPr="00C70B1B">
        <w:rPr>
          <w:rFonts w:cs="Arial"/>
          <w:szCs w:val="22"/>
        </w:rPr>
        <w:t xml:space="preserve"> and understand archaeological site types, periods, artefacts and </w:t>
      </w:r>
      <w:proofErr w:type="spellStart"/>
      <w:r w:rsidRPr="00C70B1B">
        <w:rPr>
          <w:rFonts w:cs="Arial"/>
          <w:szCs w:val="22"/>
        </w:rPr>
        <w:t>ecofacts</w:t>
      </w:r>
      <w:proofErr w:type="spellEnd"/>
      <w:r w:rsidRPr="00C70B1B">
        <w:rPr>
          <w:rFonts w:cs="Arial"/>
          <w:szCs w:val="22"/>
        </w:rPr>
        <w:t xml:space="preserve"> and site formation processes.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786"/>
        <w:textAlignment w:val="auto"/>
        <w:rPr>
          <w:rFonts w:cs="Arial"/>
          <w:szCs w:val="22"/>
        </w:rPr>
      </w:pPr>
      <w:r w:rsidRPr="00C70B1B">
        <w:rPr>
          <w:rFonts w:cs="Arial"/>
          <w:szCs w:val="22"/>
        </w:rPr>
        <w:t xml:space="preserve">Demonstrate an awareness of the fundamentals of relevant Health and Safety legislation and their employer’s Health and Safety Policy and Procedures and operational procedures. 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786"/>
        <w:textAlignment w:val="auto"/>
        <w:rPr>
          <w:rFonts w:cs="Arial"/>
          <w:szCs w:val="22"/>
        </w:rPr>
      </w:pPr>
      <w:r w:rsidRPr="00C70B1B">
        <w:rPr>
          <w:rFonts w:cs="Arial"/>
          <w:szCs w:val="22"/>
        </w:rPr>
        <w:t xml:space="preserve">select, secure, check and calibrate suitable equipment and reference resources 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786"/>
        <w:textAlignment w:val="auto"/>
        <w:rPr>
          <w:rFonts w:cs="Arial"/>
          <w:szCs w:val="22"/>
        </w:rPr>
      </w:pPr>
      <w:r w:rsidRPr="00C70B1B">
        <w:rPr>
          <w:rFonts w:cs="Arial"/>
          <w:szCs w:val="22"/>
        </w:rPr>
        <w:t xml:space="preserve">work accurately and efficiently to conduct work to high standards within defined project objectives </w:t>
      </w:r>
    </w:p>
    <w:p w:rsidR="00C70B1B" w:rsidRPr="00C70B1B" w:rsidRDefault="00C70B1B" w:rsidP="00C70B1B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786"/>
        <w:textAlignment w:val="auto"/>
        <w:rPr>
          <w:rFonts w:cs="Arial"/>
          <w:szCs w:val="22"/>
        </w:rPr>
      </w:pPr>
      <w:r w:rsidRPr="00C70B1B">
        <w:rPr>
          <w:rFonts w:cs="Arial"/>
          <w:szCs w:val="22"/>
        </w:rPr>
        <w:t>be approachable and able to communicate with all levels of their own and other organisations, as well as the general public</w:t>
      </w:r>
    </w:p>
    <w:p w:rsidR="00C70B1B" w:rsidRPr="00C70B1B" w:rsidRDefault="00C70B1B" w:rsidP="00C70B1B">
      <w:pPr>
        <w:pStyle w:val="fixed"/>
        <w:rPr>
          <w:rFonts w:cs="Arial"/>
          <w:szCs w:val="22"/>
        </w:rPr>
      </w:pPr>
    </w:p>
    <w:p w:rsidR="00C70B1B" w:rsidRPr="00C70B1B" w:rsidRDefault="00C70B1B" w:rsidP="00C70B1B">
      <w:pPr>
        <w:pStyle w:val="fixed"/>
        <w:rPr>
          <w:rFonts w:cs="Arial"/>
          <w:szCs w:val="22"/>
        </w:rPr>
      </w:pPr>
      <w:r w:rsidRPr="00C70B1B">
        <w:rPr>
          <w:rFonts w:cs="Arial"/>
          <w:szCs w:val="22"/>
        </w:rPr>
        <w:t>INDICATIVE CONTENT</w:t>
      </w:r>
    </w:p>
    <w:p w:rsidR="00C70B1B" w:rsidRPr="00C70B1B" w:rsidRDefault="00C70B1B" w:rsidP="00C70B1B">
      <w:pPr>
        <w:pStyle w:val="ListParagraph"/>
        <w:numPr>
          <w:ilvl w:val="0"/>
          <w:numId w:val="1"/>
        </w:numPr>
        <w:spacing w:before="240" w:after="0" w:line="240" w:lineRule="auto"/>
        <w:ind w:left="786"/>
        <w:contextualSpacing w:val="0"/>
        <w:rPr>
          <w:rFonts w:ascii="Arial" w:hAnsi="Arial" w:cs="Arial"/>
        </w:rPr>
      </w:pPr>
      <w:r w:rsidRPr="00C70B1B">
        <w:rPr>
          <w:rFonts w:ascii="Arial" w:hAnsi="Arial" w:cs="Arial"/>
        </w:rPr>
        <w:t>The role of the specialist within archaeological project teams</w:t>
      </w:r>
    </w:p>
    <w:p w:rsidR="00C70B1B" w:rsidRPr="00C70B1B" w:rsidRDefault="00C70B1B" w:rsidP="00C70B1B">
      <w:pPr>
        <w:pStyle w:val="ListParagraph"/>
        <w:numPr>
          <w:ilvl w:val="0"/>
          <w:numId w:val="1"/>
        </w:numPr>
        <w:spacing w:before="240" w:after="0" w:line="240" w:lineRule="auto"/>
        <w:ind w:left="786"/>
        <w:contextualSpacing w:val="0"/>
        <w:rPr>
          <w:rFonts w:ascii="Arial" w:hAnsi="Arial" w:cs="Arial"/>
        </w:rPr>
      </w:pPr>
      <w:r w:rsidRPr="00C70B1B">
        <w:rPr>
          <w:rFonts w:ascii="Arial" w:hAnsi="Arial" w:cs="Arial"/>
        </w:rPr>
        <w:t>Professional standards and guidance for specialist practice</w:t>
      </w:r>
    </w:p>
    <w:p w:rsidR="00C70B1B" w:rsidRPr="00C70B1B" w:rsidRDefault="00C70B1B" w:rsidP="00C70B1B">
      <w:pPr>
        <w:pStyle w:val="ListParagraph"/>
        <w:numPr>
          <w:ilvl w:val="0"/>
          <w:numId w:val="1"/>
        </w:numPr>
        <w:spacing w:before="240" w:after="0" w:line="240" w:lineRule="auto"/>
        <w:contextualSpacing w:val="0"/>
        <w:rPr>
          <w:rFonts w:ascii="Arial" w:hAnsi="Arial" w:cs="Arial"/>
        </w:rPr>
      </w:pPr>
      <w:r w:rsidRPr="00C70B1B">
        <w:rPr>
          <w:rFonts w:ascii="Arial" w:hAnsi="Arial" w:cs="Arial"/>
        </w:rPr>
        <w:t>Current professional norms in archaeological specialist practice</w:t>
      </w:r>
    </w:p>
    <w:p w:rsidR="00C70B1B" w:rsidRPr="00C70B1B" w:rsidRDefault="00C70B1B" w:rsidP="00C70B1B">
      <w:pPr>
        <w:pStyle w:val="fixed"/>
        <w:rPr>
          <w:rFonts w:cs="Arial"/>
          <w:szCs w:val="22"/>
        </w:rPr>
      </w:pPr>
    </w:p>
    <w:p w:rsidR="00C70B1B" w:rsidRPr="00C70B1B" w:rsidRDefault="00C70B1B" w:rsidP="00C70B1B">
      <w:pPr>
        <w:pStyle w:val="fixed"/>
        <w:rPr>
          <w:rFonts w:cs="Arial"/>
          <w:szCs w:val="22"/>
        </w:rPr>
      </w:pPr>
      <w:r w:rsidRPr="00C70B1B">
        <w:rPr>
          <w:rFonts w:cs="Arial"/>
          <w:szCs w:val="22"/>
        </w:rPr>
        <w:t>Study Time Allocation</w:t>
      </w:r>
    </w:p>
    <w:p w:rsidR="00C70B1B" w:rsidRPr="00C70B1B" w:rsidRDefault="00C70B1B" w:rsidP="00C70B1B">
      <w:pPr>
        <w:keepNext/>
        <w:rPr>
          <w:rFonts w:cs="Arial"/>
        </w:rPr>
      </w:pPr>
      <w:r w:rsidRPr="00C70B1B">
        <w:rPr>
          <w:rFonts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70B1B" w:rsidRPr="00C70B1B" w:rsidTr="00C70B1B">
        <w:trPr>
          <w:trHeight w:val="43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70B1B" w:rsidRPr="00C70B1B" w:rsidRDefault="00C70B1B" w:rsidP="007F78E2">
            <w:pPr>
              <w:keepNext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Percentage</w:t>
            </w:r>
          </w:p>
        </w:tc>
      </w:tr>
      <w:tr w:rsidR="00C70B1B" w:rsidRPr="00C70B1B" w:rsidTr="00C70B1B">
        <w:tc>
          <w:tcPr>
            <w:tcW w:w="3969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47</w:t>
            </w:r>
          </w:p>
        </w:tc>
        <w:tc>
          <w:tcPr>
            <w:tcW w:w="1843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16%</w:t>
            </w:r>
          </w:p>
        </w:tc>
      </w:tr>
      <w:tr w:rsidR="00C70B1B" w:rsidRPr="00C70B1B" w:rsidTr="00C70B1B">
        <w:tc>
          <w:tcPr>
            <w:tcW w:w="3969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159</w:t>
            </w:r>
          </w:p>
        </w:tc>
        <w:tc>
          <w:tcPr>
            <w:tcW w:w="1843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53%</w:t>
            </w:r>
          </w:p>
        </w:tc>
      </w:tr>
      <w:tr w:rsidR="00C70B1B" w:rsidRPr="00C70B1B" w:rsidTr="00C70B1B">
        <w:tc>
          <w:tcPr>
            <w:tcW w:w="3969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94</w:t>
            </w:r>
          </w:p>
        </w:tc>
        <w:tc>
          <w:tcPr>
            <w:tcW w:w="1843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31%</w:t>
            </w:r>
          </w:p>
        </w:tc>
      </w:tr>
      <w:tr w:rsidR="00C70B1B" w:rsidRPr="00C70B1B" w:rsidTr="00C70B1B">
        <w:tc>
          <w:tcPr>
            <w:tcW w:w="3969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300</w:t>
            </w:r>
          </w:p>
        </w:tc>
        <w:tc>
          <w:tcPr>
            <w:tcW w:w="1843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100%</w:t>
            </w:r>
          </w:p>
        </w:tc>
      </w:tr>
    </w:tbl>
    <w:p w:rsidR="00C70B1B" w:rsidRPr="00C70B1B" w:rsidRDefault="00C70B1B" w:rsidP="00C70B1B">
      <w:pPr>
        <w:pStyle w:val="fixed"/>
        <w:ind w:left="360" w:firstLine="0"/>
        <w:rPr>
          <w:rFonts w:cs="Arial"/>
          <w:szCs w:val="22"/>
        </w:rPr>
      </w:pPr>
    </w:p>
    <w:p w:rsidR="00CC02D7" w:rsidRDefault="00CC02D7">
      <w:pPr>
        <w:overflowPunct/>
        <w:autoSpaceDE/>
        <w:autoSpaceDN/>
        <w:adjustRightInd/>
        <w:jc w:val="left"/>
        <w:textAlignment w:val="auto"/>
        <w:rPr>
          <w:rFonts w:cs="Arial"/>
          <w:b/>
          <w:szCs w:val="22"/>
        </w:rPr>
      </w:pPr>
      <w:r>
        <w:rPr>
          <w:rFonts w:cs="Arial"/>
          <w:szCs w:val="22"/>
        </w:rPr>
        <w:br w:type="page"/>
      </w:r>
    </w:p>
    <w:p w:rsidR="00C70B1B" w:rsidRPr="00C70B1B" w:rsidRDefault="00C70B1B" w:rsidP="00C70B1B">
      <w:pPr>
        <w:pStyle w:val="fixed"/>
        <w:rPr>
          <w:rFonts w:cs="Arial"/>
          <w:szCs w:val="22"/>
        </w:rPr>
      </w:pPr>
      <w:bookmarkStart w:id="0" w:name="_GoBack"/>
      <w:bookmarkEnd w:id="0"/>
      <w:r w:rsidRPr="00C70B1B">
        <w:rPr>
          <w:rFonts w:cs="Arial"/>
          <w:szCs w:val="22"/>
        </w:rPr>
        <w:lastRenderedPageBreak/>
        <w:t>ASSESSMENT</w:t>
      </w:r>
    </w:p>
    <w:p w:rsidR="00C70B1B" w:rsidRPr="00C70B1B" w:rsidRDefault="00C70B1B" w:rsidP="00C70B1B">
      <w:pPr>
        <w:pStyle w:val="fixed"/>
        <w:ind w:left="360" w:firstLine="0"/>
        <w:rPr>
          <w:rFonts w:cs="Arial"/>
          <w:szCs w:val="22"/>
        </w:rPr>
      </w:pPr>
    </w:p>
    <w:p w:rsidR="00C70B1B" w:rsidRPr="00C70B1B" w:rsidRDefault="00C70B1B" w:rsidP="00C70B1B">
      <w:pPr>
        <w:rPr>
          <w:rFonts w:cs="Arial"/>
          <w:b/>
        </w:rPr>
      </w:pPr>
      <w:r w:rsidRPr="00C70B1B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C70B1B" w:rsidRPr="00C70B1B" w:rsidTr="00C70B1B">
        <w:sdt>
          <w:sdtPr>
            <w:rPr>
              <w:rFonts w:cs="Arial"/>
            </w:rPr>
            <w:id w:val="-324357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C70B1B" w:rsidRPr="00C70B1B" w:rsidRDefault="00C70B1B" w:rsidP="007F78E2">
                <w:pPr>
                  <w:rPr>
                    <w:rFonts w:cs="Arial"/>
                    <w:b/>
                  </w:rPr>
                </w:pPr>
                <w:r w:rsidRPr="00C70B1B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70B1B" w:rsidRPr="00C70B1B" w:rsidRDefault="00C70B1B" w:rsidP="007F78E2">
            <w:pPr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19225529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70B1B" w:rsidRPr="00C70B1B" w:rsidRDefault="00C70B1B" w:rsidP="007F78E2">
                <w:pPr>
                  <w:rPr>
                    <w:rFonts w:cs="Arial"/>
                    <w:b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70B1B" w:rsidRPr="00C70B1B" w:rsidRDefault="00C70B1B" w:rsidP="007F78E2">
            <w:pPr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739473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70B1B" w:rsidRPr="00C70B1B" w:rsidRDefault="00C70B1B" w:rsidP="007F78E2">
                <w:pPr>
                  <w:rPr>
                    <w:rFonts w:cs="Arial"/>
                    <w:b/>
                  </w:rPr>
                </w:pPr>
                <w:r w:rsidRPr="00C70B1B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C70B1B" w:rsidRPr="00C70B1B" w:rsidRDefault="00C70B1B" w:rsidP="007F78E2">
            <w:pPr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Practical</w:t>
            </w:r>
          </w:p>
        </w:tc>
      </w:tr>
    </w:tbl>
    <w:p w:rsidR="00C70B1B" w:rsidRPr="00C70B1B" w:rsidRDefault="00C70B1B" w:rsidP="00C70B1B">
      <w:pPr>
        <w:ind w:left="360"/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70B1B" w:rsidRPr="00C70B1B" w:rsidTr="00C70B1B">
        <w:tc>
          <w:tcPr>
            <w:tcW w:w="3256" w:type="dxa"/>
          </w:tcPr>
          <w:p w:rsidR="00C70B1B" w:rsidRPr="00C70B1B" w:rsidRDefault="00C70B1B" w:rsidP="007F78E2">
            <w:pPr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:rsidR="00C70B1B" w:rsidRPr="00C70B1B" w:rsidRDefault="00C70B1B" w:rsidP="007F78E2">
            <w:pPr>
              <w:rPr>
                <w:rFonts w:cs="Arial"/>
              </w:rPr>
            </w:pPr>
            <w:r w:rsidRPr="00C70B1B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C70B1B" w:rsidRPr="00C70B1B" w:rsidRDefault="00C70B1B" w:rsidP="007F78E2">
            <w:pPr>
              <w:rPr>
                <w:rFonts w:cs="Arial"/>
              </w:rPr>
            </w:pPr>
            <w:r w:rsidRPr="00C70B1B">
              <w:rPr>
                <w:rFonts w:cs="Arial"/>
                <w:b/>
              </w:rPr>
              <w:t>Weighting</w:t>
            </w:r>
          </w:p>
        </w:tc>
      </w:tr>
      <w:tr w:rsidR="00C70B1B" w:rsidRPr="00C70B1B" w:rsidTr="00C70B1B">
        <w:tc>
          <w:tcPr>
            <w:tcW w:w="3256" w:type="dxa"/>
          </w:tcPr>
          <w:p w:rsidR="00C70B1B" w:rsidRPr="00C70B1B" w:rsidRDefault="00C70B1B" w:rsidP="007F78E2">
            <w:pPr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Portfolio</w:t>
            </w:r>
          </w:p>
        </w:tc>
        <w:tc>
          <w:tcPr>
            <w:tcW w:w="3969" w:type="dxa"/>
            <w:shd w:val="clear" w:color="auto" w:fill="auto"/>
          </w:tcPr>
          <w:p w:rsidR="00C70B1B" w:rsidRPr="00C70B1B" w:rsidRDefault="00C70B1B" w:rsidP="007F78E2">
            <w:pPr>
              <w:rPr>
                <w:rFonts w:cs="Arial"/>
                <w:highlight w:val="yellow"/>
              </w:rPr>
            </w:pPr>
            <w:r w:rsidRPr="00C70B1B">
              <w:rPr>
                <w:rFonts w:cs="Arial"/>
              </w:rPr>
              <w:t>7500-9000 words</w:t>
            </w:r>
          </w:p>
        </w:tc>
        <w:tc>
          <w:tcPr>
            <w:tcW w:w="1559" w:type="dxa"/>
          </w:tcPr>
          <w:p w:rsidR="00C70B1B" w:rsidRPr="00C70B1B" w:rsidRDefault="00C70B1B" w:rsidP="007F78E2">
            <w:pPr>
              <w:rPr>
                <w:rFonts w:cs="Arial"/>
              </w:rPr>
            </w:pPr>
            <w:r w:rsidRPr="00C70B1B">
              <w:rPr>
                <w:rFonts w:cs="Arial"/>
              </w:rPr>
              <w:t>100%</w:t>
            </w:r>
          </w:p>
        </w:tc>
      </w:tr>
    </w:tbl>
    <w:p w:rsidR="00C70B1B" w:rsidRPr="00C70B1B" w:rsidRDefault="00C70B1B" w:rsidP="00C70B1B">
      <w:pPr>
        <w:pStyle w:val="fixed"/>
        <w:ind w:left="426" w:firstLine="0"/>
        <w:rPr>
          <w:rFonts w:cs="Arial"/>
          <w:b w:val="0"/>
          <w:szCs w:val="22"/>
        </w:rPr>
      </w:pPr>
    </w:p>
    <w:p w:rsidR="00C70B1B" w:rsidRPr="00C70B1B" w:rsidRDefault="00C70B1B" w:rsidP="00C70B1B">
      <w:pPr>
        <w:pStyle w:val="fixed"/>
        <w:keepNext/>
        <w:jc w:val="both"/>
        <w:rPr>
          <w:rFonts w:cs="Arial"/>
          <w:szCs w:val="22"/>
        </w:rPr>
      </w:pPr>
      <w:r w:rsidRPr="00C70B1B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70B1B" w:rsidRPr="00C70B1B" w:rsidTr="00C70B1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70B1B" w:rsidRPr="00C70B1B" w:rsidRDefault="00C70B1B" w:rsidP="007F78E2">
            <w:pPr>
              <w:keepNext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Percentage</w:t>
            </w:r>
          </w:p>
        </w:tc>
      </w:tr>
      <w:tr w:rsidR="00C70B1B" w:rsidRPr="00C70B1B" w:rsidTr="00C70B1B">
        <w:tc>
          <w:tcPr>
            <w:tcW w:w="3261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C70B1B" w:rsidRPr="00C70B1B" w:rsidTr="00C70B1B">
        <w:tc>
          <w:tcPr>
            <w:tcW w:w="3261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  <w:r w:rsidRPr="00C70B1B">
              <w:rPr>
                <w:rFonts w:cs="Arial"/>
              </w:rPr>
              <w:t>100%</w:t>
            </w:r>
          </w:p>
        </w:tc>
      </w:tr>
      <w:tr w:rsidR="00C70B1B" w:rsidRPr="00C70B1B" w:rsidTr="00C70B1B">
        <w:tc>
          <w:tcPr>
            <w:tcW w:w="3261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C70B1B" w:rsidRPr="00C70B1B" w:rsidTr="00C70B1B">
        <w:tc>
          <w:tcPr>
            <w:tcW w:w="3261" w:type="dxa"/>
          </w:tcPr>
          <w:p w:rsidR="00C70B1B" w:rsidRPr="00C70B1B" w:rsidRDefault="00C70B1B" w:rsidP="007F78E2">
            <w:pPr>
              <w:keepNext/>
              <w:rPr>
                <w:rFonts w:cs="Arial"/>
              </w:rPr>
            </w:pPr>
            <w:r w:rsidRPr="00C70B1B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C70B1B" w:rsidRPr="00C70B1B" w:rsidRDefault="00C70B1B" w:rsidP="007F78E2">
            <w:pPr>
              <w:keepNext/>
              <w:jc w:val="center"/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100%</w:t>
            </w:r>
          </w:p>
        </w:tc>
      </w:tr>
    </w:tbl>
    <w:p w:rsidR="00C70B1B" w:rsidRPr="00C70B1B" w:rsidRDefault="00C70B1B" w:rsidP="00C70B1B">
      <w:pPr>
        <w:ind w:left="426"/>
        <w:rPr>
          <w:rFonts w:cs="Arial"/>
        </w:rPr>
      </w:pPr>
    </w:p>
    <w:p w:rsidR="00C70B1B" w:rsidRPr="00C70B1B" w:rsidRDefault="00C70B1B" w:rsidP="00C70B1B">
      <w:pPr>
        <w:rPr>
          <w:rFonts w:cs="Arial"/>
          <w:b/>
        </w:rPr>
      </w:pPr>
      <w:r w:rsidRPr="00C70B1B">
        <w:rPr>
          <w:rFonts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70B1B" w:rsidRPr="00C70B1B" w:rsidTr="00C70B1B">
        <w:tc>
          <w:tcPr>
            <w:tcW w:w="1689" w:type="dxa"/>
            <w:shd w:val="clear" w:color="auto" w:fill="BFBFBF" w:themeFill="background1" w:themeFillShade="BF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C70B1B" w:rsidRPr="00C70B1B" w:rsidRDefault="00C70B1B" w:rsidP="007F78E2">
            <w:pPr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HPAR7007</w:t>
            </w:r>
          </w:p>
        </w:tc>
      </w:tr>
      <w:tr w:rsidR="00C70B1B" w:rsidRPr="00C70B1B" w:rsidTr="00C70B1B">
        <w:tc>
          <w:tcPr>
            <w:tcW w:w="1689" w:type="dxa"/>
            <w:shd w:val="clear" w:color="auto" w:fill="BFBFBF" w:themeFill="background1" w:themeFillShade="BF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Archaeological Specialist Practice</w:t>
            </w:r>
          </w:p>
        </w:tc>
      </w:tr>
      <w:tr w:rsidR="00C70B1B" w:rsidRPr="00C70B1B" w:rsidTr="00C70B1B">
        <w:tc>
          <w:tcPr>
            <w:tcW w:w="1689" w:type="dxa"/>
            <w:shd w:val="clear" w:color="auto" w:fill="BFBFBF" w:themeFill="background1" w:themeFillShade="BF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70B1B">
              <w:rPr>
                <w:rFonts w:cs="Arial"/>
                <w:b/>
              </w:rPr>
              <w:t>Electronic*</w:t>
            </w:r>
          </w:p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Current Historic England Specialist Guidance and Best Practice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882751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Current Chartered Institute of Field Archaeology Standards and Guidance, Special Interest Groups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3729266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Archaeological Data Service Best Practice Guidance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14246821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 xml:space="preserve">Baker, P. and Worley, F. (2019) </w:t>
            </w:r>
            <w:r w:rsidRPr="00C70B1B">
              <w:rPr>
                <w:rFonts w:cs="Arial"/>
                <w:i/>
                <w:iCs/>
              </w:rPr>
              <w:t>Animal Bones and Archaeology: Recovery to Archive</w:t>
            </w:r>
            <w:r w:rsidRPr="00C70B1B">
              <w:rPr>
                <w:rFonts w:cs="Arial"/>
              </w:rPr>
              <w:t xml:space="preserve"> (Historic England Handbooks for Archaeology)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5880745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 xml:space="preserve">Campbell, G., Moffett, L. and </w:t>
            </w:r>
            <w:proofErr w:type="spellStart"/>
            <w:r w:rsidRPr="00C70B1B">
              <w:rPr>
                <w:rFonts w:cs="Arial"/>
              </w:rPr>
              <w:t>Straker</w:t>
            </w:r>
            <w:proofErr w:type="spellEnd"/>
            <w:r w:rsidRPr="00C70B1B">
              <w:rPr>
                <w:rFonts w:cs="Arial"/>
              </w:rPr>
              <w:t xml:space="preserve">, V. 2011 </w:t>
            </w:r>
            <w:r w:rsidRPr="00C70B1B">
              <w:rPr>
                <w:rFonts w:cs="Arial"/>
                <w:i/>
                <w:iCs/>
              </w:rPr>
              <w:t>Environmental Archaeology: A Guide to the Theory and Practice of Methods, from Sampling and Recovery to Post-excavation (second edition)</w:t>
            </w:r>
            <w:r w:rsidRPr="00C70B1B">
              <w:rPr>
                <w:rFonts w:cs="Arial"/>
              </w:rPr>
              <w:t>. English Heritage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3979012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 xml:space="preserve">Historic England. 2015. </w:t>
            </w:r>
            <w:proofErr w:type="spellStart"/>
            <w:r w:rsidRPr="00C70B1B">
              <w:rPr>
                <w:rFonts w:cs="Arial"/>
                <w:i/>
                <w:iCs/>
              </w:rPr>
              <w:t>Geoarchaeology</w:t>
            </w:r>
            <w:proofErr w:type="spellEnd"/>
            <w:r w:rsidRPr="00C70B1B">
              <w:rPr>
                <w:rFonts w:cs="Arial"/>
                <w:i/>
                <w:iCs/>
              </w:rPr>
              <w:t>: Using Earth Sciences to Understand the Archaeological Record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94229938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Association for Environmental Archaeology.</w:t>
            </w:r>
            <w:r w:rsidRPr="00C70B1B">
              <w:rPr>
                <w:rFonts w:cs="Arial"/>
                <w:i/>
                <w:iCs/>
              </w:rPr>
              <w:t xml:space="preserve"> </w:t>
            </w:r>
            <w:r w:rsidRPr="00C70B1B">
              <w:rPr>
                <w:rFonts w:cs="Arial"/>
              </w:rPr>
              <w:t>1995.</w:t>
            </w:r>
            <w:r w:rsidRPr="00C70B1B">
              <w:rPr>
                <w:rFonts w:cs="Arial"/>
                <w:i/>
                <w:iCs/>
              </w:rPr>
              <w:t xml:space="preserve"> Environmental archaeology and archaeological evaluations.  Recommendations concerning the environmental archaeology component of archaeological evaluations in England</w:t>
            </w:r>
            <w:r w:rsidRPr="00C70B1B">
              <w:rPr>
                <w:rFonts w:cs="Arial"/>
              </w:rPr>
              <w:t xml:space="preserve"> - Working Papers of the Association for Environmental Archaeology - Number 2. Report of the Association for Environmental Archaeology Working Party on Sampling and Recovery, September 1995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687762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 xml:space="preserve">Historic England 2018 </w:t>
            </w:r>
            <w:r w:rsidRPr="00C70B1B">
              <w:rPr>
                <w:rFonts w:cs="Arial"/>
                <w:i/>
                <w:iCs/>
              </w:rPr>
              <w:t xml:space="preserve">The Role of the Human </w:t>
            </w:r>
            <w:proofErr w:type="spellStart"/>
            <w:r w:rsidRPr="00C70B1B">
              <w:rPr>
                <w:rFonts w:cs="Arial"/>
                <w:i/>
                <w:iCs/>
              </w:rPr>
              <w:t>Osteologist</w:t>
            </w:r>
            <w:proofErr w:type="spellEnd"/>
            <w:r w:rsidRPr="00C70B1B">
              <w:rPr>
                <w:rFonts w:cs="Arial"/>
                <w:i/>
                <w:iCs/>
              </w:rPr>
              <w:t xml:space="preserve"> in an Archaeological Fieldwork Project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4788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70B1B" w:rsidRPr="00C70B1B" w:rsidTr="00C70B1B">
        <w:tc>
          <w:tcPr>
            <w:tcW w:w="1689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C70B1B" w:rsidRPr="00C70B1B" w:rsidRDefault="00C70B1B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70B1B">
              <w:rPr>
                <w:rFonts w:cs="Arial"/>
              </w:rPr>
              <w:t xml:space="preserve">Lyman, R L (2008) Quantitative </w:t>
            </w:r>
            <w:proofErr w:type="spellStart"/>
            <w:r w:rsidRPr="00C70B1B">
              <w:rPr>
                <w:rFonts w:cs="Arial"/>
              </w:rPr>
              <w:t>Palaeozoology</w:t>
            </w:r>
            <w:proofErr w:type="spellEnd"/>
            <w:r w:rsidRPr="00C70B1B">
              <w:rPr>
                <w:rFonts w:cs="Arial"/>
              </w:rPr>
              <w:t>. Cambridge: Cambridge University Press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6009036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70B1B" w:rsidRPr="00C70B1B" w:rsidRDefault="00C70B1B" w:rsidP="007F78E2">
                <w:pPr>
                  <w:jc w:val="center"/>
                  <w:rPr>
                    <w:rFonts w:cs="Arial"/>
                  </w:rPr>
                </w:pPr>
                <w:r w:rsidRPr="00C70B1B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</w:tbl>
    <w:p w:rsidR="00B3318C" w:rsidRPr="00C70B1B" w:rsidRDefault="00B3318C" w:rsidP="002E13CA">
      <w:pPr>
        <w:pStyle w:val="HTMLPreformatted"/>
        <w:rPr>
          <w:rFonts w:cs="Arial"/>
        </w:rPr>
      </w:pPr>
    </w:p>
    <w:sectPr w:rsidR="00B3318C" w:rsidRPr="00C70B1B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1B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C70B1B"/>
    <w:rsid w:val="00CC02D7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CC37E2-9C42-4682-85FF-F99FF352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qFormat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qFormat/>
    <w:rsid w:val="00C70B1B"/>
    <w:rPr>
      <w:rFonts w:ascii="Arial" w:hAnsi="Arial"/>
      <w:sz w:val="22"/>
    </w:rPr>
  </w:style>
  <w:style w:type="character" w:customStyle="1" w:styleId="fixedChar">
    <w:name w:val="fixed Char"/>
    <w:link w:val="fixed"/>
    <w:qFormat/>
    <w:rsid w:val="00C70B1B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C70B1B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C70B1B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C70B1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871018A6CF45CFA72B29151BC62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60312-2A6E-4087-8C73-9FD38C99927F}"/>
      </w:docPartPr>
      <w:docPartBody>
        <w:p w:rsidR="00206255" w:rsidRDefault="009D7954" w:rsidP="009D7954">
          <w:pPr>
            <w:pStyle w:val="0C871018A6CF45CFA72B29151BC622E8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6E211F0C2AD42C4A4DA363223088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C94E8-26BF-4F08-A968-272AEB1237B6}"/>
      </w:docPartPr>
      <w:docPartBody>
        <w:p w:rsidR="00206255" w:rsidRDefault="009D7954" w:rsidP="009D7954">
          <w:pPr>
            <w:pStyle w:val="26E211F0C2AD42C4A4DA363223088D8E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954"/>
    <w:rsid w:val="00206255"/>
    <w:rsid w:val="009D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7954"/>
    <w:rPr>
      <w:color w:val="808080"/>
    </w:rPr>
  </w:style>
  <w:style w:type="paragraph" w:customStyle="1" w:styleId="0C871018A6CF45CFA72B29151BC622E8">
    <w:name w:val="0C871018A6CF45CFA72B29151BC622E8"/>
    <w:rsid w:val="009D7954"/>
  </w:style>
  <w:style w:type="paragraph" w:customStyle="1" w:styleId="26E211F0C2AD42C4A4DA363223088D8E">
    <w:name w:val="26E211F0C2AD42C4A4DA363223088D8E"/>
    <w:rsid w:val="009D79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420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Gwion Ramage</cp:lastModifiedBy>
  <cp:revision>2</cp:revision>
  <cp:lastPrinted>1900-01-01T00:00:00Z</cp:lastPrinted>
  <dcterms:created xsi:type="dcterms:W3CDTF">2020-03-10T14:40:00Z</dcterms:created>
  <dcterms:modified xsi:type="dcterms:W3CDTF">2020-03-10T14:46:00Z</dcterms:modified>
</cp:coreProperties>
</file>