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86928647"/>
        <w:docPartObj>
          <w:docPartGallery w:val="Cover Pages"/>
          <w:docPartUnique/>
        </w:docPartObj>
      </w:sdtPr>
      <w:sdtContent>
        <w:p w14:paraId="1DF75FB3" w14:textId="0ACD92E0" w:rsidR="00CF565F" w:rsidRDefault="00CF565F"/>
        <w:p w14:paraId="0FEC59B4" w14:textId="62BAE546" w:rsidR="00CF565F" w:rsidRDefault="00CF565F">
          <w:pPr>
            <w:rPr>
              <w:rFonts w:asciiTheme="majorHAnsi" w:eastAsiaTheme="majorEastAsia" w:hAnsiTheme="majorHAnsi" w:cstheme="majorBidi"/>
              <w:color w:val="0F4761" w:themeColor="accent1" w:themeShade="BF"/>
              <w:kern w:val="0"/>
              <w:sz w:val="32"/>
              <w:szCs w:val="32"/>
              <w:lang w:val="en-US"/>
              <w14:ligatures w14:val="none"/>
            </w:rPr>
          </w:pPr>
          <w:r>
            <w:rPr>
              <w:noProof/>
            </w:rPr>
            <mc:AlternateContent>
              <mc:Choice Requires="wps">
                <w:drawing>
                  <wp:anchor distT="0" distB="0" distL="114300" distR="114300" simplePos="0" relativeHeight="251662336" behindDoc="0" locked="0" layoutInCell="1" allowOverlap="1" wp14:anchorId="62C1A8BF" wp14:editId="3A7384B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9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126908" w14:textId="12F4AC8F" w:rsidR="00CF565F" w:rsidRPr="00CF565F" w:rsidRDefault="00CF565F" w:rsidP="00CF565F">
                                <w:pPr>
                                  <w:pStyle w:val="NoSpacing"/>
                                  <w:spacing w:line="360" w:lineRule="auto"/>
                                  <w:jc w:val="right"/>
                                  <w:rPr>
                                    <w:bCs/>
                                    <w:caps/>
                                    <w:color w:val="0A1D30" w:themeColor="text2" w:themeShade="BF"/>
                                    <w:sz w:val="40"/>
                                    <w:szCs w:val="40"/>
                                    <w:lang w:val="en-GB"/>
                                  </w:rPr>
                                </w:pPr>
                                <w:r w:rsidRPr="00CF565F">
                                  <w:rPr>
                                    <w:bCs/>
                                    <w:caps/>
                                    <w:color w:val="0A1D30" w:themeColor="text2" w:themeShade="BF"/>
                                    <w:sz w:val="40"/>
                                    <w:szCs w:val="40"/>
                                    <w:lang w:val="en-GB"/>
                                  </w:rPr>
                                  <w:t>Component 1: Written Assignment (Case Study Report)</w:t>
                                </w:r>
                              </w:p>
                              <w:p w14:paraId="24CBF56C" w14:textId="25478C0A" w:rsidR="00CF565F" w:rsidRPr="00CF565F" w:rsidRDefault="00CF565F" w:rsidP="00CF565F">
                                <w:pPr>
                                  <w:pStyle w:val="NoSpacing"/>
                                  <w:spacing w:line="360" w:lineRule="auto"/>
                                  <w:jc w:val="right"/>
                                  <w:rPr>
                                    <w:bCs/>
                                    <w:caps/>
                                    <w:color w:val="0A1D30" w:themeColor="text2" w:themeShade="BF"/>
                                    <w:sz w:val="40"/>
                                    <w:szCs w:val="40"/>
                                    <w:lang w:val="en-GB"/>
                                  </w:rPr>
                                </w:pPr>
                                <w:r w:rsidRPr="00CF565F">
                                  <w:rPr>
                                    <w:bCs/>
                                    <w:caps/>
                                    <w:color w:val="0A1D30" w:themeColor="text2" w:themeShade="BF"/>
                                    <w:sz w:val="40"/>
                                    <w:szCs w:val="40"/>
                                    <w:lang w:val="en-GB"/>
                                  </w:rPr>
                                  <w:t xml:space="preserve">Module Code: </w:t>
                                </w:r>
                                <w:r w:rsidRPr="00CF565F">
                                  <w:rPr>
                                    <w:bCs/>
                                    <w:caps/>
                                    <w:color w:val="0A1D30" w:themeColor="text2" w:themeShade="BF"/>
                                    <w:sz w:val="40"/>
                                    <w:szCs w:val="40"/>
                                    <w:lang w:val="en-GB"/>
                                  </w:rPr>
                                  <w:t>BMHP5023</w:t>
                                </w:r>
                              </w:p>
                              <w:p w14:paraId="17546849" w14:textId="4BC127D4" w:rsidR="00CF565F" w:rsidRPr="00CF565F" w:rsidRDefault="00CF565F" w:rsidP="00CF565F">
                                <w:pPr>
                                  <w:pStyle w:val="NoSpacing"/>
                                  <w:spacing w:line="360" w:lineRule="auto"/>
                                  <w:jc w:val="right"/>
                                  <w:rPr>
                                    <w:bCs/>
                                    <w:caps/>
                                    <w:color w:val="0A1D30" w:themeColor="text2" w:themeShade="BF"/>
                                    <w:sz w:val="40"/>
                                    <w:szCs w:val="40"/>
                                  </w:rPr>
                                </w:pPr>
                                <w:r w:rsidRPr="00CF565F">
                                  <w:rPr>
                                    <w:bCs/>
                                    <w:caps/>
                                    <w:color w:val="0A1D30" w:themeColor="text2" w:themeShade="BF"/>
                                    <w:sz w:val="40"/>
                                    <w:szCs w:val="40"/>
                                    <w:lang w:val="en-GB"/>
                                  </w:rPr>
                                  <w:t xml:space="preserve">Module: </w:t>
                                </w:r>
                                <w:r w:rsidRPr="00CF565F">
                                  <w:rPr>
                                    <w:bCs/>
                                    <w:caps/>
                                    <w:color w:val="0A1D30" w:themeColor="text2" w:themeShade="BF"/>
                                    <w:sz w:val="40"/>
                                    <w:szCs w:val="40"/>
                                    <w:lang w:val="en-GB"/>
                                  </w:rPr>
                                  <w:t>Introduction to Physiology</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2C1A8BF" id="_x0000_t202" coordsize="21600,21600" o:spt="202" path="m,l,21600r21600,l21600,xe">
                    <v:stroke joinstyle="miter"/>
                    <v:path gradientshapeok="t" o:connecttype="rect"/>
                  </v:shapetype>
                  <v:shape id="Text Box 9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p w14:paraId="45126908" w14:textId="12F4AC8F" w:rsidR="00CF565F" w:rsidRPr="00CF565F" w:rsidRDefault="00CF565F" w:rsidP="00CF565F">
                          <w:pPr>
                            <w:pStyle w:val="NoSpacing"/>
                            <w:spacing w:line="360" w:lineRule="auto"/>
                            <w:jc w:val="right"/>
                            <w:rPr>
                              <w:bCs/>
                              <w:caps/>
                              <w:color w:val="0A1D30" w:themeColor="text2" w:themeShade="BF"/>
                              <w:sz w:val="40"/>
                              <w:szCs w:val="40"/>
                              <w:lang w:val="en-GB"/>
                            </w:rPr>
                          </w:pPr>
                          <w:r w:rsidRPr="00CF565F">
                            <w:rPr>
                              <w:bCs/>
                              <w:caps/>
                              <w:color w:val="0A1D30" w:themeColor="text2" w:themeShade="BF"/>
                              <w:sz w:val="40"/>
                              <w:szCs w:val="40"/>
                              <w:lang w:val="en-GB"/>
                            </w:rPr>
                            <w:t>Component 1: Written Assignment (Case Study Report)</w:t>
                          </w:r>
                        </w:p>
                        <w:p w14:paraId="24CBF56C" w14:textId="25478C0A" w:rsidR="00CF565F" w:rsidRPr="00CF565F" w:rsidRDefault="00CF565F" w:rsidP="00CF565F">
                          <w:pPr>
                            <w:pStyle w:val="NoSpacing"/>
                            <w:spacing w:line="360" w:lineRule="auto"/>
                            <w:jc w:val="right"/>
                            <w:rPr>
                              <w:bCs/>
                              <w:caps/>
                              <w:color w:val="0A1D30" w:themeColor="text2" w:themeShade="BF"/>
                              <w:sz w:val="40"/>
                              <w:szCs w:val="40"/>
                              <w:lang w:val="en-GB"/>
                            </w:rPr>
                          </w:pPr>
                          <w:r w:rsidRPr="00CF565F">
                            <w:rPr>
                              <w:bCs/>
                              <w:caps/>
                              <w:color w:val="0A1D30" w:themeColor="text2" w:themeShade="BF"/>
                              <w:sz w:val="40"/>
                              <w:szCs w:val="40"/>
                              <w:lang w:val="en-GB"/>
                            </w:rPr>
                            <w:t xml:space="preserve">Module Code: </w:t>
                          </w:r>
                          <w:r w:rsidRPr="00CF565F">
                            <w:rPr>
                              <w:bCs/>
                              <w:caps/>
                              <w:color w:val="0A1D30" w:themeColor="text2" w:themeShade="BF"/>
                              <w:sz w:val="40"/>
                              <w:szCs w:val="40"/>
                              <w:lang w:val="en-GB"/>
                            </w:rPr>
                            <w:t>BMHP5023</w:t>
                          </w:r>
                        </w:p>
                        <w:p w14:paraId="17546849" w14:textId="4BC127D4" w:rsidR="00CF565F" w:rsidRPr="00CF565F" w:rsidRDefault="00CF565F" w:rsidP="00CF565F">
                          <w:pPr>
                            <w:pStyle w:val="NoSpacing"/>
                            <w:spacing w:line="360" w:lineRule="auto"/>
                            <w:jc w:val="right"/>
                            <w:rPr>
                              <w:bCs/>
                              <w:caps/>
                              <w:color w:val="0A1D30" w:themeColor="text2" w:themeShade="BF"/>
                              <w:sz w:val="40"/>
                              <w:szCs w:val="40"/>
                            </w:rPr>
                          </w:pPr>
                          <w:r w:rsidRPr="00CF565F">
                            <w:rPr>
                              <w:bCs/>
                              <w:caps/>
                              <w:color w:val="0A1D30" w:themeColor="text2" w:themeShade="BF"/>
                              <w:sz w:val="40"/>
                              <w:szCs w:val="40"/>
                              <w:lang w:val="en-GB"/>
                            </w:rPr>
                            <w:t xml:space="preserve">Module: </w:t>
                          </w:r>
                          <w:r w:rsidRPr="00CF565F">
                            <w:rPr>
                              <w:bCs/>
                              <w:caps/>
                              <w:color w:val="0A1D30" w:themeColor="text2" w:themeShade="BF"/>
                              <w:sz w:val="40"/>
                              <w:szCs w:val="40"/>
                              <w:lang w:val="en-GB"/>
                            </w:rPr>
                            <w:t>Introduction to Physiology</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D34CB44" wp14:editId="36FA8AE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FFAEA4" w14:textId="04D5207A" w:rsidR="00CF565F" w:rsidRDefault="00CF565F" w:rsidP="00CF565F">
                                <w:pPr>
                                  <w:pStyle w:val="NoSpacing"/>
                                  <w:spacing w:line="360" w:lineRule="auto"/>
                                  <w:jc w:val="center"/>
                                  <w:rPr>
                                    <w:caps/>
                                    <w:color w:val="0A1D30" w:themeColor="text2" w:themeShade="BF"/>
                                    <w:sz w:val="52"/>
                                    <w:szCs w:val="52"/>
                                  </w:rPr>
                                </w:pPr>
                                <w:r w:rsidRPr="00CF565F">
                                  <w:rPr>
                                    <w:caps/>
                                    <w:color w:val="0A1D30" w:themeColor="text2" w:themeShade="BF"/>
                                    <w:sz w:val="52"/>
                                    <w:szCs w:val="52"/>
                                  </w:rPr>
                                  <w:t>Amira Mohammed</w:t>
                                </w:r>
                              </w:p>
                              <w:p w14:paraId="126E153E" w14:textId="66DAF2EF" w:rsidR="00CF565F" w:rsidRDefault="00CF565F" w:rsidP="00CF565F">
                                <w:pPr>
                                  <w:pStyle w:val="NoSpacing"/>
                                  <w:spacing w:line="360" w:lineRule="auto"/>
                                  <w:jc w:val="center"/>
                                  <w:rPr>
                                    <w:caps/>
                                    <w:color w:val="0A1D30" w:themeColor="text2" w:themeShade="BF"/>
                                    <w:sz w:val="52"/>
                                    <w:szCs w:val="52"/>
                                  </w:rPr>
                                </w:pPr>
                                <w:r>
                                  <w:rPr>
                                    <w:caps/>
                                    <w:color w:val="0A1D30" w:themeColor="text2" w:themeShade="BF"/>
                                    <w:sz w:val="52"/>
                                    <w:szCs w:val="52"/>
                                  </w:rPr>
                                  <w:t>Student No. 2408145</w:t>
                                </w:r>
                              </w:p>
                              <w:p w14:paraId="2ACD01FB" w14:textId="6FFC5B24" w:rsidR="00CF565F" w:rsidRPr="00CF565F" w:rsidRDefault="00CF565F" w:rsidP="00CF565F">
                                <w:pPr>
                                  <w:pStyle w:val="NoSpacing"/>
                                  <w:spacing w:line="360" w:lineRule="auto"/>
                                  <w:jc w:val="center"/>
                                  <w:rPr>
                                    <w:caps/>
                                    <w:color w:val="0A1D30" w:themeColor="text2" w:themeShade="BF"/>
                                    <w:sz w:val="42"/>
                                    <w:szCs w:val="42"/>
                                  </w:rPr>
                                </w:pPr>
                                <w:r w:rsidRPr="00CF565F">
                                  <w:rPr>
                                    <w:caps/>
                                    <w:color w:val="0A1D30" w:themeColor="text2" w:themeShade="BF"/>
                                    <w:sz w:val="42"/>
                                    <w:szCs w:val="42"/>
                                  </w:rPr>
                                  <w:t xml:space="preserve">Lecturer: </w:t>
                                </w:r>
                                <w:r w:rsidRPr="00CF565F">
                                  <w:rPr>
                                    <w:caps/>
                                    <w:color w:val="0A1D30" w:themeColor="text2" w:themeShade="BF"/>
                                    <w:sz w:val="42"/>
                                    <w:szCs w:val="42"/>
                                    <w:lang w:val="en-GB"/>
                                  </w:rPr>
                                  <w:t>Robert Nartowski</w:t>
                                </w:r>
                              </w:p>
                              <w:p w14:paraId="58B1FB60" w14:textId="23E67988" w:rsidR="00CF565F" w:rsidRDefault="00CF565F">
                                <w:pPr>
                                  <w:pStyle w:val="NoSpacing"/>
                                  <w:jc w:val="right"/>
                                  <w:rPr>
                                    <w:caps/>
                                    <w:color w:val="0A1D30" w:themeColor="text2" w:themeShade="BF"/>
                                    <w:sz w:val="52"/>
                                    <w:szCs w:val="52"/>
                                  </w:rPr>
                                </w:pPr>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F058916" w14:textId="0CD6511C" w:rsidR="00CF565F" w:rsidRDefault="00CF565F">
                                    <w:pPr>
                                      <w:pStyle w:val="NoSpacing"/>
                                      <w:jc w:val="right"/>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D34CB44" id="Text Box 95"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09FFAEA4" w14:textId="04D5207A" w:rsidR="00CF565F" w:rsidRDefault="00CF565F" w:rsidP="00CF565F">
                          <w:pPr>
                            <w:pStyle w:val="NoSpacing"/>
                            <w:spacing w:line="360" w:lineRule="auto"/>
                            <w:jc w:val="center"/>
                            <w:rPr>
                              <w:caps/>
                              <w:color w:val="0A1D30" w:themeColor="text2" w:themeShade="BF"/>
                              <w:sz w:val="52"/>
                              <w:szCs w:val="52"/>
                            </w:rPr>
                          </w:pPr>
                          <w:r w:rsidRPr="00CF565F">
                            <w:rPr>
                              <w:caps/>
                              <w:color w:val="0A1D30" w:themeColor="text2" w:themeShade="BF"/>
                              <w:sz w:val="52"/>
                              <w:szCs w:val="52"/>
                            </w:rPr>
                            <w:t>Amira Mohammed</w:t>
                          </w:r>
                        </w:p>
                        <w:p w14:paraId="126E153E" w14:textId="66DAF2EF" w:rsidR="00CF565F" w:rsidRDefault="00CF565F" w:rsidP="00CF565F">
                          <w:pPr>
                            <w:pStyle w:val="NoSpacing"/>
                            <w:spacing w:line="360" w:lineRule="auto"/>
                            <w:jc w:val="center"/>
                            <w:rPr>
                              <w:caps/>
                              <w:color w:val="0A1D30" w:themeColor="text2" w:themeShade="BF"/>
                              <w:sz w:val="52"/>
                              <w:szCs w:val="52"/>
                            </w:rPr>
                          </w:pPr>
                          <w:r>
                            <w:rPr>
                              <w:caps/>
                              <w:color w:val="0A1D30" w:themeColor="text2" w:themeShade="BF"/>
                              <w:sz w:val="52"/>
                              <w:szCs w:val="52"/>
                            </w:rPr>
                            <w:t>Student No. 2408145</w:t>
                          </w:r>
                        </w:p>
                        <w:p w14:paraId="2ACD01FB" w14:textId="6FFC5B24" w:rsidR="00CF565F" w:rsidRPr="00CF565F" w:rsidRDefault="00CF565F" w:rsidP="00CF565F">
                          <w:pPr>
                            <w:pStyle w:val="NoSpacing"/>
                            <w:spacing w:line="360" w:lineRule="auto"/>
                            <w:jc w:val="center"/>
                            <w:rPr>
                              <w:caps/>
                              <w:color w:val="0A1D30" w:themeColor="text2" w:themeShade="BF"/>
                              <w:sz w:val="42"/>
                              <w:szCs w:val="42"/>
                            </w:rPr>
                          </w:pPr>
                          <w:r w:rsidRPr="00CF565F">
                            <w:rPr>
                              <w:caps/>
                              <w:color w:val="0A1D30" w:themeColor="text2" w:themeShade="BF"/>
                              <w:sz w:val="42"/>
                              <w:szCs w:val="42"/>
                            </w:rPr>
                            <w:t xml:space="preserve">Lecturer: </w:t>
                          </w:r>
                          <w:r w:rsidRPr="00CF565F">
                            <w:rPr>
                              <w:caps/>
                              <w:color w:val="0A1D30" w:themeColor="text2" w:themeShade="BF"/>
                              <w:sz w:val="42"/>
                              <w:szCs w:val="42"/>
                              <w:lang w:val="en-GB"/>
                            </w:rPr>
                            <w:t>Robert Nartowski</w:t>
                          </w:r>
                        </w:p>
                        <w:p w14:paraId="58B1FB60" w14:textId="23E67988" w:rsidR="00CF565F" w:rsidRDefault="00CF565F">
                          <w:pPr>
                            <w:pStyle w:val="NoSpacing"/>
                            <w:jc w:val="right"/>
                            <w:rPr>
                              <w:caps/>
                              <w:color w:val="0A1D30" w:themeColor="text2" w:themeShade="BF"/>
                              <w:sz w:val="52"/>
                              <w:szCs w:val="52"/>
                            </w:rPr>
                          </w:pPr>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3F058916" w14:textId="0CD6511C" w:rsidR="00CF565F" w:rsidRDefault="00CF565F">
                              <w:pPr>
                                <w:pStyle w:val="NoSpacing"/>
                                <w:jc w:val="right"/>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763784E" wp14:editId="2E0B0E2C">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D60A5EA"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br w:type="page"/>
          </w:r>
        </w:p>
      </w:sdtContent>
    </w:sdt>
    <w:sdt>
      <w:sdtPr>
        <w:id w:val="364248468"/>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BA13A6D" w14:textId="6310A08E" w:rsidR="0003052B" w:rsidRDefault="0003052B" w:rsidP="00CF565F">
          <w:pPr>
            <w:pStyle w:val="TOCHeading"/>
            <w:spacing w:line="480" w:lineRule="auto"/>
          </w:pPr>
          <w:r>
            <w:t>Contents</w:t>
          </w:r>
        </w:p>
        <w:p w14:paraId="264F822F" w14:textId="526B5546" w:rsidR="00AA038F" w:rsidRDefault="0003052B" w:rsidP="00AA038F">
          <w:pPr>
            <w:pStyle w:val="TOC1"/>
            <w:tabs>
              <w:tab w:val="right" w:leader="dot" w:pos="9016"/>
            </w:tabs>
            <w:spacing w:line="480" w:lineRule="auto"/>
            <w:rPr>
              <w:rFonts w:eastAsiaTheme="minorEastAsia"/>
              <w:noProof/>
              <w:lang w:eastAsia="en-GB"/>
            </w:rPr>
          </w:pPr>
          <w:r>
            <w:fldChar w:fldCharType="begin"/>
          </w:r>
          <w:r>
            <w:instrText xml:space="preserve"> TOC \o "1-3" \h \z \u </w:instrText>
          </w:r>
          <w:r>
            <w:fldChar w:fldCharType="separate"/>
          </w:r>
          <w:hyperlink w:anchor="_Toc213362133" w:history="1">
            <w:r w:rsidR="00AA038F" w:rsidRPr="00476116">
              <w:rPr>
                <w:rStyle w:val="Hyperlink"/>
                <w:noProof/>
              </w:rPr>
              <w:t>1. Introduction</w:t>
            </w:r>
            <w:r w:rsidR="00AA038F">
              <w:rPr>
                <w:noProof/>
                <w:webHidden/>
              </w:rPr>
              <w:tab/>
            </w:r>
            <w:r w:rsidR="00AA038F">
              <w:rPr>
                <w:noProof/>
                <w:webHidden/>
              </w:rPr>
              <w:fldChar w:fldCharType="begin"/>
            </w:r>
            <w:r w:rsidR="00AA038F">
              <w:rPr>
                <w:noProof/>
                <w:webHidden/>
              </w:rPr>
              <w:instrText xml:space="preserve"> PAGEREF _Toc213362133 \h </w:instrText>
            </w:r>
            <w:r w:rsidR="00AA038F">
              <w:rPr>
                <w:noProof/>
                <w:webHidden/>
              </w:rPr>
            </w:r>
            <w:r w:rsidR="00AA038F">
              <w:rPr>
                <w:noProof/>
                <w:webHidden/>
              </w:rPr>
              <w:fldChar w:fldCharType="separate"/>
            </w:r>
            <w:r w:rsidR="00AA038F">
              <w:rPr>
                <w:noProof/>
                <w:webHidden/>
              </w:rPr>
              <w:t>2</w:t>
            </w:r>
            <w:r w:rsidR="00AA038F">
              <w:rPr>
                <w:noProof/>
                <w:webHidden/>
              </w:rPr>
              <w:fldChar w:fldCharType="end"/>
            </w:r>
          </w:hyperlink>
        </w:p>
        <w:p w14:paraId="534200DE" w14:textId="4B5F7FC3" w:rsidR="00AA038F" w:rsidRDefault="00AA038F" w:rsidP="00AA038F">
          <w:pPr>
            <w:pStyle w:val="TOC1"/>
            <w:tabs>
              <w:tab w:val="right" w:leader="dot" w:pos="9016"/>
            </w:tabs>
            <w:spacing w:line="480" w:lineRule="auto"/>
            <w:rPr>
              <w:rFonts w:eastAsiaTheme="minorEastAsia"/>
              <w:noProof/>
              <w:lang w:eastAsia="en-GB"/>
            </w:rPr>
          </w:pPr>
          <w:hyperlink w:anchor="_Toc213362134" w:history="1">
            <w:r w:rsidRPr="00476116">
              <w:rPr>
                <w:rStyle w:val="Hyperlink"/>
                <w:noProof/>
              </w:rPr>
              <w:t>2. What Diabetes Is &amp; Risk Factors</w:t>
            </w:r>
            <w:r>
              <w:rPr>
                <w:noProof/>
                <w:webHidden/>
              </w:rPr>
              <w:tab/>
            </w:r>
            <w:r>
              <w:rPr>
                <w:noProof/>
                <w:webHidden/>
              </w:rPr>
              <w:fldChar w:fldCharType="begin"/>
            </w:r>
            <w:r>
              <w:rPr>
                <w:noProof/>
                <w:webHidden/>
              </w:rPr>
              <w:instrText xml:space="preserve"> PAGEREF _Toc213362134 \h </w:instrText>
            </w:r>
            <w:r>
              <w:rPr>
                <w:noProof/>
                <w:webHidden/>
              </w:rPr>
            </w:r>
            <w:r>
              <w:rPr>
                <w:noProof/>
                <w:webHidden/>
              </w:rPr>
              <w:fldChar w:fldCharType="separate"/>
            </w:r>
            <w:r>
              <w:rPr>
                <w:noProof/>
                <w:webHidden/>
              </w:rPr>
              <w:t>2</w:t>
            </w:r>
            <w:r>
              <w:rPr>
                <w:noProof/>
                <w:webHidden/>
              </w:rPr>
              <w:fldChar w:fldCharType="end"/>
            </w:r>
          </w:hyperlink>
        </w:p>
        <w:p w14:paraId="26281C8B" w14:textId="25890087" w:rsidR="00AA038F" w:rsidRDefault="00AA038F" w:rsidP="00AA038F">
          <w:pPr>
            <w:pStyle w:val="TOC1"/>
            <w:tabs>
              <w:tab w:val="right" w:leader="dot" w:pos="9016"/>
            </w:tabs>
            <w:spacing w:line="480" w:lineRule="auto"/>
            <w:rPr>
              <w:rFonts w:eastAsiaTheme="minorEastAsia"/>
              <w:noProof/>
              <w:lang w:eastAsia="en-GB"/>
            </w:rPr>
          </w:pPr>
          <w:hyperlink w:anchor="_Toc213362135" w:history="1">
            <w:r w:rsidRPr="00476116">
              <w:rPr>
                <w:rStyle w:val="Hyperlink"/>
                <w:noProof/>
              </w:rPr>
              <w:t>3. How Blood Sugar Is Normally Regulated</w:t>
            </w:r>
            <w:r>
              <w:rPr>
                <w:noProof/>
                <w:webHidden/>
              </w:rPr>
              <w:tab/>
            </w:r>
            <w:r>
              <w:rPr>
                <w:noProof/>
                <w:webHidden/>
              </w:rPr>
              <w:fldChar w:fldCharType="begin"/>
            </w:r>
            <w:r>
              <w:rPr>
                <w:noProof/>
                <w:webHidden/>
              </w:rPr>
              <w:instrText xml:space="preserve"> PAGEREF _Toc213362135 \h </w:instrText>
            </w:r>
            <w:r>
              <w:rPr>
                <w:noProof/>
                <w:webHidden/>
              </w:rPr>
            </w:r>
            <w:r>
              <w:rPr>
                <w:noProof/>
                <w:webHidden/>
              </w:rPr>
              <w:fldChar w:fldCharType="separate"/>
            </w:r>
            <w:r>
              <w:rPr>
                <w:noProof/>
                <w:webHidden/>
              </w:rPr>
              <w:t>3</w:t>
            </w:r>
            <w:r>
              <w:rPr>
                <w:noProof/>
                <w:webHidden/>
              </w:rPr>
              <w:fldChar w:fldCharType="end"/>
            </w:r>
          </w:hyperlink>
        </w:p>
        <w:p w14:paraId="6BDBB671" w14:textId="77A8AE3A" w:rsidR="00AA038F" w:rsidRDefault="00AA038F" w:rsidP="00AA038F">
          <w:pPr>
            <w:pStyle w:val="TOC1"/>
            <w:tabs>
              <w:tab w:val="right" w:leader="dot" w:pos="9016"/>
            </w:tabs>
            <w:spacing w:line="480" w:lineRule="auto"/>
            <w:rPr>
              <w:rFonts w:eastAsiaTheme="minorEastAsia"/>
              <w:noProof/>
              <w:lang w:eastAsia="en-GB"/>
            </w:rPr>
          </w:pPr>
          <w:hyperlink w:anchor="_Toc213362136" w:history="1">
            <w:r w:rsidRPr="00476116">
              <w:rPr>
                <w:rStyle w:val="Hyperlink"/>
                <w:noProof/>
              </w:rPr>
              <w:t>5. Importance of Tracking Blood Sugar</w:t>
            </w:r>
            <w:r>
              <w:rPr>
                <w:noProof/>
                <w:webHidden/>
              </w:rPr>
              <w:tab/>
            </w:r>
            <w:r>
              <w:rPr>
                <w:noProof/>
                <w:webHidden/>
              </w:rPr>
              <w:fldChar w:fldCharType="begin"/>
            </w:r>
            <w:r>
              <w:rPr>
                <w:noProof/>
                <w:webHidden/>
              </w:rPr>
              <w:instrText xml:space="preserve"> PAGEREF _Toc213362136 \h </w:instrText>
            </w:r>
            <w:r>
              <w:rPr>
                <w:noProof/>
                <w:webHidden/>
              </w:rPr>
            </w:r>
            <w:r>
              <w:rPr>
                <w:noProof/>
                <w:webHidden/>
              </w:rPr>
              <w:fldChar w:fldCharType="separate"/>
            </w:r>
            <w:r>
              <w:rPr>
                <w:noProof/>
                <w:webHidden/>
              </w:rPr>
              <w:t>4</w:t>
            </w:r>
            <w:r>
              <w:rPr>
                <w:noProof/>
                <w:webHidden/>
              </w:rPr>
              <w:fldChar w:fldCharType="end"/>
            </w:r>
          </w:hyperlink>
        </w:p>
        <w:p w14:paraId="66F304DC" w14:textId="75849870" w:rsidR="00AA038F" w:rsidRDefault="00AA038F" w:rsidP="00AA038F">
          <w:pPr>
            <w:pStyle w:val="TOC1"/>
            <w:tabs>
              <w:tab w:val="right" w:leader="dot" w:pos="9016"/>
            </w:tabs>
            <w:spacing w:line="480" w:lineRule="auto"/>
            <w:rPr>
              <w:rFonts w:eastAsiaTheme="minorEastAsia"/>
              <w:noProof/>
              <w:lang w:eastAsia="en-GB"/>
            </w:rPr>
          </w:pPr>
          <w:hyperlink w:anchor="_Toc213362137" w:history="1">
            <w:r w:rsidRPr="00476116">
              <w:rPr>
                <w:rStyle w:val="Hyperlink"/>
                <w:noProof/>
              </w:rPr>
              <w:t>4. How Oxygen and Glucose Produce Energy (Cell Metabolism)</w:t>
            </w:r>
            <w:r>
              <w:rPr>
                <w:noProof/>
                <w:webHidden/>
              </w:rPr>
              <w:tab/>
            </w:r>
            <w:r>
              <w:rPr>
                <w:noProof/>
                <w:webHidden/>
              </w:rPr>
              <w:fldChar w:fldCharType="begin"/>
            </w:r>
            <w:r>
              <w:rPr>
                <w:noProof/>
                <w:webHidden/>
              </w:rPr>
              <w:instrText xml:space="preserve"> PAGEREF _Toc213362137 \h </w:instrText>
            </w:r>
            <w:r>
              <w:rPr>
                <w:noProof/>
                <w:webHidden/>
              </w:rPr>
            </w:r>
            <w:r>
              <w:rPr>
                <w:noProof/>
                <w:webHidden/>
              </w:rPr>
              <w:fldChar w:fldCharType="separate"/>
            </w:r>
            <w:r>
              <w:rPr>
                <w:noProof/>
                <w:webHidden/>
              </w:rPr>
              <w:t>5</w:t>
            </w:r>
            <w:r>
              <w:rPr>
                <w:noProof/>
                <w:webHidden/>
              </w:rPr>
              <w:fldChar w:fldCharType="end"/>
            </w:r>
          </w:hyperlink>
        </w:p>
        <w:p w14:paraId="140E56D9" w14:textId="6E078A68" w:rsidR="00AA038F" w:rsidRDefault="00AA038F" w:rsidP="00AA038F">
          <w:pPr>
            <w:pStyle w:val="TOC1"/>
            <w:tabs>
              <w:tab w:val="right" w:leader="dot" w:pos="9016"/>
            </w:tabs>
            <w:spacing w:line="480" w:lineRule="auto"/>
            <w:rPr>
              <w:rFonts w:eastAsiaTheme="minorEastAsia"/>
              <w:noProof/>
              <w:lang w:eastAsia="en-GB"/>
            </w:rPr>
          </w:pPr>
          <w:hyperlink w:anchor="_Toc213362138" w:history="1">
            <w:r w:rsidRPr="00476116">
              <w:rPr>
                <w:rStyle w:val="Hyperlink"/>
                <w:noProof/>
              </w:rPr>
              <w:t>6. Evidence-Based Lifestyle Recommendations</w:t>
            </w:r>
            <w:r>
              <w:rPr>
                <w:noProof/>
                <w:webHidden/>
              </w:rPr>
              <w:tab/>
            </w:r>
            <w:r>
              <w:rPr>
                <w:noProof/>
                <w:webHidden/>
              </w:rPr>
              <w:fldChar w:fldCharType="begin"/>
            </w:r>
            <w:r>
              <w:rPr>
                <w:noProof/>
                <w:webHidden/>
              </w:rPr>
              <w:instrText xml:space="preserve"> PAGEREF _Toc213362138 \h </w:instrText>
            </w:r>
            <w:r>
              <w:rPr>
                <w:noProof/>
                <w:webHidden/>
              </w:rPr>
            </w:r>
            <w:r>
              <w:rPr>
                <w:noProof/>
                <w:webHidden/>
              </w:rPr>
              <w:fldChar w:fldCharType="separate"/>
            </w:r>
            <w:r>
              <w:rPr>
                <w:noProof/>
                <w:webHidden/>
              </w:rPr>
              <w:t>7</w:t>
            </w:r>
            <w:r>
              <w:rPr>
                <w:noProof/>
                <w:webHidden/>
              </w:rPr>
              <w:fldChar w:fldCharType="end"/>
            </w:r>
          </w:hyperlink>
        </w:p>
        <w:p w14:paraId="05267E08" w14:textId="1E380805" w:rsidR="00AA038F" w:rsidRDefault="00AA038F" w:rsidP="00AA038F">
          <w:pPr>
            <w:pStyle w:val="TOC1"/>
            <w:tabs>
              <w:tab w:val="right" w:leader="dot" w:pos="9016"/>
            </w:tabs>
            <w:spacing w:line="480" w:lineRule="auto"/>
            <w:rPr>
              <w:rFonts w:eastAsiaTheme="minorEastAsia"/>
              <w:noProof/>
              <w:lang w:eastAsia="en-GB"/>
            </w:rPr>
          </w:pPr>
          <w:hyperlink w:anchor="_Toc213362139" w:history="1">
            <w:r w:rsidRPr="00476116">
              <w:rPr>
                <w:rStyle w:val="Hyperlink"/>
                <w:noProof/>
              </w:rPr>
              <w:t>7. Conclusion</w:t>
            </w:r>
            <w:r>
              <w:rPr>
                <w:noProof/>
                <w:webHidden/>
              </w:rPr>
              <w:tab/>
            </w:r>
            <w:r>
              <w:rPr>
                <w:noProof/>
                <w:webHidden/>
              </w:rPr>
              <w:fldChar w:fldCharType="begin"/>
            </w:r>
            <w:r>
              <w:rPr>
                <w:noProof/>
                <w:webHidden/>
              </w:rPr>
              <w:instrText xml:space="preserve"> PAGEREF _Toc213362139 \h </w:instrText>
            </w:r>
            <w:r>
              <w:rPr>
                <w:noProof/>
                <w:webHidden/>
              </w:rPr>
            </w:r>
            <w:r>
              <w:rPr>
                <w:noProof/>
                <w:webHidden/>
              </w:rPr>
              <w:fldChar w:fldCharType="separate"/>
            </w:r>
            <w:r>
              <w:rPr>
                <w:noProof/>
                <w:webHidden/>
              </w:rPr>
              <w:t>8</w:t>
            </w:r>
            <w:r>
              <w:rPr>
                <w:noProof/>
                <w:webHidden/>
              </w:rPr>
              <w:fldChar w:fldCharType="end"/>
            </w:r>
          </w:hyperlink>
        </w:p>
        <w:p w14:paraId="30BD990D" w14:textId="7FA52A63" w:rsidR="00AA038F" w:rsidRDefault="00AA038F" w:rsidP="00AA038F">
          <w:pPr>
            <w:pStyle w:val="TOC1"/>
            <w:tabs>
              <w:tab w:val="right" w:leader="dot" w:pos="9016"/>
            </w:tabs>
            <w:spacing w:line="480" w:lineRule="auto"/>
            <w:rPr>
              <w:rFonts w:eastAsiaTheme="minorEastAsia"/>
              <w:noProof/>
              <w:lang w:eastAsia="en-GB"/>
            </w:rPr>
          </w:pPr>
          <w:hyperlink w:anchor="_Toc213362140" w:history="1">
            <w:r w:rsidRPr="00476116">
              <w:rPr>
                <w:rStyle w:val="Hyperlink"/>
                <w:noProof/>
              </w:rPr>
              <w:t>Refrences</w:t>
            </w:r>
            <w:r>
              <w:rPr>
                <w:noProof/>
                <w:webHidden/>
              </w:rPr>
              <w:tab/>
            </w:r>
            <w:r>
              <w:rPr>
                <w:noProof/>
                <w:webHidden/>
              </w:rPr>
              <w:fldChar w:fldCharType="begin"/>
            </w:r>
            <w:r>
              <w:rPr>
                <w:noProof/>
                <w:webHidden/>
              </w:rPr>
              <w:instrText xml:space="preserve"> PAGEREF _Toc213362140 \h </w:instrText>
            </w:r>
            <w:r>
              <w:rPr>
                <w:noProof/>
                <w:webHidden/>
              </w:rPr>
            </w:r>
            <w:r>
              <w:rPr>
                <w:noProof/>
                <w:webHidden/>
              </w:rPr>
              <w:fldChar w:fldCharType="separate"/>
            </w:r>
            <w:r>
              <w:rPr>
                <w:noProof/>
                <w:webHidden/>
              </w:rPr>
              <w:t>9</w:t>
            </w:r>
            <w:r>
              <w:rPr>
                <w:noProof/>
                <w:webHidden/>
              </w:rPr>
              <w:fldChar w:fldCharType="end"/>
            </w:r>
          </w:hyperlink>
        </w:p>
        <w:p w14:paraId="134B1B4D" w14:textId="74A55EA3" w:rsidR="0003052B" w:rsidRDefault="0003052B" w:rsidP="00CF565F">
          <w:pPr>
            <w:spacing w:line="480" w:lineRule="auto"/>
          </w:pPr>
          <w:r>
            <w:rPr>
              <w:b/>
              <w:bCs/>
              <w:noProof/>
            </w:rPr>
            <w:fldChar w:fldCharType="end"/>
          </w:r>
        </w:p>
      </w:sdtContent>
    </w:sdt>
    <w:p w14:paraId="730DEDC1" w14:textId="77777777" w:rsidR="0003052B" w:rsidRDefault="0003052B">
      <w:pPr>
        <w:rPr>
          <w:rFonts w:asciiTheme="majorHAnsi" w:eastAsiaTheme="majorEastAsia" w:hAnsiTheme="majorHAnsi" w:cstheme="majorBidi"/>
          <w:color w:val="0F4761" w:themeColor="accent1" w:themeShade="BF"/>
          <w:sz w:val="40"/>
          <w:szCs w:val="40"/>
        </w:rPr>
      </w:pPr>
      <w:r>
        <w:br w:type="page"/>
      </w:r>
    </w:p>
    <w:p w14:paraId="479F2B36" w14:textId="39AE6964" w:rsidR="00984FC4" w:rsidRPr="00D8559D" w:rsidRDefault="00984FC4" w:rsidP="00984FC4">
      <w:pPr>
        <w:pStyle w:val="Heading1"/>
      </w:pPr>
      <w:bookmarkStart w:id="0" w:name="_Toc213362133"/>
      <w:r w:rsidRPr="00D8559D">
        <w:lastRenderedPageBreak/>
        <w:t>1. Introduction</w:t>
      </w:r>
      <w:bookmarkEnd w:id="0"/>
      <w:r w:rsidRPr="00D8559D">
        <w:t xml:space="preserve"> </w:t>
      </w:r>
    </w:p>
    <w:p w14:paraId="40499B05" w14:textId="77777777" w:rsidR="00984FC4" w:rsidRPr="00984FC4" w:rsidRDefault="00984FC4" w:rsidP="00984FC4">
      <w:pPr>
        <w:spacing w:line="360" w:lineRule="auto"/>
        <w:jc w:val="both"/>
        <w:rPr>
          <w:rFonts w:ascii="Arial" w:hAnsi="Arial"/>
        </w:rPr>
      </w:pPr>
      <w:r w:rsidRPr="00984FC4">
        <w:rPr>
          <w:rFonts w:ascii="Arial" w:hAnsi="Arial"/>
        </w:rPr>
        <w:t>Type 2 diabetes is a long-term condition where the body cannot use insulin properly, or does not make enough insulin, leading to high levels of glucose in the blood. Insulin is the hormone that helps glucose enter body cells so it can be used for energy. When this process does not work effectively, blood sugar stays high, which can cause health problems over time (NHS, 2023). In primary care settings, Type 2 diabetes is one of the most common long-term conditions that practice nurses manage. Many patients need support to understand how the condition affects their body, why blood sugar control is important, and how lifestyle choices influence their health.</w:t>
      </w:r>
    </w:p>
    <w:p w14:paraId="6F7639C8" w14:textId="77777777" w:rsidR="00984FC4" w:rsidRPr="00D8559D" w:rsidRDefault="00984FC4" w:rsidP="00984FC4">
      <w:pPr>
        <w:spacing w:line="360" w:lineRule="auto"/>
        <w:jc w:val="both"/>
        <w:rPr>
          <w:rFonts w:ascii="Arial" w:hAnsi="Arial"/>
        </w:rPr>
      </w:pPr>
      <w:r w:rsidRPr="00984FC4">
        <w:rPr>
          <w:rFonts w:ascii="Arial" w:hAnsi="Arial"/>
        </w:rPr>
        <w:t xml:space="preserve">The purpose of this report is to explain Type 2 diabetes and to show patients why monitoring their blood sugar levels and making positive lifestyle changes can help them manage the condition safely. The report will begin by describing what diabetes is and outlining the main risk factors. It will then explain how blood sugar is normally regulated through homeostasis and how oxygen and glucose work together in cell metabolism to produce energy. The report will also discuss why tracking blood sugar is important and provide evidence-based lifestyle recommendations to support self-management. </w:t>
      </w:r>
    </w:p>
    <w:p w14:paraId="28CAC282" w14:textId="25939F79" w:rsidR="00984FC4" w:rsidRPr="00D8559D" w:rsidRDefault="00984FC4" w:rsidP="00984FC4">
      <w:pPr>
        <w:pStyle w:val="Heading1"/>
      </w:pPr>
      <w:bookmarkStart w:id="1" w:name="_Toc213362134"/>
      <w:r w:rsidRPr="00D8559D">
        <w:t>2. What Diabetes Is &amp; Risk Factors</w:t>
      </w:r>
      <w:bookmarkEnd w:id="1"/>
      <w:r w:rsidRPr="00D8559D">
        <w:t xml:space="preserve"> </w:t>
      </w:r>
    </w:p>
    <w:p w14:paraId="644F09BF" w14:textId="77777777" w:rsidR="00963AB1" w:rsidRPr="00963AB1" w:rsidRDefault="00984FC4" w:rsidP="00963AB1">
      <w:pPr>
        <w:spacing w:line="360" w:lineRule="auto"/>
        <w:jc w:val="both"/>
        <w:rPr>
          <w:rFonts w:ascii="Arial" w:hAnsi="Arial"/>
        </w:rPr>
      </w:pPr>
      <w:r w:rsidRPr="00984FC4">
        <w:rPr>
          <w:rFonts w:ascii="Arial" w:hAnsi="Arial"/>
        </w:rPr>
        <w:t xml:space="preserve">Type 1 and Type 2 diabetes are both conditions that involve problems with insulin, but they differ in their causes and how they develop. Type 1 diabetes is an autoimmune condition where the body destroys the insulin-producing cells in the pancreas, meaning the person cannot produce insulin at all </w:t>
      </w:r>
      <w:r w:rsidR="00963AB1" w:rsidRPr="00963AB1">
        <w:rPr>
          <w:rFonts w:ascii="Arial" w:hAnsi="Arial"/>
        </w:rPr>
        <w:t xml:space="preserve">(Gitelman </w:t>
      </w:r>
      <w:r w:rsidR="00963AB1" w:rsidRPr="00963AB1">
        <w:rPr>
          <w:rFonts w:ascii="Arial" w:hAnsi="Arial"/>
          <w:i/>
          <w:iCs/>
        </w:rPr>
        <w:t>et al.</w:t>
      </w:r>
      <w:r w:rsidR="00963AB1" w:rsidRPr="00963AB1">
        <w:rPr>
          <w:rFonts w:ascii="Arial" w:hAnsi="Arial"/>
        </w:rPr>
        <w:t>, 2021)</w:t>
      </w:r>
    </w:p>
    <w:p w14:paraId="0594CB79" w14:textId="4735C92A" w:rsidR="00984FC4" w:rsidRPr="00984FC4" w:rsidRDefault="00984FC4" w:rsidP="00984FC4">
      <w:pPr>
        <w:spacing w:line="360" w:lineRule="auto"/>
        <w:jc w:val="both"/>
        <w:rPr>
          <w:rFonts w:ascii="Arial" w:hAnsi="Arial"/>
        </w:rPr>
      </w:pPr>
      <w:r w:rsidRPr="00984FC4">
        <w:rPr>
          <w:rFonts w:ascii="Arial" w:hAnsi="Arial"/>
        </w:rPr>
        <w:t>. In contrast, Type 2 diabetes develops gradually when the body becomes resistant to insulin or does not produce enough insulin to keep blood glucose within a healthy range (ADA, 2022). Most adults with diabetes have Type 2.</w:t>
      </w:r>
    </w:p>
    <w:p w14:paraId="384E970E" w14:textId="77777777" w:rsidR="00984FC4" w:rsidRPr="00984FC4" w:rsidRDefault="00984FC4" w:rsidP="00984FC4">
      <w:pPr>
        <w:spacing w:line="360" w:lineRule="auto"/>
        <w:jc w:val="both"/>
        <w:rPr>
          <w:rFonts w:ascii="Arial" w:hAnsi="Arial"/>
        </w:rPr>
      </w:pPr>
      <w:r w:rsidRPr="00984FC4">
        <w:rPr>
          <w:rFonts w:ascii="Arial" w:hAnsi="Arial"/>
        </w:rPr>
        <w:t xml:space="preserve">In Type 2 diabetes, the main problem is insulin resistance, meaning that insulin cannot work effectively to move glucose from the bloodstream into cells. Normally, after food is digested in the digestive system, glucose is absorbed into the blood and transported around the body (see Week 5). The hormone insulin should help this glucose enter cells so it can be used for energy. When cells become resistant, the pancreas </w:t>
      </w:r>
      <w:r w:rsidRPr="00984FC4">
        <w:rPr>
          <w:rFonts w:ascii="Arial" w:hAnsi="Arial"/>
        </w:rPr>
        <w:lastRenderedPageBreak/>
        <w:t xml:space="preserve">produces more insulin </w:t>
      </w:r>
      <w:proofErr w:type="gramStart"/>
      <w:r w:rsidRPr="00984FC4">
        <w:rPr>
          <w:rFonts w:ascii="Arial" w:hAnsi="Arial"/>
        </w:rPr>
        <w:t>in an attempt to</w:t>
      </w:r>
      <w:proofErr w:type="gramEnd"/>
      <w:r w:rsidRPr="00984FC4">
        <w:rPr>
          <w:rFonts w:ascii="Arial" w:hAnsi="Arial"/>
        </w:rPr>
        <w:t xml:space="preserve"> keep glucose levels stable, but over time it cannot keep up. This disrupts homeostasis, the process that keeps the body’s internal environment stable (see Week 9; Hall, 2020).</w:t>
      </w:r>
    </w:p>
    <w:p w14:paraId="3A05D378" w14:textId="767B93C6" w:rsidR="00984FC4" w:rsidRPr="00984FC4" w:rsidRDefault="00984FC4" w:rsidP="00984FC4">
      <w:pPr>
        <w:spacing w:line="360" w:lineRule="auto"/>
        <w:jc w:val="both"/>
        <w:rPr>
          <w:rFonts w:ascii="Arial" w:hAnsi="Arial"/>
        </w:rPr>
      </w:pPr>
      <w:r w:rsidRPr="00984FC4">
        <w:rPr>
          <w:rFonts w:ascii="Arial" w:hAnsi="Arial"/>
        </w:rPr>
        <w:t xml:space="preserve">Several risk factors increase the chance of developing Type 2 diabetes. Obesity is one of the strongest risks because excess body fat, especially around the abdomen, increases insulin resistance </w:t>
      </w:r>
      <w:r w:rsidR="00963AB1" w:rsidRPr="00963AB1">
        <w:rPr>
          <w:rFonts w:ascii="Arial" w:hAnsi="Arial"/>
        </w:rPr>
        <w:t>(Santarossa et al., 2023)</w:t>
      </w:r>
      <w:r w:rsidRPr="00984FC4">
        <w:rPr>
          <w:rFonts w:ascii="Arial" w:hAnsi="Arial"/>
        </w:rPr>
        <w:t>. Physical inactivity also reduces the body’s ability to use glucose effectively. Age is another factor, as insulin sensitivity naturally decreases over time. Family history and ethnic background play a role, with higher rates among South Asian, African, and Caribbean populations (NICE, 2022). Finally, a diet high in sugar, refined carbohydrates and saturated fats increases the risk, as it puts greater pressure on glucose regulation.</w:t>
      </w:r>
    </w:p>
    <w:p w14:paraId="0C8E8534" w14:textId="77777777" w:rsidR="00984FC4" w:rsidRPr="00D8559D" w:rsidRDefault="00984FC4" w:rsidP="00984FC4">
      <w:pPr>
        <w:spacing w:line="360" w:lineRule="auto"/>
        <w:jc w:val="both"/>
        <w:rPr>
          <w:rFonts w:ascii="Arial" w:hAnsi="Arial"/>
        </w:rPr>
      </w:pPr>
      <w:r w:rsidRPr="00984FC4">
        <w:rPr>
          <w:rFonts w:ascii="Arial" w:hAnsi="Arial"/>
        </w:rPr>
        <w:t>Understanding these risk factors helps patients recognise how lifestyle choices affect their health and why behaviour change is important for managing diabetes.</w:t>
      </w:r>
    </w:p>
    <w:p w14:paraId="50B9ACDC" w14:textId="3EA75391" w:rsidR="00815879" w:rsidRPr="00D8559D" w:rsidRDefault="00815879" w:rsidP="00815879">
      <w:pPr>
        <w:pStyle w:val="Heading1"/>
      </w:pPr>
      <w:bookmarkStart w:id="2" w:name="_Toc213362135"/>
      <w:r w:rsidRPr="00D8559D">
        <w:t>3. How Blood Sugar Is Normally Regulated</w:t>
      </w:r>
      <w:bookmarkEnd w:id="2"/>
    </w:p>
    <w:p w14:paraId="7E295E77" w14:textId="77777777" w:rsidR="00815879" w:rsidRPr="00815879" w:rsidRDefault="00815879" w:rsidP="00815879">
      <w:pPr>
        <w:spacing w:line="360" w:lineRule="auto"/>
        <w:jc w:val="both"/>
        <w:rPr>
          <w:rFonts w:ascii="Arial" w:hAnsi="Arial"/>
        </w:rPr>
      </w:pPr>
      <w:r w:rsidRPr="00815879">
        <w:rPr>
          <w:rFonts w:ascii="Arial" w:hAnsi="Arial"/>
        </w:rPr>
        <w:t>Blood sugar regulation is an essential example of homeostasis, which means keeping the body’s internal environment stable even when external conditions change (Hall, 2020). The body must keep blood glucose within a safe range because cells require a steady supply of glucose for energy. If levels become too high or too low, normal body functions are affected. Several systems work together to maintain this balance, including the digestive system, circulatory system and endocrine system, as covered in the module’s earlier weeks.</w:t>
      </w:r>
    </w:p>
    <w:p w14:paraId="141A06AD" w14:textId="6A56153B" w:rsidR="00815879" w:rsidRPr="00815879" w:rsidRDefault="00815879" w:rsidP="00815879">
      <w:pPr>
        <w:spacing w:line="360" w:lineRule="auto"/>
        <w:jc w:val="both"/>
        <w:rPr>
          <w:rFonts w:ascii="Arial" w:hAnsi="Arial"/>
        </w:rPr>
      </w:pPr>
      <w:r w:rsidRPr="00815879">
        <w:rPr>
          <w:rFonts w:ascii="Arial" w:hAnsi="Arial"/>
        </w:rPr>
        <w:t xml:space="preserve">A key organ in this process is the pancreas. It contains specialised groups of cells known as the islets of Langerhans. These cells release two important hormones: insulin and glucagon. Insulin is released when blood glucose rises, such as after eating. It helps lower glucose levels by allowing glucose to move from the blood into body cells. Glucagon has the opposite effect. It is released when blood glucose becomes too low and signals the liver to release stored glucose back into the bloodstream </w:t>
      </w:r>
      <w:r w:rsidR="00963AB1" w:rsidRPr="00963AB1">
        <w:rPr>
          <w:rFonts w:ascii="Arial" w:hAnsi="Arial"/>
        </w:rPr>
        <w:t>(Ojha et al., 2019)</w:t>
      </w:r>
      <w:r w:rsidRPr="00815879">
        <w:rPr>
          <w:rFonts w:ascii="Arial" w:hAnsi="Arial"/>
        </w:rPr>
        <w:t>.</w:t>
      </w:r>
    </w:p>
    <w:p w14:paraId="457ECFAC" w14:textId="77777777" w:rsidR="00815879" w:rsidRPr="00815879" w:rsidRDefault="00815879" w:rsidP="00815879">
      <w:pPr>
        <w:spacing w:line="360" w:lineRule="auto"/>
        <w:jc w:val="both"/>
        <w:rPr>
          <w:rFonts w:ascii="Arial" w:hAnsi="Arial"/>
        </w:rPr>
      </w:pPr>
      <w:r w:rsidRPr="00815879">
        <w:rPr>
          <w:rFonts w:ascii="Arial" w:hAnsi="Arial"/>
        </w:rPr>
        <w:t xml:space="preserve">This system operates through a negative feedback loop, a key mechanism described in Week 9. When the body detects a change in blood glucose levels, the pancreas responds by releasing the appropriate hormone. Once glucose returns to the normal </w:t>
      </w:r>
      <w:r w:rsidRPr="00815879">
        <w:rPr>
          <w:rFonts w:ascii="Arial" w:hAnsi="Arial"/>
        </w:rPr>
        <w:lastRenderedPageBreak/>
        <w:t>range, hormone release slows down. This continuous adjustment helps keep blood sugar stable.</w:t>
      </w:r>
    </w:p>
    <w:p w14:paraId="2CF1D57F" w14:textId="77777777" w:rsidR="00815879" w:rsidRPr="00815879" w:rsidRDefault="00815879" w:rsidP="00815879">
      <w:pPr>
        <w:spacing w:line="360" w:lineRule="auto"/>
        <w:jc w:val="both"/>
        <w:rPr>
          <w:rFonts w:ascii="Arial" w:hAnsi="Arial"/>
        </w:rPr>
      </w:pPr>
      <w:r w:rsidRPr="00815879">
        <w:rPr>
          <w:rFonts w:ascii="Arial" w:hAnsi="Arial"/>
        </w:rPr>
        <w:t>At the cellular level, glucose enters cells through a controlled process involving the cell membrane. As taught in Week 2, the membrane contains protein channels and transporters. Insulin binds to receptors on the cell surface, triggering these transport proteins to open. Glucose can then move into the cell through facilitated diffusion, a form of passive transport that does not require energy (McCance &amp; Huether, 2022). Without insulin, these channels do not work effectively.</w:t>
      </w:r>
    </w:p>
    <w:p w14:paraId="54984513" w14:textId="77777777" w:rsidR="00815879" w:rsidRDefault="00815879" w:rsidP="00815879">
      <w:pPr>
        <w:spacing w:line="360" w:lineRule="auto"/>
        <w:jc w:val="both"/>
        <w:rPr>
          <w:rFonts w:ascii="Arial" w:hAnsi="Arial"/>
        </w:rPr>
      </w:pPr>
      <w:r w:rsidRPr="00815879">
        <w:rPr>
          <w:rFonts w:ascii="Arial" w:hAnsi="Arial"/>
        </w:rPr>
        <w:t>When blood sugar regulation fails, insulin resistance occurs. This means the cells stop responding properly to insulin. The pancreas attempts to compensate by producing more insulin, but over time it cannot keep up, leading to consistently high blood glucose (DeFronzo et al., 2021). This breakdown of the normal homeostatic process is central to the development of Type 2 diabetes. Without effective regulation, high glucose levels can damage blood vessels, nerves, and organs. Understanding this process helps patients recognise why monitoring and lifestyle management are essential for long-term health.</w:t>
      </w:r>
    </w:p>
    <w:p w14:paraId="507275A2" w14:textId="280C0817" w:rsidR="004C1B8B" w:rsidRDefault="004C1B8B" w:rsidP="004C1B8B">
      <w:pPr>
        <w:pStyle w:val="Caption"/>
        <w:keepNext/>
        <w:jc w:val="both"/>
      </w:pPr>
      <w:r>
        <w:t xml:space="preserve">Figure </w:t>
      </w:r>
      <w:r>
        <w:fldChar w:fldCharType="begin"/>
      </w:r>
      <w:r>
        <w:instrText xml:space="preserve"> SEQ Table \* ARABIC </w:instrText>
      </w:r>
      <w:r>
        <w:fldChar w:fldCharType="separate"/>
      </w:r>
      <w:r>
        <w:rPr>
          <w:noProof/>
        </w:rPr>
        <w:t>1</w:t>
      </w:r>
      <w:r>
        <w:fldChar w:fldCharType="end"/>
      </w:r>
      <w:r>
        <w:t>:</w:t>
      </w:r>
      <w:r w:rsidRPr="00AA3A97">
        <w:t>Negative feedback control of blood glucose involving insulin (high glucose) and glucagon (low glucose)</w:t>
      </w:r>
      <w:r w:rsidR="00D35EE6">
        <w:t xml:space="preserve"> </w:t>
      </w:r>
      <w:r w:rsidR="00D35EE6" w:rsidRPr="00D35EE6">
        <w:t>(Carogonz11, 2023)</w:t>
      </w:r>
      <w:r w:rsidR="00D35EE6">
        <w:t>.</w:t>
      </w:r>
    </w:p>
    <w:p w14:paraId="6EF7AC95" w14:textId="71F256E8" w:rsidR="004C1B8B" w:rsidRPr="00D8559D" w:rsidRDefault="00D35EE6" w:rsidP="00815879">
      <w:pPr>
        <w:spacing w:line="360" w:lineRule="auto"/>
        <w:jc w:val="both"/>
        <w:rPr>
          <w:rFonts w:ascii="Arial" w:hAnsi="Arial"/>
        </w:rPr>
      </w:pPr>
      <w:r>
        <w:rPr>
          <w:rFonts w:ascii="Arial" w:hAnsi="Arial"/>
        </w:rPr>
        <w:t xml:space="preserve">            </w:t>
      </w:r>
      <w:r w:rsidR="004C1B8B">
        <w:rPr>
          <w:noProof/>
        </w:rPr>
        <w:drawing>
          <wp:inline distT="0" distB="0" distL="0" distR="0" wp14:anchorId="45AEB14E" wp14:editId="46F2BA2C">
            <wp:extent cx="4488180" cy="3850607"/>
            <wp:effectExtent l="0" t="0" r="7620" b="0"/>
            <wp:docPr id="757778569" name="Picture 1" descr="Diagram of the blood glucose lev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778569" name="Picture 1" descr="Diagram of the blood glucose level&#10;&#10;AI-generated content may be incorrect."/>
                    <pic:cNvPicPr>
                      <a:picLocks noChangeAspect="1" noChangeArrowheads="1"/>
                    </pic:cNvPicPr>
                  </pic:nvPicPr>
                  <pic:blipFill rotWithShape="1">
                    <a:blip r:embed="rId7">
                      <a:extLst>
                        <a:ext uri="{28A0092B-C50C-407E-A947-70E740481C1C}">
                          <a14:useLocalDpi xmlns:a14="http://schemas.microsoft.com/office/drawing/2010/main" val="0"/>
                        </a:ext>
                      </a:extLst>
                    </a:blip>
                    <a:srcRect l="8677" t="3451" r="9887" b="3399"/>
                    <a:stretch>
                      <a:fillRect/>
                    </a:stretch>
                  </pic:blipFill>
                  <pic:spPr bwMode="auto">
                    <a:xfrm>
                      <a:off x="0" y="0"/>
                      <a:ext cx="4505771" cy="3865699"/>
                    </a:xfrm>
                    <a:prstGeom prst="rect">
                      <a:avLst/>
                    </a:prstGeom>
                    <a:noFill/>
                    <a:ln>
                      <a:noFill/>
                    </a:ln>
                    <a:extLst>
                      <a:ext uri="{53640926-AAD7-44D8-BBD7-CCE9431645EC}">
                        <a14:shadowObscured xmlns:a14="http://schemas.microsoft.com/office/drawing/2010/main"/>
                      </a:ext>
                    </a:extLst>
                  </pic:spPr>
                </pic:pic>
              </a:graphicData>
            </a:graphic>
          </wp:inline>
        </w:drawing>
      </w:r>
    </w:p>
    <w:p w14:paraId="77FE083B" w14:textId="42425EAB" w:rsidR="00AA038F" w:rsidRPr="00D8559D" w:rsidRDefault="00AA038F" w:rsidP="00AA038F">
      <w:pPr>
        <w:pStyle w:val="Heading1"/>
      </w:pPr>
      <w:bookmarkStart w:id="3" w:name="_Toc213362136"/>
      <w:r w:rsidRPr="00D8559D">
        <w:lastRenderedPageBreak/>
        <w:t>5. Importance of Tracking Blood Sugar</w:t>
      </w:r>
      <w:bookmarkEnd w:id="3"/>
      <w:r w:rsidRPr="00D8559D">
        <w:t xml:space="preserve"> </w:t>
      </w:r>
    </w:p>
    <w:p w14:paraId="678EA569" w14:textId="77777777" w:rsidR="00AA038F" w:rsidRPr="00AA038F" w:rsidRDefault="00AA038F" w:rsidP="00AA038F">
      <w:pPr>
        <w:spacing w:line="360" w:lineRule="auto"/>
        <w:jc w:val="both"/>
        <w:rPr>
          <w:rFonts w:ascii="Arial" w:hAnsi="Arial"/>
        </w:rPr>
      </w:pPr>
      <w:r w:rsidRPr="00AA038F">
        <w:rPr>
          <w:rFonts w:ascii="Arial" w:hAnsi="Arial"/>
        </w:rPr>
        <w:t>Monitoring blood sugar levels is a key part of managing Type 2 diabetes because it helps patients understand how their daily choices affect their health. Tracking glucose levels gives individuals immediate information about how food, exercise, stress, and medication influence their blood sugar. This makes it easier to notice patterns and adjust behaviours accordingly. Regular monitoring supports safe self-management and helps prevent dangerous episodes of hyperglycaemia (high blood sugar) and hypoglycaemia (low blood sugar), both of which can lead to serious health problems if not recognised early (American Diabetes Association, 2022).</w:t>
      </w:r>
    </w:p>
    <w:p w14:paraId="666C8F39" w14:textId="77777777" w:rsidR="00AA038F" w:rsidRPr="00AA038F" w:rsidRDefault="00AA038F" w:rsidP="00AA038F">
      <w:pPr>
        <w:spacing w:line="360" w:lineRule="auto"/>
        <w:jc w:val="both"/>
        <w:rPr>
          <w:rFonts w:ascii="Arial" w:hAnsi="Arial"/>
        </w:rPr>
      </w:pPr>
      <w:r w:rsidRPr="00AA038F">
        <w:rPr>
          <w:rFonts w:ascii="Arial" w:hAnsi="Arial"/>
        </w:rPr>
        <w:t>Monitoring blood sugar also links directly to Learning Outcome 2, which focuses on how routine data is used in health and social care. Glucose readings form an important set of routine data that both patients and healthcare professionals rely on. When patients record their readings consistently, the data can be reviewed during appointments to check whether treatment plans are working. Healthcare professionals use this information to adjust medication, offer personalised advice, and identify risks such as poor glycaemic control or irregular patterns (NICE, 2022). This shared use of data also encourages patients to engage more actively in their own care.</w:t>
      </w:r>
    </w:p>
    <w:p w14:paraId="6DBF74FE" w14:textId="66417247" w:rsidR="00AA038F" w:rsidRPr="00AA038F" w:rsidRDefault="00AA038F" w:rsidP="00AA038F">
      <w:pPr>
        <w:spacing w:line="360" w:lineRule="auto"/>
        <w:jc w:val="both"/>
        <w:rPr>
          <w:rFonts w:ascii="Arial" w:hAnsi="Arial"/>
        </w:rPr>
      </w:pPr>
      <w:r w:rsidRPr="00AA038F">
        <w:rPr>
          <w:rFonts w:ascii="Arial" w:hAnsi="Arial"/>
        </w:rPr>
        <w:t xml:space="preserve">Blood glucose monitoring is especially important for people who take medicines that can affect glucose levels, such as metformin or insulin. Regular checks help ensure that medication is effective and safe. In addition, monitoring supports patients in making lifestyle decisions—for example, understanding which foods raise blood glucose quickly or recognising how physical activity lowers it. Over time, this knowledge builds confidence and improves long-term management. Studies show that patients who monitor their blood sugar regularly have better glycaemic control and a reduced risk of complications such as heart disease, kidney problems, and nerve damage </w:t>
      </w:r>
      <w:r w:rsidR="009C4253">
        <w:rPr>
          <w:rFonts w:ascii="Arial" w:hAnsi="Arial"/>
        </w:rPr>
        <w:t>(</w:t>
      </w:r>
      <w:r w:rsidR="009C4253" w:rsidRPr="009C4253">
        <w:rPr>
          <w:rFonts w:ascii="Arial" w:hAnsi="Arial"/>
        </w:rPr>
        <w:t xml:space="preserve">Beck </w:t>
      </w:r>
      <w:r w:rsidR="009C4253" w:rsidRPr="009C4253">
        <w:rPr>
          <w:rFonts w:ascii="Arial" w:hAnsi="Arial"/>
          <w:i/>
          <w:iCs/>
        </w:rPr>
        <w:t>et al.</w:t>
      </w:r>
      <w:r w:rsidR="009C4253" w:rsidRPr="009C4253">
        <w:rPr>
          <w:rFonts w:ascii="Arial" w:hAnsi="Arial"/>
        </w:rPr>
        <w:t xml:space="preserve"> (2021)</w:t>
      </w:r>
      <w:r w:rsidRPr="00AA038F">
        <w:rPr>
          <w:rFonts w:ascii="Arial" w:hAnsi="Arial"/>
        </w:rPr>
        <w:t>.</w:t>
      </w:r>
    </w:p>
    <w:p w14:paraId="64F814B4" w14:textId="77777777" w:rsidR="00AA038F" w:rsidRPr="00AA038F" w:rsidRDefault="00AA038F" w:rsidP="00AA038F">
      <w:pPr>
        <w:spacing w:line="360" w:lineRule="auto"/>
        <w:jc w:val="both"/>
        <w:rPr>
          <w:rFonts w:ascii="Arial" w:hAnsi="Arial"/>
        </w:rPr>
      </w:pPr>
      <w:r w:rsidRPr="00AA038F">
        <w:rPr>
          <w:rFonts w:ascii="Arial" w:hAnsi="Arial"/>
        </w:rPr>
        <w:t>Overall, tracking blood sugar empowers individuals, supports healthcare decision-making, and helps prevent long-term complications.</w:t>
      </w:r>
    </w:p>
    <w:p w14:paraId="613F8810" w14:textId="6AB27430" w:rsidR="00815879" w:rsidRPr="00D8559D" w:rsidRDefault="00815879" w:rsidP="0003052B">
      <w:pPr>
        <w:pStyle w:val="Heading1"/>
      </w:pPr>
      <w:bookmarkStart w:id="4" w:name="_Toc213362137"/>
      <w:r w:rsidRPr="00D8559D">
        <w:lastRenderedPageBreak/>
        <w:t>4. How Oxygen and Glucose Produce Energy (Cell Metabolism)</w:t>
      </w:r>
      <w:bookmarkEnd w:id="4"/>
      <w:r w:rsidRPr="00D8559D">
        <w:t xml:space="preserve"> </w:t>
      </w:r>
    </w:p>
    <w:p w14:paraId="5D53B5E3" w14:textId="77777777" w:rsidR="00815879" w:rsidRPr="00815879" w:rsidRDefault="00815879" w:rsidP="00815879">
      <w:pPr>
        <w:spacing w:line="360" w:lineRule="auto"/>
        <w:jc w:val="both"/>
        <w:rPr>
          <w:rFonts w:ascii="Arial" w:hAnsi="Arial"/>
        </w:rPr>
      </w:pPr>
    </w:p>
    <w:p w14:paraId="6F75AAC4" w14:textId="77777777" w:rsidR="00815879" w:rsidRPr="00815879" w:rsidRDefault="00815879" w:rsidP="00815879">
      <w:pPr>
        <w:spacing w:line="360" w:lineRule="auto"/>
        <w:jc w:val="both"/>
        <w:rPr>
          <w:rFonts w:ascii="Arial" w:hAnsi="Arial"/>
        </w:rPr>
      </w:pPr>
      <w:r w:rsidRPr="00815879">
        <w:rPr>
          <w:rFonts w:ascii="Arial" w:hAnsi="Arial"/>
        </w:rPr>
        <w:t>The human body relies on a continuous supply of oxygen and glucose to produce energy. This process happens inside the mitochondria, which are often called the “powerhouses” of the cell because they are responsible for producing adenosine triphosphate (ATP), the main energy molecule used by the body (Cooper &amp; Hausman, 2022). According to the cell physiology taught in Week 2, mitochondria use nutrients and oxygen to carry out a process called aerobic respiration, which is the most efficient way for cells to generate ATP.</w:t>
      </w:r>
    </w:p>
    <w:p w14:paraId="79128076" w14:textId="77777777" w:rsidR="00815879" w:rsidRPr="00815879" w:rsidRDefault="00815879" w:rsidP="00815879">
      <w:pPr>
        <w:spacing w:line="360" w:lineRule="auto"/>
        <w:jc w:val="both"/>
        <w:rPr>
          <w:rFonts w:ascii="Arial" w:hAnsi="Arial"/>
        </w:rPr>
      </w:pPr>
      <w:r w:rsidRPr="00815879">
        <w:rPr>
          <w:rFonts w:ascii="Arial" w:hAnsi="Arial"/>
        </w:rPr>
        <w:t>Aerobic respiration can be summarised using a simple scientific equation:</w:t>
      </w:r>
    </w:p>
    <w:p w14:paraId="55D71704" w14:textId="77777777" w:rsidR="00815879" w:rsidRPr="00815879" w:rsidRDefault="00815879" w:rsidP="00815879">
      <w:pPr>
        <w:spacing w:line="360" w:lineRule="auto"/>
        <w:jc w:val="both"/>
        <w:rPr>
          <w:rFonts w:ascii="Arial" w:hAnsi="Arial"/>
        </w:rPr>
      </w:pPr>
    </w:p>
    <w:p w14:paraId="379AE0E0" w14:textId="77777777" w:rsidR="00815879" w:rsidRPr="00815879" w:rsidRDefault="00815879" w:rsidP="00815879">
      <w:pPr>
        <w:spacing w:line="360" w:lineRule="auto"/>
        <w:jc w:val="both"/>
        <w:rPr>
          <w:rFonts w:ascii="Arial" w:hAnsi="Arial"/>
        </w:rPr>
      </w:pPr>
      <w:r w:rsidRPr="00815879">
        <w:rPr>
          <w:rFonts w:ascii="Arial" w:hAnsi="Arial"/>
        </w:rPr>
        <w:t>Glucose + Oxygen → Carbon dioxide + Water + Energy (ATP)</w:t>
      </w:r>
    </w:p>
    <w:p w14:paraId="4BB1C4D8" w14:textId="77777777" w:rsidR="00815879" w:rsidRPr="00815879" w:rsidRDefault="00815879" w:rsidP="00815879">
      <w:pPr>
        <w:spacing w:line="360" w:lineRule="auto"/>
        <w:jc w:val="both"/>
        <w:rPr>
          <w:rFonts w:ascii="Arial" w:hAnsi="Arial"/>
        </w:rPr>
      </w:pPr>
      <w:r w:rsidRPr="00815879">
        <w:rPr>
          <w:rFonts w:ascii="Arial" w:hAnsi="Arial"/>
        </w:rPr>
        <w:t>This means that the cell needs both glucose and oxygen at the same time to produce energy effectively. Oxygen is delivered to cells through the cardiovascular and respiratory systems, as covered in Weeks 3 and 4. The lungs bring oxygen into the body, the heart pumps oxygen-rich blood around the body, and blood vessels transport it to all tissues. At the same time, glucose from digested food enters the bloodstream through the digestive system and is carried to the cells.</w:t>
      </w:r>
    </w:p>
    <w:p w14:paraId="7DD979A4" w14:textId="77777777" w:rsidR="00815879" w:rsidRPr="00815879" w:rsidRDefault="00815879" w:rsidP="00815879">
      <w:pPr>
        <w:spacing w:line="360" w:lineRule="auto"/>
        <w:jc w:val="both"/>
        <w:rPr>
          <w:rFonts w:ascii="Arial" w:hAnsi="Arial"/>
        </w:rPr>
      </w:pPr>
    </w:p>
    <w:p w14:paraId="1B1C8D5B" w14:textId="77777777" w:rsidR="00815879" w:rsidRPr="00815879" w:rsidRDefault="00815879" w:rsidP="00815879">
      <w:pPr>
        <w:spacing w:line="360" w:lineRule="auto"/>
        <w:jc w:val="both"/>
        <w:rPr>
          <w:rFonts w:ascii="Arial" w:hAnsi="Arial"/>
        </w:rPr>
      </w:pPr>
      <w:r w:rsidRPr="00815879">
        <w:rPr>
          <w:rFonts w:ascii="Arial" w:hAnsi="Arial"/>
        </w:rPr>
        <w:t>The body needs a constant supply of oxygen and glucose because most cells are always using ATP, even at rest. Energy is needed for basic functions such as breathing, maintaining body temperature, muscle activity, and cellular repair. Without enough ATP, the body cannot function properly and symptoms such as tiredness and weakness quickly develop (McArdle et al., 2021).</w:t>
      </w:r>
    </w:p>
    <w:p w14:paraId="31678A71" w14:textId="77777777" w:rsidR="00815879" w:rsidRPr="00815879" w:rsidRDefault="00815879" w:rsidP="00815879">
      <w:pPr>
        <w:spacing w:line="360" w:lineRule="auto"/>
        <w:jc w:val="both"/>
        <w:rPr>
          <w:rFonts w:ascii="Arial" w:hAnsi="Arial"/>
        </w:rPr>
      </w:pPr>
    </w:p>
    <w:p w14:paraId="6C36D53C" w14:textId="77777777" w:rsidR="00815879" w:rsidRPr="00815879" w:rsidRDefault="00815879" w:rsidP="00815879">
      <w:pPr>
        <w:spacing w:line="360" w:lineRule="auto"/>
        <w:jc w:val="both"/>
        <w:rPr>
          <w:rFonts w:ascii="Arial" w:hAnsi="Arial"/>
        </w:rPr>
      </w:pPr>
      <w:r w:rsidRPr="00815879">
        <w:rPr>
          <w:rFonts w:ascii="Arial" w:hAnsi="Arial"/>
        </w:rPr>
        <w:t xml:space="preserve">In people with Type 2 diabetes, this process becomes disrupted. Even when there is plenty of glucose in the blood, the glucose cannot enter the cells effectively because of insulin resistance. As a result, the cells do not receive the fuel they need for aerobic </w:t>
      </w:r>
      <w:r w:rsidRPr="00815879">
        <w:rPr>
          <w:rFonts w:ascii="Arial" w:hAnsi="Arial"/>
        </w:rPr>
        <w:lastRenderedPageBreak/>
        <w:t>respiration, and ATP production is reduced. This explains why many patients with uncontrolled diabetes experience fatigue, low energy, and difficulty concentrating, even though their blood sugar levels are high (American Diabetes Association, 2022). Essentially, the energy is “locked out” of the cells. Over time, poor glucose uptake can also damage mitochondria and reduce metabolic efficiency.</w:t>
      </w:r>
    </w:p>
    <w:p w14:paraId="0EFBC391" w14:textId="77777777" w:rsidR="00815879" w:rsidRPr="00D8559D" w:rsidRDefault="00815879" w:rsidP="00815879">
      <w:pPr>
        <w:spacing w:line="360" w:lineRule="auto"/>
        <w:jc w:val="both"/>
        <w:rPr>
          <w:rFonts w:ascii="Arial" w:hAnsi="Arial"/>
        </w:rPr>
      </w:pPr>
      <w:r w:rsidRPr="00815879">
        <w:rPr>
          <w:rFonts w:ascii="Arial" w:hAnsi="Arial"/>
        </w:rPr>
        <w:t>Understanding how oxygen and glucose create energy helps patients recognise why good blood sugar control is essential for keeping their bodies functioning well.</w:t>
      </w:r>
    </w:p>
    <w:p w14:paraId="45232981" w14:textId="21EEE983" w:rsidR="00815879" w:rsidRPr="00D8559D" w:rsidRDefault="00815879" w:rsidP="00815879">
      <w:pPr>
        <w:pStyle w:val="Heading1"/>
      </w:pPr>
      <w:bookmarkStart w:id="5" w:name="_Toc213362138"/>
      <w:r w:rsidRPr="00D8559D">
        <w:t>6. Evidence-Based Lifestyle Recommendations</w:t>
      </w:r>
      <w:bookmarkEnd w:id="5"/>
      <w:r w:rsidRPr="00D8559D">
        <w:t xml:space="preserve"> </w:t>
      </w:r>
    </w:p>
    <w:p w14:paraId="70FC1C64" w14:textId="77777777" w:rsidR="00815879" w:rsidRPr="00815879" w:rsidRDefault="00815879" w:rsidP="00815879">
      <w:pPr>
        <w:spacing w:line="360" w:lineRule="auto"/>
        <w:jc w:val="both"/>
        <w:rPr>
          <w:rFonts w:ascii="Arial" w:hAnsi="Arial"/>
        </w:rPr>
      </w:pPr>
      <w:r w:rsidRPr="00815879">
        <w:rPr>
          <w:rFonts w:ascii="Arial" w:hAnsi="Arial"/>
        </w:rPr>
        <w:t>Lifestyle changes play a central role in managing Type 2 diabetes because they directly affect insulin sensitivity, blood glucose control, and long-term health outcomes. The most effective lifestyle strategies include healthy eating, regular physical activity, weight management, reducing smoking, and drinking alcohol in moderation.</w:t>
      </w:r>
    </w:p>
    <w:p w14:paraId="12DA2310" w14:textId="297E9225" w:rsidR="00815879" w:rsidRPr="00815879" w:rsidRDefault="00815879" w:rsidP="00815879">
      <w:pPr>
        <w:spacing w:line="360" w:lineRule="auto"/>
        <w:jc w:val="both"/>
        <w:rPr>
          <w:rFonts w:ascii="Arial" w:hAnsi="Arial"/>
        </w:rPr>
      </w:pPr>
      <w:r w:rsidRPr="00815879">
        <w:rPr>
          <w:rFonts w:ascii="Arial" w:hAnsi="Arial"/>
        </w:rPr>
        <w:t xml:space="preserve">A balanced diet is essential for supporting blood sugar control. Patients are encouraged to eat regular meals that include whole grains, vegetables, fruits, and foods high in fibre, as these slow the release of glucose into the bloodstream and help prevent sudden rises in blood sugar </w:t>
      </w:r>
      <w:r w:rsidR="00963AB1" w:rsidRPr="00963AB1">
        <w:rPr>
          <w:rFonts w:ascii="Arial" w:hAnsi="Arial"/>
        </w:rPr>
        <w:t>(The Diabetes and Nutrition Study Group of the EASD, 2023)</w:t>
      </w:r>
      <w:r w:rsidRPr="00815879">
        <w:rPr>
          <w:rFonts w:ascii="Arial" w:hAnsi="Arial"/>
        </w:rPr>
        <w:t>. Choosing complex carbohydrates such as wholemeal bread, oats, lentils, and brown rice helps maintain stable glucose levels because they break down more slowly than refined carbohydrates. Healthy fats (e.g., olive oil, nuts) and lean protein (e.g., chicken, fish, beans) are also recommended. Reducing foods high in sugar and saturated fat can help improve metabolic health and prevent weight gain.</w:t>
      </w:r>
    </w:p>
    <w:p w14:paraId="557FE4AB" w14:textId="77777777" w:rsidR="00815879" w:rsidRPr="00815879" w:rsidRDefault="00815879" w:rsidP="00815879">
      <w:pPr>
        <w:spacing w:line="360" w:lineRule="auto"/>
        <w:jc w:val="both"/>
        <w:rPr>
          <w:rFonts w:ascii="Arial" w:hAnsi="Arial"/>
        </w:rPr>
      </w:pPr>
      <w:r w:rsidRPr="00815879">
        <w:rPr>
          <w:rFonts w:ascii="Arial" w:hAnsi="Arial"/>
        </w:rPr>
        <w:t>Exercise is another important lifestyle intervention. Regular physical activity improves insulin sensitivity, meaning that the body’s cells can respond better to insulin and absorb glucose more effectively (Colberg et al., 2020). Activities such as brisk walking, cycling, and swimming are suitable for most patients, and guidelines recommend at least 150 minutes of moderate activity per week.</w:t>
      </w:r>
    </w:p>
    <w:p w14:paraId="26745561" w14:textId="7A7D8BEF" w:rsidR="00815879" w:rsidRPr="00815879" w:rsidRDefault="00815879" w:rsidP="00815879">
      <w:pPr>
        <w:spacing w:line="360" w:lineRule="auto"/>
        <w:jc w:val="both"/>
        <w:rPr>
          <w:rFonts w:ascii="Arial" w:hAnsi="Arial"/>
        </w:rPr>
      </w:pPr>
      <w:r w:rsidRPr="00815879">
        <w:rPr>
          <w:rFonts w:ascii="Arial" w:hAnsi="Arial"/>
        </w:rPr>
        <w:t xml:space="preserve">Weight management is strongly linked to diabetes control. Research shows that losing even 5–10% of body weight can significantly improve insulin resistance and reduce blood glucose levels </w:t>
      </w:r>
      <w:r w:rsidR="00963AB1" w:rsidRPr="00963AB1">
        <w:rPr>
          <w:rFonts w:ascii="Arial" w:hAnsi="Arial"/>
        </w:rPr>
        <w:t>(Santarossa et al., 2023)</w:t>
      </w:r>
      <w:r w:rsidRPr="00815879">
        <w:rPr>
          <w:rFonts w:ascii="Arial" w:hAnsi="Arial"/>
        </w:rPr>
        <w:t>. Weight loss also lowers the risk of complications such as cardiovascular disease.</w:t>
      </w:r>
    </w:p>
    <w:p w14:paraId="57FC3B3C" w14:textId="77777777" w:rsidR="00815879" w:rsidRPr="00815879" w:rsidRDefault="00815879" w:rsidP="00815879">
      <w:pPr>
        <w:spacing w:line="360" w:lineRule="auto"/>
        <w:jc w:val="both"/>
        <w:rPr>
          <w:rFonts w:ascii="Arial" w:hAnsi="Arial"/>
        </w:rPr>
      </w:pPr>
      <w:r w:rsidRPr="00815879">
        <w:rPr>
          <w:rFonts w:ascii="Arial" w:hAnsi="Arial"/>
        </w:rPr>
        <w:lastRenderedPageBreak/>
        <w:t>Smoking is particularly harmful for people with Type 2 diabetes. Smoking damages blood vessels, increases inflammation, and significantly raises the risk of heart disease and stroke (Fang et al., 2020). For this reason, smoking cessation is a key recommendation in diabetes care plans.</w:t>
      </w:r>
    </w:p>
    <w:p w14:paraId="02795434" w14:textId="77777777" w:rsidR="00815879" w:rsidRPr="00815879" w:rsidRDefault="00815879" w:rsidP="00815879">
      <w:pPr>
        <w:spacing w:line="360" w:lineRule="auto"/>
        <w:jc w:val="both"/>
        <w:rPr>
          <w:rFonts w:ascii="Arial" w:hAnsi="Arial"/>
        </w:rPr>
      </w:pPr>
      <w:r w:rsidRPr="00815879">
        <w:rPr>
          <w:rFonts w:ascii="Arial" w:hAnsi="Arial"/>
        </w:rPr>
        <w:t>Finally, alcohol should be consumed in moderation. Excessive drinking can raise blood sugar levels and contribute to weight gain. Moderate consumption—following UK guidance of no more than 14 units per week—is advised (NICE, 2022).</w:t>
      </w:r>
    </w:p>
    <w:p w14:paraId="039FF57C" w14:textId="77777777" w:rsidR="00815879" w:rsidRDefault="00815879" w:rsidP="00815879">
      <w:pPr>
        <w:spacing w:line="360" w:lineRule="auto"/>
        <w:jc w:val="both"/>
        <w:rPr>
          <w:rFonts w:ascii="Arial" w:hAnsi="Arial"/>
        </w:rPr>
      </w:pPr>
      <w:r w:rsidRPr="00815879">
        <w:rPr>
          <w:rFonts w:ascii="Arial" w:hAnsi="Arial"/>
        </w:rPr>
        <w:t>Overall, lifestyle changes are powerful tools that help patients manage their condition more effectively, reduce the risk of complications, and improve overall wellbeing.</w:t>
      </w:r>
    </w:p>
    <w:p w14:paraId="15478A2C" w14:textId="19420DB4" w:rsidR="004C1B8B" w:rsidRPr="004C1B8B" w:rsidRDefault="004C1B8B" w:rsidP="004C1B8B">
      <w:pPr>
        <w:pStyle w:val="Caption"/>
        <w:keepNext/>
        <w:spacing w:line="360" w:lineRule="auto"/>
        <w:rPr>
          <w:sz w:val="22"/>
          <w:szCs w:val="22"/>
        </w:rPr>
      </w:pPr>
      <w:r w:rsidRPr="004C1B8B">
        <w:rPr>
          <w:sz w:val="22"/>
          <w:szCs w:val="22"/>
        </w:rPr>
        <w:t xml:space="preserve">Table </w:t>
      </w:r>
      <w:r w:rsidRPr="004C1B8B">
        <w:rPr>
          <w:sz w:val="22"/>
          <w:szCs w:val="22"/>
        </w:rPr>
        <w:fldChar w:fldCharType="begin"/>
      </w:r>
      <w:r w:rsidRPr="004C1B8B">
        <w:rPr>
          <w:sz w:val="22"/>
          <w:szCs w:val="22"/>
        </w:rPr>
        <w:instrText xml:space="preserve"> SEQ Table \* ARABIC </w:instrText>
      </w:r>
      <w:r w:rsidRPr="004C1B8B">
        <w:rPr>
          <w:sz w:val="22"/>
          <w:szCs w:val="22"/>
        </w:rPr>
        <w:fldChar w:fldCharType="separate"/>
      </w:r>
      <w:r>
        <w:rPr>
          <w:noProof/>
          <w:sz w:val="22"/>
          <w:szCs w:val="22"/>
        </w:rPr>
        <w:t>2</w:t>
      </w:r>
      <w:r w:rsidRPr="004C1B8B">
        <w:rPr>
          <w:sz w:val="22"/>
          <w:szCs w:val="22"/>
        </w:rPr>
        <w:fldChar w:fldCharType="end"/>
      </w:r>
      <w:r w:rsidRPr="004C1B8B">
        <w:rPr>
          <w:sz w:val="22"/>
          <w:szCs w:val="22"/>
        </w:rPr>
        <w:t>:Summary of evidence-based lifestyle recommendations for Type 2 diabetes management</w:t>
      </w:r>
      <w:r>
        <w:rPr>
          <w:sz w:val="22"/>
          <w:szCs w:val="22"/>
        </w:rPr>
        <w:t xml:space="preserve"> </w:t>
      </w:r>
      <w:r w:rsidRPr="004C1B8B">
        <w:rPr>
          <w:sz w:val="22"/>
          <w:szCs w:val="22"/>
        </w:rPr>
        <w:t>(DNSG/EASD, 2023; Colberg et al., 2020; Santarossa et al., 2023).</w:t>
      </w:r>
    </w:p>
    <w:tbl>
      <w:tblPr>
        <w:tblStyle w:val="GridTable4-Accent4"/>
        <w:tblW w:w="0" w:type="auto"/>
        <w:tblLook w:val="04A0" w:firstRow="1" w:lastRow="0" w:firstColumn="1" w:lastColumn="0" w:noHBand="0" w:noVBand="1"/>
      </w:tblPr>
      <w:tblGrid>
        <w:gridCol w:w="1837"/>
        <w:gridCol w:w="3868"/>
        <w:gridCol w:w="3311"/>
      </w:tblGrid>
      <w:tr w:rsidR="004C1B8B" w:rsidRPr="004C1B8B" w14:paraId="76C334BD" w14:textId="77777777" w:rsidTr="004C1B8B">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740A34D1" w14:textId="77777777" w:rsidR="004C1B8B" w:rsidRPr="004C1B8B" w:rsidRDefault="004C1B8B" w:rsidP="004C1B8B">
            <w:pPr>
              <w:spacing w:after="160" w:line="360" w:lineRule="auto"/>
              <w:jc w:val="both"/>
              <w:rPr>
                <w:rFonts w:ascii="Arial" w:hAnsi="Arial"/>
              </w:rPr>
            </w:pPr>
            <w:r w:rsidRPr="004C1B8B">
              <w:rPr>
                <w:rFonts w:ascii="Arial" w:hAnsi="Arial"/>
              </w:rPr>
              <w:t>Lifestyle Area</w:t>
            </w:r>
          </w:p>
        </w:tc>
        <w:tc>
          <w:tcPr>
            <w:tcW w:w="0" w:type="auto"/>
            <w:hideMark/>
          </w:tcPr>
          <w:p w14:paraId="46992BCA" w14:textId="77777777" w:rsidR="004C1B8B" w:rsidRPr="004C1B8B" w:rsidRDefault="004C1B8B" w:rsidP="004C1B8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4C1B8B">
              <w:rPr>
                <w:rFonts w:ascii="Arial" w:hAnsi="Arial"/>
              </w:rPr>
              <w:t>Recommendation</w:t>
            </w:r>
          </w:p>
        </w:tc>
        <w:tc>
          <w:tcPr>
            <w:tcW w:w="0" w:type="auto"/>
            <w:hideMark/>
          </w:tcPr>
          <w:p w14:paraId="7D31B394" w14:textId="77777777" w:rsidR="004C1B8B" w:rsidRPr="004C1B8B" w:rsidRDefault="004C1B8B" w:rsidP="004C1B8B">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rPr>
            </w:pPr>
            <w:r w:rsidRPr="004C1B8B">
              <w:rPr>
                <w:rFonts w:ascii="Arial" w:hAnsi="Arial"/>
              </w:rPr>
              <w:t>How It Helps Blood Sugar Control</w:t>
            </w:r>
          </w:p>
        </w:tc>
      </w:tr>
      <w:tr w:rsidR="004C1B8B" w:rsidRPr="004C1B8B" w14:paraId="556638F3" w14:textId="77777777" w:rsidTr="004C1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CB4027" w14:textId="77777777" w:rsidR="004C1B8B" w:rsidRPr="004C1B8B" w:rsidRDefault="004C1B8B" w:rsidP="004C1B8B">
            <w:pPr>
              <w:spacing w:after="160" w:line="360" w:lineRule="auto"/>
              <w:jc w:val="both"/>
              <w:rPr>
                <w:rFonts w:ascii="Arial" w:hAnsi="Arial"/>
              </w:rPr>
            </w:pPr>
            <w:r w:rsidRPr="004C1B8B">
              <w:rPr>
                <w:rFonts w:ascii="Arial" w:hAnsi="Arial"/>
              </w:rPr>
              <w:t>Healthy Eating</w:t>
            </w:r>
          </w:p>
        </w:tc>
        <w:tc>
          <w:tcPr>
            <w:tcW w:w="0" w:type="auto"/>
            <w:hideMark/>
          </w:tcPr>
          <w:p w14:paraId="4568FDFF" w14:textId="77777777" w:rsidR="004C1B8B" w:rsidRPr="004C1B8B" w:rsidRDefault="004C1B8B" w:rsidP="004C1B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C1B8B">
              <w:rPr>
                <w:rFonts w:ascii="Arial" w:hAnsi="Arial"/>
              </w:rPr>
              <w:t>Choose whole grains, vegetables, fruits, lean protein, and healthy fats. Reduce sugary and high-fat foods.</w:t>
            </w:r>
          </w:p>
        </w:tc>
        <w:tc>
          <w:tcPr>
            <w:tcW w:w="0" w:type="auto"/>
            <w:hideMark/>
          </w:tcPr>
          <w:p w14:paraId="67E4F3B4" w14:textId="77777777" w:rsidR="004C1B8B" w:rsidRPr="004C1B8B" w:rsidRDefault="004C1B8B" w:rsidP="004C1B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C1B8B">
              <w:rPr>
                <w:rFonts w:ascii="Arial" w:hAnsi="Arial"/>
              </w:rPr>
              <w:t>Slows glucose release, prevents sharp blood sugar rises, and improves overall metabolic health.</w:t>
            </w:r>
          </w:p>
        </w:tc>
      </w:tr>
      <w:tr w:rsidR="004C1B8B" w:rsidRPr="004C1B8B" w14:paraId="77B66327" w14:textId="77777777" w:rsidTr="004C1B8B">
        <w:tc>
          <w:tcPr>
            <w:cnfStyle w:val="001000000000" w:firstRow="0" w:lastRow="0" w:firstColumn="1" w:lastColumn="0" w:oddVBand="0" w:evenVBand="0" w:oddHBand="0" w:evenHBand="0" w:firstRowFirstColumn="0" w:firstRowLastColumn="0" w:lastRowFirstColumn="0" w:lastRowLastColumn="0"/>
            <w:tcW w:w="0" w:type="auto"/>
            <w:hideMark/>
          </w:tcPr>
          <w:p w14:paraId="4DA3A615" w14:textId="77777777" w:rsidR="004C1B8B" w:rsidRPr="004C1B8B" w:rsidRDefault="004C1B8B" w:rsidP="004C1B8B">
            <w:pPr>
              <w:spacing w:after="160" w:line="360" w:lineRule="auto"/>
              <w:jc w:val="both"/>
              <w:rPr>
                <w:rFonts w:ascii="Arial" w:hAnsi="Arial"/>
              </w:rPr>
            </w:pPr>
            <w:r w:rsidRPr="004C1B8B">
              <w:rPr>
                <w:rFonts w:ascii="Arial" w:hAnsi="Arial"/>
              </w:rPr>
              <w:t>Physical Activity</w:t>
            </w:r>
          </w:p>
        </w:tc>
        <w:tc>
          <w:tcPr>
            <w:tcW w:w="0" w:type="auto"/>
            <w:hideMark/>
          </w:tcPr>
          <w:p w14:paraId="1A274B5F" w14:textId="77777777" w:rsidR="004C1B8B" w:rsidRPr="004C1B8B" w:rsidRDefault="004C1B8B" w:rsidP="004C1B8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C1B8B">
              <w:rPr>
                <w:rFonts w:ascii="Arial" w:hAnsi="Arial"/>
              </w:rPr>
              <w:t>At least 150 minutes of moderate activity per week (e.g., walking, cycling, swimming).</w:t>
            </w:r>
          </w:p>
        </w:tc>
        <w:tc>
          <w:tcPr>
            <w:tcW w:w="0" w:type="auto"/>
            <w:hideMark/>
          </w:tcPr>
          <w:p w14:paraId="708349E2" w14:textId="77777777" w:rsidR="004C1B8B" w:rsidRPr="004C1B8B" w:rsidRDefault="004C1B8B" w:rsidP="004C1B8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C1B8B">
              <w:rPr>
                <w:rFonts w:ascii="Arial" w:hAnsi="Arial"/>
              </w:rPr>
              <w:t>Increases insulin sensitivity, helps muscles use glucose more effectively.</w:t>
            </w:r>
          </w:p>
        </w:tc>
      </w:tr>
      <w:tr w:rsidR="004C1B8B" w:rsidRPr="004C1B8B" w14:paraId="0340CEBD" w14:textId="77777777" w:rsidTr="004C1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06B958" w14:textId="77777777" w:rsidR="004C1B8B" w:rsidRPr="004C1B8B" w:rsidRDefault="004C1B8B" w:rsidP="004C1B8B">
            <w:pPr>
              <w:spacing w:after="160" w:line="360" w:lineRule="auto"/>
              <w:jc w:val="both"/>
              <w:rPr>
                <w:rFonts w:ascii="Arial" w:hAnsi="Arial"/>
              </w:rPr>
            </w:pPr>
            <w:r w:rsidRPr="004C1B8B">
              <w:rPr>
                <w:rFonts w:ascii="Arial" w:hAnsi="Arial"/>
              </w:rPr>
              <w:t>Weight Management</w:t>
            </w:r>
          </w:p>
        </w:tc>
        <w:tc>
          <w:tcPr>
            <w:tcW w:w="0" w:type="auto"/>
            <w:hideMark/>
          </w:tcPr>
          <w:p w14:paraId="3C012748" w14:textId="77777777" w:rsidR="004C1B8B" w:rsidRPr="004C1B8B" w:rsidRDefault="004C1B8B" w:rsidP="004C1B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C1B8B">
              <w:rPr>
                <w:rFonts w:ascii="Arial" w:hAnsi="Arial"/>
              </w:rPr>
              <w:t>Aim for gradual weight loss of 5–10% of body weight if overweight.</w:t>
            </w:r>
          </w:p>
        </w:tc>
        <w:tc>
          <w:tcPr>
            <w:tcW w:w="0" w:type="auto"/>
            <w:hideMark/>
          </w:tcPr>
          <w:p w14:paraId="134CC57C" w14:textId="77777777" w:rsidR="004C1B8B" w:rsidRPr="004C1B8B" w:rsidRDefault="004C1B8B" w:rsidP="004C1B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C1B8B">
              <w:rPr>
                <w:rFonts w:ascii="Arial" w:hAnsi="Arial"/>
              </w:rPr>
              <w:t>Reduces insulin resistance and improves long-term glucose control.</w:t>
            </w:r>
          </w:p>
        </w:tc>
      </w:tr>
      <w:tr w:rsidR="004C1B8B" w:rsidRPr="004C1B8B" w14:paraId="2C842242" w14:textId="77777777" w:rsidTr="004C1B8B">
        <w:tc>
          <w:tcPr>
            <w:cnfStyle w:val="001000000000" w:firstRow="0" w:lastRow="0" w:firstColumn="1" w:lastColumn="0" w:oddVBand="0" w:evenVBand="0" w:oddHBand="0" w:evenHBand="0" w:firstRowFirstColumn="0" w:firstRowLastColumn="0" w:lastRowFirstColumn="0" w:lastRowLastColumn="0"/>
            <w:tcW w:w="0" w:type="auto"/>
            <w:hideMark/>
          </w:tcPr>
          <w:p w14:paraId="6847CDF9" w14:textId="77777777" w:rsidR="004C1B8B" w:rsidRPr="004C1B8B" w:rsidRDefault="004C1B8B" w:rsidP="004C1B8B">
            <w:pPr>
              <w:spacing w:after="160" w:line="360" w:lineRule="auto"/>
              <w:jc w:val="both"/>
              <w:rPr>
                <w:rFonts w:ascii="Arial" w:hAnsi="Arial"/>
              </w:rPr>
            </w:pPr>
            <w:r w:rsidRPr="004C1B8B">
              <w:rPr>
                <w:rFonts w:ascii="Arial" w:hAnsi="Arial"/>
              </w:rPr>
              <w:t>Smoking Cessation</w:t>
            </w:r>
          </w:p>
        </w:tc>
        <w:tc>
          <w:tcPr>
            <w:tcW w:w="0" w:type="auto"/>
            <w:hideMark/>
          </w:tcPr>
          <w:p w14:paraId="25B5B4D5" w14:textId="77777777" w:rsidR="004C1B8B" w:rsidRPr="004C1B8B" w:rsidRDefault="004C1B8B" w:rsidP="004C1B8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C1B8B">
              <w:rPr>
                <w:rFonts w:ascii="Arial" w:hAnsi="Arial"/>
              </w:rPr>
              <w:t>Stop smoking or seek support to quit.</w:t>
            </w:r>
          </w:p>
        </w:tc>
        <w:tc>
          <w:tcPr>
            <w:tcW w:w="0" w:type="auto"/>
            <w:hideMark/>
          </w:tcPr>
          <w:p w14:paraId="46E72506" w14:textId="77777777" w:rsidR="004C1B8B" w:rsidRPr="004C1B8B" w:rsidRDefault="004C1B8B" w:rsidP="004C1B8B">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rPr>
            </w:pPr>
            <w:r w:rsidRPr="004C1B8B">
              <w:rPr>
                <w:rFonts w:ascii="Arial" w:hAnsi="Arial"/>
              </w:rPr>
              <w:t>Lowers inflammation and reduces the risk of cardiovascular complications.</w:t>
            </w:r>
          </w:p>
        </w:tc>
      </w:tr>
      <w:tr w:rsidR="004C1B8B" w:rsidRPr="004C1B8B" w14:paraId="29539B17" w14:textId="77777777" w:rsidTr="004C1B8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2317F7" w14:textId="77777777" w:rsidR="004C1B8B" w:rsidRPr="004C1B8B" w:rsidRDefault="004C1B8B" w:rsidP="004C1B8B">
            <w:pPr>
              <w:spacing w:after="160" w:line="360" w:lineRule="auto"/>
              <w:jc w:val="both"/>
              <w:rPr>
                <w:rFonts w:ascii="Arial" w:hAnsi="Arial"/>
              </w:rPr>
            </w:pPr>
            <w:r w:rsidRPr="004C1B8B">
              <w:rPr>
                <w:rFonts w:ascii="Arial" w:hAnsi="Arial"/>
              </w:rPr>
              <w:lastRenderedPageBreak/>
              <w:t>Alcohol Moderation</w:t>
            </w:r>
          </w:p>
        </w:tc>
        <w:tc>
          <w:tcPr>
            <w:tcW w:w="0" w:type="auto"/>
            <w:hideMark/>
          </w:tcPr>
          <w:p w14:paraId="315B3E57" w14:textId="77777777" w:rsidR="004C1B8B" w:rsidRPr="004C1B8B" w:rsidRDefault="004C1B8B" w:rsidP="004C1B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C1B8B">
              <w:rPr>
                <w:rFonts w:ascii="Arial" w:hAnsi="Arial"/>
              </w:rPr>
              <w:t>Follow UK guidelines: no more than 14 units per week.</w:t>
            </w:r>
          </w:p>
        </w:tc>
        <w:tc>
          <w:tcPr>
            <w:tcW w:w="0" w:type="auto"/>
            <w:hideMark/>
          </w:tcPr>
          <w:p w14:paraId="147360C1" w14:textId="77777777" w:rsidR="004C1B8B" w:rsidRPr="004C1B8B" w:rsidRDefault="004C1B8B" w:rsidP="004C1B8B">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rPr>
            </w:pPr>
            <w:r w:rsidRPr="004C1B8B">
              <w:rPr>
                <w:rFonts w:ascii="Arial" w:hAnsi="Arial"/>
              </w:rPr>
              <w:t>Prevents blood sugar spikes and reduces risk of weight gain.</w:t>
            </w:r>
          </w:p>
        </w:tc>
      </w:tr>
    </w:tbl>
    <w:p w14:paraId="5C28CEA9" w14:textId="77777777" w:rsidR="004C1B8B" w:rsidRPr="00D8559D" w:rsidRDefault="004C1B8B" w:rsidP="00815879">
      <w:pPr>
        <w:spacing w:line="360" w:lineRule="auto"/>
        <w:jc w:val="both"/>
        <w:rPr>
          <w:rFonts w:ascii="Arial" w:hAnsi="Arial"/>
        </w:rPr>
      </w:pPr>
    </w:p>
    <w:p w14:paraId="027E1E6A" w14:textId="4B49C995" w:rsidR="0003052B" w:rsidRPr="00D8559D" w:rsidRDefault="0003052B" w:rsidP="0003052B">
      <w:pPr>
        <w:pStyle w:val="Heading1"/>
      </w:pPr>
      <w:bookmarkStart w:id="6" w:name="_Toc213362139"/>
      <w:r w:rsidRPr="00D8559D">
        <w:t>7. Conclusion</w:t>
      </w:r>
      <w:bookmarkEnd w:id="6"/>
      <w:r w:rsidRPr="00D8559D">
        <w:t xml:space="preserve"> </w:t>
      </w:r>
    </w:p>
    <w:p w14:paraId="3B616D39" w14:textId="4538EC6A" w:rsidR="00AA038F" w:rsidRPr="00D8559D" w:rsidRDefault="0003052B" w:rsidP="0003052B">
      <w:pPr>
        <w:spacing w:line="360" w:lineRule="auto"/>
        <w:jc w:val="both"/>
        <w:rPr>
          <w:rFonts w:ascii="Arial" w:hAnsi="Arial"/>
        </w:rPr>
      </w:pPr>
      <w:r w:rsidRPr="0003052B">
        <w:rPr>
          <w:rFonts w:ascii="Arial" w:hAnsi="Arial"/>
        </w:rPr>
        <w:t>Understanding Type 2 diabetes is essential for helping patients manage their condition safely and confidently. Knowing how the body regulates blood sugar, how energy is produced, and why insulin resistance develops allows individuals to recognise the importance of their daily choices. Regular blood sugar monitoring helps them identify patterns and stay in control of their health. Evidence shows that lifestyle changes—such as healthy eating, physical activity, weight management, and not smoking—can greatly improve blood sugar levels and reduce complications. With the right knowledge and support, patients can take positive steps to protect their long-term health and wellbeing.</w:t>
      </w:r>
    </w:p>
    <w:p w14:paraId="33D27833" w14:textId="77777777" w:rsidR="00AA038F" w:rsidRPr="00D8559D" w:rsidRDefault="00AA038F">
      <w:pPr>
        <w:rPr>
          <w:rFonts w:ascii="Arial" w:hAnsi="Arial"/>
        </w:rPr>
      </w:pPr>
      <w:r w:rsidRPr="00D8559D">
        <w:rPr>
          <w:rFonts w:ascii="Arial" w:hAnsi="Arial"/>
        </w:rPr>
        <w:br w:type="page"/>
      </w:r>
    </w:p>
    <w:p w14:paraId="16F16192" w14:textId="6B33572E" w:rsidR="0003052B" w:rsidRDefault="00AA038F" w:rsidP="00AA038F">
      <w:pPr>
        <w:pStyle w:val="Heading1"/>
      </w:pPr>
      <w:bookmarkStart w:id="7" w:name="_Toc213362140"/>
      <w:proofErr w:type="spellStart"/>
      <w:r>
        <w:lastRenderedPageBreak/>
        <w:t>Refrences</w:t>
      </w:r>
      <w:bookmarkEnd w:id="7"/>
      <w:proofErr w:type="spellEnd"/>
    </w:p>
    <w:p w14:paraId="2CD5AD75" w14:textId="77777777" w:rsidR="00D35EE6" w:rsidRPr="00D35EE6" w:rsidRDefault="00D35EE6" w:rsidP="00D35EE6"/>
    <w:p w14:paraId="19673EE7" w14:textId="77777777" w:rsidR="00D8559D" w:rsidRPr="00D8559D" w:rsidRDefault="00D8559D" w:rsidP="00D8559D">
      <w:pPr>
        <w:spacing w:line="360" w:lineRule="auto"/>
        <w:jc w:val="both"/>
        <w:rPr>
          <w:rFonts w:ascii="Arial" w:hAnsi="Arial"/>
        </w:rPr>
      </w:pPr>
      <w:r w:rsidRPr="00D8559D">
        <w:rPr>
          <w:rFonts w:ascii="Arial" w:hAnsi="Arial"/>
        </w:rPr>
        <w:t xml:space="preserve">American Diabetes Association (ADA). (2022). </w:t>
      </w:r>
      <w:r w:rsidRPr="00D8559D">
        <w:rPr>
          <w:rFonts w:ascii="Arial" w:hAnsi="Arial"/>
          <w:i/>
          <w:iCs/>
        </w:rPr>
        <w:t>Standards of Medical Care in Diabetes</w:t>
      </w:r>
      <w:r w:rsidRPr="00D8559D">
        <w:rPr>
          <w:rFonts w:ascii="Arial" w:hAnsi="Arial"/>
        </w:rPr>
        <w:t>. Diabetes Care, 45(</w:t>
      </w:r>
      <w:proofErr w:type="spellStart"/>
      <w:r w:rsidRPr="00D8559D">
        <w:rPr>
          <w:rFonts w:ascii="Arial" w:hAnsi="Arial"/>
        </w:rPr>
        <w:t>Suppl</w:t>
      </w:r>
      <w:proofErr w:type="spellEnd"/>
      <w:r w:rsidRPr="00D8559D">
        <w:rPr>
          <w:rFonts w:ascii="Arial" w:hAnsi="Arial"/>
        </w:rPr>
        <w:t xml:space="preserve"> 1). Available at: </w:t>
      </w:r>
      <w:hyperlink r:id="rId8" w:tgtFrame="_new" w:history="1">
        <w:r w:rsidRPr="00D8559D">
          <w:rPr>
            <w:rStyle w:val="Hyperlink"/>
            <w:rFonts w:ascii="Arial" w:hAnsi="Arial"/>
          </w:rPr>
          <w:t>https://doi.org/10.2337/dc22-S013</w:t>
        </w:r>
      </w:hyperlink>
      <w:r w:rsidRPr="00D8559D">
        <w:rPr>
          <w:rFonts w:ascii="Arial" w:hAnsi="Arial"/>
        </w:rPr>
        <w:t xml:space="preserve"> (Accessed: 3 November 2025).</w:t>
      </w:r>
    </w:p>
    <w:p w14:paraId="611E661E" w14:textId="77777777" w:rsidR="00EB54D5" w:rsidRDefault="00EB54D5" w:rsidP="00EB54D5">
      <w:pPr>
        <w:spacing w:line="360" w:lineRule="auto"/>
        <w:jc w:val="both"/>
        <w:rPr>
          <w:rFonts w:ascii="Arial" w:hAnsi="Arial"/>
        </w:rPr>
      </w:pPr>
      <w:r w:rsidRPr="00EB54D5">
        <w:rPr>
          <w:rFonts w:ascii="Arial" w:hAnsi="Arial"/>
        </w:rPr>
        <w:t xml:space="preserve">Beck, RW., </w:t>
      </w:r>
      <w:proofErr w:type="spellStart"/>
      <w:r w:rsidRPr="00EB54D5">
        <w:rPr>
          <w:rFonts w:ascii="Arial" w:hAnsi="Arial"/>
        </w:rPr>
        <w:t>Bergenstal</w:t>
      </w:r>
      <w:proofErr w:type="spellEnd"/>
      <w:r w:rsidRPr="00EB54D5">
        <w:rPr>
          <w:rFonts w:ascii="Arial" w:hAnsi="Arial"/>
        </w:rPr>
        <w:t xml:space="preserve">, RM., Riddlesworth, T., Kollman, C., Li, Z. and Brown, A. (2021) ‘Continuous glucose monitoring for type 2 diabetes: A review’, </w:t>
      </w:r>
      <w:r w:rsidRPr="00EB54D5">
        <w:rPr>
          <w:rFonts w:ascii="Arial" w:hAnsi="Arial"/>
          <w:i/>
          <w:iCs/>
        </w:rPr>
        <w:t>Diabetes Technology &amp; Therapeutics</w:t>
      </w:r>
      <w:r w:rsidRPr="00EB54D5">
        <w:rPr>
          <w:rFonts w:ascii="Arial" w:hAnsi="Arial"/>
        </w:rPr>
        <w:t xml:space="preserve">, 23(7), 450–460. Available at: </w:t>
      </w:r>
      <w:hyperlink r:id="rId9" w:tgtFrame="_new" w:history="1">
        <w:r w:rsidRPr="00EB54D5">
          <w:rPr>
            <w:rStyle w:val="Hyperlink"/>
            <w:rFonts w:ascii="Arial" w:hAnsi="Arial"/>
          </w:rPr>
          <w:t>https://doi.org/10.1089/dia.2021.0374</w:t>
        </w:r>
      </w:hyperlink>
      <w:r w:rsidRPr="00EB54D5">
        <w:rPr>
          <w:rFonts w:ascii="Arial" w:hAnsi="Arial"/>
        </w:rPr>
        <w:t xml:space="preserve"> (Accessed: 6 November 2025).</w:t>
      </w:r>
    </w:p>
    <w:p w14:paraId="1BB7336B" w14:textId="52173483" w:rsidR="00D35EE6" w:rsidRPr="00EB54D5" w:rsidRDefault="00D35EE6" w:rsidP="00D35EE6">
      <w:pPr>
        <w:spacing w:line="360" w:lineRule="auto"/>
        <w:rPr>
          <w:rFonts w:ascii="Arial" w:hAnsi="Arial"/>
        </w:rPr>
      </w:pPr>
      <w:r w:rsidRPr="00D35EE6">
        <w:rPr>
          <w:rFonts w:ascii="Arial" w:hAnsi="Arial"/>
        </w:rPr>
        <w:t xml:space="preserve">Carogonz11 (2023) </w:t>
      </w:r>
      <w:r w:rsidRPr="00D35EE6">
        <w:rPr>
          <w:rFonts w:ascii="Arial" w:hAnsi="Arial"/>
          <w:i/>
          <w:iCs/>
        </w:rPr>
        <w:t>Glucose Homeostasis for Wikipedia</w:t>
      </w:r>
      <w:r w:rsidRPr="00D35EE6">
        <w:rPr>
          <w:rFonts w:ascii="Arial" w:hAnsi="Arial"/>
        </w:rPr>
        <w:t>. Wikimedia Commons. Available</w:t>
      </w:r>
      <w:r>
        <w:rPr>
          <w:rFonts w:ascii="Arial" w:hAnsi="Arial"/>
        </w:rPr>
        <w:t xml:space="preserve"> </w:t>
      </w:r>
      <w:r w:rsidRPr="00D35EE6">
        <w:rPr>
          <w:rFonts w:ascii="Arial" w:hAnsi="Arial"/>
        </w:rPr>
        <w:t>at:</w:t>
      </w:r>
      <w:r>
        <w:rPr>
          <w:rFonts w:ascii="Arial" w:hAnsi="Arial"/>
        </w:rPr>
        <w:t xml:space="preserve"> </w:t>
      </w:r>
      <w:hyperlink r:id="rId10" w:history="1">
        <w:r w:rsidRPr="00D35EE6">
          <w:rPr>
            <w:rStyle w:val="Hyperlink"/>
            <w:rFonts w:ascii="Arial" w:hAnsi="Arial"/>
          </w:rPr>
          <w:t>https://commons.wikimedia.org/wiki/File:Glucose_Homeostasis_for_Wikipedia.jpg</w:t>
        </w:r>
      </w:hyperlink>
      <w:r w:rsidRPr="00D35EE6">
        <w:rPr>
          <w:rFonts w:ascii="Arial" w:hAnsi="Arial"/>
        </w:rPr>
        <w:t xml:space="preserve"> (Accessed: 6 July 2025).</w:t>
      </w:r>
    </w:p>
    <w:p w14:paraId="7066F57F" w14:textId="0C21EAF1" w:rsidR="00D8559D" w:rsidRPr="00D8559D" w:rsidRDefault="00D8559D" w:rsidP="00D8559D">
      <w:pPr>
        <w:spacing w:line="360" w:lineRule="auto"/>
        <w:jc w:val="both"/>
        <w:rPr>
          <w:rFonts w:ascii="Arial" w:hAnsi="Arial"/>
        </w:rPr>
      </w:pPr>
      <w:r w:rsidRPr="00D8559D">
        <w:rPr>
          <w:rFonts w:ascii="Arial" w:hAnsi="Arial"/>
        </w:rPr>
        <w:t xml:space="preserve">Colberg, S. R., et al. (2020). ‘Physical activity for diabetes management’, </w:t>
      </w:r>
      <w:r w:rsidRPr="00D8559D">
        <w:rPr>
          <w:rFonts w:ascii="Arial" w:hAnsi="Arial"/>
          <w:i/>
          <w:iCs/>
        </w:rPr>
        <w:t>Diabetes Care</w:t>
      </w:r>
      <w:r w:rsidRPr="00D8559D">
        <w:rPr>
          <w:rFonts w:ascii="Arial" w:hAnsi="Arial"/>
        </w:rPr>
        <w:t xml:space="preserve">. Available at: </w:t>
      </w:r>
      <w:hyperlink r:id="rId11" w:tgtFrame="_new" w:history="1">
        <w:r w:rsidRPr="00D8559D">
          <w:rPr>
            <w:rStyle w:val="Hyperlink"/>
            <w:rFonts w:ascii="Arial" w:hAnsi="Arial"/>
          </w:rPr>
          <w:t>https://doi.org/1</w:t>
        </w:r>
        <w:r w:rsidRPr="00D8559D">
          <w:rPr>
            <w:rStyle w:val="Hyperlink"/>
            <w:rFonts w:ascii="Arial" w:hAnsi="Arial"/>
          </w:rPr>
          <w:t>0</w:t>
        </w:r>
        <w:r w:rsidRPr="00D8559D">
          <w:rPr>
            <w:rStyle w:val="Hyperlink"/>
            <w:rFonts w:ascii="Arial" w:hAnsi="Arial"/>
          </w:rPr>
          <w:t>.2337/dci20-0024</w:t>
        </w:r>
      </w:hyperlink>
      <w:r w:rsidRPr="00D8559D">
        <w:rPr>
          <w:rFonts w:ascii="Arial" w:hAnsi="Arial"/>
        </w:rPr>
        <w:t xml:space="preserve"> (Accessed: 1 November 2025).</w:t>
      </w:r>
    </w:p>
    <w:p w14:paraId="38E4F64F" w14:textId="77777777" w:rsidR="00D8559D" w:rsidRDefault="00D8559D" w:rsidP="00D8559D">
      <w:pPr>
        <w:spacing w:line="360" w:lineRule="auto"/>
        <w:jc w:val="both"/>
        <w:rPr>
          <w:rFonts w:ascii="Arial" w:hAnsi="Arial"/>
        </w:rPr>
      </w:pPr>
      <w:r w:rsidRPr="00D8559D">
        <w:rPr>
          <w:rFonts w:ascii="Arial" w:hAnsi="Arial"/>
        </w:rPr>
        <w:t xml:space="preserve">Cooper, G. M. and Hausman, R. E. (2022). </w:t>
      </w:r>
      <w:r w:rsidRPr="00D8559D">
        <w:rPr>
          <w:rFonts w:ascii="Arial" w:hAnsi="Arial"/>
          <w:i/>
          <w:iCs/>
        </w:rPr>
        <w:t>The Cell: A Molecular Approach</w:t>
      </w:r>
      <w:r w:rsidRPr="00D8559D">
        <w:rPr>
          <w:rFonts w:ascii="Arial" w:hAnsi="Arial"/>
        </w:rPr>
        <w:t xml:space="preserve">. 9th </w:t>
      </w:r>
      <w:proofErr w:type="spellStart"/>
      <w:r w:rsidRPr="00D8559D">
        <w:rPr>
          <w:rFonts w:ascii="Arial" w:hAnsi="Arial"/>
        </w:rPr>
        <w:t>edn</w:t>
      </w:r>
      <w:proofErr w:type="spellEnd"/>
      <w:r w:rsidRPr="00D8559D">
        <w:rPr>
          <w:rFonts w:ascii="Arial" w:hAnsi="Arial"/>
        </w:rPr>
        <w:t>. Oxford: Oxford University Press. (Accessed: 4 November 2025).</w:t>
      </w:r>
    </w:p>
    <w:p w14:paraId="6179FAFB" w14:textId="70991D57" w:rsidR="00EB54D5" w:rsidRPr="00D8559D" w:rsidRDefault="00EB54D5" w:rsidP="00EB54D5">
      <w:pPr>
        <w:spacing w:line="360" w:lineRule="auto"/>
        <w:rPr>
          <w:rFonts w:ascii="Arial" w:hAnsi="Arial"/>
        </w:rPr>
      </w:pPr>
      <w:r w:rsidRPr="00EB54D5">
        <w:rPr>
          <w:rFonts w:ascii="Arial" w:hAnsi="Arial"/>
        </w:rPr>
        <w:t xml:space="preserve">DeFronzo, R.A., </w:t>
      </w:r>
      <w:proofErr w:type="spellStart"/>
      <w:r w:rsidRPr="00EB54D5">
        <w:rPr>
          <w:rFonts w:ascii="Arial" w:hAnsi="Arial"/>
        </w:rPr>
        <w:t>Ferrannini</w:t>
      </w:r>
      <w:proofErr w:type="spellEnd"/>
      <w:r w:rsidRPr="00EB54D5">
        <w:rPr>
          <w:rFonts w:ascii="Arial" w:hAnsi="Arial"/>
        </w:rPr>
        <w:t>, E., Groop, L., Henry, R.R., Herman, W.H., Holst, J.J. and Weiss, R. (2015)</w:t>
      </w:r>
      <w:r w:rsidRPr="00EB54D5">
        <w:rPr>
          <w:rFonts w:ascii="Arial" w:hAnsi="Arial"/>
        </w:rPr>
        <w:t xml:space="preserve"> </w:t>
      </w:r>
      <w:r w:rsidRPr="00EB54D5">
        <w:rPr>
          <w:rFonts w:ascii="Arial" w:hAnsi="Arial"/>
        </w:rPr>
        <w:t>‘Type 2 diabetes mellitus’,</w:t>
      </w:r>
      <w:r w:rsidRPr="00EB54D5">
        <w:rPr>
          <w:rFonts w:ascii="Arial" w:hAnsi="Arial"/>
        </w:rPr>
        <w:t xml:space="preserve"> </w:t>
      </w:r>
      <w:r w:rsidRPr="00EB54D5">
        <w:rPr>
          <w:rFonts w:ascii="Arial" w:hAnsi="Arial"/>
          <w:i/>
          <w:iCs/>
        </w:rPr>
        <w:t>Nature Reviews Disease Primers</w:t>
      </w:r>
      <w:r w:rsidRPr="00EB54D5">
        <w:rPr>
          <w:rFonts w:ascii="Arial" w:hAnsi="Arial"/>
        </w:rPr>
        <w:t>, 1, 15019.</w:t>
      </w:r>
      <w:r w:rsidRPr="00EB54D5">
        <w:rPr>
          <w:rFonts w:ascii="Arial" w:hAnsi="Arial"/>
        </w:rPr>
        <w:t xml:space="preserve"> </w:t>
      </w:r>
      <w:r w:rsidRPr="00EB54D5">
        <w:rPr>
          <w:rFonts w:ascii="Arial" w:hAnsi="Arial"/>
        </w:rPr>
        <w:t xml:space="preserve">Available at: </w:t>
      </w:r>
      <w:hyperlink r:id="rId12" w:history="1">
        <w:r w:rsidRPr="00EB54D5">
          <w:rPr>
            <w:rStyle w:val="Hyperlink"/>
            <w:rFonts w:ascii="Arial" w:hAnsi="Arial"/>
          </w:rPr>
          <w:t>https://doi.org/10.1038/nrdp.2015.19</w:t>
        </w:r>
      </w:hyperlink>
      <w:r w:rsidRPr="00EB54D5">
        <w:rPr>
          <w:rFonts w:ascii="Arial" w:hAnsi="Arial"/>
        </w:rPr>
        <w:t xml:space="preserve"> </w:t>
      </w:r>
      <w:r w:rsidRPr="00EB54D5">
        <w:rPr>
          <w:rFonts w:ascii="Arial" w:hAnsi="Arial"/>
        </w:rPr>
        <w:t>(Accessed: 7 November 2025).</w:t>
      </w:r>
    </w:p>
    <w:p w14:paraId="48997E5E" w14:textId="77777777" w:rsidR="00963AB1" w:rsidRDefault="00963AB1" w:rsidP="00D8559D">
      <w:pPr>
        <w:spacing w:line="360" w:lineRule="auto"/>
        <w:jc w:val="both"/>
        <w:rPr>
          <w:rFonts w:ascii="Arial" w:hAnsi="Arial"/>
        </w:rPr>
      </w:pPr>
      <w:r w:rsidRPr="00963AB1">
        <w:rPr>
          <w:rFonts w:ascii="Arial" w:hAnsi="Arial"/>
        </w:rPr>
        <w:t xml:space="preserve">Gitelman, S.E., Bundy, B.N., </w:t>
      </w:r>
      <w:proofErr w:type="spellStart"/>
      <w:r w:rsidRPr="00963AB1">
        <w:rPr>
          <w:rFonts w:ascii="Arial" w:hAnsi="Arial"/>
        </w:rPr>
        <w:t>Ferrannini</w:t>
      </w:r>
      <w:proofErr w:type="spellEnd"/>
      <w:r w:rsidRPr="00963AB1">
        <w:rPr>
          <w:rFonts w:ascii="Arial" w:hAnsi="Arial"/>
        </w:rPr>
        <w:t>, E., Lim, N., Blanchfield, J.L., DiMeglio, L.A., Felner, E.I., Gaglia, J.L., Gottlieb, P.A., Long, S.A. and Mari, A., 2021. Imatinib therapy for patients with recent-onset type 1 diabetes: a multicentre, randomised, double-blind, placebo-controlled, phase 2 trial. </w:t>
      </w:r>
      <w:r w:rsidRPr="00963AB1">
        <w:rPr>
          <w:rFonts w:ascii="Arial" w:hAnsi="Arial"/>
          <w:i/>
          <w:iCs/>
        </w:rPr>
        <w:t>The Lancet Diabetes &amp; Endocrinology</w:t>
      </w:r>
      <w:r w:rsidRPr="00963AB1">
        <w:rPr>
          <w:rFonts w:ascii="Arial" w:hAnsi="Arial"/>
        </w:rPr>
        <w:t>, </w:t>
      </w:r>
      <w:r w:rsidRPr="00963AB1">
        <w:rPr>
          <w:rFonts w:ascii="Arial" w:hAnsi="Arial"/>
          <w:i/>
          <w:iCs/>
        </w:rPr>
        <w:t>9</w:t>
      </w:r>
      <w:r w:rsidRPr="00963AB1">
        <w:rPr>
          <w:rFonts w:ascii="Arial" w:hAnsi="Arial"/>
        </w:rPr>
        <w:t>(8), pp.502-514.</w:t>
      </w:r>
    </w:p>
    <w:p w14:paraId="513638B0" w14:textId="1C6778FF" w:rsidR="00D8559D" w:rsidRPr="00D8559D" w:rsidRDefault="00D8559D" w:rsidP="00D8559D">
      <w:pPr>
        <w:spacing w:line="360" w:lineRule="auto"/>
        <w:jc w:val="both"/>
        <w:rPr>
          <w:rFonts w:ascii="Arial" w:hAnsi="Arial"/>
        </w:rPr>
      </w:pPr>
      <w:r w:rsidRPr="00D8559D">
        <w:rPr>
          <w:rFonts w:ascii="Arial" w:hAnsi="Arial"/>
        </w:rPr>
        <w:t xml:space="preserve">Fang, N., Jiang, M. and Fan, Y. (2020). ‘Association between smoking and cardiovascular risk in diabetes’, </w:t>
      </w:r>
      <w:r w:rsidRPr="00D8559D">
        <w:rPr>
          <w:rFonts w:ascii="Arial" w:hAnsi="Arial"/>
          <w:i/>
          <w:iCs/>
        </w:rPr>
        <w:t>Journal of the American Heart Association</w:t>
      </w:r>
      <w:r w:rsidRPr="00D8559D">
        <w:rPr>
          <w:rFonts w:ascii="Arial" w:hAnsi="Arial"/>
        </w:rPr>
        <w:t xml:space="preserve">, 9(15), p. e014908. Available at: </w:t>
      </w:r>
      <w:hyperlink r:id="rId13" w:tgtFrame="_new" w:history="1">
        <w:r w:rsidRPr="00D8559D">
          <w:rPr>
            <w:rStyle w:val="Hyperlink"/>
            <w:rFonts w:ascii="Arial" w:hAnsi="Arial"/>
          </w:rPr>
          <w:t>https://doi.org/10.1161/JAHA</w:t>
        </w:r>
        <w:r w:rsidRPr="00D8559D">
          <w:rPr>
            <w:rStyle w:val="Hyperlink"/>
            <w:rFonts w:ascii="Arial" w:hAnsi="Arial"/>
          </w:rPr>
          <w:t>.</w:t>
        </w:r>
        <w:r w:rsidRPr="00D8559D">
          <w:rPr>
            <w:rStyle w:val="Hyperlink"/>
            <w:rFonts w:ascii="Arial" w:hAnsi="Arial"/>
          </w:rPr>
          <w:t>119.014908</w:t>
        </w:r>
      </w:hyperlink>
      <w:r w:rsidRPr="00D8559D">
        <w:rPr>
          <w:rFonts w:ascii="Arial" w:hAnsi="Arial"/>
        </w:rPr>
        <w:t xml:space="preserve"> (Accessed: 2 November 2025).</w:t>
      </w:r>
    </w:p>
    <w:p w14:paraId="28299034" w14:textId="77777777" w:rsidR="00D8559D" w:rsidRPr="00D8559D" w:rsidRDefault="00D8559D" w:rsidP="00D8559D">
      <w:pPr>
        <w:spacing w:line="360" w:lineRule="auto"/>
        <w:jc w:val="both"/>
        <w:rPr>
          <w:rFonts w:ascii="Arial" w:hAnsi="Arial"/>
        </w:rPr>
      </w:pPr>
      <w:r w:rsidRPr="00D8559D">
        <w:rPr>
          <w:rFonts w:ascii="Arial" w:hAnsi="Arial"/>
        </w:rPr>
        <w:lastRenderedPageBreak/>
        <w:t xml:space="preserve">Hall, J. (2020). </w:t>
      </w:r>
      <w:r w:rsidRPr="00D8559D">
        <w:rPr>
          <w:rFonts w:ascii="Arial" w:hAnsi="Arial"/>
          <w:i/>
          <w:iCs/>
        </w:rPr>
        <w:t>Guyton and Hall Textbook of Medical Physiology</w:t>
      </w:r>
      <w:r w:rsidRPr="00D8559D">
        <w:rPr>
          <w:rFonts w:ascii="Arial" w:hAnsi="Arial"/>
        </w:rPr>
        <w:t xml:space="preserve">. 14th </w:t>
      </w:r>
      <w:proofErr w:type="spellStart"/>
      <w:r w:rsidRPr="00D8559D">
        <w:rPr>
          <w:rFonts w:ascii="Arial" w:hAnsi="Arial"/>
        </w:rPr>
        <w:t>edn</w:t>
      </w:r>
      <w:proofErr w:type="spellEnd"/>
      <w:r w:rsidRPr="00D8559D">
        <w:rPr>
          <w:rFonts w:ascii="Arial" w:hAnsi="Arial"/>
        </w:rPr>
        <w:t>. Philadelphia: Elsevier. (Accessed: 6 November 2025).</w:t>
      </w:r>
    </w:p>
    <w:p w14:paraId="6E69CCDA" w14:textId="77777777" w:rsidR="00F55123" w:rsidRPr="00D8559D" w:rsidRDefault="00963AB1" w:rsidP="00F55123">
      <w:pPr>
        <w:spacing w:line="360" w:lineRule="auto"/>
        <w:jc w:val="both"/>
        <w:rPr>
          <w:rFonts w:ascii="Arial" w:hAnsi="Arial"/>
        </w:rPr>
      </w:pPr>
      <w:r w:rsidRPr="00963AB1">
        <w:rPr>
          <w:rFonts w:ascii="Arial" w:hAnsi="Arial"/>
        </w:rPr>
        <w:t xml:space="preserve">Santarossa, S., Maggini, M., &amp; Paradies, G. (2023) ‘The crucial role and mechanism of insulin resistance in metabolic disease’, </w:t>
      </w:r>
      <w:r w:rsidRPr="00963AB1">
        <w:rPr>
          <w:rFonts w:ascii="Arial" w:hAnsi="Arial"/>
          <w:i/>
          <w:iCs/>
        </w:rPr>
        <w:t>Frontiers in Endocrinology</w:t>
      </w:r>
      <w:r w:rsidRPr="00963AB1">
        <w:rPr>
          <w:rFonts w:ascii="Arial" w:hAnsi="Arial"/>
        </w:rPr>
        <w:t xml:space="preserve">, 14, Article 1149239. </w:t>
      </w:r>
      <w:hyperlink r:id="rId14" w:tgtFrame="_new" w:history="1">
        <w:r w:rsidRPr="00963AB1">
          <w:rPr>
            <w:rStyle w:val="Hyperlink"/>
            <w:rFonts w:ascii="Arial" w:hAnsi="Arial"/>
          </w:rPr>
          <w:t>https://doi.org/10.3389/fendo.2023.1149239</w:t>
        </w:r>
      </w:hyperlink>
      <w:r w:rsidR="00F55123">
        <w:rPr>
          <w:rFonts w:ascii="Arial" w:hAnsi="Arial"/>
        </w:rPr>
        <w:t xml:space="preserve"> </w:t>
      </w:r>
      <w:r w:rsidR="00F55123" w:rsidRPr="00D8559D">
        <w:rPr>
          <w:rFonts w:ascii="Arial" w:hAnsi="Arial"/>
        </w:rPr>
        <w:t>(Accessed: 6 November 2025).</w:t>
      </w:r>
    </w:p>
    <w:p w14:paraId="4695E18E" w14:textId="4E8D5086" w:rsidR="00F55123" w:rsidRPr="00D8559D" w:rsidRDefault="00963AB1" w:rsidP="00F55123">
      <w:pPr>
        <w:spacing w:line="360" w:lineRule="auto"/>
        <w:jc w:val="both"/>
        <w:rPr>
          <w:rFonts w:ascii="Arial" w:hAnsi="Arial"/>
        </w:rPr>
      </w:pPr>
      <w:r w:rsidRPr="00963AB1">
        <w:rPr>
          <w:rFonts w:ascii="Arial" w:hAnsi="Arial"/>
        </w:rPr>
        <w:t xml:space="preserve">The Diabetes and Nutrition Study Group (DNSG) of the European Association for the Study of Diabetes (EASD) (2023) ‘Evidence-based European recommendations for the dietary management of diabetes’, </w:t>
      </w:r>
      <w:proofErr w:type="spellStart"/>
      <w:r w:rsidRPr="00963AB1">
        <w:rPr>
          <w:rFonts w:ascii="Arial" w:hAnsi="Arial"/>
          <w:i/>
          <w:iCs/>
        </w:rPr>
        <w:t>Diabetologia</w:t>
      </w:r>
      <w:proofErr w:type="spellEnd"/>
      <w:r w:rsidRPr="00963AB1">
        <w:rPr>
          <w:rFonts w:ascii="Arial" w:hAnsi="Arial"/>
        </w:rPr>
        <w:t xml:space="preserve">, 66(6), pp. 965–985. </w:t>
      </w:r>
      <w:hyperlink r:id="rId15" w:tgtFrame="_new" w:history="1">
        <w:r w:rsidRPr="00963AB1">
          <w:rPr>
            <w:rStyle w:val="Hyperlink"/>
            <w:rFonts w:ascii="Arial" w:hAnsi="Arial"/>
          </w:rPr>
          <w:t>https://doi.org/10.1007/s00125-023-05894-8</w:t>
        </w:r>
      </w:hyperlink>
      <w:r w:rsidR="00D8559D" w:rsidRPr="00D8559D">
        <w:rPr>
          <w:rFonts w:ascii="Arial" w:hAnsi="Arial"/>
        </w:rPr>
        <w:t xml:space="preserve"> </w:t>
      </w:r>
      <w:r w:rsidR="00F55123" w:rsidRPr="00D8559D">
        <w:rPr>
          <w:rFonts w:ascii="Arial" w:hAnsi="Arial"/>
        </w:rPr>
        <w:t xml:space="preserve">(Accessed: </w:t>
      </w:r>
      <w:r w:rsidR="00F55123">
        <w:rPr>
          <w:rFonts w:ascii="Arial" w:hAnsi="Arial"/>
        </w:rPr>
        <w:t>5</w:t>
      </w:r>
      <w:r w:rsidR="00F55123" w:rsidRPr="00D8559D">
        <w:rPr>
          <w:rFonts w:ascii="Arial" w:hAnsi="Arial"/>
        </w:rPr>
        <w:t xml:space="preserve"> November 2025).</w:t>
      </w:r>
    </w:p>
    <w:p w14:paraId="4EA2F83A" w14:textId="21FC962E" w:rsidR="00D8559D" w:rsidRPr="00D8559D" w:rsidRDefault="00D8559D" w:rsidP="00D8559D">
      <w:pPr>
        <w:spacing w:line="360" w:lineRule="auto"/>
        <w:jc w:val="both"/>
        <w:rPr>
          <w:rFonts w:ascii="Arial" w:hAnsi="Arial"/>
        </w:rPr>
      </w:pPr>
      <w:r w:rsidRPr="00D8559D">
        <w:rPr>
          <w:rFonts w:ascii="Arial" w:hAnsi="Arial"/>
        </w:rPr>
        <w:t xml:space="preserve">McArdle, W. D., Katch, F. I. and Katch, V. L. (2021). </w:t>
      </w:r>
      <w:r w:rsidRPr="00D8559D">
        <w:rPr>
          <w:rFonts w:ascii="Arial" w:hAnsi="Arial"/>
          <w:i/>
          <w:iCs/>
        </w:rPr>
        <w:t>Exercise Physiology: Nutrition, Energy, and Human Performance</w:t>
      </w:r>
      <w:r w:rsidRPr="00D8559D">
        <w:rPr>
          <w:rFonts w:ascii="Arial" w:hAnsi="Arial"/>
        </w:rPr>
        <w:t xml:space="preserve">. 9th </w:t>
      </w:r>
      <w:proofErr w:type="spellStart"/>
      <w:r w:rsidRPr="00D8559D">
        <w:rPr>
          <w:rFonts w:ascii="Arial" w:hAnsi="Arial"/>
        </w:rPr>
        <w:t>edn</w:t>
      </w:r>
      <w:proofErr w:type="spellEnd"/>
      <w:r w:rsidRPr="00D8559D">
        <w:rPr>
          <w:rFonts w:ascii="Arial" w:hAnsi="Arial"/>
        </w:rPr>
        <w:t xml:space="preserve">. Philadelphia: Wolters Kluwer. </w:t>
      </w:r>
    </w:p>
    <w:p w14:paraId="5D19B86A" w14:textId="721A3428" w:rsidR="00D8559D" w:rsidRPr="00D8559D" w:rsidRDefault="00D8559D" w:rsidP="00D8559D">
      <w:pPr>
        <w:spacing w:line="360" w:lineRule="auto"/>
        <w:jc w:val="both"/>
        <w:rPr>
          <w:rFonts w:ascii="Arial" w:hAnsi="Arial"/>
        </w:rPr>
      </w:pPr>
      <w:r w:rsidRPr="00D8559D">
        <w:rPr>
          <w:rFonts w:ascii="Arial" w:hAnsi="Arial"/>
        </w:rPr>
        <w:t xml:space="preserve">McCance, K. L. and Huether, S. E. (2022). </w:t>
      </w:r>
      <w:r w:rsidRPr="00D8559D">
        <w:rPr>
          <w:rFonts w:ascii="Arial" w:hAnsi="Arial"/>
          <w:i/>
          <w:iCs/>
        </w:rPr>
        <w:t>Pathophysiology: The Biologic Basis for Disease in Adults and Children</w:t>
      </w:r>
      <w:r w:rsidRPr="00D8559D">
        <w:rPr>
          <w:rFonts w:ascii="Arial" w:hAnsi="Arial"/>
        </w:rPr>
        <w:t xml:space="preserve">. 9th </w:t>
      </w:r>
      <w:proofErr w:type="spellStart"/>
      <w:r w:rsidRPr="00D8559D">
        <w:rPr>
          <w:rFonts w:ascii="Arial" w:hAnsi="Arial"/>
        </w:rPr>
        <w:t>edn</w:t>
      </w:r>
      <w:proofErr w:type="spellEnd"/>
      <w:r w:rsidRPr="00D8559D">
        <w:rPr>
          <w:rFonts w:ascii="Arial" w:hAnsi="Arial"/>
        </w:rPr>
        <w:t xml:space="preserve">. St. Louis: Elsevier. </w:t>
      </w:r>
    </w:p>
    <w:p w14:paraId="3EC49133" w14:textId="77777777" w:rsidR="00D8559D" w:rsidRPr="00D8559D" w:rsidRDefault="00D8559D" w:rsidP="00D8559D">
      <w:pPr>
        <w:spacing w:line="360" w:lineRule="auto"/>
        <w:jc w:val="both"/>
        <w:rPr>
          <w:rFonts w:ascii="Arial" w:hAnsi="Arial"/>
        </w:rPr>
      </w:pPr>
      <w:r w:rsidRPr="00D8559D">
        <w:rPr>
          <w:rFonts w:ascii="Arial" w:hAnsi="Arial"/>
        </w:rPr>
        <w:t xml:space="preserve">NHS (2023). </w:t>
      </w:r>
      <w:r w:rsidRPr="00D8559D">
        <w:rPr>
          <w:rFonts w:ascii="Arial" w:hAnsi="Arial"/>
          <w:i/>
          <w:iCs/>
        </w:rPr>
        <w:t>Type 2 diabetes</w:t>
      </w:r>
      <w:r w:rsidRPr="00D8559D">
        <w:rPr>
          <w:rFonts w:ascii="Arial" w:hAnsi="Arial"/>
        </w:rPr>
        <w:t xml:space="preserve">. Available at: </w:t>
      </w:r>
      <w:hyperlink r:id="rId16" w:tgtFrame="_new" w:history="1">
        <w:r w:rsidRPr="00D8559D">
          <w:rPr>
            <w:rStyle w:val="Hyperlink"/>
            <w:rFonts w:ascii="Arial" w:hAnsi="Arial"/>
          </w:rPr>
          <w:t>https://www.nhs.uk/conditions/type-2-diabetes/</w:t>
        </w:r>
      </w:hyperlink>
      <w:r w:rsidRPr="00D8559D">
        <w:rPr>
          <w:rFonts w:ascii="Arial" w:hAnsi="Arial"/>
        </w:rPr>
        <w:t xml:space="preserve"> (Accessed: 7 November 2025).</w:t>
      </w:r>
    </w:p>
    <w:p w14:paraId="16033170" w14:textId="77777777" w:rsidR="00D8559D" w:rsidRPr="00D8559D" w:rsidRDefault="00D8559D" w:rsidP="00D8559D">
      <w:pPr>
        <w:spacing w:line="360" w:lineRule="auto"/>
        <w:jc w:val="both"/>
        <w:rPr>
          <w:rFonts w:ascii="Arial" w:hAnsi="Arial"/>
        </w:rPr>
      </w:pPr>
      <w:r w:rsidRPr="00D8559D">
        <w:rPr>
          <w:rFonts w:ascii="Arial" w:hAnsi="Arial"/>
        </w:rPr>
        <w:t xml:space="preserve">NICE (2022). </w:t>
      </w:r>
      <w:r w:rsidRPr="00D8559D">
        <w:rPr>
          <w:rFonts w:ascii="Arial" w:hAnsi="Arial"/>
          <w:i/>
          <w:iCs/>
        </w:rPr>
        <w:t>Type 2 diabetes in adults: Overview</w:t>
      </w:r>
      <w:r w:rsidRPr="00D8559D">
        <w:rPr>
          <w:rFonts w:ascii="Arial" w:hAnsi="Arial"/>
        </w:rPr>
        <w:t xml:space="preserve">. Available at: </w:t>
      </w:r>
      <w:hyperlink r:id="rId17" w:tgtFrame="_new" w:history="1">
        <w:r w:rsidRPr="00D8559D">
          <w:rPr>
            <w:rStyle w:val="Hyperlink"/>
            <w:rFonts w:ascii="Arial" w:hAnsi="Arial"/>
          </w:rPr>
          <w:t>https://www.nice.org.uk/guidance/ng28</w:t>
        </w:r>
      </w:hyperlink>
      <w:r w:rsidRPr="00D8559D">
        <w:rPr>
          <w:rFonts w:ascii="Arial" w:hAnsi="Arial"/>
        </w:rPr>
        <w:t xml:space="preserve"> (Accessed: 3 November 2025).</w:t>
      </w:r>
    </w:p>
    <w:p w14:paraId="138C5C59" w14:textId="36059620" w:rsidR="00D8559D" w:rsidRPr="00D8559D" w:rsidRDefault="00963AB1" w:rsidP="00D8559D">
      <w:pPr>
        <w:spacing w:line="360" w:lineRule="auto"/>
        <w:jc w:val="both"/>
        <w:rPr>
          <w:rFonts w:ascii="Arial" w:hAnsi="Arial"/>
        </w:rPr>
      </w:pPr>
      <w:r w:rsidRPr="00963AB1">
        <w:rPr>
          <w:rFonts w:ascii="Arial" w:hAnsi="Arial"/>
        </w:rPr>
        <w:t xml:space="preserve">Ojha, A., Ojha, U., Mohammed, R., Chandrashekar, A. and Ojha, H. (2019). ‘Current perspective on the role of insulin and glucagon in the pathogenesis and treatment of type 2 diabetes mellitus’, </w:t>
      </w:r>
      <w:r w:rsidRPr="00963AB1">
        <w:rPr>
          <w:rFonts w:ascii="Arial" w:hAnsi="Arial"/>
          <w:i/>
          <w:iCs/>
        </w:rPr>
        <w:t>Clinical Pharmacology: Advances and Applications</w:t>
      </w:r>
      <w:r w:rsidRPr="00963AB1">
        <w:rPr>
          <w:rFonts w:ascii="Arial" w:hAnsi="Arial"/>
        </w:rPr>
        <w:t xml:space="preserve">, 11, pp. 57–65. </w:t>
      </w:r>
      <w:hyperlink r:id="rId18" w:tgtFrame="_new" w:history="1">
        <w:r w:rsidRPr="00963AB1">
          <w:rPr>
            <w:rStyle w:val="Hyperlink"/>
            <w:rFonts w:ascii="Arial" w:hAnsi="Arial"/>
          </w:rPr>
          <w:t>https://doi.org/10.2147/CPAA.S202614</w:t>
        </w:r>
      </w:hyperlink>
    </w:p>
    <w:p w14:paraId="15970026" w14:textId="77777777" w:rsidR="00AA038F" w:rsidRPr="00EB54D5" w:rsidRDefault="00AA038F" w:rsidP="00D8559D">
      <w:pPr>
        <w:spacing w:line="360" w:lineRule="auto"/>
        <w:jc w:val="both"/>
        <w:rPr>
          <w:rFonts w:ascii="Arial" w:hAnsi="Arial"/>
        </w:rPr>
      </w:pPr>
    </w:p>
    <w:sectPr w:rsidR="00AA038F" w:rsidRPr="00EB54D5" w:rsidSect="00CF565F">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54D6F" w14:textId="77777777" w:rsidR="00152314" w:rsidRDefault="00152314" w:rsidP="00815879">
      <w:pPr>
        <w:spacing w:after="0" w:line="240" w:lineRule="auto"/>
      </w:pPr>
      <w:r>
        <w:separator/>
      </w:r>
    </w:p>
  </w:endnote>
  <w:endnote w:type="continuationSeparator" w:id="0">
    <w:p w14:paraId="3FFA2084" w14:textId="77777777" w:rsidR="00152314" w:rsidRDefault="00152314" w:rsidP="008158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0611965"/>
      <w:docPartObj>
        <w:docPartGallery w:val="Page Numbers (Bottom of Page)"/>
        <w:docPartUnique/>
      </w:docPartObj>
    </w:sdtPr>
    <w:sdtEndPr>
      <w:rPr>
        <w:noProof/>
      </w:rPr>
    </w:sdtEndPr>
    <w:sdtContent>
      <w:p w14:paraId="2AD18D0A" w14:textId="142100AE" w:rsidR="00815879" w:rsidRDefault="008158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684BFD" w14:textId="77777777" w:rsidR="00815879" w:rsidRDefault="008158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34DEF" w14:textId="77777777" w:rsidR="00152314" w:rsidRDefault="00152314" w:rsidP="00815879">
      <w:pPr>
        <w:spacing w:after="0" w:line="240" w:lineRule="auto"/>
      </w:pPr>
      <w:r>
        <w:separator/>
      </w:r>
    </w:p>
  </w:footnote>
  <w:footnote w:type="continuationSeparator" w:id="0">
    <w:p w14:paraId="2FCD5605" w14:textId="77777777" w:rsidR="00152314" w:rsidRDefault="00152314" w:rsidP="008158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907"/>
    <w:rsid w:val="0003052B"/>
    <w:rsid w:val="00152314"/>
    <w:rsid w:val="00486F8C"/>
    <w:rsid w:val="004C1B8B"/>
    <w:rsid w:val="00815879"/>
    <w:rsid w:val="00963AB1"/>
    <w:rsid w:val="00984FC4"/>
    <w:rsid w:val="009C4253"/>
    <w:rsid w:val="00AA038F"/>
    <w:rsid w:val="00CF565F"/>
    <w:rsid w:val="00D35EE6"/>
    <w:rsid w:val="00D8559D"/>
    <w:rsid w:val="00E04907"/>
    <w:rsid w:val="00EB54D5"/>
    <w:rsid w:val="00F55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F0ADB"/>
  <w15:chartTrackingRefBased/>
  <w15:docId w15:val="{A992F1DD-6008-4832-85C1-86B846AD27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49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49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49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4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4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4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4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49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49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4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4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4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4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4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4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4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4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4907"/>
    <w:rPr>
      <w:rFonts w:eastAsiaTheme="majorEastAsia" w:cstheme="majorBidi"/>
      <w:color w:val="272727" w:themeColor="text1" w:themeTint="D8"/>
    </w:rPr>
  </w:style>
  <w:style w:type="paragraph" w:styleId="Title">
    <w:name w:val="Title"/>
    <w:basedOn w:val="Normal"/>
    <w:next w:val="Normal"/>
    <w:link w:val="TitleChar"/>
    <w:uiPriority w:val="10"/>
    <w:qFormat/>
    <w:rsid w:val="00E049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4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49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4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4907"/>
    <w:pPr>
      <w:spacing w:before="160"/>
      <w:jc w:val="center"/>
    </w:pPr>
    <w:rPr>
      <w:i/>
      <w:iCs/>
      <w:color w:val="404040" w:themeColor="text1" w:themeTint="BF"/>
    </w:rPr>
  </w:style>
  <w:style w:type="character" w:customStyle="1" w:styleId="QuoteChar">
    <w:name w:val="Quote Char"/>
    <w:basedOn w:val="DefaultParagraphFont"/>
    <w:link w:val="Quote"/>
    <w:uiPriority w:val="29"/>
    <w:rsid w:val="00E04907"/>
    <w:rPr>
      <w:i/>
      <w:iCs/>
      <w:color w:val="404040" w:themeColor="text1" w:themeTint="BF"/>
    </w:rPr>
  </w:style>
  <w:style w:type="paragraph" w:styleId="ListParagraph">
    <w:name w:val="List Paragraph"/>
    <w:basedOn w:val="Normal"/>
    <w:uiPriority w:val="34"/>
    <w:qFormat/>
    <w:rsid w:val="00E04907"/>
    <w:pPr>
      <w:ind w:left="720"/>
      <w:contextualSpacing/>
    </w:pPr>
  </w:style>
  <w:style w:type="character" w:styleId="IntenseEmphasis">
    <w:name w:val="Intense Emphasis"/>
    <w:basedOn w:val="DefaultParagraphFont"/>
    <w:uiPriority w:val="21"/>
    <w:qFormat/>
    <w:rsid w:val="00E04907"/>
    <w:rPr>
      <w:i/>
      <w:iCs/>
      <w:color w:val="0F4761" w:themeColor="accent1" w:themeShade="BF"/>
    </w:rPr>
  </w:style>
  <w:style w:type="paragraph" w:styleId="IntenseQuote">
    <w:name w:val="Intense Quote"/>
    <w:basedOn w:val="Normal"/>
    <w:next w:val="Normal"/>
    <w:link w:val="IntenseQuoteChar"/>
    <w:uiPriority w:val="30"/>
    <w:qFormat/>
    <w:rsid w:val="00E04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4907"/>
    <w:rPr>
      <w:i/>
      <w:iCs/>
      <w:color w:val="0F4761" w:themeColor="accent1" w:themeShade="BF"/>
    </w:rPr>
  </w:style>
  <w:style w:type="character" w:styleId="IntenseReference">
    <w:name w:val="Intense Reference"/>
    <w:basedOn w:val="DefaultParagraphFont"/>
    <w:uiPriority w:val="32"/>
    <w:qFormat/>
    <w:rsid w:val="00E04907"/>
    <w:rPr>
      <w:b/>
      <w:bCs/>
      <w:smallCaps/>
      <w:color w:val="0F4761" w:themeColor="accent1" w:themeShade="BF"/>
      <w:spacing w:val="5"/>
    </w:rPr>
  </w:style>
  <w:style w:type="character" w:styleId="Hyperlink">
    <w:name w:val="Hyperlink"/>
    <w:basedOn w:val="DefaultParagraphFont"/>
    <w:uiPriority w:val="99"/>
    <w:unhideWhenUsed/>
    <w:rsid w:val="00984FC4"/>
    <w:rPr>
      <w:color w:val="467886" w:themeColor="hyperlink"/>
      <w:u w:val="single"/>
    </w:rPr>
  </w:style>
  <w:style w:type="character" w:styleId="UnresolvedMention">
    <w:name w:val="Unresolved Mention"/>
    <w:basedOn w:val="DefaultParagraphFont"/>
    <w:uiPriority w:val="99"/>
    <w:semiHidden/>
    <w:unhideWhenUsed/>
    <w:rsid w:val="00984FC4"/>
    <w:rPr>
      <w:color w:val="605E5C"/>
      <w:shd w:val="clear" w:color="auto" w:fill="E1DFDD"/>
    </w:rPr>
  </w:style>
  <w:style w:type="paragraph" w:styleId="Header">
    <w:name w:val="header"/>
    <w:basedOn w:val="Normal"/>
    <w:link w:val="HeaderChar"/>
    <w:uiPriority w:val="99"/>
    <w:unhideWhenUsed/>
    <w:rsid w:val="00815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5879"/>
  </w:style>
  <w:style w:type="paragraph" w:styleId="Footer">
    <w:name w:val="footer"/>
    <w:basedOn w:val="Normal"/>
    <w:link w:val="FooterChar"/>
    <w:uiPriority w:val="99"/>
    <w:unhideWhenUsed/>
    <w:rsid w:val="00815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5879"/>
  </w:style>
  <w:style w:type="paragraph" w:styleId="TOCHeading">
    <w:name w:val="TOC Heading"/>
    <w:basedOn w:val="Heading1"/>
    <w:next w:val="Normal"/>
    <w:uiPriority w:val="39"/>
    <w:unhideWhenUsed/>
    <w:qFormat/>
    <w:rsid w:val="0003052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3052B"/>
    <w:pPr>
      <w:spacing w:after="100"/>
    </w:pPr>
  </w:style>
  <w:style w:type="paragraph" w:styleId="NoSpacing">
    <w:name w:val="No Spacing"/>
    <w:link w:val="NoSpacingChar"/>
    <w:uiPriority w:val="1"/>
    <w:qFormat/>
    <w:rsid w:val="00CF565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F565F"/>
    <w:rPr>
      <w:rFonts w:eastAsiaTheme="minorEastAsia"/>
      <w:kern w:val="0"/>
      <w:sz w:val="22"/>
      <w:szCs w:val="22"/>
      <w:lang w:val="en-US"/>
      <w14:ligatures w14:val="none"/>
    </w:rPr>
  </w:style>
  <w:style w:type="character" w:styleId="FollowedHyperlink">
    <w:name w:val="FollowedHyperlink"/>
    <w:basedOn w:val="DefaultParagraphFont"/>
    <w:uiPriority w:val="99"/>
    <w:semiHidden/>
    <w:unhideWhenUsed/>
    <w:rsid w:val="00AA038F"/>
    <w:rPr>
      <w:color w:val="96607D" w:themeColor="followedHyperlink"/>
      <w:u w:val="single"/>
    </w:rPr>
  </w:style>
  <w:style w:type="paragraph" w:styleId="NormalWeb">
    <w:name w:val="Normal (Web)"/>
    <w:basedOn w:val="Normal"/>
    <w:uiPriority w:val="99"/>
    <w:semiHidden/>
    <w:unhideWhenUsed/>
    <w:rsid w:val="00963AB1"/>
    <w:rPr>
      <w:rFonts w:ascii="Times New Roman" w:hAnsi="Times New Roman" w:cs="Times New Roman"/>
    </w:rPr>
  </w:style>
  <w:style w:type="table" w:styleId="TableGrid">
    <w:name w:val="Table Grid"/>
    <w:basedOn w:val="TableNormal"/>
    <w:uiPriority w:val="39"/>
    <w:rsid w:val="004C1B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4">
    <w:name w:val="Grid Table 4 Accent 4"/>
    <w:basedOn w:val="TableNormal"/>
    <w:uiPriority w:val="49"/>
    <w:rsid w:val="004C1B8B"/>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Caption">
    <w:name w:val="caption"/>
    <w:basedOn w:val="Normal"/>
    <w:next w:val="Normal"/>
    <w:uiPriority w:val="35"/>
    <w:unhideWhenUsed/>
    <w:qFormat/>
    <w:rsid w:val="004C1B8B"/>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37/dc22-S013" TargetMode="External"/><Relationship Id="rId13" Type="http://schemas.openxmlformats.org/officeDocument/2006/relationships/hyperlink" Target="https://doi.org/10.1161/JAHA.119.014908" TargetMode="External"/><Relationship Id="rId18" Type="http://schemas.openxmlformats.org/officeDocument/2006/relationships/hyperlink" Target="https://doi.org/10.2147/CPAA.S202614?utm_source=chatgpt.co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doi.org/10.1038/nrdp.2015.19" TargetMode="External"/><Relationship Id="rId17" Type="http://schemas.openxmlformats.org/officeDocument/2006/relationships/hyperlink" Target="https://www.nice.org.uk/guidance/ng28" TargetMode="External"/><Relationship Id="rId2" Type="http://schemas.openxmlformats.org/officeDocument/2006/relationships/styles" Target="styles.xml"/><Relationship Id="rId16" Type="http://schemas.openxmlformats.org/officeDocument/2006/relationships/hyperlink" Target="https://www.nhs.uk/conditions/type-2-diabet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337/dci20-0024" TargetMode="External"/><Relationship Id="rId5" Type="http://schemas.openxmlformats.org/officeDocument/2006/relationships/footnotes" Target="footnotes.xml"/><Relationship Id="rId15" Type="http://schemas.openxmlformats.org/officeDocument/2006/relationships/hyperlink" Target="https://doi.org/10.1007/s00125-023-05894-8" TargetMode="External"/><Relationship Id="rId10" Type="http://schemas.openxmlformats.org/officeDocument/2006/relationships/hyperlink" Target="https://commons.wikimedia.org/wiki/File:Glucose_Homeostasis_for_Wikipedia.jpg%2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89/dia.2021.0374" TargetMode="External"/><Relationship Id="rId14" Type="http://schemas.openxmlformats.org/officeDocument/2006/relationships/hyperlink" Target="https://doi.org/10.3389/fendo.2023.11492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2F4244-36B9-4D10-B4AF-8725C40C5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12</Pages>
  <Words>2952</Words>
  <Characters>16831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Iftekhar Rashid</cp:lastModifiedBy>
  <cp:revision>12</cp:revision>
  <dcterms:created xsi:type="dcterms:W3CDTF">2025-11-06T21:44:00Z</dcterms:created>
  <dcterms:modified xsi:type="dcterms:W3CDTF">2025-11-06T23:45:00Z</dcterms:modified>
</cp:coreProperties>
</file>