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9C090E" w:rsidRDefault="009C090E" w:rsidP="009C090E">
      <w:pPr>
        <w:jc w:val="center"/>
        <w:rPr>
          <w:b/>
          <w:sz w:val="32"/>
        </w:rPr>
      </w:pPr>
    </w:p>
    <w:p w:rsidR="009C090E" w:rsidRDefault="009C090E" w:rsidP="009C090E">
      <w:pPr>
        <w:jc w:val="center"/>
        <w:rPr>
          <w:b/>
          <w:sz w:val="32"/>
        </w:rPr>
      </w:pPr>
    </w:p>
    <w:p w:rsidR="009C090E" w:rsidRDefault="009C090E" w:rsidP="009C090E">
      <w:pPr>
        <w:jc w:val="center"/>
        <w:rPr>
          <w:b/>
          <w:sz w:val="32"/>
        </w:rPr>
      </w:pPr>
    </w:p>
    <w:p w:rsidR="009C090E" w:rsidRDefault="009C090E" w:rsidP="009C090E">
      <w:pPr>
        <w:jc w:val="center"/>
        <w:rPr>
          <w:b/>
          <w:sz w:val="32"/>
        </w:rPr>
      </w:pPr>
    </w:p>
    <w:p w:rsidR="009C090E" w:rsidRDefault="009C090E" w:rsidP="009C090E">
      <w:pPr>
        <w:jc w:val="center"/>
        <w:rPr>
          <w:b/>
          <w:sz w:val="32"/>
        </w:rPr>
      </w:pPr>
    </w:p>
    <w:p w:rsidR="009C090E" w:rsidRDefault="009C090E" w:rsidP="009C090E">
      <w:pPr>
        <w:jc w:val="center"/>
        <w:rPr>
          <w:b/>
          <w:sz w:val="32"/>
        </w:rPr>
      </w:pPr>
    </w:p>
    <w:p w:rsidR="009C090E" w:rsidRDefault="009C090E" w:rsidP="009C090E">
      <w:pPr>
        <w:jc w:val="center"/>
        <w:rPr>
          <w:b/>
          <w:sz w:val="32"/>
        </w:rPr>
      </w:pPr>
    </w:p>
    <w:p w:rsidR="0025734A" w:rsidRPr="009C090E" w:rsidRDefault="009C090E" w:rsidP="009C090E">
      <w:pPr>
        <w:jc w:val="center"/>
        <w:rPr>
          <w:b/>
          <w:sz w:val="32"/>
        </w:rPr>
      </w:pPr>
      <w:r w:rsidRPr="009C090E">
        <w:rPr>
          <w:b/>
          <w:sz w:val="32"/>
        </w:rPr>
        <w:t>PROJECT MANAGEMENT</w:t>
      </w:r>
    </w:p>
    <w:p w:rsidR="0025734A" w:rsidRPr="009C090E" w:rsidRDefault="009C090E" w:rsidP="009C090E">
      <w:pPr>
        <w:jc w:val="center"/>
        <w:rPr>
          <w:b/>
          <w:sz w:val="32"/>
        </w:rPr>
      </w:pPr>
      <w:r w:rsidRPr="009C090E">
        <w:rPr>
          <w:b/>
          <w:sz w:val="32"/>
        </w:rPr>
        <w:t>COMPONENT 2: COURSEWORK: ESSAY</w:t>
      </w:r>
    </w:p>
    <w:p w:rsidR="009C090E" w:rsidRDefault="009C090E">
      <w:pPr>
        <w:spacing w:line="276" w:lineRule="auto"/>
        <w:jc w:val="left"/>
      </w:pPr>
      <w:r>
        <w:br w:type="page"/>
      </w:r>
    </w:p>
    <w:sdt>
      <w:sdtPr>
        <w:rPr>
          <w:rFonts w:ascii="Times New Roman" w:eastAsiaTheme="minorHAnsi" w:hAnsi="Times New Roman" w:cstheme="minorBidi"/>
          <w:b w:val="0"/>
          <w:bCs w:val="0"/>
          <w:color w:val="auto"/>
          <w:sz w:val="24"/>
          <w:szCs w:val="22"/>
          <w:lang w:val="en-GB"/>
        </w:rPr>
        <w:id w:val="32866573"/>
        <w:docPartObj>
          <w:docPartGallery w:val="Table of Contents"/>
          <w:docPartUnique/>
        </w:docPartObj>
      </w:sdtPr>
      <w:sdtEndPr/>
      <w:sdtContent>
        <w:p w:rsidR="009C090E" w:rsidRDefault="009C090E" w:rsidP="009C090E">
          <w:pPr>
            <w:pStyle w:val="TOCHeading"/>
            <w:jc w:val="center"/>
          </w:pPr>
          <w:r w:rsidRPr="009C090E">
            <w:rPr>
              <w:rFonts w:ascii="Times New Roman" w:hAnsi="Times New Roman" w:cs="Times New Roman"/>
              <w:color w:val="auto"/>
            </w:rPr>
            <w:t>Table of Contents</w:t>
          </w:r>
        </w:p>
        <w:p w:rsidR="009C090E" w:rsidRDefault="009C090E">
          <w:pPr>
            <w:pStyle w:val="TOC1"/>
            <w:tabs>
              <w:tab w:val="right" w:leader="dot" w:pos="9016"/>
            </w:tabs>
            <w:rPr>
              <w:noProof/>
            </w:rPr>
          </w:pPr>
          <w:r>
            <w:fldChar w:fldCharType="begin"/>
          </w:r>
          <w:r>
            <w:instrText xml:space="preserve"> TOC \o "1-3" \h \z \u </w:instrText>
          </w:r>
          <w:r>
            <w:fldChar w:fldCharType="separate"/>
          </w:r>
          <w:hyperlink w:anchor="_Toc151068375" w:history="1">
            <w:r w:rsidRPr="00C7735B">
              <w:rPr>
                <w:rStyle w:val="Hyperlink"/>
                <w:noProof/>
              </w:rPr>
              <w:t>Introduction</w:t>
            </w:r>
            <w:r>
              <w:rPr>
                <w:noProof/>
                <w:webHidden/>
              </w:rPr>
              <w:tab/>
            </w:r>
            <w:r>
              <w:rPr>
                <w:noProof/>
                <w:webHidden/>
              </w:rPr>
              <w:fldChar w:fldCharType="begin"/>
            </w:r>
            <w:r>
              <w:rPr>
                <w:noProof/>
                <w:webHidden/>
              </w:rPr>
              <w:instrText xml:space="preserve"> PAGEREF _Toc151068375 \h </w:instrText>
            </w:r>
            <w:r>
              <w:rPr>
                <w:noProof/>
                <w:webHidden/>
              </w:rPr>
            </w:r>
            <w:r>
              <w:rPr>
                <w:noProof/>
                <w:webHidden/>
              </w:rPr>
              <w:fldChar w:fldCharType="separate"/>
            </w:r>
            <w:r>
              <w:rPr>
                <w:noProof/>
                <w:webHidden/>
              </w:rPr>
              <w:t>3</w:t>
            </w:r>
            <w:r>
              <w:rPr>
                <w:noProof/>
                <w:webHidden/>
              </w:rPr>
              <w:fldChar w:fldCharType="end"/>
            </w:r>
          </w:hyperlink>
        </w:p>
        <w:p w:rsidR="009C090E" w:rsidRDefault="001B2497">
          <w:pPr>
            <w:pStyle w:val="TOC1"/>
            <w:tabs>
              <w:tab w:val="right" w:leader="dot" w:pos="9016"/>
            </w:tabs>
            <w:rPr>
              <w:noProof/>
            </w:rPr>
          </w:pPr>
          <w:hyperlink w:anchor="_Toc151068376" w:history="1">
            <w:r w:rsidR="009C090E" w:rsidRPr="00C7735B">
              <w:rPr>
                <w:rStyle w:val="Hyperlink"/>
                <w:noProof/>
              </w:rPr>
              <w:t>Critical Discussion</w:t>
            </w:r>
            <w:r w:rsidR="009C090E">
              <w:rPr>
                <w:noProof/>
                <w:webHidden/>
              </w:rPr>
              <w:tab/>
            </w:r>
            <w:r w:rsidR="009C090E">
              <w:rPr>
                <w:noProof/>
                <w:webHidden/>
              </w:rPr>
              <w:fldChar w:fldCharType="begin"/>
            </w:r>
            <w:r w:rsidR="009C090E">
              <w:rPr>
                <w:noProof/>
                <w:webHidden/>
              </w:rPr>
              <w:instrText xml:space="preserve"> PAGEREF _Toc151068376 \h </w:instrText>
            </w:r>
            <w:r w:rsidR="009C090E">
              <w:rPr>
                <w:noProof/>
                <w:webHidden/>
              </w:rPr>
            </w:r>
            <w:r w:rsidR="009C090E">
              <w:rPr>
                <w:noProof/>
                <w:webHidden/>
              </w:rPr>
              <w:fldChar w:fldCharType="separate"/>
            </w:r>
            <w:r w:rsidR="009C090E">
              <w:rPr>
                <w:noProof/>
                <w:webHidden/>
              </w:rPr>
              <w:t>3</w:t>
            </w:r>
            <w:r w:rsidR="009C090E">
              <w:rPr>
                <w:noProof/>
                <w:webHidden/>
              </w:rPr>
              <w:fldChar w:fldCharType="end"/>
            </w:r>
          </w:hyperlink>
        </w:p>
        <w:p w:rsidR="009C090E" w:rsidRDefault="001B2497">
          <w:pPr>
            <w:pStyle w:val="TOC2"/>
            <w:tabs>
              <w:tab w:val="right" w:leader="dot" w:pos="9016"/>
            </w:tabs>
            <w:rPr>
              <w:noProof/>
            </w:rPr>
          </w:pPr>
          <w:hyperlink w:anchor="_Toc151068377" w:history="1">
            <w:r w:rsidR="009C090E" w:rsidRPr="00C7735B">
              <w:rPr>
                <w:rStyle w:val="Hyperlink"/>
                <w:noProof/>
              </w:rPr>
              <w:t>Success or a failure for the future IT sector</w:t>
            </w:r>
            <w:r w:rsidR="009C090E">
              <w:rPr>
                <w:noProof/>
                <w:webHidden/>
              </w:rPr>
              <w:tab/>
            </w:r>
            <w:r w:rsidR="009C090E">
              <w:rPr>
                <w:noProof/>
                <w:webHidden/>
              </w:rPr>
              <w:fldChar w:fldCharType="begin"/>
            </w:r>
            <w:r w:rsidR="009C090E">
              <w:rPr>
                <w:noProof/>
                <w:webHidden/>
              </w:rPr>
              <w:instrText xml:space="preserve"> PAGEREF _Toc151068377 \h </w:instrText>
            </w:r>
            <w:r w:rsidR="009C090E">
              <w:rPr>
                <w:noProof/>
                <w:webHidden/>
              </w:rPr>
            </w:r>
            <w:r w:rsidR="009C090E">
              <w:rPr>
                <w:noProof/>
                <w:webHidden/>
              </w:rPr>
              <w:fldChar w:fldCharType="separate"/>
            </w:r>
            <w:r w:rsidR="009C090E">
              <w:rPr>
                <w:noProof/>
                <w:webHidden/>
              </w:rPr>
              <w:t>4</w:t>
            </w:r>
            <w:r w:rsidR="009C090E">
              <w:rPr>
                <w:noProof/>
                <w:webHidden/>
              </w:rPr>
              <w:fldChar w:fldCharType="end"/>
            </w:r>
          </w:hyperlink>
        </w:p>
        <w:p w:rsidR="009C090E" w:rsidRDefault="001B2497">
          <w:pPr>
            <w:pStyle w:val="TOC2"/>
            <w:tabs>
              <w:tab w:val="right" w:leader="dot" w:pos="9016"/>
            </w:tabs>
            <w:rPr>
              <w:noProof/>
            </w:rPr>
          </w:pPr>
          <w:hyperlink w:anchor="_Toc151068378" w:history="1">
            <w:r w:rsidR="009C090E" w:rsidRPr="00C7735B">
              <w:rPr>
                <w:rStyle w:val="Hyperlink"/>
                <w:noProof/>
              </w:rPr>
              <w:t>Justification for the stance about the project</w:t>
            </w:r>
            <w:r w:rsidR="009C090E">
              <w:rPr>
                <w:noProof/>
                <w:webHidden/>
              </w:rPr>
              <w:tab/>
            </w:r>
            <w:r w:rsidR="009C090E">
              <w:rPr>
                <w:noProof/>
                <w:webHidden/>
              </w:rPr>
              <w:fldChar w:fldCharType="begin"/>
            </w:r>
            <w:r w:rsidR="009C090E">
              <w:rPr>
                <w:noProof/>
                <w:webHidden/>
              </w:rPr>
              <w:instrText xml:space="preserve"> PAGEREF _Toc151068378 \h </w:instrText>
            </w:r>
            <w:r w:rsidR="009C090E">
              <w:rPr>
                <w:noProof/>
                <w:webHidden/>
              </w:rPr>
            </w:r>
            <w:r w:rsidR="009C090E">
              <w:rPr>
                <w:noProof/>
                <w:webHidden/>
              </w:rPr>
              <w:fldChar w:fldCharType="separate"/>
            </w:r>
            <w:r w:rsidR="009C090E">
              <w:rPr>
                <w:noProof/>
                <w:webHidden/>
              </w:rPr>
              <w:t>5</w:t>
            </w:r>
            <w:r w:rsidR="009C090E">
              <w:rPr>
                <w:noProof/>
                <w:webHidden/>
              </w:rPr>
              <w:fldChar w:fldCharType="end"/>
            </w:r>
          </w:hyperlink>
        </w:p>
        <w:p w:rsidR="009C090E" w:rsidRDefault="001B2497">
          <w:pPr>
            <w:pStyle w:val="TOC2"/>
            <w:tabs>
              <w:tab w:val="right" w:leader="dot" w:pos="9016"/>
            </w:tabs>
            <w:rPr>
              <w:noProof/>
            </w:rPr>
          </w:pPr>
          <w:hyperlink w:anchor="_Toc151068379" w:history="1">
            <w:r w:rsidR="009C090E" w:rsidRPr="00C7735B">
              <w:rPr>
                <w:rStyle w:val="Hyperlink"/>
                <w:noProof/>
              </w:rPr>
              <w:t>Learnt from the project</w:t>
            </w:r>
            <w:r w:rsidR="009C090E">
              <w:rPr>
                <w:noProof/>
                <w:webHidden/>
              </w:rPr>
              <w:tab/>
            </w:r>
            <w:r w:rsidR="009C090E">
              <w:rPr>
                <w:noProof/>
                <w:webHidden/>
              </w:rPr>
              <w:fldChar w:fldCharType="begin"/>
            </w:r>
            <w:r w:rsidR="009C090E">
              <w:rPr>
                <w:noProof/>
                <w:webHidden/>
              </w:rPr>
              <w:instrText xml:space="preserve"> PAGEREF _Toc151068379 \h </w:instrText>
            </w:r>
            <w:r w:rsidR="009C090E">
              <w:rPr>
                <w:noProof/>
                <w:webHidden/>
              </w:rPr>
            </w:r>
            <w:r w:rsidR="009C090E">
              <w:rPr>
                <w:noProof/>
                <w:webHidden/>
              </w:rPr>
              <w:fldChar w:fldCharType="separate"/>
            </w:r>
            <w:r w:rsidR="009C090E">
              <w:rPr>
                <w:noProof/>
                <w:webHidden/>
              </w:rPr>
              <w:t>7</w:t>
            </w:r>
            <w:r w:rsidR="009C090E">
              <w:rPr>
                <w:noProof/>
                <w:webHidden/>
              </w:rPr>
              <w:fldChar w:fldCharType="end"/>
            </w:r>
          </w:hyperlink>
        </w:p>
        <w:p w:rsidR="009C090E" w:rsidRDefault="001B2497">
          <w:pPr>
            <w:pStyle w:val="TOC2"/>
            <w:tabs>
              <w:tab w:val="right" w:leader="dot" w:pos="9016"/>
            </w:tabs>
            <w:rPr>
              <w:noProof/>
            </w:rPr>
          </w:pPr>
          <w:hyperlink w:anchor="_Toc151068380" w:history="1">
            <w:r w:rsidR="009C090E" w:rsidRPr="00C7735B">
              <w:rPr>
                <w:rStyle w:val="Hyperlink"/>
                <w:noProof/>
              </w:rPr>
              <w:t>Recommendations for a similar project</w:t>
            </w:r>
            <w:r w:rsidR="009C090E">
              <w:rPr>
                <w:noProof/>
                <w:webHidden/>
              </w:rPr>
              <w:tab/>
            </w:r>
            <w:r w:rsidR="009C090E">
              <w:rPr>
                <w:noProof/>
                <w:webHidden/>
              </w:rPr>
              <w:fldChar w:fldCharType="begin"/>
            </w:r>
            <w:r w:rsidR="009C090E">
              <w:rPr>
                <w:noProof/>
                <w:webHidden/>
              </w:rPr>
              <w:instrText xml:space="preserve"> PAGEREF _Toc151068380 \h </w:instrText>
            </w:r>
            <w:r w:rsidR="009C090E">
              <w:rPr>
                <w:noProof/>
                <w:webHidden/>
              </w:rPr>
            </w:r>
            <w:r w:rsidR="009C090E">
              <w:rPr>
                <w:noProof/>
                <w:webHidden/>
              </w:rPr>
              <w:fldChar w:fldCharType="separate"/>
            </w:r>
            <w:r w:rsidR="009C090E">
              <w:rPr>
                <w:noProof/>
                <w:webHidden/>
              </w:rPr>
              <w:t>8</w:t>
            </w:r>
            <w:r w:rsidR="009C090E">
              <w:rPr>
                <w:noProof/>
                <w:webHidden/>
              </w:rPr>
              <w:fldChar w:fldCharType="end"/>
            </w:r>
          </w:hyperlink>
        </w:p>
        <w:p w:rsidR="009C090E" w:rsidRDefault="001B2497">
          <w:pPr>
            <w:pStyle w:val="TOC1"/>
            <w:tabs>
              <w:tab w:val="right" w:leader="dot" w:pos="9016"/>
            </w:tabs>
            <w:rPr>
              <w:noProof/>
            </w:rPr>
          </w:pPr>
          <w:hyperlink w:anchor="_Toc151068381" w:history="1">
            <w:r w:rsidR="009C090E" w:rsidRPr="00C7735B">
              <w:rPr>
                <w:rStyle w:val="Hyperlink"/>
                <w:noProof/>
              </w:rPr>
              <w:t>Conclusion</w:t>
            </w:r>
            <w:r w:rsidR="009C090E">
              <w:rPr>
                <w:noProof/>
                <w:webHidden/>
              </w:rPr>
              <w:tab/>
            </w:r>
            <w:r w:rsidR="009C090E">
              <w:rPr>
                <w:noProof/>
                <w:webHidden/>
              </w:rPr>
              <w:fldChar w:fldCharType="begin"/>
            </w:r>
            <w:r w:rsidR="009C090E">
              <w:rPr>
                <w:noProof/>
                <w:webHidden/>
              </w:rPr>
              <w:instrText xml:space="preserve"> PAGEREF _Toc151068381 \h </w:instrText>
            </w:r>
            <w:r w:rsidR="009C090E">
              <w:rPr>
                <w:noProof/>
                <w:webHidden/>
              </w:rPr>
            </w:r>
            <w:r w:rsidR="009C090E">
              <w:rPr>
                <w:noProof/>
                <w:webHidden/>
              </w:rPr>
              <w:fldChar w:fldCharType="separate"/>
            </w:r>
            <w:r w:rsidR="009C090E">
              <w:rPr>
                <w:noProof/>
                <w:webHidden/>
              </w:rPr>
              <w:t>10</w:t>
            </w:r>
            <w:r w:rsidR="009C090E">
              <w:rPr>
                <w:noProof/>
                <w:webHidden/>
              </w:rPr>
              <w:fldChar w:fldCharType="end"/>
            </w:r>
          </w:hyperlink>
        </w:p>
        <w:p w:rsidR="009C090E" w:rsidRDefault="001B2497">
          <w:pPr>
            <w:pStyle w:val="TOC1"/>
            <w:tabs>
              <w:tab w:val="right" w:leader="dot" w:pos="9016"/>
            </w:tabs>
            <w:rPr>
              <w:noProof/>
            </w:rPr>
          </w:pPr>
          <w:hyperlink w:anchor="_Toc151068382" w:history="1">
            <w:r w:rsidR="009C090E" w:rsidRPr="00C7735B">
              <w:rPr>
                <w:rStyle w:val="Hyperlink"/>
                <w:noProof/>
              </w:rPr>
              <w:t>Reference List</w:t>
            </w:r>
            <w:r w:rsidR="009C090E">
              <w:rPr>
                <w:noProof/>
                <w:webHidden/>
              </w:rPr>
              <w:tab/>
            </w:r>
            <w:r w:rsidR="009C090E">
              <w:rPr>
                <w:noProof/>
                <w:webHidden/>
              </w:rPr>
              <w:fldChar w:fldCharType="begin"/>
            </w:r>
            <w:r w:rsidR="009C090E">
              <w:rPr>
                <w:noProof/>
                <w:webHidden/>
              </w:rPr>
              <w:instrText xml:space="preserve"> PAGEREF _Toc151068382 \h </w:instrText>
            </w:r>
            <w:r w:rsidR="009C090E">
              <w:rPr>
                <w:noProof/>
                <w:webHidden/>
              </w:rPr>
            </w:r>
            <w:r w:rsidR="009C090E">
              <w:rPr>
                <w:noProof/>
                <w:webHidden/>
              </w:rPr>
              <w:fldChar w:fldCharType="separate"/>
            </w:r>
            <w:r w:rsidR="009C090E">
              <w:rPr>
                <w:noProof/>
                <w:webHidden/>
              </w:rPr>
              <w:t>11</w:t>
            </w:r>
            <w:r w:rsidR="009C090E">
              <w:rPr>
                <w:noProof/>
                <w:webHidden/>
              </w:rPr>
              <w:fldChar w:fldCharType="end"/>
            </w:r>
          </w:hyperlink>
        </w:p>
        <w:p w:rsidR="009C090E" w:rsidRDefault="009C090E">
          <w:r>
            <w:fldChar w:fldCharType="end"/>
          </w:r>
        </w:p>
      </w:sdtContent>
    </w:sdt>
    <w:p w:rsidR="0025734A" w:rsidRDefault="0025734A">
      <w:pPr>
        <w:spacing w:line="276" w:lineRule="auto"/>
        <w:jc w:val="left"/>
      </w:pPr>
    </w:p>
    <w:p w:rsidR="009C090E" w:rsidRDefault="009C090E">
      <w:pPr>
        <w:spacing w:line="276" w:lineRule="auto"/>
        <w:jc w:val="left"/>
        <w:rPr>
          <w:rFonts w:eastAsiaTheme="majorEastAsia" w:cstheme="majorBidi"/>
          <w:b/>
          <w:bCs/>
          <w:sz w:val="28"/>
          <w:szCs w:val="28"/>
        </w:rPr>
      </w:pPr>
      <w:bookmarkStart w:id="0" w:name="_Toc151068375"/>
      <w:r>
        <w:br w:type="page"/>
      </w:r>
    </w:p>
    <w:p w:rsidR="0025734A" w:rsidRDefault="0025734A" w:rsidP="00DB06B4">
      <w:pPr>
        <w:pStyle w:val="Heading1"/>
      </w:pPr>
      <w:r>
        <w:lastRenderedPageBreak/>
        <w:t>Introduction</w:t>
      </w:r>
      <w:bookmarkEnd w:id="0"/>
    </w:p>
    <w:p w:rsidR="0025734A" w:rsidRDefault="00DB06B4" w:rsidP="0025734A">
      <w:r w:rsidRPr="00DB06B4">
        <w:t>The development of Google's forthcoming London headquarters situated near King's Cross is a pioneering initiative that will have a lasting impact on the city's urban landscape. This project encompasses a substantial investment of one billion pounds, including innovative architectural designs, expansive office facilities, and a comprehensive campus capable of accommodating a maximum of 7,000 people. The enterprise integrates statistical analysis comprehensively, including various stages such as initial planning, real-time risk assessment, product quality assurance, and stakeholder satisfaction. The project's designation as a global pioneer exemplifies Google's commitment to enhancing future workplaces and fostering the knowledge-based economy.</w:t>
      </w:r>
    </w:p>
    <w:p w:rsidR="0025734A" w:rsidRDefault="0025734A" w:rsidP="00DB06B4">
      <w:pPr>
        <w:pStyle w:val="Heading1"/>
      </w:pPr>
      <w:bookmarkStart w:id="1" w:name="_Toc151068376"/>
      <w:r>
        <w:t>Critical Discussion</w:t>
      </w:r>
      <w:bookmarkEnd w:id="1"/>
    </w:p>
    <w:p w:rsidR="00DB06B4" w:rsidRDefault="00DB06B4" w:rsidP="00DB06B4">
      <w:r>
        <w:t>The finalisation of Google's King's Cross headquarters serves as an example of corporate ingenuity and the implementation of environmentally conscious urban development strategies. The investment of one billion pounds by the corporation illustrates its commitment towards establishing a distinct market position within the highly competitive commercial landscape of London</w:t>
      </w:r>
      <w:r w:rsidR="009C090E">
        <w:t xml:space="preserve"> (</w:t>
      </w:r>
      <w:r w:rsidR="009C090E" w:rsidRPr="00D43228">
        <w:rPr>
          <w:rFonts w:cs="Times New Roman"/>
          <w:color w:val="222222"/>
          <w:szCs w:val="20"/>
          <w:shd w:val="clear" w:color="auto" w:fill="FFFFFF"/>
        </w:rPr>
        <w:t>Sahoo</w:t>
      </w:r>
      <w:r w:rsidR="009C090E">
        <w:rPr>
          <w:rFonts w:cs="Times New Roman"/>
          <w:color w:val="222222"/>
          <w:szCs w:val="20"/>
          <w:shd w:val="clear" w:color="auto" w:fill="FFFFFF"/>
        </w:rPr>
        <w:t>, 2022</w:t>
      </w:r>
      <w:r w:rsidR="009C090E">
        <w:t>)</w:t>
      </w:r>
      <w:r>
        <w:t>. The project's comprehensive approach, characterised by deep design discussions and proactive risk management, demonstrates a dedication to both architectural excellence and adaptable project management. The use of statistical analysis offers a numerical perspective on the many components and dynamics of a project, hence facilitating more deliberate and informed decision-making processes.</w:t>
      </w:r>
    </w:p>
    <w:p w:rsidR="00DB06B4" w:rsidRDefault="00DB06B4" w:rsidP="00DB06B4">
      <w:r>
        <w:t>There are several challenges that need to be addressed, such as the 20% delay in auxiliary space building and the potential dissatisfaction within the community</w:t>
      </w:r>
      <w:r w:rsidR="009C090E">
        <w:t xml:space="preserve"> (</w:t>
      </w:r>
      <w:r w:rsidR="009C090E" w:rsidRPr="00D43228">
        <w:rPr>
          <w:rFonts w:cs="Times New Roman"/>
          <w:color w:val="222222"/>
          <w:szCs w:val="20"/>
          <w:shd w:val="clear" w:color="auto" w:fill="FFFFFF"/>
        </w:rPr>
        <w:t>Roetzel</w:t>
      </w:r>
      <w:r w:rsidR="009C090E">
        <w:rPr>
          <w:rFonts w:cs="Times New Roman"/>
          <w:color w:val="222222"/>
          <w:szCs w:val="20"/>
          <w:shd w:val="clear" w:color="auto" w:fill="FFFFFF"/>
        </w:rPr>
        <w:t>, 2019</w:t>
      </w:r>
      <w:r w:rsidR="009C090E">
        <w:t>)</w:t>
      </w:r>
      <w:r>
        <w:t>. The aforementioned difficulties need ongoing adaptation and specific solutions. The project's ability to effectively mitigate risks, particularly in the context of intricate design and fluctuating material prices, is a significant determinant of its resilience.</w:t>
      </w:r>
    </w:p>
    <w:p w:rsidR="00DB06B4" w:rsidRDefault="00DB06B4" w:rsidP="00DB06B4">
      <w:r>
        <w:t>The proposal to consolidate the campus with the aim of accommodating 7,000 employees demonstrates a visionary approach that extends beyond physical infrastructure to include a dynamic and collaborative professional atmosphere. As the project progresses, the combination of architectural excellence, stakeholder engagement, and proactive risk management positions this undertaking as a symbol of modern corporate advancement, significantly contributing to the dynamic expansion of King's Cross and Google's global presence.</w:t>
      </w:r>
    </w:p>
    <w:p w:rsidR="0025734A" w:rsidRDefault="00DB06B4" w:rsidP="00DB06B4">
      <w:pPr>
        <w:pStyle w:val="Heading2"/>
      </w:pPr>
      <w:bookmarkStart w:id="2" w:name="_Toc151068377"/>
      <w:r>
        <w:t>S</w:t>
      </w:r>
      <w:r w:rsidRPr="00DB06B4">
        <w:t>uccess or a failure for the future IT sector</w:t>
      </w:r>
      <w:bookmarkEnd w:id="2"/>
    </w:p>
    <w:p w:rsidR="00DB06B4" w:rsidRDefault="00DB06B4" w:rsidP="00DB06B4">
      <w:r>
        <w:t>The building project of the Google King's Cross headquarters is a significant and noteworthy event that has extensive implications for the information technology (IT) sector in the United Kingdom</w:t>
      </w:r>
      <w:r w:rsidR="009C090E">
        <w:t xml:space="preserve"> (</w:t>
      </w:r>
      <w:r w:rsidR="009C090E" w:rsidRPr="00D43228">
        <w:rPr>
          <w:rFonts w:cs="Times New Roman"/>
          <w:color w:val="222222"/>
          <w:szCs w:val="20"/>
          <w:shd w:val="clear" w:color="auto" w:fill="FFFFFF"/>
        </w:rPr>
        <w:t>Kraus</w:t>
      </w:r>
      <w:r w:rsidR="009C090E">
        <w:rPr>
          <w:rFonts w:cs="Times New Roman"/>
          <w:color w:val="222222"/>
          <w:szCs w:val="20"/>
          <w:shd w:val="clear" w:color="auto" w:fill="FFFFFF"/>
        </w:rPr>
        <w:t xml:space="preserve"> et al. 2020</w:t>
      </w:r>
      <w:r w:rsidR="009C090E">
        <w:t>)</w:t>
      </w:r>
      <w:r>
        <w:t>. The outcome of this endeavour will have significant implications for both the national economy and technological advancement, extending beyond the impact on Google alone.</w:t>
      </w:r>
    </w:p>
    <w:p w:rsidR="00DB06B4" w:rsidRDefault="00DB06B4" w:rsidP="00DB06B4">
      <w:r>
        <w:t>The current assessment suggests that the project is progressing in a favourable direction. Google is showcasing its commitment to establishing a robust physical footprint in the central area of London with a substantial investment of one billion pounds. This course of action not only demonstrates confidence in the economic potential of the United Kingdom, but also positions the nation as a significant player in the global information technology industry. Constructing a cutting-edge central facility capable of accommodating a workforce of up to seven thousand individuals effectively addresses the increasing need for information technology professionals</w:t>
      </w:r>
      <w:r w:rsidR="009C090E">
        <w:t xml:space="preserve"> (</w:t>
      </w:r>
      <w:r w:rsidR="009C090E" w:rsidRPr="00D43228">
        <w:rPr>
          <w:rFonts w:cs="Times New Roman"/>
          <w:color w:val="222222"/>
          <w:szCs w:val="20"/>
          <w:shd w:val="clear" w:color="auto" w:fill="FFFFFF"/>
        </w:rPr>
        <w:t>Wilkins</w:t>
      </w:r>
      <w:r w:rsidR="009C090E">
        <w:rPr>
          <w:rFonts w:cs="Times New Roman"/>
          <w:color w:val="222222"/>
          <w:szCs w:val="20"/>
          <w:shd w:val="clear" w:color="auto" w:fill="FFFFFF"/>
        </w:rPr>
        <w:t xml:space="preserve"> et al. 2019</w:t>
      </w:r>
      <w:r w:rsidR="009C090E">
        <w:t>)</w:t>
      </w:r>
      <w:r>
        <w:t>. Consequently, this endeavour contributes to the economic growth by generating employment opportunities.</w:t>
      </w:r>
    </w:p>
    <w:p w:rsidR="00DB06B4" w:rsidRDefault="00DB06B4" w:rsidP="00DB06B4">
      <w:r>
        <w:t>This programme has the capacity to stimulate technical advancement in the United Kingdom due to its emphasis on innovation and incorporation of state-of-the-art characteristics. The establishment of an environment that fosters creativity and productivity is achieved by the deliberate integration of natural components, collaborative efforts, and state-of-the-art technology. This aligns with the primary objective of the IT sector to foster innovation and maintain a prominent position in the global market.</w:t>
      </w:r>
    </w:p>
    <w:p w:rsidR="00DB06B4" w:rsidRDefault="00DB06B4" w:rsidP="00DB06B4">
      <w:r>
        <w:t>The potential positive outcomes of the effort would also enhance the attractiveness of the United Kingdom as a preferred destination for digital enterprises and individuals in the field</w:t>
      </w:r>
      <w:r w:rsidR="009C090E">
        <w:t xml:space="preserve"> (</w:t>
      </w:r>
      <w:r w:rsidR="009C090E" w:rsidRPr="00D43228">
        <w:rPr>
          <w:rFonts w:cs="Times New Roman"/>
          <w:color w:val="222222"/>
          <w:szCs w:val="20"/>
          <w:shd w:val="clear" w:color="auto" w:fill="FFFFFF"/>
        </w:rPr>
        <w:t>Jena</w:t>
      </w:r>
      <w:r w:rsidR="009C090E">
        <w:rPr>
          <w:rFonts w:cs="Times New Roman"/>
          <w:color w:val="222222"/>
          <w:szCs w:val="20"/>
          <w:shd w:val="clear" w:color="auto" w:fill="FFFFFF"/>
        </w:rPr>
        <w:t>, 2020</w:t>
      </w:r>
      <w:r w:rsidR="009C090E">
        <w:t>)</w:t>
      </w:r>
      <w:r>
        <w:t>. The establishment of a Google campus in close proximity to King's Cross has the potential to generate a magnetic effect, drawing in supplementary technology businesses, startups, and highly skilled professionals, therefore cultivating the expansion of the information technology sector. The positive impact that the effort has had on the knowledge-based economy of King's Cross has the potential to serve as a source of inspiration for comparable advancements in other locations, therefore enhancing the dispersion and resilience of the technology sector in the United Kingdom.</w:t>
      </w:r>
    </w:p>
    <w:p w:rsidR="00DB06B4" w:rsidRDefault="00DB06B4" w:rsidP="00DB06B4">
      <w:r>
        <w:t>The project's successful completion will depend on the ability to overcome hurdles and effectively manage risks, while also demonstrating flexibility</w:t>
      </w:r>
      <w:r w:rsidR="009C090E">
        <w:t xml:space="preserve"> (</w:t>
      </w:r>
      <w:r w:rsidR="009C090E" w:rsidRPr="00D43228">
        <w:rPr>
          <w:rFonts w:cs="Times New Roman"/>
          <w:color w:val="222222"/>
          <w:szCs w:val="20"/>
          <w:shd w:val="clear" w:color="auto" w:fill="FFFFFF"/>
        </w:rPr>
        <w:t>Luther</w:t>
      </w:r>
      <w:r w:rsidR="009C090E">
        <w:rPr>
          <w:rFonts w:cs="Times New Roman"/>
          <w:color w:val="222222"/>
          <w:szCs w:val="20"/>
          <w:shd w:val="clear" w:color="auto" w:fill="FFFFFF"/>
        </w:rPr>
        <w:t xml:space="preserve"> et al. 2020</w:t>
      </w:r>
      <w:r w:rsidR="009C090E">
        <w:t>)</w:t>
      </w:r>
      <w:r>
        <w:t>. The presence of notable risks, such as the potential for delays in the development of auxiliary spaces and the subsequent dissatisfaction of the community, highlights the need for competent management. To mitigate the severity of these issues and ensure the project meets the expectations of the community, it is essential to get their opinion and include any requisite modifications into the project's initial design.</w:t>
      </w:r>
    </w:p>
    <w:p w:rsidR="00DB06B4" w:rsidRDefault="00DB06B4" w:rsidP="00DB06B4">
      <w:r>
        <w:t>The Google headquarters project located in King's Cross possesses the capacity to function as a driving force for the future of the information technology sector in the United Kingdom. However, the ultimate achievement of this endeavour hinges upon its adept handling of challenges, adaptability to environmental shifts, and harmonious integration within the neighbouring community</w:t>
      </w:r>
      <w:r w:rsidR="009C090E">
        <w:t xml:space="preserve"> (</w:t>
      </w:r>
      <w:r w:rsidR="009C090E" w:rsidRPr="00D43228">
        <w:rPr>
          <w:rFonts w:cs="Times New Roman"/>
          <w:color w:val="222222"/>
          <w:szCs w:val="20"/>
          <w:shd w:val="clear" w:color="auto" w:fill="FFFFFF"/>
        </w:rPr>
        <w:t>Raut</w:t>
      </w:r>
      <w:r w:rsidR="009C090E">
        <w:rPr>
          <w:rFonts w:cs="Times New Roman"/>
          <w:color w:val="222222"/>
          <w:szCs w:val="20"/>
          <w:shd w:val="clear" w:color="auto" w:fill="FFFFFF"/>
        </w:rPr>
        <w:t xml:space="preserve"> et al. 2019</w:t>
      </w:r>
      <w:r w:rsidR="009C090E">
        <w:t>)</w:t>
      </w:r>
      <w:r>
        <w:t>. If well implemented, this project has the potential to significantly impact the technological capacity and economic vitality of the IT sector in the United Kingdom, as well as the architectural landscape of the city of London.</w:t>
      </w:r>
    </w:p>
    <w:p w:rsidR="00DB06B4" w:rsidRDefault="00DB06B4" w:rsidP="00DB06B4">
      <w:pPr>
        <w:pStyle w:val="Heading2"/>
      </w:pPr>
      <w:bookmarkStart w:id="3" w:name="_Toc151068378"/>
      <w:r>
        <w:t>J</w:t>
      </w:r>
      <w:r w:rsidRPr="00DB06B4">
        <w:t xml:space="preserve">ustification for </w:t>
      </w:r>
      <w:r>
        <w:t>the</w:t>
      </w:r>
      <w:r w:rsidRPr="00DB06B4">
        <w:t xml:space="preserve"> stance</w:t>
      </w:r>
      <w:r>
        <w:t xml:space="preserve"> about the project</w:t>
      </w:r>
      <w:bookmarkEnd w:id="3"/>
    </w:p>
    <w:p w:rsidR="00DB06B4" w:rsidRDefault="00DB06B4" w:rsidP="00DB06B4">
      <w:r>
        <w:t>The King's Cross project undertaken by Google is a noteworthy endeavour that has the capacity to have a substantial impact on the future trajectory of the information technology sector in the United Kingdom</w:t>
      </w:r>
      <w:r w:rsidR="009C090E">
        <w:t xml:space="preserve"> (</w:t>
      </w:r>
      <w:r w:rsidR="009C090E" w:rsidRPr="00D43228">
        <w:rPr>
          <w:rFonts w:cs="Times New Roman"/>
          <w:color w:val="222222"/>
          <w:szCs w:val="20"/>
          <w:shd w:val="clear" w:color="auto" w:fill="FFFFFF"/>
        </w:rPr>
        <w:t>Taliento</w:t>
      </w:r>
      <w:r w:rsidR="009C090E">
        <w:rPr>
          <w:rFonts w:cs="Times New Roman"/>
          <w:color w:val="222222"/>
          <w:szCs w:val="20"/>
          <w:shd w:val="clear" w:color="auto" w:fill="FFFFFF"/>
        </w:rPr>
        <w:t xml:space="preserve"> </w:t>
      </w:r>
      <w:r w:rsidR="009C090E" w:rsidRPr="00D43228">
        <w:rPr>
          <w:rFonts w:cs="Times New Roman"/>
          <w:color w:val="222222"/>
          <w:szCs w:val="20"/>
          <w:shd w:val="clear" w:color="auto" w:fill="FFFFFF"/>
        </w:rPr>
        <w:t>and Netti, 2020</w:t>
      </w:r>
      <w:r w:rsidR="009C090E">
        <w:t>)</w:t>
      </w:r>
      <w:r>
        <w:t>. A comprehensive examination of the project's most essential elements reveals promising indications of advancement towards the objective, but with significant limitations that will need adept leadership to surmount.</w:t>
      </w:r>
    </w:p>
    <w:p w:rsidR="00DB06B4" w:rsidRDefault="00DB06B4" w:rsidP="00DB06B4">
      <w:r>
        <w:t>The substantial investment of one billion pounds by Google signifies the company's strong commitment to establishing a presence in the central area of London. The investment in question has implications for the broader regional economy that extend beyond the confines of the firm. The initiative has the potential to provide employment opportunities both within its own operations and via the local supply chain, so making a significant contribution to economic growth and vitality</w:t>
      </w:r>
      <w:r w:rsidR="009C090E">
        <w:t xml:space="preserve"> (</w:t>
      </w:r>
      <w:r w:rsidR="009C090E" w:rsidRPr="00D43228">
        <w:rPr>
          <w:rFonts w:cs="Times New Roman"/>
          <w:color w:val="222222"/>
          <w:szCs w:val="20"/>
          <w:shd w:val="clear" w:color="auto" w:fill="FFFFFF"/>
        </w:rPr>
        <w:t>Fatehi</w:t>
      </w:r>
      <w:r w:rsidR="009C090E">
        <w:rPr>
          <w:rFonts w:cs="Times New Roman"/>
          <w:color w:val="222222"/>
          <w:szCs w:val="20"/>
          <w:shd w:val="clear" w:color="auto" w:fill="FFFFFF"/>
        </w:rPr>
        <w:t xml:space="preserve"> </w:t>
      </w:r>
      <w:r w:rsidR="009C090E" w:rsidRPr="00D43228">
        <w:rPr>
          <w:rFonts w:cs="Times New Roman"/>
          <w:color w:val="222222"/>
          <w:szCs w:val="20"/>
          <w:shd w:val="clear" w:color="auto" w:fill="FFFFFF"/>
        </w:rPr>
        <w:t>and Choi, 2019</w:t>
      </w:r>
      <w:r w:rsidR="009C090E">
        <w:t>)</w:t>
      </w:r>
      <w:r>
        <w:t>. This aligns with broader economic development goals, enhancing the attractiveness of the United Kingdom as a destination for high-tech corporate investments.</w:t>
      </w:r>
    </w:p>
    <w:p w:rsidR="00DB06B4" w:rsidRDefault="00DB06B4" w:rsidP="00DB06B4">
      <w:r>
        <w:t>The project's innovative architectural design and advanced features exemplify the team's commitment to establishing a stimulating work environment that fosters both creativity and diligence. The design demonstrates a forward-thinking approach by integrating natural features, fostering team collaboration via the use of shared workstations, and providing cutting-edge facilities. The project has the capacity to expedite the advancement of state-of-the-art technology inside the United Kingdom by fostering an environment that fosters innovative approaches to problem-solving</w:t>
      </w:r>
      <w:r w:rsidR="009C090E">
        <w:t xml:space="preserve"> (</w:t>
      </w:r>
      <w:r w:rsidR="009C090E">
        <w:rPr>
          <w:rFonts w:cs="Times New Roman"/>
          <w:color w:val="222222"/>
          <w:szCs w:val="20"/>
          <w:shd w:val="clear" w:color="auto" w:fill="FFFFFF"/>
        </w:rPr>
        <w:t xml:space="preserve">Slim </w:t>
      </w:r>
      <w:r w:rsidR="009C090E" w:rsidRPr="00D43228">
        <w:rPr>
          <w:rFonts w:cs="Times New Roman"/>
          <w:color w:val="222222"/>
          <w:szCs w:val="20"/>
          <w:shd w:val="clear" w:color="auto" w:fill="FFFFFF"/>
        </w:rPr>
        <w:t>and Hafedh, 2019</w:t>
      </w:r>
      <w:r w:rsidR="009C090E">
        <w:t>)</w:t>
      </w:r>
      <w:r>
        <w:t>. Consequently, this phenomenon enhances the competitive edge of the country within the international information technology sector, fostering a climate conducive to continuous innovation.</w:t>
      </w:r>
    </w:p>
    <w:p w:rsidR="008E71DF" w:rsidRDefault="00DB06B4" w:rsidP="008E71DF">
      <w:r>
        <w:t>With a capacity to accommodate a workforce of up to 7,000 individuals, this undertaking is poised to have a substantial influence on the labour market of the information technology sector. The establishment of a Google campus near King's Cross would have significant implications, attracting not just Google itself but also other technology companies, emerging ventures, and highly skilled personnel</w:t>
      </w:r>
      <w:r w:rsidR="009C090E">
        <w:t xml:space="preserve"> (</w:t>
      </w:r>
      <w:r w:rsidR="009C090E" w:rsidRPr="00D43228">
        <w:rPr>
          <w:rFonts w:cs="Times New Roman"/>
          <w:color w:val="222222"/>
          <w:szCs w:val="20"/>
          <w:shd w:val="clear" w:color="auto" w:fill="FFFFFF"/>
        </w:rPr>
        <w:t>Sharma</w:t>
      </w:r>
      <w:r w:rsidR="009C090E">
        <w:rPr>
          <w:rFonts w:cs="Times New Roman"/>
          <w:color w:val="222222"/>
          <w:szCs w:val="20"/>
          <w:shd w:val="clear" w:color="auto" w:fill="FFFFFF"/>
        </w:rPr>
        <w:t xml:space="preserve"> et al. 2020</w:t>
      </w:r>
      <w:r w:rsidR="009C090E">
        <w:t>)</w:t>
      </w:r>
      <w:r>
        <w:t xml:space="preserve">. The presence of a highly qualified workforce in this particular domain fosters a dynamic environment that encourages collaboration, knowledge sharing, and positions the United Kingdom as a prominent hub for technological progress. </w:t>
      </w:r>
      <w:r w:rsidR="008E71DF">
        <w:t>Long-term success of the project depends on its ability to attract and keep talented people working on it.</w:t>
      </w:r>
    </w:p>
    <w:p w:rsidR="008E71DF" w:rsidRDefault="008E71DF" w:rsidP="008E71DF">
      <w:r>
        <w:t xml:space="preserve">There are both economic and technical hurdles to overcome before the project can reach its full potential. The potential for local community displeasure and the risk of delays in the construction of extra space are both major causes for concern. The project's success is </w:t>
      </w:r>
      <w:r w:rsidR="009C090E">
        <w:t>dependent</w:t>
      </w:r>
      <w:r>
        <w:t xml:space="preserve"> upon its capacity to successfully involve the community, answer their concerns, and smoothly fit into their current way of life without creating interruption</w:t>
      </w:r>
      <w:r w:rsidR="009C090E">
        <w:t xml:space="preserve"> (</w:t>
      </w:r>
      <w:r w:rsidR="009C090E" w:rsidRPr="00D43228">
        <w:rPr>
          <w:rFonts w:cs="Times New Roman"/>
          <w:color w:val="222222"/>
          <w:szCs w:val="20"/>
          <w:shd w:val="clear" w:color="auto" w:fill="FFFFFF"/>
        </w:rPr>
        <w:t>Falahuddin</w:t>
      </w:r>
      <w:r w:rsidR="009C090E">
        <w:rPr>
          <w:rFonts w:cs="Times New Roman"/>
          <w:color w:val="222222"/>
          <w:szCs w:val="20"/>
          <w:shd w:val="clear" w:color="auto" w:fill="FFFFFF"/>
        </w:rPr>
        <w:t xml:space="preserve"> et al. 2022</w:t>
      </w:r>
      <w:r w:rsidR="009C090E">
        <w:t>)</w:t>
      </w:r>
      <w:r>
        <w:t>. It is crucial to execute proactive community engagement programmes and make required revisions to the project design in order to mitigate these risks and align the project with the expectations and requirements of the local community.</w:t>
      </w:r>
    </w:p>
    <w:p w:rsidR="008E71DF" w:rsidRDefault="008E71DF" w:rsidP="008E71DF">
      <w:r>
        <w:t>Moving Google's headquarters to King's Cross is more than just a building project; it has the potential to alter how the world sees the United Kingdom's role in the field of technology. The potential success of this business has the power to boost London's standing as a leading technological centre, gaining worldwide attention and considerable financial support. Given Google's reach, this initiative sets a high bar for responsible business practises.</w:t>
      </w:r>
    </w:p>
    <w:p w:rsidR="008E71DF" w:rsidRDefault="008E71DF" w:rsidP="008E71DF"/>
    <w:p w:rsidR="00DB06B4" w:rsidRDefault="008E71DF" w:rsidP="008E71DF">
      <w:r>
        <w:t>In conclusion, the Google King's Cross initiative has the potential to significantly alter the British IT industry</w:t>
      </w:r>
      <w:r w:rsidR="009C090E">
        <w:t xml:space="preserve"> (</w:t>
      </w:r>
      <w:r w:rsidR="009C090E" w:rsidRPr="00D43228">
        <w:rPr>
          <w:rFonts w:cs="Times New Roman"/>
          <w:color w:val="222222"/>
          <w:szCs w:val="20"/>
          <w:shd w:val="clear" w:color="auto" w:fill="FFFFFF"/>
        </w:rPr>
        <w:t>Kraus</w:t>
      </w:r>
      <w:r w:rsidR="009C090E">
        <w:rPr>
          <w:rFonts w:cs="Times New Roman"/>
          <w:color w:val="222222"/>
          <w:szCs w:val="20"/>
          <w:shd w:val="clear" w:color="auto" w:fill="FFFFFF"/>
        </w:rPr>
        <w:t xml:space="preserve"> et al. 2023</w:t>
      </w:r>
      <w:r w:rsidR="009C090E">
        <w:t>)</w:t>
      </w:r>
      <w:r>
        <w:t xml:space="preserve">. Overcoming obstacles, especially in the areas of community participation and the timely fulfilment of project milestones, may require the deployment of a well-designed and adaptive plan. </w:t>
      </w:r>
      <w:r w:rsidR="00DB06B4">
        <w:t>Upon its completion, the project will have a transformative effect on the city of London, permanently altering its landscape. Furthermore, it is anticipated that the project will significantly influence the IT sector in the United Kingdom, particularly in terms of its technical capabilities, economic significance, and global perception.</w:t>
      </w:r>
    </w:p>
    <w:p w:rsidR="00DB06B4" w:rsidRDefault="00E83F22" w:rsidP="00E83F22">
      <w:pPr>
        <w:pStyle w:val="Heading2"/>
      </w:pPr>
      <w:bookmarkStart w:id="4" w:name="_Toc151068379"/>
      <w:r>
        <w:t>L</w:t>
      </w:r>
      <w:r w:rsidRPr="00E83F22">
        <w:t>earnt from the project</w:t>
      </w:r>
      <w:bookmarkEnd w:id="4"/>
    </w:p>
    <w:p w:rsidR="00E83F22" w:rsidRDefault="00E83F22" w:rsidP="00E83F22">
      <w:r>
        <w:t>By using the Gibbs Reflective Model, a comprehensive examination was conducted to scrutinise the actions undertaken and knowledge acquired throughout the engagement in the Google HQ project located at King's Cross.</w:t>
      </w:r>
    </w:p>
    <w:p w:rsidR="00E83F22" w:rsidRDefault="00E83F22" w:rsidP="00E83F22">
      <w:r>
        <w:t>I had the privilege of being there from the inception of the project, actively participating in the design and planning phases, and gaining direct insight into the complexities involved in the construction of Google's first skyscraper situated outside the borders of the United States, which the company possessed in its whole</w:t>
      </w:r>
      <w:r w:rsidR="009C090E">
        <w:t xml:space="preserve"> (</w:t>
      </w:r>
      <w:r w:rsidR="009C090E" w:rsidRPr="00D43228">
        <w:rPr>
          <w:rFonts w:cs="Times New Roman"/>
          <w:color w:val="222222"/>
          <w:szCs w:val="20"/>
          <w:shd w:val="clear" w:color="auto" w:fill="FFFFFF"/>
        </w:rPr>
        <w:t>Polat</w:t>
      </w:r>
      <w:r w:rsidR="009C090E">
        <w:rPr>
          <w:rFonts w:cs="Times New Roman"/>
          <w:color w:val="222222"/>
          <w:szCs w:val="20"/>
          <w:shd w:val="clear" w:color="auto" w:fill="FFFFFF"/>
        </w:rPr>
        <w:t>, 2021</w:t>
      </w:r>
      <w:r w:rsidR="009C090E">
        <w:t>)</w:t>
      </w:r>
      <w:r>
        <w:t>. Engaging in the decision-making processes increased my comprehension of the inherent trade-offs between artistic objectives and pragmatic requirements.</w:t>
      </w:r>
    </w:p>
    <w:p w:rsidR="00E83F22" w:rsidRDefault="00E83F22" w:rsidP="00E83F22">
      <w:r>
        <w:t>Notwithstanding the initial surge of excitement and sense of obligation, it was quickly apparent that the intricacy of the design posed several impediments. Maintaining vigilance towards potential obstacles was crucial when faced with the challenge of reconciling innovative design with well-established brand principles under demanding circumstances.</w:t>
      </w:r>
    </w:p>
    <w:p w:rsidR="00E83F22" w:rsidRDefault="00E83F22" w:rsidP="00E83F22">
      <w:r>
        <w:t>The success of the project, predicated upon meticulous planning and iterative design, underscored the significance of seeing barriers as opportunities for learning</w:t>
      </w:r>
      <w:r w:rsidR="009C090E">
        <w:t xml:space="preserve"> (</w:t>
      </w:r>
      <w:r w:rsidR="009C090E" w:rsidRPr="00D43228">
        <w:rPr>
          <w:rFonts w:cs="Times New Roman"/>
          <w:color w:val="222222"/>
          <w:szCs w:val="20"/>
          <w:shd w:val="clear" w:color="auto" w:fill="FFFFFF"/>
        </w:rPr>
        <w:t>Canco</w:t>
      </w:r>
      <w:r w:rsidR="009C090E">
        <w:rPr>
          <w:rFonts w:cs="Times New Roman"/>
          <w:color w:val="222222"/>
          <w:szCs w:val="20"/>
          <w:shd w:val="clear" w:color="auto" w:fill="FFFFFF"/>
        </w:rPr>
        <w:t xml:space="preserve"> et al. 2021</w:t>
      </w:r>
      <w:r w:rsidR="009C090E">
        <w:t>)</w:t>
      </w:r>
      <w:r>
        <w:t>. The review process emphasised the need of maintaining a proactive mindset while addressing design complexity and achieving a harmonious equilibrium between these two aspects.</w:t>
      </w:r>
    </w:p>
    <w:p w:rsidR="00E83F22" w:rsidRDefault="00E83F22" w:rsidP="00E83F22">
      <w:r>
        <w:t>My first experience in overseeing a substantial project occurred upon transitioning to the construction phase. The construction sector has identified the need of ongoing supervision via the use of timeline and job analysis. Due to the anticipated rise of 15 percent in expenses resulting from fluctuations in raw material prices, a comprehensive examination of market dynamics and meticulous financial contingency planning were deemed necessary.</w:t>
      </w:r>
    </w:p>
    <w:p w:rsidR="00E83F22" w:rsidRDefault="00E83F22" w:rsidP="00E83F22">
      <w:r>
        <w:t>During the course of the project, I saw a 20% delay in the development of auxiliary space, which had a notable impact on the overall project timelines</w:t>
      </w:r>
      <w:r w:rsidR="009C090E">
        <w:t xml:space="preserve"> (</w:t>
      </w:r>
      <w:r w:rsidR="009C090E" w:rsidRPr="00D43228">
        <w:rPr>
          <w:rFonts w:cs="Times New Roman"/>
          <w:color w:val="222222"/>
          <w:szCs w:val="20"/>
          <w:shd w:val="clear" w:color="auto" w:fill="FFFFFF"/>
        </w:rPr>
        <w:t>Wackowski</w:t>
      </w:r>
      <w:r w:rsidR="009C090E">
        <w:rPr>
          <w:rFonts w:cs="Times New Roman"/>
          <w:color w:val="222222"/>
          <w:szCs w:val="20"/>
          <w:shd w:val="clear" w:color="auto" w:fill="FFFFFF"/>
        </w:rPr>
        <w:t xml:space="preserve"> et al. 2022</w:t>
      </w:r>
      <w:r w:rsidR="009C090E">
        <w:t>)</w:t>
      </w:r>
      <w:r>
        <w:t>. The results of the study suggest that the combination of comprehensive planning and adaptable strategies is essential in mitigating project risk and maintaining project progress.</w:t>
      </w:r>
    </w:p>
    <w:p w:rsidR="00E83F22" w:rsidRDefault="00E83F22" w:rsidP="00E83F22">
      <w:r>
        <w:t>The acquisition of knowledge about the need of transparent and sincere communication, as well as prompt responsiveness, has been gained in relation to the initiation of community engagement initiatives in anticipation of potential community dissatisfaction. The implementation of an action plan included not only the resolution of pressing issues but also the integration of community feedback into the advancement of the project.</w:t>
      </w:r>
    </w:p>
    <w:p w:rsidR="00E83F22" w:rsidRDefault="00E83F22" w:rsidP="00E83F22">
      <w:r>
        <w:t>The comprehensive analysis of the project revealed the inherent dynamism of risk management</w:t>
      </w:r>
      <w:r w:rsidR="009C090E">
        <w:t xml:space="preserve"> (</w:t>
      </w:r>
      <w:r w:rsidR="009C090E" w:rsidRPr="00D43228">
        <w:rPr>
          <w:rFonts w:cs="Times New Roman"/>
          <w:color w:val="222222"/>
          <w:szCs w:val="20"/>
          <w:shd w:val="clear" w:color="auto" w:fill="FFFFFF"/>
        </w:rPr>
        <w:t>Purnomo</w:t>
      </w:r>
      <w:r w:rsidR="009C090E">
        <w:rPr>
          <w:rFonts w:cs="Times New Roman"/>
          <w:color w:val="222222"/>
          <w:szCs w:val="20"/>
          <w:shd w:val="clear" w:color="auto" w:fill="FFFFFF"/>
        </w:rPr>
        <w:t xml:space="preserve"> et al. 2021</w:t>
      </w:r>
      <w:r w:rsidR="009C090E">
        <w:t>)</w:t>
      </w:r>
      <w:r>
        <w:t>. The significance of the 12% probability of weather-related disruptions underscores the need of implementing adaptable scheduling and robust contingency plans, while emphasising the inherent unpredictability associated with construction projects.</w:t>
      </w:r>
    </w:p>
    <w:p w:rsidR="00E83F22" w:rsidRDefault="00E83F22" w:rsidP="0025734A">
      <w:r>
        <w:t>The Gibbs Reflective Model is a comprehensive framework that may be used to extract valuable insights from the Google HQ2 project. Every step of the project presented fresh insights and emphasised the need of adaptability, proactive preparation, and involvement of stakeholders in successfully executing a large-scale endeavour, including aspects such as design complexities, challenges in engaging the community, and effective risk management.</w:t>
      </w:r>
    </w:p>
    <w:p w:rsidR="00E83F22" w:rsidRDefault="00E83F22" w:rsidP="00E83F22">
      <w:pPr>
        <w:pStyle w:val="Heading2"/>
      </w:pPr>
      <w:bookmarkStart w:id="5" w:name="_Toc151068380"/>
      <w:r>
        <w:t>R</w:t>
      </w:r>
      <w:r w:rsidRPr="00E83F22">
        <w:t>ecommendations for a similar project</w:t>
      </w:r>
      <w:bookmarkEnd w:id="5"/>
    </w:p>
    <w:p w:rsidR="00E83F22" w:rsidRDefault="00E83F22" w:rsidP="00E83F22">
      <w:r>
        <w:t>It is suggest the implementation of a project, referred to as the "TechHub Innovation Centre," which incorporates crucial strategies to ensure its efficacy, using insights from the Google headquarters initiative in King's Cross.</w:t>
      </w:r>
    </w:p>
    <w:p w:rsidR="00E83F22" w:rsidRDefault="00E83F22" w:rsidP="00E83F22">
      <w:r>
        <w:t>In the first stages, it is important to establish comprehensive design and planning. The prioritisation of comprehensive design considerations should be of utmost importance for the TechHub project, including both aesthetic and operational efficiency aspects</w:t>
      </w:r>
      <w:r w:rsidR="009C090E">
        <w:t xml:space="preserve"> (</w:t>
      </w:r>
      <w:r w:rsidR="009C090E" w:rsidRPr="00D43228">
        <w:rPr>
          <w:rFonts w:cs="Times New Roman"/>
          <w:color w:val="222222"/>
          <w:szCs w:val="20"/>
          <w:shd w:val="clear" w:color="auto" w:fill="FFFFFF"/>
        </w:rPr>
        <w:t>Hilkevics</w:t>
      </w:r>
      <w:r w:rsidR="009C090E">
        <w:rPr>
          <w:rFonts w:cs="Times New Roman"/>
          <w:color w:val="222222"/>
          <w:szCs w:val="20"/>
          <w:shd w:val="clear" w:color="auto" w:fill="FFFFFF"/>
        </w:rPr>
        <w:t xml:space="preserve"> </w:t>
      </w:r>
      <w:r w:rsidR="009C090E" w:rsidRPr="00D43228">
        <w:rPr>
          <w:rFonts w:cs="Times New Roman"/>
          <w:color w:val="222222"/>
          <w:szCs w:val="20"/>
          <w:shd w:val="clear" w:color="auto" w:fill="FFFFFF"/>
        </w:rPr>
        <w:t>and Semakina, 2019</w:t>
      </w:r>
      <w:r w:rsidR="009C090E">
        <w:t>)</w:t>
      </w:r>
      <w:r>
        <w:t>. The lessons derived from Google's programme underscore the need of ongoing design modifications, fostering a collaborative approach that integrates many perspectives to create a truly distinctive environment.</w:t>
      </w:r>
    </w:p>
    <w:p w:rsidR="00E83F22" w:rsidRDefault="00E83F22" w:rsidP="00E83F22">
      <w:r>
        <w:t>In addition, it is recommended that the TechHub project use adaptive planning approaches in order to facilitate the timely detection and resolution of design-related challenges. This proactive method will lead to a smoother transition into the construction phase, hence decreasing the probability of delays and ensuring that the project adheres to its predetermined schedules.</w:t>
      </w:r>
    </w:p>
    <w:p w:rsidR="00E83F22" w:rsidRDefault="00E83F22" w:rsidP="00E83F22">
      <w:r>
        <w:t>Given the inherent instability of construction material prices, it is essential to make enough provisions for any financial uncertainties</w:t>
      </w:r>
      <w:r w:rsidR="009C090E">
        <w:t xml:space="preserve"> (</w:t>
      </w:r>
      <w:r w:rsidR="009C090E" w:rsidRPr="00D43228">
        <w:rPr>
          <w:rFonts w:cs="Times New Roman"/>
          <w:color w:val="222222"/>
          <w:szCs w:val="20"/>
          <w:shd w:val="clear" w:color="auto" w:fill="FFFFFF"/>
        </w:rPr>
        <w:t>Battisti</w:t>
      </w:r>
      <w:r w:rsidR="009C090E">
        <w:rPr>
          <w:rFonts w:cs="Times New Roman"/>
          <w:color w:val="222222"/>
          <w:szCs w:val="20"/>
          <w:shd w:val="clear" w:color="auto" w:fill="FFFFFF"/>
        </w:rPr>
        <w:t xml:space="preserve"> et al. 2020</w:t>
      </w:r>
      <w:r w:rsidR="009C090E">
        <w:t>)</w:t>
      </w:r>
      <w:r>
        <w:t>. It is essential to have a meticulously devised financial strategy for TechHub, including precautionary measures to mitigate unforeseen circumstances. The implementation of such strategic financial foresight will serve as a safeguard for the project's budget, mitigating the potential impact of unforeseen market dynamics.</w:t>
      </w:r>
    </w:p>
    <w:p w:rsidR="008E71DF" w:rsidRDefault="00E83F22" w:rsidP="008E71DF">
      <w:r>
        <w:t xml:space="preserve">The project's duration should be organised in a manner that places community participation initiatives as a top priority. In order to effectively handle community concerns and incorporate their recommendations, it is essential for the TechHub effort to establish dependable channels of communication. </w:t>
      </w:r>
      <w:r w:rsidR="008E71DF">
        <w:t>This method not only promotes peace among team members, but also guarantees the project's smooth incorporation into the neighbourhood as a whole.</w:t>
      </w:r>
    </w:p>
    <w:p w:rsidR="008E71DF" w:rsidRDefault="008E71DF" w:rsidP="008E71DF">
      <w:r>
        <w:t>The success of the launch of the TechHub Innovation Centre depends primarily on rigorous event management and comprehensive scenario study</w:t>
      </w:r>
      <w:r w:rsidR="009C090E">
        <w:t xml:space="preserve"> (</w:t>
      </w:r>
      <w:r w:rsidR="009C090E" w:rsidRPr="00D43228">
        <w:rPr>
          <w:rFonts w:cs="Times New Roman"/>
          <w:color w:val="222222"/>
          <w:szCs w:val="20"/>
          <w:shd w:val="clear" w:color="auto" w:fill="FFFFFF"/>
        </w:rPr>
        <w:t>Sahoo</w:t>
      </w:r>
      <w:r w:rsidR="009C090E">
        <w:rPr>
          <w:rFonts w:cs="Times New Roman"/>
          <w:color w:val="222222"/>
          <w:szCs w:val="20"/>
          <w:shd w:val="clear" w:color="auto" w:fill="FFFFFF"/>
        </w:rPr>
        <w:t>, 2022</w:t>
      </w:r>
      <w:r w:rsidR="009C090E">
        <w:t>)</w:t>
      </w:r>
      <w:r>
        <w:t>. The TechHub initiative might learn from Google's mistakes and successfully anticipate and overcome any logistical hurdles with forethought and planning. This method guarantees a trouble-free launch and gives the project a professional air from the get-go.</w:t>
      </w:r>
    </w:p>
    <w:p w:rsidR="008E71DF" w:rsidRDefault="008E71DF" w:rsidP="008E71DF">
      <w:r>
        <w:t>Last but not least, you should create a thorough plan for handling any risks. To efficiently manage hurdles and preserve flexibility, it is vital for the TechHub project to complete a thorough risk assessment. This includes things like bureaucratic red tape, bad weather, and construction delays. To successfully navigate the project, a proactive and adaptable risk management strategy is required.</w:t>
      </w:r>
    </w:p>
    <w:p w:rsidR="008E71DF" w:rsidRDefault="008E71DF" w:rsidP="0025734A">
      <w:r>
        <w:t>The suggestions for the TechHub Innovation Centre focus on forward thinking, flexibility, fiscal responsibility, participation with the local community, and responsible risk taking</w:t>
      </w:r>
      <w:r w:rsidR="009C090E">
        <w:t xml:space="preserve"> (</w:t>
      </w:r>
      <w:r w:rsidR="009C090E" w:rsidRPr="00D43228">
        <w:rPr>
          <w:rFonts w:cs="Times New Roman"/>
          <w:color w:val="222222"/>
          <w:szCs w:val="20"/>
          <w:shd w:val="clear" w:color="auto" w:fill="FFFFFF"/>
        </w:rPr>
        <w:t>Roetzel</w:t>
      </w:r>
      <w:r w:rsidR="009C090E">
        <w:rPr>
          <w:rFonts w:cs="Times New Roman"/>
          <w:color w:val="222222"/>
          <w:szCs w:val="20"/>
          <w:shd w:val="clear" w:color="auto" w:fill="FFFFFF"/>
        </w:rPr>
        <w:t>, 2019</w:t>
      </w:r>
      <w:r w:rsidR="009C090E">
        <w:t>)</w:t>
      </w:r>
      <w:r>
        <w:t>. The TechHub project may be able to establish itself as a catalyst for change in the technology industry if it adopts these precepts and therefore overcomes the difficulties associated with rapid expansion.</w:t>
      </w:r>
    </w:p>
    <w:p w:rsidR="0025734A" w:rsidRDefault="0025734A" w:rsidP="00E83F22">
      <w:pPr>
        <w:pStyle w:val="Heading1"/>
      </w:pPr>
      <w:bookmarkStart w:id="6" w:name="_Toc151068381"/>
      <w:r>
        <w:t>Conclusion</w:t>
      </w:r>
      <w:bookmarkEnd w:id="6"/>
    </w:p>
    <w:p w:rsidR="00E83F22" w:rsidRDefault="008E71DF" w:rsidP="008E71DF">
      <w:r w:rsidRPr="008E71DF">
        <w:t>The Google King's Cross project, in conclusion, is a model for similar future endeavours since it reveals lessons in design, adaptable strategy, community involvement, and risk reduction. Proactive tactics, financial preparation, and active participation of stakeholders are advocated as top priorities for such initiatives to ensure the success of large-scale endeavours in the ever-changing technological industry.</w:t>
      </w:r>
      <w:r w:rsidR="00E83F22">
        <w:br w:type="page"/>
      </w:r>
    </w:p>
    <w:p w:rsidR="00E83F22" w:rsidRDefault="00E83F22" w:rsidP="00E83F22">
      <w:pPr>
        <w:pStyle w:val="Heading1"/>
      </w:pPr>
      <w:bookmarkStart w:id="7" w:name="_Toc151068382"/>
      <w:r>
        <w:t>Reference List</w:t>
      </w:r>
      <w:bookmarkEnd w:id="7"/>
    </w:p>
    <w:p w:rsidR="009C090E" w:rsidRPr="00D43228" w:rsidRDefault="009C090E" w:rsidP="009C090E">
      <w:pPr>
        <w:rPr>
          <w:rFonts w:cs="Times New Roman"/>
          <w:sz w:val="28"/>
        </w:rPr>
      </w:pPr>
      <w:r w:rsidRPr="00D43228">
        <w:rPr>
          <w:rFonts w:cs="Times New Roman"/>
          <w:color w:val="222222"/>
          <w:szCs w:val="20"/>
          <w:shd w:val="clear" w:color="auto" w:fill="FFFFFF"/>
        </w:rPr>
        <w:t>Battisti, E., Shams, S.R., Sakka, G. and Miglietta, N., 2020. Big data and risk management in business processes: implications for corporate real estate. </w:t>
      </w:r>
      <w:r w:rsidRPr="00D43228">
        <w:rPr>
          <w:rFonts w:cs="Times New Roman"/>
          <w:i/>
          <w:iCs/>
          <w:color w:val="222222"/>
          <w:szCs w:val="20"/>
          <w:shd w:val="clear" w:color="auto" w:fill="FFFFFF"/>
        </w:rPr>
        <w:t>Business Process Management Journal</w:t>
      </w:r>
      <w:r w:rsidRPr="00D43228">
        <w:rPr>
          <w:rFonts w:cs="Times New Roman"/>
          <w:color w:val="222222"/>
          <w:szCs w:val="20"/>
          <w:shd w:val="clear" w:color="auto" w:fill="FFFFFF"/>
        </w:rPr>
        <w:t>, </w:t>
      </w:r>
      <w:r w:rsidRPr="00D43228">
        <w:rPr>
          <w:rFonts w:cs="Times New Roman"/>
          <w:i/>
          <w:iCs/>
          <w:color w:val="222222"/>
          <w:szCs w:val="20"/>
          <w:shd w:val="clear" w:color="auto" w:fill="FFFFFF"/>
        </w:rPr>
        <w:t>26</w:t>
      </w:r>
      <w:r w:rsidRPr="00D43228">
        <w:rPr>
          <w:rFonts w:cs="Times New Roman"/>
          <w:color w:val="222222"/>
          <w:szCs w:val="20"/>
          <w:shd w:val="clear" w:color="auto" w:fill="FFFFFF"/>
        </w:rPr>
        <w:t>(5), pp.1141-1155.</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Canco, I., Kruja, D. and Iancu, T., 2021. AHP, a reliable method for quality decision making: A case study in business. </w:t>
      </w:r>
      <w:r w:rsidRPr="00D43228">
        <w:rPr>
          <w:rFonts w:cs="Times New Roman"/>
          <w:i/>
          <w:iCs/>
          <w:color w:val="222222"/>
          <w:szCs w:val="20"/>
          <w:shd w:val="clear" w:color="auto" w:fill="FFFFFF"/>
        </w:rPr>
        <w:t>Sustainability</w:t>
      </w:r>
      <w:r w:rsidRPr="00D43228">
        <w:rPr>
          <w:rFonts w:cs="Times New Roman"/>
          <w:color w:val="222222"/>
          <w:szCs w:val="20"/>
          <w:shd w:val="clear" w:color="auto" w:fill="FFFFFF"/>
        </w:rPr>
        <w:t>, </w:t>
      </w:r>
      <w:r w:rsidRPr="00D43228">
        <w:rPr>
          <w:rFonts w:cs="Times New Roman"/>
          <w:i/>
          <w:iCs/>
          <w:color w:val="222222"/>
          <w:szCs w:val="20"/>
          <w:shd w:val="clear" w:color="auto" w:fill="FFFFFF"/>
        </w:rPr>
        <w:t>13</w:t>
      </w:r>
      <w:r w:rsidRPr="00D43228">
        <w:rPr>
          <w:rFonts w:cs="Times New Roman"/>
          <w:color w:val="222222"/>
          <w:szCs w:val="20"/>
          <w:shd w:val="clear" w:color="auto" w:fill="FFFFFF"/>
        </w:rPr>
        <w:t>(24), p.13932.</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Falahuddin, F., Fuadi, F., Munandar, M., Juanda, R. and Ilham, R.N., 2022. Increasing Business Supporting Capacity In Msmes Business Group Tempe Bungong Nanggroe Kerupuk In Syamtalira Aron District, Utara Aceh Regency. </w:t>
      </w:r>
      <w:r w:rsidRPr="00D43228">
        <w:rPr>
          <w:rFonts w:cs="Times New Roman"/>
          <w:i/>
          <w:iCs/>
          <w:color w:val="222222"/>
          <w:szCs w:val="20"/>
          <w:shd w:val="clear" w:color="auto" w:fill="FFFFFF"/>
        </w:rPr>
        <w:t>Irpitage Journal</w:t>
      </w:r>
      <w:r w:rsidRPr="00D43228">
        <w:rPr>
          <w:rFonts w:cs="Times New Roman"/>
          <w:color w:val="222222"/>
          <w:szCs w:val="20"/>
          <w:shd w:val="clear" w:color="auto" w:fill="FFFFFF"/>
        </w:rPr>
        <w:t>, </w:t>
      </w:r>
      <w:r w:rsidRPr="00D43228">
        <w:rPr>
          <w:rFonts w:cs="Times New Roman"/>
          <w:i/>
          <w:iCs/>
          <w:color w:val="222222"/>
          <w:szCs w:val="20"/>
          <w:shd w:val="clear" w:color="auto" w:fill="FFFFFF"/>
        </w:rPr>
        <w:t>2</w:t>
      </w:r>
      <w:r w:rsidRPr="00D43228">
        <w:rPr>
          <w:rFonts w:cs="Times New Roman"/>
          <w:color w:val="222222"/>
          <w:szCs w:val="20"/>
          <w:shd w:val="clear" w:color="auto" w:fill="FFFFFF"/>
        </w:rPr>
        <w:t>(2), pp.65-68.</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Fatehi, K. and Choi, J., 2019. </w:t>
      </w:r>
      <w:r w:rsidRPr="00D43228">
        <w:rPr>
          <w:rFonts w:cs="Times New Roman"/>
          <w:i/>
          <w:iCs/>
          <w:color w:val="222222"/>
          <w:szCs w:val="20"/>
          <w:shd w:val="clear" w:color="auto" w:fill="FFFFFF"/>
        </w:rPr>
        <w:t>International business management</w:t>
      </w:r>
      <w:r w:rsidRPr="00D43228">
        <w:rPr>
          <w:rFonts w:cs="Times New Roman"/>
          <w:color w:val="222222"/>
          <w:szCs w:val="20"/>
          <w:shd w:val="clear" w:color="auto" w:fill="FFFFFF"/>
        </w:rPr>
        <w:t>. Springer.</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Hilkevics, S. and Semakina, V., 2019. The classification and comparison of business ratios analysis methods. </w:t>
      </w:r>
      <w:r w:rsidRPr="00D43228">
        <w:rPr>
          <w:rFonts w:cs="Times New Roman"/>
          <w:i/>
          <w:iCs/>
          <w:color w:val="222222"/>
          <w:szCs w:val="20"/>
          <w:shd w:val="clear" w:color="auto" w:fill="FFFFFF"/>
        </w:rPr>
        <w:t>Insights into Regional Development</w:t>
      </w:r>
      <w:r w:rsidRPr="00D43228">
        <w:rPr>
          <w:rFonts w:cs="Times New Roman"/>
          <w:color w:val="222222"/>
          <w:szCs w:val="20"/>
          <w:shd w:val="clear" w:color="auto" w:fill="FFFFFF"/>
        </w:rPr>
        <w:t>, </w:t>
      </w:r>
      <w:r w:rsidRPr="00D43228">
        <w:rPr>
          <w:rFonts w:cs="Times New Roman"/>
          <w:i/>
          <w:iCs/>
          <w:color w:val="222222"/>
          <w:szCs w:val="20"/>
          <w:shd w:val="clear" w:color="auto" w:fill="FFFFFF"/>
        </w:rPr>
        <w:t>1</w:t>
      </w:r>
      <w:r w:rsidRPr="00D43228">
        <w:rPr>
          <w:rFonts w:cs="Times New Roman"/>
          <w:color w:val="222222"/>
          <w:szCs w:val="20"/>
          <w:shd w:val="clear" w:color="auto" w:fill="FFFFFF"/>
        </w:rPr>
        <w:t>(1), pp.47-56.</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Jena, R.K., 2020. Measuring the impact of business management Student's attitude towards entrepreneurship education on entrepreneurial intention: A case study. </w:t>
      </w:r>
      <w:r w:rsidRPr="00D43228">
        <w:rPr>
          <w:rFonts w:cs="Times New Roman"/>
          <w:i/>
          <w:iCs/>
          <w:color w:val="222222"/>
          <w:szCs w:val="20"/>
          <w:shd w:val="clear" w:color="auto" w:fill="FFFFFF"/>
        </w:rPr>
        <w:t>Computers in Human Behavior</w:t>
      </w:r>
      <w:r w:rsidRPr="00D43228">
        <w:rPr>
          <w:rFonts w:cs="Times New Roman"/>
          <w:color w:val="222222"/>
          <w:szCs w:val="20"/>
          <w:shd w:val="clear" w:color="auto" w:fill="FFFFFF"/>
        </w:rPr>
        <w:t>, </w:t>
      </w:r>
      <w:r w:rsidRPr="00D43228">
        <w:rPr>
          <w:rFonts w:cs="Times New Roman"/>
          <w:i/>
          <w:iCs/>
          <w:color w:val="222222"/>
          <w:szCs w:val="20"/>
          <w:shd w:val="clear" w:color="auto" w:fill="FFFFFF"/>
        </w:rPr>
        <w:t>107</w:t>
      </w:r>
      <w:r w:rsidRPr="00D43228">
        <w:rPr>
          <w:rFonts w:cs="Times New Roman"/>
          <w:color w:val="222222"/>
          <w:szCs w:val="20"/>
          <w:shd w:val="clear" w:color="auto" w:fill="FFFFFF"/>
        </w:rPr>
        <w:t>, p.106275.</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Kraus, K., Kraus, N. and Osetskyi, V., 2020. New quality of financial institutions and business management. </w:t>
      </w:r>
      <w:r w:rsidRPr="00D43228">
        <w:rPr>
          <w:rFonts w:cs="Times New Roman"/>
          <w:i/>
          <w:iCs/>
          <w:color w:val="222222"/>
          <w:szCs w:val="20"/>
          <w:shd w:val="clear" w:color="auto" w:fill="FFFFFF"/>
        </w:rPr>
        <w:t>Baltic Journal of Economic Studies</w:t>
      </w:r>
      <w:r w:rsidRPr="00D43228">
        <w:rPr>
          <w:rFonts w:cs="Times New Roman"/>
          <w:color w:val="222222"/>
          <w:szCs w:val="20"/>
          <w:shd w:val="clear" w:color="auto" w:fill="FFFFFF"/>
        </w:rPr>
        <w:t>, </w:t>
      </w:r>
      <w:r w:rsidRPr="00D43228">
        <w:rPr>
          <w:rFonts w:cs="Times New Roman"/>
          <w:i/>
          <w:iCs/>
          <w:color w:val="222222"/>
          <w:szCs w:val="20"/>
          <w:shd w:val="clear" w:color="auto" w:fill="FFFFFF"/>
        </w:rPr>
        <w:t>6</w:t>
      </w:r>
      <w:r w:rsidRPr="00D43228">
        <w:rPr>
          <w:rFonts w:cs="Times New Roman"/>
          <w:color w:val="222222"/>
          <w:szCs w:val="20"/>
          <w:shd w:val="clear" w:color="auto" w:fill="FFFFFF"/>
        </w:rPr>
        <w:t>(1), pp.59-66.</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Kraus, S., Mahto, R.V. and Walsh, S.T., 2023. The importance of literature reviews in small business and entrepreneurship research. </w:t>
      </w:r>
      <w:r w:rsidRPr="00D43228">
        <w:rPr>
          <w:rFonts w:cs="Times New Roman"/>
          <w:i/>
          <w:iCs/>
          <w:color w:val="222222"/>
          <w:szCs w:val="20"/>
          <w:shd w:val="clear" w:color="auto" w:fill="FFFFFF"/>
        </w:rPr>
        <w:t>Journal of small business management</w:t>
      </w:r>
      <w:r w:rsidRPr="00D43228">
        <w:rPr>
          <w:rFonts w:cs="Times New Roman"/>
          <w:color w:val="222222"/>
          <w:szCs w:val="20"/>
          <w:shd w:val="clear" w:color="auto" w:fill="FFFFFF"/>
        </w:rPr>
        <w:t>, </w:t>
      </w:r>
      <w:r w:rsidRPr="00D43228">
        <w:rPr>
          <w:rFonts w:cs="Times New Roman"/>
          <w:i/>
          <w:iCs/>
          <w:color w:val="222222"/>
          <w:szCs w:val="20"/>
          <w:shd w:val="clear" w:color="auto" w:fill="FFFFFF"/>
        </w:rPr>
        <w:t>61</w:t>
      </w:r>
      <w:r w:rsidRPr="00D43228">
        <w:rPr>
          <w:rFonts w:cs="Times New Roman"/>
          <w:color w:val="222222"/>
          <w:szCs w:val="20"/>
          <w:shd w:val="clear" w:color="auto" w:fill="FFFFFF"/>
        </w:rPr>
        <w:t>(3), pp.1095-1106.</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Luther, L., Tiberius, V. and Brem, A., 2020. User Experience (UX) in business, management, and psychology: A bibliometric mapping of the current state of research. </w:t>
      </w:r>
      <w:r w:rsidRPr="00D43228">
        <w:rPr>
          <w:rFonts w:cs="Times New Roman"/>
          <w:i/>
          <w:iCs/>
          <w:color w:val="222222"/>
          <w:szCs w:val="20"/>
          <w:shd w:val="clear" w:color="auto" w:fill="FFFFFF"/>
        </w:rPr>
        <w:t>Multimodal Technologies and Interaction</w:t>
      </w:r>
      <w:r w:rsidRPr="00D43228">
        <w:rPr>
          <w:rFonts w:cs="Times New Roman"/>
          <w:color w:val="222222"/>
          <w:szCs w:val="20"/>
          <w:shd w:val="clear" w:color="auto" w:fill="FFFFFF"/>
        </w:rPr>
        <w:t>, </w:t>
      </w:r>
      <w:r w:rsidRPr="00D43228">
        <w:rPr>
          <w:rFonts w:cs="Times New Roman"/>
          <w:i/>
          <w:iCs/>
          <w:color w:val="222222"/>
          <w:szCs w:val="20"/>
          <w:shd w:val="clear" w:color="auto" w:fill="FFFFFF"/>
        </w:rPr>
        <w:t>4</w:t>
      </w:r>
      <w:r w:rsidRPr="00D43228">
        <w:rPr>
          <w:rFonts w:cs="Times New Roman"/>
          <w:color w:val="222222"/>
          <w:szCs w:val="20"/>
          <w:shd w:val="clear" w:color="auto" w:fill="FFFFFF"/>
        </w:rPr>
        <w:t>(2), p.18.</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Polat, G., 2021. Advancing the multidimensional approach to family business professionalization. </w:t>
      </w:r>
      <w:r w:rsidRPr="00D43228">
        <w:rPr>
          <w:rFonts w:cs="Times New Roman"/>
          <w:i/>
          <w:iCs/>
          <w:color w:val="222222"/>
          <w:szCs w:val="20"/>
          <w:shd w:val="clear" w:color="auto" w:fill="FFFFFF"/>
        </w:rPr>
        <w:t>Journal of Family Business Management</w:t>
      </w:r>
      <w:r w:rsidRPr="00D43228">
        <w:rPr>
          <w:rFonts w:cs="Times New Roman"/>
          <w:color w:val="222222"/>
          <w:szCs w:val="20"/>
          <w:shd w:val="clear" w:color="auto" w:fill="FFFFFF"/>
        </w:rPr>
        <w:t>, </w:t>
      </w:r>
      <w:r w:rsidRPr="00D43228">
        <w:rPr>
          <w:rFonts w:cs="Times New Roman"/>
          <w:i/>
          <w:iCs/>
          <w:color w:val="222222"/>
          <w:szCs w:val="20"/>
          <w:shd w:val="clear" w:color="auto" w:fill="FFFFFF"/>
        </w:rPr>
        <w:t>11</w:t>
      </w:r>
      <w:r w:rsidRPr="00D43228">
        <w:rPr>
          <w:rFonts w:cs="Times New Roman"/>
          <w:color w:val="222222"/>
          <w:szCs w:val="20"/>
          <w:shd w:val="clear" w:color="auto" w:fill="FFFFFF"/>
        </w:rPr>
        <w:t>(4), pp.555-571.</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Purnomo, A., Firdaus, M., Sutiksno, D.U., Putra, R.S. and Hasanah, U., 2021, July. Mapping of business intelligence research themes: four decade review. In </w:t>
      </w:r>
      <w:r w:rsidRPr="00D43228">
        <w:rPr>
          <w:rFonts w:cs="Times New Roman"/>
          <w:i/>
          <w:iCs/>
          <w:color w:val="222222"/>
          <w:szCs w:val="20"/>
          <w:shd w:val="clear" w:color="auto" w:fill="FFFFFF"/>
        </w:rPr>
        <w:t>2021 IEEE International Conference on Communication, Networks and Satellite (COMNETSAT)</w:t>
      </w:r>
      <w:r w:rsidRPr="00D43228">
        <w:rPr>
          <w:rFonts w:cs="Times New Roman"/>
          <w:color w:val="222222"/>
          <w:szCs w:val="20"/>
          <w:shd w:val="clear" w:color="auto" w:fill="FFFFFF"/>
        </w:rPr>
        <w:t> (pp. 32-37). IEEE.</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Raut, R.D., Mangla, S.K., Narwane, V.S., Gardas, B.B., Priyadarshinee, P. and Narkhede, B.E., 2019. Linking big data analytics and operational sustainability practices for sustainable business management. </w:t>
      </w:r>
      <w:r w:rsidRPr="00D43228">
        <w:rPr>
          <w:rFonts w:cs="Times New Roman"/>
          <w:i/>
          <w:iCs/>
          <w:color w:val="222222"/>
          <w:szCs w:val="20"/>
          <w:shd w:val="clear" w:color="auto" w:fill="FFFFFF"/>
        </w:rPr>
        <w:t>Journal of cleaner production</w:t>
      </w:r>
      <w:r w:rsidRPr="00D43228">
        <w:rPr>
          <w:rFonts w:cs="Times New Roman"/>
          <w:color w:val="222222"/>
          <w:szCs w:val="20"/>
          <w:shd w:val="clear" w:color="auto" w:fill="FFFFFF"/>
        </w:rPr>
        <w:t>, </w:t>
      </w:r>
      <w:r w:rsidRPr="00D43228">
        <w:rPr>
          <w:rFonts w:cs="Times New Roman"/>
          <w:i/>
          <w:iCs/>
          <w:color w:val="222222"/>
          <w:szCs w:val="20"/>
          <w:shd w:val="clear" w:color="auto" w:fill="FFFFFF"/>
        </w:rPr>
        <w:t>224</w:t>
      </w:r>
      <w:r w:rsidRPr="00D43228">
        <w:rPr>
          <w:rFonts w:cs="Times New Roman"/>
          <w:color w:val="222222"/>
          <w:szCs w:val="20"/>
          <w:shd w:val="clear" w:color="auto" w:fill="FFFFFF"/>
        </w:rPr>
        <w:t>, pp.10-24.</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Roetzel, P.G., 2019. Information overload in the information age: a review of the literature from business administration, business psychology, and related disciplines with a bibliometric approach and framework development. </w:t>
      </w:r>
      <w:r w:rsidRPr="00D43228">
        <w:rPr>
          <w:rFonts w:cs="Times New Roman"/>
          <w:i/>
          <w:iCs/>
          <w:color w:val="222222"/>
          <w:szCs w:val="20"/>
          <w:shd w:val="clear" w:color="auto" w:fill="FFFFFF"/>
        </w:rPr>
        <w:t>Business research</w:t>
      </w:r>
      <w:r w:rsidRPr="00D43228">
        <w:rPr>
          <w:rFonts w:cs="Times New Roman"/>
          <w:color w:val="222222"/>
          <w:szCs w:val="20"/>
          <w:shd w:val="clear" w:color="auto" w:fill="FFFFFF"/>
        </w:rPr>
        <w:t>, </w:t>
      </w:r>
      <w:r w:rsidRPr="00D43228">
        <w:rPr>
          <w:rFonts w:cs="Times New Roman"/>
          <w:i/>
          <w:iCs/>
          <w:color w:val="222222"/>
          <w:szCs w:val="20"/>
          <w:shd w:val="clear" w:color="auto" w:fill="FFFFFF"/>
        </w:rPr>
        <w:t>12</w:t>
      </w:r>
      <w:r w:rsidRPr="00D43228">
        <w:rPr>
          <w:rFonts w:cs="Times New Roman"/>
          <w:color w:val="222222"/>
          <w:szCs w:val="20"/>
          <w:shd w:val="clear" w:color="auto" w:fill="FFFFFF"/>
        </w:rPr>
        <w:t>(2), pp.479-522.</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Sahoo, S., 2022. Big data analytics in manufacturing: a bibliometric analysis of research in the field of business management. </w:t>
      </w:r>
      <w:r w:rsidRPr="00D43228">
        <w:rPr>
          <w:rFonts w:cs="Times New Roman"/>
          <w:i/>
          <w:iCs/>
          <w:color w:val="222222"/>
          <w:szCs w:val="20"/>
          <w:shd w:val="clear" w:color="auto" w:fill="FFFFFF"/>
        </w:rPr>
        <w:t>International Journal of Production Research</w:t>
      </w:r>
      <w:r w:rsidRPr="00D43228">
        <w:rPr>
          <w:rFonts w:cs="Times New Roman"/>
          <w:color w:val="222222"/>
          <w:szCs w:val="20"/>
          <w:shd w:val="clear" w:color="auto" w:fill="FFFFFF"/>
        </w:rPr>
        <w:t>, </w:t>
      </w:r>
      <w:r w:rsidRPr="00D43228">
        <w:rPr>
          <w:rFonts w:cs="Times New Roman"/>
          <w:i/>
          <w:iCs/>
          <w:color w:val="222222"/>
          <w:szCs w:val="20"/>
          <w:shd w:val="clear" w:color="auto" w:fill="FFFFFF"/>
        </w:rPr>
        <w:t>60</w:t>
      </w:r>
      <w:r w:rsidRPr="00D43228">
        <w:rPr>
          <w:rFonts w:cs="Times New Roman"/>
          <w:color w:val="222222"/>
          <w:szCs w:val="20"/>
          <w:shd w:val="clear" w:color="auto" w:fill="FFFFFF"/>
        </w:rPr>
        <w:t>(22), pp.6793-6821.</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Sharma, P., Leung, T.Y., Kingshott, R.P., Davcik, N.S. and Cardinali, S., 2020. Managing uncertainty during a global pandemic: An international business perspective. </w:t>
      </w:r>
      <w:r w:rsidRPr="00D43228">
        <w:rPr>
          <w:rFonts w:cs="Times New Roman"/>
          <w:i/>
          <w:iCs/>
          <w:color w:val="222222"/>
          <w:szCs w:val="20"/>
          <w:shd w:val="clear" w:color="auto" w:fill="FFFFFF"/>
        </w:rPr>
        <w:t>Journal of business research</w:t>
      </w:r>
      <w:r w:rsidRPr="00D43228">
        <w:rPr>
          <w:rFonts w:cs="Times New Roman"/>
          <w:color w:val="222222"/>
          <w:szCs w:val="20"/>
          <w:shd w:val="clear" w:color="auto" w:fill="FFFFFF"/>
        </w:rPr>
        <w:t>, </w:t>
      </w:r>
      <w:r w:rsidRPr="00D43228">
        <w:rPr>
          <w:rFonts w:cs="Times New Roman"/>
          <w:i/>
          <w:iCs/>
          <w:color w:val="222222"/>
          <w:szCs w:val="20"/>
          <w:shd w:val="clear" w:color="auto" w:fill="FFFFFF"/>
        </w:rPr>
        <w:t>116</w:t>
      </w:r>
      <w:r w:rsidRPr="00D43228">
        <w:rPr>
          <w:rFonts w:cs="Times New Roman"/>
          <w:color w:val="222222"/>
          <w:szCs w:val="20"/>
          <w:shd w:val="clear" w:color="auto" w:fill="FFFFFF"/>
        </w:rPr>
        <w:t>, pp.188-192.</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Slim, H. and Hafedh, M., 2019. Social media impact on language learning for specific purposes: A study in English for business administration. </w:t>
      </w:r>
      <w:r w:rsidRPr="00D43228">
        <w:rPr>
          <w:rFonts w:cs="Times New Roman"/>
          <w:i/>
          <w:iCs/>
          <w:color w:val="222222"/>
          <w:szCs w:val="20"/>
          <w:shd w:val="clear" w:color="auto" w:fill="FFFFFF"/>
        </w:rPr>
        <w:t>Teaching english with technology</w:t>
      </w:r>
      <w:r w:rsidRPr="00D43228">
        <w:rPr>
          <w:rFonts w:cs="Times New Roman"/>
          <w:color w:val="222222"/>
          <w:szCs w:val="20"/>
          <w:shd w:val="clear" w:color="auto" w:fill="FFFFFF"/>
        </w:rPr>
        <w:t>, </w:t>
      </w:r>
      <w:r w:rsidRPr="00D43228">
        <w:rPr>
          <w:rFonts w:cs="Times New Roman"/>
          <w:i/>
          <w:iCs/>
          <w:color w:val="222222"/>
          <w:szCs w:val="20"/>
          <w:shd w:val="clear" w:color="auto" w:fill="FFFFFF"/>
        </w:rPr>
        <w:t>19</w:t>
      </w:r>
      <w:r w:rsidRPr="00D43228">
        <w:rPr>
          <w:rFonts w:cs="Times New Roman"/>
          <w:color w:val="222222"/>
          <w:szCs w:val="20"/>
          <w:shd w:val="clear" w:color="auto" w:fill="FFFFFF"/>
        </w:rPr>
        <w:t>(1), pp.56-71.</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Taliento, M. and Netti, A., 2020. Corporate social/environmental responsibility and value creation: reflections on a modern business management paradigm.</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Wackowski, K., Tien, N.H., Dao, M.T.H. and Minh, D.T., 2022. Business strategy of Vietnamese real estate developers: The use of CPM matrix for analysis. </w:t>
      </w:r>
      <w:r w:rsidRPr="00D43228">
        <w:rPr>
          <w:rFonts w:cs="Times New Roman"/>
          <w:i/>
          <w:iCs/>
          <w:color w:val="222222"/>
          <w:szCs w:val="20"/>
          <w:shd w:val="clear" w:color="auto" w:fill="FFFFFF"/>
        </w:rPr>
        <w:t>International journal of multidisciplinary research and growth evaluation</w:t>
      </w:r>
      <w:r w:rsidRPr="00D43228">
        <w:rPr>
          <w:rFonts w:cs="Times New Roman"/>
          <w:color w:val="222222"/>
          <w:szCs w:val="20"/>
          <w:shd w:val="clear" w:color="auto" w:fill="FFFFFF"/>
        </w:rPr>
        <w:t>, </w:t>
      </w:r>
      <w:r w:rsidRPr="00D43228">
        <w:rPr>
          <w:rFonts w:cs="Times New Roman"/>
          <w:i/>
          <w:iCs/>
          <w:color w:val="222222"/>
          <w:szCs w:val="20"/>
          <w:shd w:val="clear" w:color="auto" w:fill="FFFFFF"/>
        </w:rPr>
        <w:t>3</w:t>
      </w:r>
      <w:r w:rsidRPr="00D43228">
        <w:rPr>
          <w:rFonts w:cs="Times New Roman"/>
          <w:color w:val="222222"/>
          <w:szCs w:val="20"/>
          <w:shd w:val="clear" w:color="auto" w:fill="FFFFFF"/>
        </w:rPr>
        <w:t>(1), pp.205-209.</w:t>
      </w:r>
    </w:p>
    <w:p w:rsidR="009C090E" w:rsidRPr="00D43228" w:rsidRDefault="009C090E" w:rsidP="009C090E">
      <w:pPr>
        <w:rPr>
          <w:rFonts w:cs="Times New Roman"/>
          <w:color w:val="222222"/>
          <w:szCs w:val="20"/>
          <w:shd w:val="clear" w:color="auto" w:fill="FFFFFF"/>
        </w:rPr>
      </w:pPr>
      <w:r w:rsidRPr="00D43228">
        <w:rPr>
          <w:rFonts w:cs="Times New Roman"/>
          <w:color w:val="222222"/>
          <w:szCs w:val="20"/>
          <w:shd w:val="clear" w:color="auto" w:fill="FFFFFF"/>
        </w:rPr>
        <w:t>Wilkins, S., Neri, S. and Lean, J., 2019. The role of theory in the business/management PhD: How students may use theory to make an original contribution to knowledge. </w:t>
      </w:r>
      <w:r w:rsidRPr="00D43228">
        <w:rPr>
          <w:rFonts w:cs="Times New Roman"/>
          <w:i/>
          <w:iCs/>
          <w:color w:val="222222"/>
          <w:szCs w:val="20"/>
          <w:shd w:val="clear" w:color="auto" w:fill="FFFFFF"/>
        </w:rPr>
        <w:t>The International Journal of Management Education</w:t>
      </w:r>
      <w:r w:rsidRPr="00D43228">
        <w:rPr>
          <w:rFonts w:cs="Times New Roman"/>
          <w:color w:val="222222"/>
          <w:szCs w:val="20"/>
          <w:shd w:val="clear" w:color="auto" w:fill="FFFFFF"/>
        </w:rPr>
        <w:t>, </w:t>
      </w:r>
      <w:r w:rsidRPr="00D43228">
        <w:rPr>
          <w:rFonts w:cs="Times New Roman"/>
          <w:i/>
          <w:iCs/>
          <w:color w:val="222222"/>
          <w:szCs w:val="20"/>
          <w:shd w:val="clear" w:color="auto" w:fill="FFFFFF"/>
        </w:rPr>
        <w:t>17</w:t>
      </w:r>
      <w:r w:rsidRPr="00D43228">
        <w:rPr>
          <w:rFonts w:cs="Times New Roman"/>
          <w:color w:val="222222"/>
          <w:szCs w:val="20"/>
          <w:shd w:val="clear" w:color="auto" w:fill="FFFFFF"/>
        </w:rPr>
        <w:t>(3), p.100316.</w:t>
      </w:r>
    </w:p>
    <w:p w:rsidR="00E83F22" w:rsidRDefault="00E83F22" w:rsidP="0025734A"/>
    <w:p w:rsidR="0025734A" w:rsidRDefault="0025734A" w:rsidP="0025734A"/>
    <w:sectPr w:rsidR="0025734A" w:rsidSect="0025734A">
      <w:footerReference w:type="default" r:id="rId7"/>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1B2497" w:rsidRDefault="001B2497" w:rsidP="0025734A">
      <w:pPr>
        <w:spacing w:after="0" w:line="240" w:lineRule="auto"/>
      </w:pPr>
      <w:r>
        <w:separator/>
      </w:r>
    </w:p>
  </w:endnote>
  <w:endnote w:type="continuationSeparator" w:id="0">
    <w:p w:rsidR="001B2497" w:rsidRDefault="001B2497" w:rsidP="0025734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2866572"/>
      <w:docPartObj>
        <w:docPartGallery w:val="Page Numbers (Bottom of Page)"/>
        <w:docPartUnique/>
      </w:docPartObj>
    </w:sdtPr>
    <w:sdtEndPr/>
    <w:sdtContent>
      <w:p w:rsidR="0025734A" w:rsidRDefault="001B2497">
        <w:pPr>
          <w:pStyle w:val="Footer"/>
          <w:jc w:val="right"/>
        </w:pPr>
        <w:r>
          <w:fldChar w:fldCharType="begin"/>
        </w:r>
        <w:r>
          <w:instrText xml:space="preserve"> PAGE   \* MERGEFORMAT </w:instrText>
        </w:r>
        <w:r>
          <w:fldChar w:fldCharType="separate"/>
        </w:r>
        <w:r w:rsidR="009C090E">
          <w:rPr>
            <w:noProof/>
          </w:rPr>
          <w:t>11</w:t>
        </w:r>
        <w:r>
          <w:rPr>
            <w:noProof/>
          </w:rPr>
          <w:fldChar w:fldCharType="end"/>
        </w:r>
      </w:p>
    </w:sdtContent>
  </w:sdt>
  <w:p w:rsidR="0025734A" w:rsidRDefault="0025734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1B2497" w:rsidRDefault="001B2497" w:rsidP="0025734A">
      <w:pPr>
        <w:spacing w:after="0" w:line="240" w:lineRule="auto"/>
      </w:pPr>
      <w:r>
        <w:separator/>
      </w:r>
    </w:p>
  </w:footnote>
  <w:footnote w:type="continuationSeparator" w:id="0">
    <w:p w:rsidR="001B2497" w:rsidRDefault="001B2497" w:rsidP="0025734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rawingGridHorizontalSpacing w:val="120"/>
  <w:displayHorizontalDrawingGridEvery w:val="2"/>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25734A"/>
    <w:rsid w:val="001B2497"/>
    <w:rsid w:val="0025734A"/>
    <w:rsid w:val="003D33E5"/>
    <w:rsid w:val="004061ED"/>
    <w:rsid w:val="00537519"/>
    <w:rsid w:val="00600B11"/>
    <w:rsid w:val="008E71DF"/>
    <w:rsid w:val="009C090E"/>
    <w:rsid w:val="00CD3CB1"/>
    <w:rsid w:val="00D4411D"/>
    <w:rsid w:val="00DB06B4"/>
    <w:rsid w:val="00E242D9"/>
    <w:rsid w:val="00E83F22"/>
    <w:rsid w:val="00F410D0"/>
    <w:rsid w:val="00F52BFF"/>
    <w:rsid w:val="00F80FD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53D5E7AE-9466-490A-BF02-D70084F15A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5734A"/>
    <w:pPr>
      <w:spacing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DB06B4"/>
    <w:pPr>
      <w:keepNext/>
      <w:keepLines/>
      <w:spacing w:before="480" w:after="0" w:line="480" w:lineRule="auto"/>
      <w:outlineLvl w:val="0"/>
    </w:pPr>
    <w:rPr>
      <w:rFonts w:eastAsiaTheme="majorEastAsia" w:cstheme="majorBidi"/>
      <w:b/>
      <w:bCs/>
      <w:sz w:val="28"/>
      <w:szCs w:val="28"/>
    </w:rPr>
  </w:style>
  <w:style w:type="paragraph" w:styleId="Heading2">
    <w:name w:val="heading 2"/>
    <w:basedOn w:val="Normal"/>
    <w:next w:val="Normal"/>
    <w:link w:val="Heading2Char"/>
    <w:uiPriority w:val="9"/>
    <w:unhideWhenUsed/>
    <w:qFormat/>
    <w:rsid w:val="00DB06B4"/>
    <w:pPr>
      <w:keepNext/>
      <w:keepLines/>
      <w:spacing w:before="200" w:after="0" w:line="480" w:lineRule="auto"/>
      <w:outlineLvl w:val="1"/>
    </w:pPr>
    <w:rPr>
      <w:rFonts w:eastAsiaTheme="majorEastAsia" w:cstheme="majorBidi"/>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25734A"/>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25734A"/>
    <w:rPr>
      <w:rFonts w:ascii="Times New Roman" w:hAnsi="Times New Roman"/>
      <w:sz w:val="24"/>
      <w:lang w:val="en-GB"/>
    </w:rPr>
  </w:style>
  <w:style w:type="paragraph" w:styleId="Footer">
    <w:name w:val="footer"/>
    <w:basedOn w:val="Normal"/>
    <w:link w:val="FooterChar"/>
    <w:uiPriority w:val="99"/>
    <w:unhideWhenUsed/>
    <w:rsid w:val="0025734A"/>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734A"/>
    <w:rPr>
      <w:rFonts w:ascii="Times New Roman" w:hAnsi="Times New Roman"/>
      <w:sz w:val="24"/>
      <w:lang w:val="en-GB"/>
    </w:rPr>
  </w:style>
  <w:style w:type="character" w:customStyle="1" w:styleId="Heading1Char">
    <w:name w:val="Heading 1 Char"/>
    <w:basedOn w:val="DefaultParagraphFont"/>
    <w:link w:val="Heading1"/>
    <w:uiPriority w:val="9"/>
    <w:rsid w:val="00DB06B4"/>
    <w:rPr>
      <w:rFonts w:ascii="Times New Roman" w:eastAsiaTheme="majorEastAsia" w:hAnsi="Times New Roman" w:cstheme="majorBidi"/>
      <w:b/>
      <w:bCs/>
      <w:sz w:val="28"/>
      <w:szCs w:val="28"/>
      <w:lang w:val="en-GB"/>
    </w:rPr>
  </w:style>
  <w:style w:type="character" w:customStyle="1" w:styleId="Heading2Char">
    <w:name w:val="Heading 2 Char"/>
    <w:basedOn w:val="DefaultParagraphFont"/>
    <w:link w:val="Heading2"/>
    <w:uiPriority w:val="9"/>
    <w:rsid w:val="00DB06B4"/>
    <w:rPr>
      <w:rFonts w:ascii="Times New Roman" w:eastAsiaTheme="majorEastAsia" w:hAnsi="Times New Roman" w:cstheme="majorBidi"/>
      <w:b/>
      <w:bCs/>
      <w:sz w:val="26"/>
      <w:szCs w:val="26"/>
      <w:lang w:val="en-GB"/>
    </w:rPr>
  </w:style>
  <w:style w:type="paragraph" w:styleId="TOCHeading">
    <w:name w:val="TOC Heading"/>
    <w:basedOn w:val="Heading1"/>
    <w:next w:val="Normal"/>
    <w:uiPriority w:val="39"/>
    <w:semiHidden/>
    <w:unhideWhenUsed/>
    <w:qFormat/>
    <w:rsid w:val="009C090E"/>
    <w:pPr>
      <w:spacing w:line="276" w:lineRule="auto"/>
      <w:jc w:val="left"/>
      <w:outlineLvl w:val="9"/>
    </w:pPr>
    <w:rPr>
      <w:rFonts w:asciiTheme="majorHAnsi" w:hAnsiTheme="majorHAnsi"/>
      <w:color w:val="365F91" w:themeColor="accent1" w:themeShade="BF"/>
      <w:lang w:val="en-US"/>
    </w:rPr>
  </w:style>
  <w:style w:type="paragraph" w:styleId="TOC1">
    <w:name w:val="toc 1"/>
    <w:basedOn w:val="Normal"/>
    <w:next w:val="Normal"/>
    <w:autoRedefine/>
    <w:uiPriority w:val="39"/>
    <w:unhideWhenUsed/>
    <w:rsid w:val="009C090E"/>
    <w:pPr>
      <w:spacing w:after="100"/>
    </w:pPr>
  </w:style>
  <w:style w:type="paragraph" w:styleId="TOC2">
    <w:name w:val="toc 2"/>
    <w:basedOn w:val="Normal"/>
    <w:next w:val="Normal"/>
    <w:autoRedefine/>
    <w:uiPriority w:val="39"/>
    <w:unhideWhenUsed/>
    <w:rsid w:val="009C090E"/>
    <w:pPr>
      <w:spacing w:after="100"/>
      <w:ind w:left="240"/>
    </w:pPr>
  </w:style>
  <w:style w:type="character" w:styleId="Hyperlink">
    <w:name w:val="Hyperlink"/>
    <w:basedOn w:val="DefaultParagraphFont"/>
    <w:uiPriority w:val="99"/>
    <w:unhideWhenUsed/>
    <w:rsid w:val="009C090E"/>
    <w:rPr>
      <w:color w:val="0000FF" w:themeColor="hyperlink"/>
      <w:u w:val="single"/>
    </w:rPr>
  </w:style>
  <w:style w:type="paragraph" w:styleId="BalloonText">
    <w:name w:val="Balloon Text"/>
    <w:basedOn w:val="Normal"/>
    <w:link w:val="BalloonTextChar"/>
    <w:uiPriority w:val="99"/>
    <w:semiHidden/>
    <w:unhideWhenUsed/>
    <w:rsid w:val="009C09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C090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96293188">
      <w:bodyDiv w:val="1"/>
      <w:marLeft w:val="0"/>
      <w:marRight w:val="0"/>
      <w:marTop w:val="0"/>
      <w:marBottom w:val="0"/>
      <w:divBdr>
        <w:top w:val="none" w:sz="0" w:space="0" w:color="auto"/>
        <w:left w:val="none" w:sz="0" w:space="0" w:color="auto"/>
        <w:bottom w:val="none" w:sz="0" w:space="0" w:color="auto"/>
        <w:right w:val="none" w:sz="0" w:space="0" w:color="auto"/>
      </w:divBdr>
    </w:div>
    <w:div w:id="1308776142">
      <w:bodyDiv w:val="1"/>
      <w:marLeft w:val="0"/>
      <w:marRight w:val="0"/>
      <w:marTop w:val="0"/>
      <w:marBottom w:val="0"/>
      <w:divBdr>
        <w:top w:val="none" w:sz="0" w:space="0" w:color="auto"/>
        <w:left w:val="none" w:sz="0" w:space="0" w:color="auto"/>
        <w:bottom w:val="none" w:sz="0" w:space="0" w:color="auto"/>
        <w:right w:val="none" w:sz="0" w:space="0" w:color="auto"/>
      </w:divBdr>
      <w:divsChild>
        <w:div w:id="1519075249">
          <w:marLeft w:val="0"/>
          <w:marRight w:val="0"/>
          <w:marTop w:val="0"/>
          <w:marBottom w:val="0"/>
          <w:divBdr>
            <w:top w:val="single" w:sz="2" w:space="0" w:color="D9D9E3"/>
            <w:left w:val="single" w:sz="2" w:space="0" w:color="D9D9E3"/>
            <w:bottom w:val="single" w:sz="2" w:space="0" w:color="D9D9E3"/>
            <w:right w:val="single" w:sz="2" w:space="0" w:color="D9D9E3"/>
          </w:divBdr>
          <w:divsChild>
            <w:div w:id="1008797358">
              <w:marLeft w:val="0"/>
              <w:marRight w:val="0"/>
              <w:marTop w:val="0"/>
              <w:marBottom w:val="0"/>
              <w:divBdr>
                <w:top w:val="single" w:sz="2" w:space="0" w:color="D9D9E3"/>
                <w:left w:val="single" w:sz="2" w:space="0" w:color="D9D9E3"/>
                <w:bottom w:val="single" w:sz="2" w:space="0" w:color="D9D9E3"/>
                <w:right w:val="single" w:sz="2" w:space="0" w:color="D9D9E3"/>
              </w:divBdr>
              <w:divsChild>
                <w:div w:id="503665595">
                  <w:marLeft w:val="0"/>
                  <w:marRight w:val="0"/>
                  <w:marTop w:val="0"/>
                  <w:marBottom w:val="0"/>
                  <w:divBdr>
                    <w:top w:val="single" w:sz="2" w:space="0" w:color="D9D9E3"/>
                    <w:left w:val="single" w:sz="2" w:space="0" w:color="D9D9E3"/>
                    <w:bottom w:val="single" w:sz="2" w:space="0" w:color="D9D9E3"/>
                    <w:right w:val="single" w:sz="2" w:space="0" w:color="D9D9E3"/>
                  </w:divBdr>
                  <w:divsChild>
                    <w:div w:id="476797739">
                      <w:marLeft w:val="0"/>
                      <w:marRight w:val="0"/>
                      <w:marTop w:val="0"/>
                      <w:marBottom w:val="0"/>
                      <w:divBdr>
                        <w:top w:val="single" w:sz="2" w:space="0" w:color="D9D9E3"/>
                        <w:left w:val="single" w:sz="2" w:space="0" w:color="D9D9E3"/>
                        <w:bottom w:val="single" w:sz="2" w:space="0" w:color="D9D9E3"/>
                        <w:right w:val="single" w:sz="2" w:space="0" w:color="D9D9E3"/>
                      </w:divBdr>
                      <w:divsChild>
                        <w:div w:id="567107698">
                          <w:marLeft w:val="0"/>
                          <w:marRight w:val="0"/>
                          <w:marTop w:val="0"/>
                          <w:marBottom w:val="0"/>
                          <w:divBdr>
                            <w:top w:val="none" w:sz="0" w:space="0" w:color="auto"/>
                            <w:left w:val="none" w:sz="0" w:space="0" w:color="auto"/>
                            <w:bottom w:val="none" w:sz="0" w:space="0" w:color="auto"/>
                            <w:right w:val="none" w:sz="0" w:space="0" w:color="auto"/>
                          </w:divBdr>
                          <w:divsChild>
                            <w:div w:id="231083203">
                              <w:marLeft w:val="0"/>
                              <w:marRight w:val="0"/>
                              <w:marTop w:val="100"/>
                              <w:marBottom w:val="100"/>
                              <w:divBdr>
                                <w:top w:val="single" w:sz="2" w:space="0" w:color="D9D9E3"/>
                                <w:left w:val="single" w:sz="2" w:space="0" w:color="D9D9E3"/>
                                <w:bottom w:val="single" w:sz="2" w:space="0" w:color="D9D9E3"/>
                                <w:right w:val="single" w:sz="2" w:space="0" w:color="D9D9E3"/>
                              </w:divBdr>
                              <w:divsChild>
                                <w:div w:id="727461288">
                                  <w:marLeft w:val="0"/>
                                  <w:marRight w:val="0"/>
                                  <w:marTop w:val="0"/>
                                  <w:marBottom w:val="0"/>
                                  <w:divBdr>
                                    <w:top w:val="single" w:sz="2" w:space="0" w:color="D9D9E3"/>
                                    <w:left w:val="single" w:sz="2" w:space="0" w:color="D9D9E3"/>
                                    <w:bottom w:val="single" w:sz="2" w:space="0" w:color="D9D9E3"/>
                                    <w:right w:val="single" w:sz="2" w:space="0" w:color="D9D9E3"/>
                                  </w:divBdr>
                                  <w:divsChild>
                                    <w:div w:id="2073961549">
                                      <w:marLeft w:val="0"/>
                                      <w:marRight w:val="0"/>
                                      <w:marTop w:val="0"/>
                                      <w:marBottom w:val="0"/>
                                      <w:divBdr>
                                        <w:top w:val="single" w:sz="2" w:space="0" w:color="D9D9E3"/>
                                        <w:left w:val="single" w:sz="2" w:space="0" w:color="D9D9E3"/>
                                        <w:bottom w:val="single" w:sz="2" w:space="0" w:color="D9D9E3"/>
                                        <w:right w:val="single" w:sz="2" w:space="0" w:color="D9D9E3"/>
                                      </w:divBdr>
                                      <w:divsChild>
                                        <w:div w:id="1166168186">
                                          <w:marLeft w:val="0"/>
                                          <w:marRight w:val="0"/>
                                          <w:marTop w:val="0"/>
                                          <w:marBottom w:val="0"/>
                                          <w:divBdr>
                                            <w:top w:val="single" w:sz="2" w:space="0" w:color="D9D9E3"/>
                                            <w:left w:val="single" w:sz="2" w:space="0" w:color="D9D9E3"/>
                                            <w:bottom w:val="single" w:sz="2" w:space="0" w:color="D9D9E3"/>
                                            <w:right w:val="single" w:sz="2" w:space="0" w:color="D9D9E3"/>
                                          </w:divBdr>
                                          <w:divsChild>
                                            <w:div w:id="1146095265">
                                              <w:marLeft w:val="0"/>
                                              <w:marRight w:val="0"/>
                                              <w:marTop w:val="0"/>
                                              <w:marBottom w:val="0"/>
                                              <w:divBdr>
                                                <w:top w:val="single" w:sz="2" w:space="0" w:color="D9D9E3"/>
                                                <w:left w:val="single" w:sz="2" w:space="0" w:color="D9D9E3"/>
                                                <w:bottom w:val="single" w:sz="2" w:space="0" w:color="D9D9E3"/>
                                                <w:right w:val="single" w:sz="2" w:space="0" w:color="D9D9E3"/>
                                              </w:divBdr>
                                              <w:divsChild>
                                                <w:div w:id="1080054228">
                                                  <w:marLeft w:val="0"/>
                                                  <w:marRight w:val="0"/>
                                                  <w:marTop w:val="0"/>
                                                  <w:marBottom w:val="0"/>
                                                  <w:divBdr>
                                                    <w:top w:val="single" w:sz="2" w:space="0" w:color="D9D9E3"/>
                                                    <w:left w:val="single" w:sz="2" w:space="0" w:color="D9D9E3"/>
                                                    <w:bottom w:val="single" w:sz="2" w:space="0" w:color="D9D9E3"/>
                                                    <w:right w:val="single" w:sz="2" w:space="0" w:color="D9D9E3"/>
                                                  </w:divBdr>
                                                  <w:divsChild>
                                                    <w:div w:id="31306602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844318854">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5AB5ACD-2BBD-4725-8446-360FA959FE9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TotalTime>
  <Pages>3</Pages>
  <Words>3379</Words>
  <Characters>19263</Characters>
  <DocSecurity>0</DocSecurity>
  <Lines>160</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22597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2023-11-16T17:05:00Z</dcterms:created>
  <dcterms:modified xsi:type="dcterms:W3CDTF">2023-11-17T10:06:00Z</dcterms:modified>
</cp:coreProperties>
</file>