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666FE7D8" w:rsidR="00AD4EBD" w:rsidRDefault="006E1930" w:rsidP="00AE1A4C">
            <w:pPr>
              <w:pStyle w:val="AssignBody"/>
            </w:pPr>
            <w:r>
              <w:rPr>
                <w:rFonts w:ascii="Helvetica" w:hAnsi="Helvetica"/>
                <w:color w:val="283041"/>
                <w:sz w:val="21"/>
                <w:szCs w:val="21"/>
                <w:shd w:val="clear" w:color="auto" w:fill="FFFFFF"/>
              </w:rPr>
              <w:t>Consider underlying learning theory and use a wide range of perspectives, acknowledging when sources may be dated.</w:t>
            </w:r>
          </w:p>
        </w:tc>
        <w:tc>
          <w:tcPr>
            <w:tcW w:w="3647" w:type="dxa"/>
          </w:tcPr>
          <w:p w14:paraId="5F7F611A" w14:textId="49DA4594" w:rsidR="00AD4EBD" w:rsidRDefault="006E1930" w:rsidP="00AE1A4C">
            <w:pPr>
              <w:pStyle w:val="AssignBody"/>
            </w:pPr>
            <w:r>
              <w:t>This assignment consider perspectives from websites, journals, books, and newspapers.  I have tried to use sources no older than 2005 as suggested by a university lecturer to ensure that it is as relevant as possible to the subject at hand.  Furthermore, the one dated source used has been critiqued suitably.</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55F227CF" w:rsidR="00AD4EBD" w:rsidRDefault="006E1930" w:rsidP="00AE1A4C">
            <w:pPr>
              <w:pStyle w:val="AssignBody"/>
            </w:pPr>
            <w:r>
              <w:rPr>
                <w:rFonts w:ascii="Helvetica" w:hAnsi="Helvetica"/>
                <w:color w:val="283041"/>
                <w:sz w:val="21"/>
                <w:szCs w:val="21"/>
                <w:shd w:val="clear" w:color="auto" w:fill="FFFFFF"/>
              </w:rPr>
              <w:t>Consider and define differences and similarities (e.g. between second language learning and bilingualism)</w:t>
            </w:r>
          </w:p>
        </w:tc>
        <w:tc>
          <w:tcPr>
            <w:tcW w:w="3647" w:type="dxa"/>
          </w:tcPr>
          <w:p w14:paraId="54F0029C" w14:textId="6BFD73B4" w:rsidR="00AD4EBD" w:rsidRDefault="006E1930" w:rsidP="00AE1A4C">
            <w:pPr>
              <w:pStyle w:val="AssignBody"/>
            </w:pPr>
            <w:r>
              <w:t>This is not really applicable to this assignment but I have ensured to carefully consider my word choice when discussing aspects of this assignment to ensure there is no confusion between similar terms.</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101678D9" w:rsidR="006E1930" w:rsidRPr="006E1930" w:rsidRDefault="006E1930" w:rsidP="00AE1A4C">
            <w:pPr>
              <w:pStyle w:val="AssignBody"/>
              <w:rPr>
                <w:rFonts w:ascii="Helvetica" w:hAnsi="Helvetica"/>
                <w:color w:val="283041"/>
                <w:sz w:val="21"/>
                <w:szCs w:val="21"/>
                <w:shd w:val="clear" w:color="auto" w:fill="FFFFFF"/>
              </w:rPr>
            </w:pPr>
            <w:r>
              <w:rPr>
                <w:rFonts w:ascii="Helvetica" w:hAnsi="Helvetica"/>
                <w:color w:val="283041"/>
                <w:sz w:val="21"/>
                <w:szCs w:val="21"/>
                <w:shd w:val="clear" w:color="auto" w:fill="FFFFFF"/>
              </w:rPr>
              <w:t>Be more focused in reporting results, ensuring you report what is pertinent to the main focus.</w:t>
            </w:r>
          </w:p>
        </w:tc>
        <w:tc>
          <w:tcPr>
            <w:tcW w:w="3647" w:type="dxa"/>
          </w:tcPr>
          <w:p w14:paraId="3697C55C" w14:textId="069B40E8" w:rsidR="006E1930" w:rsidRDefault="006E1930" w:rsidP="00AE1A4C">
            <w:pPr>
              <w:pStyle w:val="AssignBody"/>
            </w:pPr>
            <w:r>
              <w:t>I have tried to remain as concise and clear as I can throughout this assignment, referring back to the initial priority as much as possible.</w:t>
            </w:r>
          </w:p>
        </w:tc>
      </w:tr>
      <w:tr w:rsidR="006E1930" w14:paraId="67B4AAFE" w14:textId="77777777" w:rsidTr="00AD4EBD">
        <w:tc>
          <w:tcPr>
            <w:tcW w:w="1722" w:type="dxa"/>
          </w:tcPr>
          <w:p w14:paraId="7E3BD918" w14:textId="33400CB5" w:rsidR="006E1930" w:rsidRDefault="006E1930" w:rsidP="00AE1A4C">
            <w:pPr>
              <w:pStyle w:val="AssignBody"/>
            </w:pPr>
            <w:proofErr w:type="spellStart"/>
            <w:r>
              <w:t>Targed</w:t>
            </w:r>
            <w:proofErr w:type="spellEnd"/>
            <w:r>
              <w:t>/Target 4</w:t>
            </w:r>
          </w:p>
        </w:tc>
        <w:tc>
          <w:tcPr>
            <w:tcW w:w="3647" w:type="dxa"/>
          </w:tcPr>
          <w:p w14:paraId="590461B5" w14:textId="6DF0FD02" w:rsidR="006E1930" w:rsidRDefault="006E1930" w:rsidP="00AE1A4C">
            <w:pPr>
              <w:pStyle w:val="AssignBody"/>
              <w:rPr>
                <w:rFonts w:ascii="Helvetica" w:hAnsi="Helvetica"/>
                <w:color w:val="283041"/>
                <w:sz w:val="21"/>
                <w:szCs w:val="21"/>
                <w:shd w:val="clear" w:color="auto" w:fill="FFFFFF"/>
              </w:rPr>
            </w:pPr>
            <w:r>
              <w:rPr>
                <w:rFonts w:ascii="Helvetica" w:hAnsi="Helvetica"/>
                <w:color w:val="283041"/>
                <w:sz w:val="21"/>
                <w:szCs w:val="21"/>
                <w:shd w:val="clear" w:color="auto" w:fill="FFFFFF"/>
              </w:rPr>
              <w:t>Revise your use of the comma.</w:t>
            </w:r>
          </w:p>
        </w:tc>
        <w:tc>
          <w:tcPr>
            <w:tcW w:w="3647" w:type="dxa"/>
          </w:tcPr>
          <w:p w14:paraId="18253D7D" w14:textId="1344B1A1" w:rsidR="006E1930" w:rsidRDefault="006E1930" w:rsidP="00AE1A4C">
            <w:pPr>
              <w:pStyle w:val="AssignBody"/>
            </w:pPr>
            <w:r>
              <w:t>I have proofread this assignment to ensure it is grammatically correct.</w:t>
            </w:r>
          </w:p>
        </w:tc>
      </w:tr>
    </w:tbl>
    <w:p w14:paraId="34FEB16E" w14:textId="77777777" w:rsidR="00CC66D5" w:rsidRDefault="00CC66D5" w:rsidP="00E611D9">
      <w:pPr>
        <w:pStyle w:val="AssignHeader"/>
      </w:pPr>
    </w:p>
    <w:p w14:paraId="573B217C" w14:textId="77777777" w:rsidR="006E1930" w:rsidRDefault="006E1930" w:rsidP="00E611D9">
      <w:pPr>
        <w:pStyle w:val="AssignHeader"/>
      </w:pPr>
    </w:p>
    <w:p w14:paraId="118CB437" w14:textId="4D5F2C81" w:rsidR="006419C3" w:rsidRDefault="00CC66D5" w:rsidP="00E611D9">
      <w:pPr>
        <w:pStyle w:val="AssignHeader"/>
      </w:pPr>
      <w:r>
        <w:lastRenderedPageBreak/>
        <w:t>How a school develops one aspect of its SDP: a report that critically reflects on the actions, impact and evidence base.</w:t>
      </w:r>
    </w:p>
    <w:p w14:paraId="401F0DA8" w14:textId="77777777" w:rsidR="00CC66D5" w:rsidRDefault="00CC66D5" w:rsidP="00CC66D5"/>
    <w:p w14:paraId="0EC2163C" w14:textId="6ADD1FEF" w:rsidR="00CC66D5" w:rsidRDefault="00CC66D5" w:rsidP="006E1930">
      <w:pPr>
        <w:spacing w:line="360" w:lineRule="auto"/>
      </w:pPr>
      <w:r>
        <w:t>Self-evaluation by schools is a crucial aspect of any leadership and is reiterated by Donaldson (2015) who states “school self-evaluation should make a vital contribution to raising the quality of education” (p83).  The notion of self-evaluation will be further discussed in this study as the author considers the School Development Plan (SDP) of School X.  A key focus of the SDP in question is to ‘have robust care, support, and guidance within the school that includes improved attendance figures’ which was an Estyn recommendation made to the school.  This target is a continuation from the previous SDP in the academic year of 2018-2019 where they prioritised ‘well-being including improved attendance figures and achieve 95% by July 2019’ which was also an Estyn recommendation.  During this study, it will be considered how the school came to the creation of this priority and the steps they have taken in the last and current academic year to raise well-being of the learners which in turn, have increased the attendance figures.  In adherence with BERA (2018) guidelines, the school will not be identified in this study in order to protect the confidentiality of the school, therefore it will be referred to as the aforementioned School X.  School X is an English-medium primary school in a small town in South Wales.  They have 237 students on roll with approximately 10.7% of students receiving free school meals (My Local School, 2019).</w:t>
      </w:r>
    </w:p>
    <w:p w14:paraId="46DBB438" w14:textId="77777777" w:rsidR="00CC66D5" w:rsidRDefault="00CC66D5" w:rsidP="006E1930">
      <w:pPr>
        <w:spacing w:line="360" w:lineRule="auto"/>
      </w:pPr>
      <w:r>
        <w:t xml:space="preserve">The Welsh Statutory Instrument lays out the elements that need to be included in a school’s SDP (The Education (School Development Plans) (Wales) Regulations, 2014) but these can differ vastly between the schools in Wales due to an number of discernible factors such as location, budget, catchment, and size of the school in question.  It is important that the SDP is an collaborative vision of all the school staff, governors, and other stakeholders to ensure the aims and objectives are a mutually shared view.  The SDP, ultimately, is the responsibility of the Governors of the schools as discussed by Welsh Government (2014) but it will be implemented by the headteacher of the school alongside their staff for the key action points.  As previously mentioned, the SDP comes from self-evaluation of the school by all relevant stakeholders and Estyn (2019) continue to repeat how the most effective, influential planning begins with self-evaluation that is understood by all who are stakeholders in the process.  Furthermore, the SDP is instructed by Welsh Government (2014) to be working document that lends itself to the improvement of the school rather than a document that is made to adhere to standards set out by the Welsh Government.  </w:t>
      </w:r>
    </w:p>
    <w:p w14:paraId="759D9990" w14:textId="7EDE2D82" w:rsidR="00CC66D5" w:rsidRPr="00EE460C" w:rsidRDefault="00CC66D5" w:rsidP="006E1930">
      <w:pPr>
        <w:spacing w:line="360" w:lineRule="auto"/>
      </w:pPr>
      <w:r>
        <w:lastRenderedPageBreak/>
        <w:t xml:space="preserve">The aspect that is being considered from School X’s SDP is ultimately, the well-being of the learners and how this can affect and improve attendance within the school.  Poor attendance in school could be due to a number of factors such as illness, anxiety, and family issues.  These all contribute to the well-being of the learner and if their well-being is low, then this can impact on their academic achievement with potential low attendance.  Maslow’s Hierarchy of Needs (1943) demonstrates how learners must have their physiological needs of sleep, food, and water met before they can move up the pyramid to needs of safety, belonging, esteem, and self-actualization.  If these needs are not met at home, this will negatively </w:t>
      </w:r>
      <w:r>
        <w:t>a</w:t>
      </w:r>
      <w:r>
        <w:t>ffect the well-being of the learner which could in turn lead to poor academic achievement and theoretically, low attendance.  Those pupils who miss more than 50% of their timetabled school, only 3% go on to achieve five or more GCSEs at A*- C (Taylor, 2012).</w:t>
      </w:r>
      <w:r w:rsidR="006E1930">
        <w:t xml:space="preserve">  It must be considered here that Maslow’s Hierarchy of Needs is a dated source but is one that is still used in research today and most pertinently, within research relating to children’s wellbeing.  The author understands that the source is much older but feels it necessary to include it as it is a key piece of literature in this field.</w:t>
      </w:r>
    </w:p>
    <w:p w14:paraId="3A19259F" w14:textId="70FC4B95" w:rsidR="00CC66D5" w:rsidRDefault="00CC66D5" w:rsidP="006E1930">
      <w:pPr>
        <w:spacing w:line="360" w:lineRule="auto"/>
      </w:pPr>
      <w:r>
        <w:t xml:space="preserve">It has been noted by Duncan, </w:t>
      </w:r>
      <w:proofErr w:type="spellStart"/>
      <w:r>
        <w:t>Ziol</w:t>
      </w:r>
      <w:proofErr w:type="spellEnd"/>
      <w:r>
        <w:t xml:space="preserve">-Guest, and </w:t>
      </w:r>
      <w:proofErr w:type="spellStart"/>
      <w:r>
        <w:t>Kalil</w:t>
      </w:r>
      <w:proofErr w:type="spellEnd"/>
      <w:r>
        <w:t xml:space="preserve"> (2010) that family income can have substantial impact on academic achieving and the achievement gap begins in nursery and continues to expand throughout the school system (Magnuson and Duncan, 2006).  Low family income can lead to non-attendance in class with worries over uniform cost, school excursion cost, and being able to provide a lunch.  Furthermore, it is observed by Evans and Kim (2007) that these children living in lower income families are more likely to experience mental health problems which can contribute to lower attendance.  In addition, Han (2005) discusses how families with low income often work during more non-standard hours which links with poorer academic outcomes for learners as they are required to be more self-sufficient in getting ready for school and then transporting to school which can again, lead to more frequent absences or lateness.  Absent learners fail to receive teacher instruction, peer interaction, and other activities which are beneficial to learning.  Gottfried (2011) reiterates through his literature the growing link between attendance and academic achievement in which, as absenteeism rises, the academic performance decreases.  Further literature from Gottfried (2009) contributes that increased absence demonstrated lower reading and mathematic</w:t>
      </w:r>
      <w:r>
        <w:t>s</w:t>
      </w:r>
      <w:r>
        <w:t xml:space="preserve"> achievement in a study of seven to eleven year olds.  However, despite there being several possibilities as to how family income can be related to school attendance, there are very few studies that examine these links in depth with particular focus on primary schools.</w:t>
      </w:r>
    </w:p>
    <w:p w14:paraId="71C5056C" w14:textId="77777777" w:rsidR="00CC66D5" w:rsidRDefault="00CC66D5" w:rsidP="006E1930">
      <w:pPr>
        <w:spacing w:line="360" w:lineRule="auto"/>
      </w:pPr>
      <w:r>
        <w:t>A key focus of the priorities in the SDP of School X mention well-being of learners and giving care, support, and guidance within the school in order to improve those attendance figures.  The Anna Freud National Centre for Children and Families (</w:t>
      </w:r>
      <w:r>
        <w:rPr>
          <w:rFonts w:ascii="Arial" w:hAnsi="Arial" w:cs="Arial"/>
          <w:color w:val="000000"/>
          <w:sz w:val="20"/>
          <w:szCs w:val="20"/>
          <w:shd w:val="clear" w:color="auto" w:fill="FFFFFF"/>
        </w:rPr>
        <w:t>Absenteeism: Mentally Healthy Schools, n.d.</w:t>
      </w:r>
      <w:r>
        <w:t xml:space="preserve">) </w:t>
      </w:r>
      <w:r>
        <w:lastRenderedPageBreak/>
        <w:t>discusses how mental health difficulties can cause learners to have persistent absenteeism, which is classified as missing more than 10% of the academic year.  Furthermore, they go on to discuss how it can be common for children with additional learning needs (ALN) to want to avoid attending school and the important role that the additional learning needs coordinator (</w:t>
      </w:r>
      <w:proofErr w:type="spellStart"/>
      <w:r>
        <w:t>ALNCo</w:t>
      </w:r>
      <w:proofErr w:type="spellEnd"/>
      <w:r>
        <w:t xml:space="preserve">) has within that environment.  The Department for Education (2019) discusses how the overall absence rate for ALN learners was at 8.7% compared to 4.4% for those who had no identified additional needs.  Therefore, the wellbeing and care available for these learners whilst in the school needs to be at a high level to encourage them to attend.  The Department for Children, Schools, and Families (2009) discusses strategies that could be implemented for the school in order to encourage attendance for those mentally unwell learners and ALN learners.  These include transport using escorts; curricular provision being altered and then initiating plans such as School Action Plus to encourage the learners; and a focus on teaching and learning, monitoring and evaluation so the learners are able to make more progress and have more feelings of self-worth within the school and what it has to offer.  This again, echoes the important role of the </w:t>
      </w:r>
      <w:proofErr w:type="spellStart"/>
      <w:r>
        <w:t>ALNCo</w:t>
      </w:r>
      <w:proofErr w:type="spellEnd"/>
      <w:r>
        <w:t xml:space="preserve"> within the school to engage these learners and families to ensure attendance is high enough.</w:t>
      </w:r>
    </w:p>
    <w:p w14:paraId="2E6DF712" w14:textId="77777777" w:rsidR="00CC66D5" w:rsidRDefault="00CC66D5" w:rsidP="006E1930">
      <w:pPr>
        <w:spacing w:line="360" w:lineRule="auto"/>
      </w:pPr>
      <w:r>
        <w:t>Welsh Government (2014) outline four key stages for their school development planning cycle.  These are “self-evaluation, strategic planning, making improvement or action, reviewing impact” (p9).  These stages all come under the umbrella of “raising standards and improving learner outcomes” (p9) and initially start with the vision of what the school is trying to achieve.  This clear vision is required to provide context for the SDP and the vision needs to be shared and adopted by all stakeholders.</w:t>
      </w:r>
    </w:p>
    <w:p w14:paraId="4BAC4AAD" w14:textId="77777777" w:rsidR="00CC66D5" w:rsidRDefault="00CC66D5" w:rsidP="006E1930">
      <w:pPr>
        <w:spacing w:line="360" w:lineRule="auto"/>
      </w:pPr>
      <w:r>
        <w:t xml:space="preserve">Stage 1 discusses self-evaluation and this annual process assists schools in assessing their outcomes and where they can improve.  Estyn (2014) reiterates the importance of self-evaluation and how there is a strong link between self-evaluation in schools that is focused on outcomes, and improvements in experience and academic outcomes for learners.  School X has a section of their SDP dedicated to the self-evaluation of each priority which discusses what point they are at in their strategic planning.  In terms of the priority being discussed in this study, School X considers the continuation from last year’s attendance priority and mentions what the attendance level was and what their aim is.  Furthermore, using quantitative data as advised by Welsh Government (2014), School X states what they have achieved in terms of their lowest attending pupils and how they have improved their attendance.  This is positive to see as it is stated by Welsh Government that “robust self-evaluation” (p8) is informed by effective use of qualitative and quantitative data.  School X also utilises qualitative data as evidence for their self-evaluation such as the personal care plans and the evaluation of the provision for ALN learners.  Estyn (2014) provides three core questions for schools </w:t>
      </w:r>
      <w:r>
        <w:lastRenderedPageBreak/>
        <w:t>to use during their self-evaluation process which discuss the current positives of how the school is performing, what data can they use to evidence the claims, and what the next steps need to be to continue to improve.  These three questions are clearly utilised in the SDP of School X with their three columns heading; Where are we now? Based on self-evaluation; Targets and Success Criteria – We will know we have succeeded when; and key sources of evidences which has been previously discussed.</w:t>
      </w:r>
    </w:p>
    <w:p w14:paraId="2BB9A039" w14:textId="77777777" w:rsidR="00CC66D5" w:rsidRDefault="00CC66D5" w:rsidP="006E1930">
      <w:pPr>
        <w:spacing w:line="360" w:lineRule="auto"/>
      </w:pPr>
      <w:r>
        <w:t xml:space="preserve">Strategic planning is the focus of stage 2.  It discusses who needs to be involved in the planning in order for it to be the most effective and this is decided by Welsh Government (2014) to be all school partners and stakeholders.  This is delivered in the SDP of School X as they outline which staff and governors are leading on each priority and they outline a list at the start of the document with each staff member and their responsibility.   This stage also discusses the legalities behind a SDP and what needs to be included as per the SDP Regulations as outlined by The Education (School Development Plans) (Wales) Regulations (2014).  Firstly, the priorities for improvement for the next three years with detail for the current academic year and then high level for the preceding years.  School X discusses their short, medium, and long term priorities on page 19 of their SDP following an evaluation of the previous academic year’s SDP which is outlined in the regulations as also being essential.  They further discuss the national priorities of literacy and numeracy standards with this being echoed in one of their immediate priorities.  Following this procedure, School X continues to adhere to the regulations by discussing their targets and expected outcomes as previously mentioned when discussing stage 1.  They demonstrate clear success criteria and targets for the targets with particular focus on attendance and wellbeing.  Furthermore, in relation to the priority being discussed in this study, School X states how all staff will be given updated safeguarding training to assist with the well-being aspect of this priority.  This contributes to professional development which is the third point of the schedule in the regulations.  In addition, they have a section at the end of the SDP which outlines all professional development opportunities for the year that will contribute to the achievement of the SDP priorities.  Finally, the school must discuss school resources and how they will utilise them such as funding and school equipment.  School X outlines the cost of each strategy and where the funding will come from such as a pupil deprivation grant.  </w:t>
      </w:r>
    </w:p>
    <w:p w14:paraId="0B44683A" w14:textId="77777777" w:rsidR="00CC66D5" w:rsidRDefault="00CC66D5" w:rsidP="006E1930">
      <w:pPr>
        <w:spacing w:line="360" w:lineRule="auto"/>
      </w:pPr>
      <w:r>
        <w:t xml:space="preserve">Stage 3 consists of making the improvements outlined in the SDP and how they will be put into practice by the school staff.  The guidance document discusses how high-quality leadership is needed at all levels so the staff are continually committed and engaged in order for the SDP to be efficiently and effectively implemented.  The guidance further discusses how timelines are needed to be able to implement the targets and School X outlines when each aspect of the priority will begin </w:t>
      </w:r>
      <w:r>
        <w:lastRenderedPageBreak/>
        <w:t xml:space="preserve">and when it will end.  They also define which stakeholders are responsible and these include staff, governors, and students.  </w:t>
      </w:r>
    </w:p>
    <w:p w14:paraId="5A5F316A" w14:textId="77777777" w:rsidR="00CC66D5" w:rsidRDefault="00CC66D5" w:rsidP="006E1930">
      <w:pPr>
        <w:spacing w:line="360" w:lineRule="auto"/>
      </w:pPr>
      <w:r>
        <w:t>Finally, stage 4 reviews the impact of the SDP which is revised and reviewed at a minimum of annually or following an Estyn inspection whichever comes first.  This is outlined as regulation 6 by The Education (School Development Plans) (Wales) Regulations (2014).  By reviewing the documents, it demonstrates that SDPs are “live documents” (Welsh Government, 2014, p17) and need to continually be looked at and improved.</w:t>
      </w:r>
    </w:p>
    <w:p w14:paraId="10F7A021" w14:textId="77777777" w:rsidR="00CC66D5" w:rsidRDefault="00CC66D5" w:rsidP="006E1930">
      <w:pPr>
        <w:spacing w:line="360" w:lineRule="auto"/>
      </w:pPr>
      <w:r>
        <w:t>To recap, the priority being discussed in this study is ‘to have robust care, support and guidance within the school that includes improved attendance figures.’  It has been seen by the author that School X made considerable efforts to implement this priority whilst they were at the school.  Firstly, every Monday was an attendance assembly where the highest attending class of the week were given a trophy.  Furthermore, every child who had achieved 100% attendance in the previous week were entered into a prize draw to win a five pound cinema voucher.  The second strategy was brought in during the Autumn term and was a new strategy implemented by the senior leadership team.  However, despite this seemingly being a positive strategy, it has been discussed by Robinson et al., (2016) that rewards actually have no impact on attendance which could nullify the attempt made here by School X.  Despite the research suggesting that these awards could possibly not assist the implementation of the SDP, the author believes it is a positive message to deliver to learners of the school.  A further recommendation could be to implement a ‘most improved’ attendance award which may encourage attendance from those who are aware that their attendance levels are low.  This gives all learners an opportunity to receive an award where in some cases, they would consider the 100% award out of reach due to issues relating to home life, or medically which impact on their attendance.</w:t>
      </w:r>
    </w:p>
    <w:p w14:paraId="06C6C5B1" w14:textId="77777777" w:rsidR="00CC66D5" w:rsidRDefault="00CC66D5" w:rsidP="006E1930">
      <w:pPr>
        <w:spacing w:line="360" w:lineRule="auto"/>
      </w:pPr>
      <w:r>
        <w:t xml:space="preserve">Whilst the author was at the school, two safeguarding sessions were attended as a twilight session and an INSET day.  These sessions were given to all staff members in the school including kitchen staff, teaching assistants, and caretakers.  This adheres to the points made in their SDP and the collaborative nature required of the implementation of the SDP as outlined by the aforementioned regulations.  Bandele (2009) reported that schools needed to offer all staff appropriate safeguarding training which is then echoed in the SDP of School X and in their actions.  These county-delivered sessions were extremely useful and well-received by all staff members. By having safeguarding revision it allows all staff to be able to give the same level of care, support, and guidance, which is mentioned within the priority, to all students in the school.  </w:t>
      </w:r>
    </w:p>
    <w:p w14:paraId="129AD784" w14:textId="77777777" w:rsidR="00CC66D5" w:rsidRDefault="00CC66D5" w:rsidP="006E1930">
      <w:pPr>
        <w:spacing w:line="360" w:lineRule="auto"/>
      </w:pPr>
      <w:r>
        <w:lastRenderedPageBreak/>
        <w:t>However, the author was not at School X long enough to make further recommendations on the implementation of their SDP above what they had seen implemented which is mentioned above.  The discussed strategies were the only ones that were clearly visible to the author and there could potentially be more transparency with the SDP implementation to staff in the school who were not attending the weekly staff meetings.  This would concur with the regulation discussing collaboration and ensuring all stakeholders were committed to the SDP.  Furthermore, as discussed by Regulation 7, the SDP needs to be readily available to all governors and school staff but was not given as a key document at the beginning of the author’s placement.  However, it was promptly given when asked for.  This could reiterate the point made about transparency and accessibility to school documents.</w:t>
      </w:r>
    </w:p>
    <w:p w14:paraId="594AAFFA" w14:textId="69EB8EDD" w:rsidR="00CC66D5" w:rsidRDefault="00CC66D5" w:rsidP="006E1930">
      <w:pPr>
        <w:spacing w:line="360" w:lineRule="auto"/>
      </w:pPr>
      <w:r>
        <w:t>In conclusion, the SDP is clearly a whole-school document and needs to be shared to be able to be at its most effective and influential.  The priority discussed in this study is clearly on a journey to being effectively implemented and utilised within School X and they are taking necessary steps to do so.  Furthermore, School X are clearly following the regulations outlined by The Education (School Development Plans) (Wales) Regulations (2014) and the guidance set out by the Welsh Government (2014) to create and implement an effective SDP.  Upon reflection, it is important to be able to understand and decipher these documents whilst as a student-teacher in preparation for professional practice in the future.  It is also beneficial to be aware of the priorities on the SDP whilst on placement so it can concur with the Professional Teaching Standards of supporting formal leadership roles during your practice.  Furthermore, during practice, there may be an opportunity to be in charge of implementing an SDP in a leadership role and this baseline understanding which will have been furthered during practice will prove useful and effective within the school as it demonstrates the awareness of the effect an SDP needs to have and how to positively implement one.</w:t>
      </w:r>
      <w:bookmarkStart w:id="1" w:name="_GoBack"/>
      <w:bookmarkEnd w:id="1"/>
    </w:p>
    <w:p w14:paraId="0CD49B17" w14:textId="37EA42F8" w:rsidR="006E1930" w:rsidRDefault="006E1930" w:rsidP="00CC66D5">
      <w:r>
        <w:t>Word Count: 2750</w:t>
      </w:r>
    </w:p>
    <w:p w14:paraId="051B5316" w14:textId="77777777" w:rsidR="006E1930" w:rsidRDefault="006E1930" w:rsidP="00CC66D5"/>
    <w:p w14:paraId="56AB7CDD" w14:textId="77777777" w:rsidR="006E1930" w:rsidRPr="006E1930" w:rsidRDefault="006E1930" w:rsidP="006E1930">
      <w:pPr>
        <w:rPr>
          <w:rFonts w:cstheme="minorHAnsi"/>
          <w:b/>
          <w:bCs/>
          <w:u w:val="single"/>
        </w:rPr>
      </w:pPr>
      <w:r w:rsidRPr="006E1930">
        <w:rPr>
          <w:rFonts w:cstheme="minorHAnsi"/>
          <w:b/>
          <w:bCs/>
          <w:u w:val="single"/>
        </w:rPr>
        <w:t>References</w:t>
      </w:r>
    </w:p>
    <w:p w14:paraId="0BE21523" w14:textId="044F354F" w:rsidR="006E1930" w:rsidRPr="006E1930" w:rsidRDefault="006E1930" w:rsidP="006E1930">
      <w:pPr>
        <w:rPr>
          <w:rFonts w:cstheme="minorHAnsi"/>
        </w:rPr>
      </w:pPr>
      <w:r w:rsidRPr="006E1930">
        <w:rPr>
          <w:rFonts w:cstheme="minorHAnsi"/>
        </w:rPr>
        <w:t>Bandele, F. (2009). ‘The contribution of schools to safeguarding children.’ In: Hughes, L. and Owen, H. (Eds) Good Practice in Safeguarding Children: Working Effectively in Child Protection. London: Jessica Kingsley Publishers.</w:t>
      </w:r>
      <w:r>
        <w:rPr>
          <w:rFonts w:cstheme="minorHAnsi"/>
        </w:rPr>
        <w:br/>
      </w:r>
    </w:p>
    <w:p w14:paraId="7B5193F0" w14:textId="07E04E33" w:rsidR="006E1930" w:rsidRDefault="006E1930" w:rsidP="006E1930">
      <w:pPr>
        <w:spacing w:line="360" w:lineRule="auto"/>
        <w:rPr>
          <w:rFonts w:eastAsiaTheme="minorEastAsia" w:cstheme="minorHAnsi"/>
        </w:rPr>
      </w:pPr>
      <w:r w:rsidRPr="006E1930">
        <w:rPr>
          <w:rFonts w:eastAsiaTheme="minorEastAsia" w:cstheme="minorHAnsi"/>
        </w:rPr>
        <w:t xml:space="preserve">British Educational Research Association [BERA]. (2018) </w:t>
      </w:r>
      <w:r w:rsidRPr="006E1930">
        <w:rPr>
          <w:rFonts w:eastAsiaTheme="minorEastAsia" w:cstheme="minorHAnsi"/>
          <w:i/>
          <w:iCs/>
        </w:rPr>
        <w:t>Ethical Guidelines for Educational Research</w:t>
      </w:r>
      <w:r w:rsidRPr="006E1930">
        <w:rPr>
          <w:rFonts w:eastAsiaTheme="minorEastAsia" w:cstheme="minorHAnsi"/>
        </w:rPr>
        <w:t xml:space="preserve"> 4</w:t>
      </w:r>
      <w:r w:rsidRPr="006E1930">
        <w:rPr>
          <w:rFonts w:eastAsiaTheme="minorEastAsia" w:cstheme="minorHAnsi"/>
          <w:vertAlign w:val="superscript"/>
        </w:rPr>
        <w:t>th</w:t>
      </w:r>
      <w:r w:rsidRPr="006E1930">
        <w:rPr>
          <w:rFonts w:eastAsiaTheme="minorEastAsia" w:cstheme="minorHAnsi"/>
        </w:rPr>
        <w:t xml:space="preserve"> Ed.  London: BERA. </w:t>
      </w:r>
    </w:p>
    <w:p w14:paraId="4324AB02" w14:textId="77777777" w:rsidR="006E1930" w:rsidRPr="006E1930" w:rsidRDefault="006E1930" w:rsidP="006E1930">
      <w:pPr>
        <w:spacing w:line="360" w:lineRule="auto"/>
        <w:rPr>
          <w:rFonts w:eastAsiaTheme="minorEastAsia" w:cstheme="minorHAnsi"/>
        </w:rPr>
      </w:pPr>
    </w:p>
    <w:p w14:paraId="03A54F2F" w14:textId="23B4C42B" w:rsidR="006E1930" w:rsidRDefault="006E1930" w:rsidP="006E1930">
      <w:pPr>
        <w:rPr>
          <w:rFonts w:cstheme="minorHAnsi"/>
          <w:color w:val="000000"/>
          <w:shd w:val="clear" w:color="auto" w:fill="FFFFFF"/>
        </w:rPr>
      </w:pPr>
      <w:r w:rsidRPr="006E1930">
        <w:rPr>
          <w:rFonts w:cstheme="minorHAnsi"/>
          <w:color w:val="000000"/>
          <w:shd w:val="clear" w:color="auto" w:fill="FFFFFF"/>
        </w:rPr>
        <w:lastRenderedPageBreak/>
        <w:t>Department for Children, Schools, and Families, 2009. </w:t>
      </w:r>
      <w:r w:rsidRPr="006E1930">
        <w:rPr>
          <w:rFonts w:cstheme="minorHAnsi"/>
          <w:i/>
          <w:iCs/>
          <w:color w:val="000000"/>
          <w:shd w:val="clear" w:color="auto" w:fill="FFFFFF"/>
        </w:rPr>
        <w:t>Guidance On The Attendance Of Pupils With Special Educational Needs (SEN)</w:t>
      </w:r>
      <w:r w:rsidRPr="006E1930">
        <w:rPr>
          <w:rFonts w:cstheme="minorHAnsi"/>
          <w:color w:val="000000"/>
          <w:shd w:val="clear" w:color="auto" w:fill="FFFFFF"/>
        </w:rPr>
        <w:t>. [online] Lancsngfl.ac.uk. Available at: &lt;https://www.lancsngfl.ac.uk/projects/sen/download/file/banda_att_senguide_0006809%5B1%5D.pdf&gt; [Accessed 1 April 2020].</w:t>
      </w:r>
    </w:p>
    <w:p w14:paraId="68D671AC" w14:textId="77777777" w:rsidR="006E1930" w:rsidRPr="006E1930" w:rsidRDefault="006E1930" w:rsidP="006E1930">
      <w:pPr>
        <w:rPr>
          <w:rFonts w:cstheme="minorHAnsi"/>
        </w:rPr>
      </w:pPr>
    </w:p>
    <w:p w14:paraId="77DB6E40" w14:textId="3F4F6847" w:rsidR="006E1930" w:rsidRDefault="006E1930" w:rsidP="006E1930">
      <w:pPr>
        <w:rPr>
          <w:rFonts w:cstheme="minorHAnsi"/>
          <w:color w:val="000000"/>
          <w:shd w:val="clear" w:color="auto" w:fill="FFFFFF"/>
        </w:rPr>
      </w:pPr>
      <w:r w:rsidRPr="006E1930">
        <w:rPr>
          <w:rFonts w:cstheme="minorHAnsi"/>
          <w:color w:val="000000"/>
          <w:shd w:val="clear" w:color="auto" w:fill="FFFFFF"/>
        </w:rPr>
        <w:t>Department for Education (2019). </w:t>
      </w:r>
      <w:r w:rsidRPr="006E1930">
        <w:rPr>
          <w:rFonts w:cstheme="minorHAnsi"/>
          <w:i/>
          <w:iCs/>
          <w:color w:val="000000"/>
          <w:shd w:val="clear" w:color="auto" w:fill="FFFFFF"/>
        </w:rPr>
        <w:t>Pupil Absence In Schools In England: 2017 To 2018</w:t>
      </w:r>
      <w:r w:rsidRPr="006E1930">
        <w:rPr>
          <w:rFonts w:cstheme="minorHAnsi"/>
          <w:color w:val="000000"/>
          <w:shd w:val="clear" w:color="auto" w:fill="FFFFFF"/>
        </w:rPr>
        <w:t>. [online] GOV.UK. Available at: &lt;https://www.gov.uk/government/statistics/pupil-absence-in-schools-in-england-2017-to-2018&gt; [Accessed 1 April 2020].</w:t>
      </w:r>
    </w:p>
    <w:p w14:paraId="646052F8" w14:textId="77777777" w:rsidR="006E1930" w:rsidRPr="006E1930" w:rsidRDefault="006E1930" w:rsidP="006E1930">
      <w:pPr>
        <w:rPr>
          <w:rFonts w:cstheme="minorHAnsi"/>
        </w:rPr>
      </w:pPr>
    </w:p>
    <w:p w14:paraId="38218596" w14:textId="05D3BB57" w:rsidR="006E1930" w:rsidRDefault="006E1930" w:rsidP="006E1930">
      <w:pPr>
        <w:spacing w:line="360" w:lineRule="auto"/>
        <w:rPr>
          <w:rFonts w:eastAsiaTheme="minorEastAsia" w:cstheme="minorHAnsi"/>
        </w:rPr>
      </w:pPr>
      <w:r w:rsidRPr="006E1930">
        <w:rPr>
          <w:rFonts w:eastAsiaTheme="minorEastAsia" w:cstheme="minorHAnsi"/>
        </w:rPr>
        <w:t xml:space="preserve">Donaldson, G. (2015) </w:t>
      </w:r>
      <w:r w:rsidRPr="006E1930">
        <w:rPr>
          <w:rFonts w:eastAsiaTheme="minorEastAsia" w:cstheme="minorHAnsi"/>
          <w:i/>
          <w:iCs/>
        </w:rPr>
        <w:t xml:space="preserve">Successful Futures – Independent Review of Curriculum and Assessment Arrangements in Wales. </w:t>
      </w:r>
      <w:r w:rsidRPr="006E1930">
        <w:rPr>
          <w:rFonts w:eastAsiaTheme="minorEastAsia" w:cstheme="minorHAnsi"/>
        </w:rPr>
        <w:t xml:space="preserve">Available at: </w:t>
      </w:r>
      <w:hyperlink r:id="rId9" w:history="1">
        <w:r w:rsidRPr="006E1930">
          <w:rPr>
            <w:rFonts w:eastAsiaTheme="minorEastAsia" w:cstheme="minorHAnsi"/>
            <w:color w:val="0563C1" w:themeColor="hyperlink"/>
            <w:u w:val="single"/>
          </w:rPr>
          <w:t>https://gov.wales/docs/dcells/publications/150225-successful-futures-en.pdf</w:t>
        </w:r>
      </w:hyperlink>
      <w:r w:rsidRPr="006E1930">
        <w:rPr>
          <w:rFonts w:eastAsiaTheme="minorEastAsia" w:cstheme="minorHAnsi"/>
          <w:color w:val="0563C1" w:themeColor="hyperlink"/>
          <w:u w:val="single"/>
        </w:rPr>
        <w:t xml:space="preserve"> </w:t>
      </w:r>
      <w:r w:rsidRPr="006E1930">
        <w:rPr>
          <w:rFonts w:eastAsiaTheme="minorEastAsia" w:cstheme="minorHAnsi"/>
        </w:rPr>
        <w:t>(Accessed: 10</w:t>
      </w:r>
      <w:r w:rsidRPr="006E1930">
        <w:rPr>
          <w:rFonts w:eastAsiaTheme="minorEastAsia" w:cstheme="minorHAnsi"/>
          <w:vertAlign w:val="superscript"/>
        </w:rPr>
        <w:t>th</w:t>
      </w:r>
      <w:r w:rsidRPr="006E1930">
        <w:rPr>
          <w:rFonts w:eastAsiaTheme="minorEastAsia" w:cstheme="minorHAnsi"/>
        </w:rPr>
        <w:t xml:space="preserve"> March 2020)</w:t>
      </w:r>
    </w:p>
    <w:p w14:paraId="26C6A2A4" w14:textId="77777777" w:rsidR="006E1930" w:rsidRPr="006E1930" w:rsidRDefault="006E1930" w:rsidP="006E1930">
      <w:pPr>
        <w:spacing w:line="360" w:lineRule="auto"/>
        <w:rPr>
          <w:rFonts w:eastAsiaTheme="minorEastAsia" w:cstheme="minorHAnsi"/>
        </w:rPr>
      </w:pPr>
    </w:p>
    <w:p w14:paraId="790E9A8A" w14:textId="2D5A4399" w:rsidR="006E1930" w:rsidRDefault="006E1930" w:rsidP="006E1930">
      <w:pPr>
        <w:spacing w:line="360" w:lineRule="auto"/>
        <w:rPr>
          <w:rFonts w:cstheme="minorHAnsi"/>
        </w:rPr>
      </w:pPr>
      <w:r w:rsidRPr="006E1930">
        <w:rPr>
          <w:rFonts w:cstheme="minorHAnsi"/>
        </w:rPr>
        <w:t xml:space="preserve">Duncan, G., </w:t>
      </w:r>
      <w:proofErr w:type="spellStart"/>
      <w:r w:rsidRPr="006E1930">
        <w:rPr>
          <w:rFonts w:cstheme="minorHAnsi"/>
        </w:rPr>
        <w:t>Ziol</w:t>
      </w:r>
      <w:proofErr w:type="spellEnd"/>
      <w:r w:rsidRPr="006E1930">
        <w:rPr>
          <w:rFonts w:cstheme="minorHAnsi"/>
        </w:rPr>
        <w:t xml:space="preserve">-Guest, K., &amp; </w:t>
      </w:r>
      <w:proofErr w:type="spellStart"/>
      <w:r w:rsidRPr="006E1930">
        <w:rPr>
          <w:rFonts w:cstheme="minorHAnsi"/>
        </w:rPr>
        <w:t>Kalil</w:t>
      </w:r>
      <w:proofErr w:type="spellEnd"/>
      <w:r w:rsidRPr="006E1930">
        <w:rPr>
          <w:rFonts w:cstheme="minorHAnsi"/>
        </w:rPr>
        <w:t xml:space="preserve">, A. (2010). Early childhood poverty and adult attainment, </w:t>
      </w:r>
      <w:proofErr w:type="spellStart"/>
      <w:r w:rsidRPr="006E1930">
        <w:rPr>
          <w:rFonts w:cstheme="minorHAnsi"/>
        </w:rPr>
        <w:t>behavior</w:t>
      </w:r>
      <w:proofErr w:type="spellEnd"/>
      <w:r w:rsidRPr="006E1930">
        <w:rPr>
          <w:rFonts w:cstheme="minorHAnsi"/>
        </w:rPr>
        <w:t xml:space="preserve"> and health. Child Development, 81, 306 –325. doi:10.1111/j.1467-8624.2009.01396.x</w:t>
      </w:r>
    </w:p>
    <w:p w14:paraId="7AE00C23" w14:textId="77777777" w:rsidR="006E1930" w:rsidRPr="006E1930" w:rsidRDefault="006E1930" w:rsidP="006E1930">
      <w:pPr>
        <w:spacing w:line="360" w:lineRule="auto"/>
        <w:rPr>
          <w:rFonts w:cstheme="minorHAnsi"/>
        </w:rPr>
      </w:pPr>
    </w:p>
    <w:p w14:paraId="404B922D" w14:textId="003E8677" w:rsidR="006E1930" w:rsidRDefault="006E1930" w:rsidP="006E1930">
      <w:pPr>
        <w:spacing w:line="360" w:lineRule="auto"/>
        <w:rPr>
          <w:rFonts w:cstheme="minorHAnsi"/>
        </w:rPr>
      </w:pPr>
      <w:r w:rsidRPr="006E1930">
        <w:rPr>
          <w:rFonts w:eastAsiaTheme="minorEastAsia" w:cstheme="minorHAnsi"/>
        </w:rPr>
        <w:t xml:space="preserve">Estyn (2019) </w:t>
      </w:r>
      <w:r w:rsidRPr="006E1930">
        <w:rPr>
          <w:rFonts w:eastAsia="Times New Roman" w:cstheme="minorHAnsi"/>
          <w:i/>
          <w:iCs/>
          <w:color w:val="111111"/>
          <w:kern w:val="36"/>
          <w:lang w:eastAsia="en-GB"/>
        </w:rPr>
        <w:t xml:space="preserve">A national evaluation and improvement resource for schools. </w:t>
      </w:r>
      <w:r w:rsidRPr="006E1930">
        <w:rPr>
          <w:rFonts w:eastAsia="Times New Roman" w:cstheme="minorHAnsi"/>
          <w:color w:val="111111"/>
          <w:kern w:val="36"/>
          <w:lang w:eastAsia="en-GB"/>
        </w:rPr>
        <w:t xml:space="preserve">[online] Available at: </w:t>
      </w:r>
      <w:hyperlink r:id="rId10" w:history="1">
        <w:r w:rsidRPr="006E1930">
          <w:rPr>
            <w:rStyle w:val="Hyperlink"/>
            <w:rFonts w:cstheme="minorHAnsi"/>
            <w:color w:val="4472C4" w:themeColor="accent1"/>
          </w:rPr>
          <w:t>https://www.estyn.gov.wales/inspection/national-evaluation-and-improvement-resource-schools</w:t>
        </w:r>
      </w:hyperlink>
      <w:r w:rsidRPr="006E1930">
        <w:rPr>
          <w:rFonts w:cstheme="minorHAnsi"/>
          <w:color w:val="4472C4" w:themeColor="accent1"/>
          <w:u w:val="single"/>
        </w:rPr>
        <w:t xml:space="preserve"> </w:t>
      </w:r>
      <w:r w:rsidRPr="006E1930">
        <w:rPr>
          <w:rFonts w:cstheme="minorHAnsi"/>
        </w:rPr>
        <w:t>(Accessed: 1st April 2020)</w:t>
      </w:r>
    </w:p>
    <w:p w14:paraId="79B93E7F" w14:textId="77777777" w:rsidR="006E1930" w:rsidRPr="006E1930" w:rsidRDefault="006E1930" w:rsidP="006E1930">
      <w:pPr>
        <w:spacing w:line="360" w:lineRule="auto"/>
        <w:rPr>
          <w:rFonts w:cstheme="minorHAnsi"/>
        </w:rPr>
      </w:pPr>
    </w:p>
    <w:p w14:paraId="2E338D82" w14:textId="529F81FA" w:rsidR="006E1930" w:rsidRDefault="006E1930" w:rsidP="006E1930">
      <w:pPr>
        <w:spacing w:line="360" w:lineRule="auto"/>
        <w:rPr>
          <w:rFonts w:cstheme="minorHAnsi"/>
          <w:color w:val="000000"/>
          <w:shd w:val="clear" w:color="auto" w:fill="FFFFFF"/>
        </w:rPr>
      </w:pPr>
      <w:r w:rsidRPr="006E1930">
        <w:rPr>
          <w:rFonts w:cstheme="minorHAnsi"/>
          <w:color w:val="000000"/>
          <w:shd w:val="clear" w:color="auto" w:fill="FFFFFF"/>
        </w:rPr>
        <w:t xml:space="preserve">Estyn (2014) </w:t>
      </w:r>
      <w:r w:rsidRPr="006E1930">
        <w:rPr>
          <w:rFonts w:cstheme="minorHAnsi"/>
          <w:i/>
          <w:iCs/>
          <w:color w:val="000000"/>
          <w:shd w:val="clear" w:color="auto" w:fill="FFFFFF"/>
        </w:rPr>
        <w:t>A Self-Evaluation Manual For Primary Schools</w:t>
      </w:r>
      <w:r w:rsidRPr="006E1930">
        <w:rPr>
          <w:rFonts w:cstheme="minorHAnsi"/>
          <w:color w:val="000000"/>
          <w:shd w:val="clear" w:color="auto" w:fill="FFFFFF"/>
        </w:rPr>
        <w:t>. [online] Available at: &lt;https://www.estyn.gov.wales/document/self-evaluation-manual-primary-schools&gt; [Accessed 4 April 2020].</w:t>
      </w:r>
    </w:p>
    <w:p w14:paraId="4C4A3500" w14:textId="77777777" w:rsidR="006E1930" w:rsidRPr="006E1930" w:rsidRDefault="006E1930" w:rsidP="006E1930">
      <w:pPr>
        <w:spacing w:line="360" w:lineRule="auto"/>
        <w:rPr>
          <w:rFonts w:cstheme="minorHAnsi"/>
        </w:rPr>
      </w:pPr>
    </w:p>
    <w:p w14:paraId="0AC880CF" w14:textId="55E03164" w:rsidR="006E1930" w:rsidRDefault="006E1930" w:rsidP="006E1930">
      <w:pPr>
        <w:spacing w:line="360" w:lineRule="auto"/>
        <w:rPr>
          <w:rFonts w:cstheme="minorHAnsi"/>
        </w:rPr>
      </w:pPr>
      <w:r w:rsidRPr="006E1930">
        <w:rPr>
          <w:rFonts w:cstheme="minorHAnsi"/>
        </w:rPr>
        <w:t>Evans, G. W., &amp; Kim, P. (2007). Childhood poverty and health: Cumulative risk exposure and stress dysregulation. Psychological Science, 18, 953–957. doi:10.1111/j.1467-9280.2007.02008.x</w:t>
      </w:r>
    </w:p>
    <w:p w14:paraId="14D3B4DA" w14:textId="77777777" w:rsidR="006E1930" w:rsidRPr="006E1930" w:rsidRDefault="006E1930" w:rsidP="006E1930">
      <w:pPr>
        <w:spacing w:line="360" w:lineRule="auto"/>
        <w:rPr>
          <w:rFonts w:cstheme="minorHAnsi"/>
        </w:rPr>
      </w:pPr>
    </w:p>
    <w:p w14:paraId="49022ABD" w14:textId="18CDDBC6" w:rsidR="006E1930" w:rsidRDefault="006E1930" w:rsidP="006E1930">
      <w:pPr>
        <w:spacing w:line="360" w:lineRule="auto"/>
        <w:rPr>
          <w:rFonts w:cstheme="minorHAnsi"/>
        </w:rPr>
      </w:pPr>
      <w:r w:rsidRPr="006E1930">
        <w:rPr>
          <w:rFonts w:cstheme="minorHAnsi"/>
        </w:rPr>
        <w:t xml:space="preserve">Gottfried, M. A. (2009). Excused versus unexcused: How student absences in elementary school affect academic achievement. Educational Evaluation and Policy Analysis, 31, 392– 415. </w:t>
      </w:r>
    </w:p>
    <w:p w14:paraId="2C7506D5" w14:textId="77777777" w:rsidR="006E1930" w:rsidRPr="006E1930" w:rsidRDefault="006E1930" w:rsidP="006E1930">
      <w:pPr>
        <w:spacing w:line="360" w:lineRule="auto"/>
        <w:rPr>
          <w:rFonts w:cstheme="minorHAnsi"/>
        </w:rPr>
      </w:pPr>
    </w:p>
    <w:p w14:paraId="732E6E92" w14:textId="2093F34C" w:rsidR="006E1930" w:rsidRDefault="006E1930" w:rsidP="006E1930">
      <w:pPr>
        <w:spacing w:line="360" w:lineRule="auto"/>
        <w:rPr>
          <w:rFonts w:cstheme="minorHAnsi"/>
        </w:rPr>
      </w:pPr>
      <w:r w:rsidRPr="006E1930">
        <w:rPr>
          <w:rFonts w:cstheme="minorHAnsi"/>
        </w:rPr>
        <w:lastRenderedPageBreak/>
        <w:t>Gottfried, M. A. (2011). The detrimental effects of missing school: Evidence from urban siblings. American Journal of Education, 117, 147– 182. doi:10.1086/657886</w:t>
      </w:r>
    </w:p>
    <w:p w14:paraId="66E95CE2" w14:textId="77777777" w:rsidR="006E1930" w:rsidRPr="006E1930" w:rsidRDefault="006E1930" w:rsidP="006E1930">
      <w:pPr>
        <w:spacing w:line="360" w:lineRule="auto"/>
        <w:rPr>
          <w:rFonts w:cstheme="minorHAnsi"/>
        </w:rPr>
      </w:pPr>
    </w:p>
    <w:p w14:paraId="5754D60B" w14:textId="219D45BC" w:rsidR="006E1930" w:rsidRDefault="006E1930" w:rsidP="006E1930">
      <w:pPr>
        <w:spacing w:line="360" w:lineRule="auto"/>
        <w:rPr>
          <w:rFonts w:cstheme="minorHAnsi"/>
        </w:rPr>
      </w:pPr>
      <w:r w:rsidRPr="006E1930">
        <w:rPr>
          <w:rFonts w:cstheme="minorHAnsi"/>
        </w:rPr>
        <w:t>Han, W-J. (2005). Maternal nonstandard work schedules and child outcomes. Child Development, 76, 137–154. doi:10.1111/j.1467-8624.2005 .00835.x</w:t>
      </w:r>
    </w:p>
    <w:p w14:paraId="29890BE6" w14:textId="77777777" w:rsidR="006E1930" w:rsidRPr="006E1930" w:rsidRDefault="006E1930" w:rsidP="006E1930">
      <w:pPr>
        <w:spacing w:line="360" w:lineRule="auto"/>
        <w:rPr>
          <w:rFonts w:eastAsiaTheme="minorEastAsia" w:cstheme="minorHAnsi"/>
        </w:rPr>
      </w:pPr>
    </w:p>
    <w:p w14:paraId="6CA43956" w14:textId="099A3ECA" w:rsidR="006E1930" w:rsidRDefault="006E1930" w:rsidP="006E1930">
      <w:pPr>
        <w:rPr>
          <w:rFonts w:cstheme="minorHAnsi"/>
        </w:rPr>
      </w:pPr>
      <w:r w:rsidRPr="006E1930">
        <w:rPr>
          <w:rFonts w:cstheme="minorHAnsi"/>
        </w:rPr>
        <w:t>Magnuson, K., &amp; Duncan, G. (2006). The role of family socioeconomic resources in racial test score gaps. Developmental Review, 26, 365–399. doi:10.1016/j.dr.2006.06.004</w:t>
      </w:r>
    </w:p>
    <w:p w14:paraId="7D6782C0" w14:textId="77777777" w:rsidR="006E1930" w:rsidRPr="006E1930" w:rsidRDefault="006E1930" w:rsidP="006E1930">
      <w:pPr>
        <w:rPr>
          <w:rFonts w:cstheme="minorHAnsi"/>
        </w:rPr>
      </w:pPr>
    </w:p>
    <w:p w14:paraId="7338942C" w14:textId="071008DF" w:rsidR="006E1930" w:rsidRDefault="006E1930" w:rsidP="006E1930">
      <w:pPr>
        <w:rPr>
          <w:rFonts w:cstheme="minorHAnsi"/>
          <w:color w:val="000000"/>
          <w:shd w:val="clear" w:color="auto" w:fill="FFFFFF"/>
        </w:rPr>
      </w:pPr>
      <w:r w:rsidRPr="006E1930">
        <w:rPr>
          <w:rFonts w:cstheme="minorHAnsi"/>
          <w:color w:val="000000"/>
          <w:shd w:val="clear" w:color="auto" w:fill="FFFFFF"/>
        </w:rPr>
        <w:t>Maslow, A. H. (1943). </w:t>
      </w:r>
      <w:hyperlink r:id="rId11" w:tgtFrame="dsiplay" w:history="1">
        <w:r w:rsidRPr="006E1930">
          <w:rPr>
            <w:rStyle w:val="Hyperlink"/>
            <w:rFonts w:cstheme="minorHAnsi"/>
            <w:color w:val="337AB7"/>
            <w:shd w:val="clear" w:color="auto" w:fill="FFFFFF"/>
          </w:rPr>
          <w:t>A theory of human motivation</w:t>
        </w:r>
      </w:hyperlink>
      <w:r w:rsidRPr="006E1930">
        <w:rPr>
          <w:rFonts w:cstheme="minorHAnsi"/>
          <w:color w:val="000000"/>
          <w:shd w:val="clear" w:color="auto" w:fill="FFFFFF"/>
        </w:rPr>
        <w:t>. </w:t>
      </w:r>
      <w:r w:rsidRPr="006E1930">
        <w:rPr>
          <w:rStyle w:val="Emphasis"/>
          <w:rFonts w:cstheme="minorHAnsi"/>
          <w:color w:val="000000"/>
          <w:shd w:val="clear" w:color="auto" w:fill="FFFFFF"/>
        </w:rPr>
        <w:t>Psychological Review, 50(4)</w:t>
      </w:r>
      <w:r w:rsidRPr="006E1930">
        <w:rPr>
          <w:rFonts w:cstheme="minorHAnsi"/>
          <w:color w:val="000000"/>
          <w:shd w:val="clear" w:color="auto" w:fill="FFFFFF"/>
        </w:rPr>
        <w:t>, 370-96.</w:t>
      </w:r>
    </w:p>
    <w:p w14:paraId="0D311613" w14:textId="77777777" w:rsidR="006E1930" w:rsidRPr="006E1930" w:rsidRDefault="006E1930" w:rsidP="006E1930">
      <w:pPr>
        <w:rPr>
          <w:rFonts w:cstheme="minorHAnsi"/>
        </w:rPr>
      </w:pPr>
    </w:p>
    <w:p w14:paraId="5C99469B" w14:textId="2F28A02F" w:rsidR="006E1930" w:rsidRDefault="006E1930" w:rsidP="006E1930">
      <w:pPr>
        <w:rPr>
          <w:rFonts w:cstheme="minorHAnsi"/>
          <w:color w:val="000000"/>
          <w:shd w:val="clear" w:color="auto" w:fill="FFFFFF"/>
        </w:rPr>
      </w:pPr>
      <w:r w:rsidRPr="006E1930">
        <w:rPr>
          <w:rFonts w:cstheme="minorHAnsi"/>
          <w:color w:val="000000"/>
          <w:shd w:val="clear" w:color="auto" w:fill="FFFFFF"/>
        </w:rPr>
        <w:t>Mentallyhealthyschools.org.uk. n.d. </w:t>
      </w:r>
      <w:r w:rsidRPr="006E1930">
        <w:rPr>
          <w:rFonts w:cstheme="minorHAnsi"/>
          <w:i/>
          <w:iCs/>
          <w:color w:val="000000"/>
          <w:shd w:val="clear" w:color="auto" w:fill="FFFFFF"/>
        </w:rPr>
        <w:t>Absenteeism: Mentally Healthy Schools</w:t>
      </w:r>
      <w:r w:rsidRPr="006E1930">
        <w:rPr>
          <w:rFonts w:cstheme="minorHAnsi"/>
          <w:color w:val="000000"/>
          <w:shd w:val="clear" w:color="auto" w:fill="FFFFFF"/>
        </w:rPr>
        <w:t>. [online] Available at: &lt;https://www.mentallyhealthyschools.org.uk/risks-and-protective-factors/school-based-risk-factors/absenteeism/&gt; [Accessed 1 April 2020].</w:t>
      </w:r>
    </w:p>
    <w:p w14:paraId="4495F747" w14:textId="1CC71D7B" w:rsidR="006E1930" w:rsidRPr="006E1930" w:rsidRDefault="006E1930" w:rsidP="006E1930">
      <w:pPr>
        <w:rPr>
          <w:rFonts w:cstheme="minorHAnsi"/>
        </w:rPr>
      </w:pPr>
    </w:p>
    <w:p w14:paraId="7F36946D" w14:textId="125835B7" w:rsidR="006E1930" w:rsidRDefault="006E1930" w:rsidP="006E1930">
      <w:pPr>
        <w:spacing w:line="240" w:lineRule="auto"/>
        <w:rPr>
          <w:rFonts w:cstheme="minorHAnsi"/>
          <w:color w:val="000000"/>
          <w:shd w:val="clear" w:color="auto" w:fill="FFFFFF"/>
        </w:rPr>
      </w:pPr>
      <w:r w:rsidRPr="006E1930">
        <w:rPr>
          <w:rFonts w:cstheme="minorHAnsi"/>
          <w:noProof/>
          <w:color w:val="000000"/>
        </w:rPr>
        <mc:AlternateContent>
          <mc:Choice Requires="wps">
            <w:drawing>
              <wp:anchor distT="0" distB="0" distL="114300" distR="114300" simplePos="0" relativeHeight="251659264" behindDoc="0" locked="0" layoutInCell="1" allowOverlap="1" wp14:anchorId="2BB9E21A" wp14:editId="58DC3132">
                <wp:simplePos x="0" y="0"/>
                <wp:positionH relativeFrom="column">
                  <wp:posOffset>2019300</wp:posOffset>
                </wp:positionH>
                <wp:positionV relativeFrom="paragraph">
                  <wp:posOffset>10795</wp:posOffset>
                </wp:positionV>
                <wp:extent cx="1243330" cy="155575"/>
                <wp:effectExtent l="0" t="0" r="13970" b="15875"/>
                <wp:wrapNone/>
                <wp:docPr id="15" name="Rectangle 15"/>
                <wp:cNvGraphicFramePr/>
                <a:graphic xmlns:a="http://schemas.openxmlformats.org/drawingml/2006/main">
                  <a:graphicData uri="http://schemas.microsoft.com/office/word/2010/wordprocessingShape">
                    <wps:wsp>
                      <wps:cNvSpPr/>
                      <wps:spPr>
                        <a:xfrm>
                          <a:off x="0" y="0"/>
                          <a:ext cx="1243330" cy="15557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FFBEF" id="Rectangle 15" o:spid="_x0000_s1026" style="position:absolute;margin-left:159pt;margin-top:.85pt;width:97.9pt;height:1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" fillcolor="black [3200]" strokecolor="black [1600]" strokeweight="1pt"/>
            </w:pict>
          </mc:Fallback>
        </mc:AlternateContent>
      </w:r>
      <w:r w:rsidRPr="006E1930">
        <w:rPr>
          <w:rFonts w:cstheme="minorHAnsi"/>
          <w:color w:val="000000"/>
          <w:shd w:val="clear" w:color="auto" w:fill="FFFFFF"/>
        </w:rPr>
        <w:t>Mylocalschool.wales.gov.uk. (2018). </w:t>
      </w:r>
      <w:r w:rsidRPr="006E1930">
        <w:rPr>
          <w:rFonts w:cstheme="minorHAnsi"/>
          <w:i/>
          <w:iCs/>
          <w:color w:val="000000"/>
          <w:shd w:val="clear" w:color="auto" w:fill="FFFFFF"/>
        </w:rPr>
        <w:t>Halfway C.P. School</w:t>
      </w:r>
      <w:r w:rsidRPr="006E1930">
        <w:rPr>
          <w:rFonts w:cstheme="minorHAnsi"/>
          <w:color w:val="000000"/>
          <w:shd w:val="clear" w:color="auto" w:fill="FFFFFF"/>
        </w:rPr>
        <w:t>. [online] Available at: http://mylocalschool.wales.gov.uk/School/6692188?lang=en [Accessed 2</w:t>
      </w:r>
      <w:r w:rsidRPr="006E1930">
        <w:rPr>
          <w:rFonts w:cstheme="minorHAnsi"/>
          <w:color w:val="000000"/>
          <w:shd w:val="clear" w:color="auto" w:fill="FFFFFF"/>
          <w:vertAlign w:val="superscript"/>
        </w:rPr>
        <w:t>nd</w:t>
      </w:r>
      <w:r w:rsidRPr="006E1930">
        <w:rPr>
          <w:rFonts w:cstheme="minorHAnsi"/>
          <w:color w:val="000000"/>
          <w:shd w:val="clear" w:color="auto" w:fill="FFFFFF"/>
        </w:rPr>
        <w:t xml:space="preserve"> April 2020].</w:t>
      </w:r>
    </w:p>
    <w:p w14:paraId="5D116C32" w14:textId="77777777" w:rsidR="006E1930" w:rsidRPr="006E1930" w:rsidRDefault="006E1930" w:rsidP="006E1930">
      <w:pPr>
        <w:spacing w:line="240" w:lineRule="auto"/>
        <w:rPr>
          <w:rFonts w:cstheme="minorHAnsi"/>
          <w:color w:val="000000"/>
          <w:shd w:val="clear" w:color="auto" w:fill="FFFFFF"/>
        </w:rPr>
      </w:pPr>
    </w:p>
    <w:p w14:paraId="6BE91DEB" w14:textId="00709548" w:rsidR="006E1930" w:rsidRDefault="006E1930" w:rsidP="006E1930">
      <w:pPr>
        <w:rPr>
          <w:rFonts w:cstheme="minorHAnsi"/>
        </w:rPr>
      </w:pPr>
      <w:r w:rsidRPr="006E1930">
        <w:rPr>
          <w:rFonts w:cstheme="minorHAnsi"/>
        </w:rPr>
        <w:t xml:space="preserve">Robinson, C. D., Gallus, J., Lee, M. G., &amp; Rogers, T. (2016). The Demotivating Effect (and Unintended Message) of Awards. Organizational </w:t>
      </w:r>
      <w:proofErr w:type="spellStart"/>
      <w:r w:rsidRPr="006E1930">
        <w:rPr>
          <w:rFonts w:cstheme="minorHAnsi"/>
        </w:rPr>
        <w:t>Behavior</w:t>
      </w:r>
      <w:proofErr w:type="spellEnd"/>
      <w:r w:rsidRPr="006E1930">
        <w:rPr>
          <w:rFonts w:cstheme="minorHAnsi"/>
        </w:rPr>
        <w:t xml:space="preserve"> and Human Decision Processes. </w:t>
      </w:r>
      <w:proofErr w:type="spellStart"/>
      <w:r w:rsidRPr="006E1930">
        <w:rPr>
          <w:rFonts w:cstheme="minorHAnsi"/>
        </w:rPr>
        <w:t>doi</w:t>
      </w:r>
      <w:proofErr w:type="spellEnd"/>
      <w:r w:rsidRPr="006E1930">
        <w:rPr>
          <w:rFonts w:cstheme="minorHAnsi"/>
        </w:rPr>
        <w:t>: 10.1016/j.obhdp.2019.03.006</w:t>
      </w:r>
    </w:p>
    <w:p w14:paraId="7A1B99D5" w14:textId="77777777" w:rsidR="006E1930" w:rsidRPr="006E1930" w:rsidRDefault="006E1930" w:rsidP="006E1930">
      <w:pPr>
        <w:rPr>
          <w:rFonts w:cstheme="minorHAnsi"/>
        </w:rPr>
      </w:pPr>
    </w:p>
    <w:p w14:paraId="692DB82E" w14:textId="0FE986CE" w:rsidR="006E1930" w:rsidRDefault="006E1930" w:rsidP="006E1930">
      <w:pPr>
        <w:rPr>
          <w:rFonts w:cstheme="minorHAnsi"/>
          <w:color w:val="000000"/>
          <w:shd w:val="clear" w:color="auto" w:fill="FFFFFF"/>
        </w:rPr>
      </w:pPr>
      <w:r w:rsidRPr="006E1930">
        <w:rPr>
          <w:rFonts w:cstheme="minorHAnsi"/>
          <w:color w:val="000000"/>
          <w:shd w:val="clear" w:color="auto" w:fill="FFFFFF"/>
        </w:rPr>
        <w:t>Taylor, C., 2012. </w:t>
      </w:r>
      <w:r w:rsidRPr="006E1930">
        <w:rPr>
          <w:rFonts w:cstheme="minorHAnsi"/>
          <w:i/>
          <w:iCs/>
          <w:color w:val="000000"/>
          <w:shd w:val="clear" w:color="auto" w:fill="FFFFFF"/>
        </w:rPr>
        <w:t>Improving Attendance At School</w:t>
      </w:r>
      <w:r w:rsidRPr="006E1930">
        <w:rPr>
          <w:rFonts w:cstheme="minorHAnsi"/>
          <w:color w:val="000000"/>
          <w:shd w:val="clear" w:color="auto" w:fill="FFFFFF"/>
        </w:rPr>
        <w:t>. [online] https://www.gov.uk/government/publications/improving-attendance-at-school. Available at: &lt;https://assets.publishing.service.gov.uk/government/uploads/system/uploads/attachment_data/file/180772/DFE-00036-2012_improving_attendance_at_school.pdf&gt; [Accessed 1 April 2020].</w:t>
      </w:r>
    </w:p>
    <w:p w14:paraId="0CE5469C" w14:textId="77777777" w:rsidR="006E1930" w:rsidRPr="006E1930" w:rsidRDefault="006E1930" w:rsidP="006E1930">
      <w:pPr>
        <w:rPr>
          <w:rFonts w:cstheme="minorHAnsi"/>
          <w:color w:val="000000"/>
          <w:shd w:val="clear" w:color="auto" w:fill="FFFFFF"/>
        </w:rPr>
      </w:pPr>
    </w:p>
    <w:p w14:paraId="19FFA7A3" w14:textId="52D283DF" w:rsidR="006E1930" w:rsidRDefault="006E1930" w:rsidP="006E1930">
      <w:pPr>
        <w:spacing w:line="360" w:lineRule="auto"/>
        <w:rPr>
          <w:rFonts w:cstheme="minorHAnsi"/>
        </w:rPr>
      </w:pPr>
      <w:r w:rsidRPr="006E1930">
        <w:rPr>
          <w:rFonts w:eastAsia="Times New Roman" w:cstheme="minorHAnsi"/>
          <w:i/>
          <w:iCs/>
          <w:color w:val="000000"/>
          <w:kern w:val="36"/>
          <w:lang w:eastAsia="en-GB"/>
        </w:rPr>
        <w:t>The Education (School Development Plans) (Wales) Regulations 2014</w:t>
      </w:r>
      <w:r w:rsidRPr="006E1930">
        <w:rPr>
          <w:rFonts w:eastAsia="Times New Roman" w:cstheme="minorHAnsi"/>
          <w:color w:val="000000"/>
          <w:kern w:val="36"/>
          <w:lang w:eastAsia="en-GB"/>
        </w:rPr>
        <w:t xml:space="preserve"> Welsh Statutory Instrument 2014/ 2677(W.265) Available at: </w:t>
      </w:r>
      <w:hyperlink r:id="rId12" w:history="1">
        <w:r w:rsidRPr="006E1930">
          <w:rPr>
            <w:rStyle w:val="Hyperlink"/>
            <w:rFonts w:cstheme="minorHAnsi"/>
          </w:rPr>
          <w:t>http://www.legislation.gov.uk/wsi/2014/2677/schedule/made</w:t>
        </w:r>
      </w:hyperlink>
      <w:r w:rsidRPr="006E1930">
        <w:rPr>
          <w:rFonts w:cstheme="minorHAnsi"/>
          <w:u w:val="single"/>
        </w:rPr>
        <w:t xml:space="preserve"> </w:t>
      </w:r>
      <w:r w:rsidRPr="006E1930">
        <w:rPr>
          <w:rFonts w:cstheme="minorHAnsi"/>
        </w:rPr>
        <w:t xml:space="preserve"> (Accessed: 2</w:t>
      </w:r>
      <w:r w:rsidRPr="006E1930">
        <w:rPr>
          <w:rFonts w:cstheme="minorHAnsi"/>
          <w:vertAlign w:val="superscript"/>
        </w:rPr>
        <w:t>nd</w:t>
      </w:r>
      <w:r w:rsidRPr="006E1930">
        <w:rPr>
          <w:rFonts w:cstheme="minorHAnsi"/>
        </w:rPr>
        <w:t xml:space="preserve"> April 2020)</w:t>
      </w:r>
    </w:p>
    <w:p w14:paraId="7119DA80" w14:textId="77777777" w:rsidR="006E1930" w:rsidRPr="006E1930" w:rsidRDefault="006E1930" w:rsidP="006E1930">
      <w:pPr>
        <w:spacing w:line="360" w:lineRule="auto"/>
        <w:rPr>
          <w:rFonts w:cstheme="minorHAnsi"/>
        </w:rPr>
      </w:pPr>
    </w:p>
    <w:p w14:paraId="7FCED368" w14:textId="77777777" w:rsidR="006E1930" w:rsidRPr="006E1930" w:rsidRDefault="006E1930" w:rsidP="006E1930">
      <w:pPr>
        <w:spacing w:line="360" w:lineRule="auto"/>
        <w:rPr>
          <w:rFonts w:cstheme="minorHAnsi"/>
        </w:rPr>
      </w:pPr>
      <w:r w:rsidRPr="006E1930">
        <w:rPr>
          <w:rFonts w:cstheme="minorHAnsi"/>
        </w:rPr>
        <w:lastRenderedPageBreak/>
        <w:t xml:space="preserve">Welsh Government (2014) </w:t>
      </w:r>
      <w:r w:rsidRPr="006E1930">
        <w:rPr>
          <w:rFonts w:cstheme="minorHAnsi"/>
          <w:i/>
          <w:iCs/>
        </w:rPr>
        <w:t>School Development Plans – Guidance 155/2014</w:t>
      </w:r>
      <w:r w:rsidRPr="006E1930">
        <w:rPr>
          <w:rFonts w:cstheme="minorHAnsi"/>
        </w:rPr>
        <w:t xml:space="preserve">. Available at: </w:t>
      </w:r>
      <w:hyperlink r:id="rId13" w:history="1">
        <w:r w:rsidRPr="006E1930">
          <w:rPr>
            <w:rFonts w:cstheme="minorHAnsi"/>
            <w:color w:val="0000FF"/>
            <w:u w:val="single"/>
          </w:rPr>
          <w:t>https://gov.wales/sites/default/files/publications/2018-03/school-development-plans.pdf</w:t>
        </w:r>
      </w:hyperlink>
      <w:r w:rsidRPr="006E1930">
        <w:rPr>
          <w:rFonts w:cstheme="minorHAnsi"/>
        </w:rPr>
        <w:t xml:space="preserve"> (Accessed: 2nd April 2020)</w:t>
      </w:r>
    </w:p>
    <w:p w14:paraId="3C9129A7" w14:textId="77777777" w:rsidR="006E1930" w:rsidRPr="006E1930" w:rsidRDefault="006E1930" w:rsidP="006E1930">
      <w:pPr>
        <w:spacing w:line="360" w:lineRule="auto"/>
        <w:rPr>
          <w:rFonts w:cstheme="minorHAnsi"/>
        </w:rPr>
      </w:pPr>
    </w:p>
    <w:p w14:paraId="27F7C2A9" w14:textId="77777777" w:rsidR="006E1930" w:rsidRPr="006E1930" w:rsidRDefault="006E1930" w:rsidP="006E1930">
      <w:pPr>
        <w:rPr>
          <w:rFonts w:cstheme="minorHAnsi"/>
          <w:color w:val="000000"/>
          <w:shd w:val="clear" w:color="auto" w:fill="FFFFFF"/>
        </w:rPr>
      </w:pPr>
    </w:p>
    <w:p w14:paraId="66F3A2D0" w14:textId="77777777" w:rsidR="006E1930" w:rsidRPr="006E1930" w:rsidRDefault="006E1930" w:rsidP="006E1930">
      <w:pPr>
        <w:rPr>
          <w:rFonts w:cstheme="minorHAnsi"/>
        </w:rPr>
      </w:pPr>
    </w:p>
    <w:p w14:paraId="62E06C66" w14:textId="77777777" w:rsidR="006E1930" w:rsidRPr="006E1930" w:rsidRDefault="006E1930" w:rsidP="00CC66D5">
      <w:pPr>
        <w:rPr>
          <w:rFonts w:cstheme="minorHAnsi"/>
        </w:rPr>
      </w:pPr>
    </w:p>
    <w:p w14:paraId="016A07F2" w14:textId="214DFF89" w:rsidR="00CC66D5" w:rsidRPr="006E1930" w:rsidRDefault="00E611D9" w:rsidP="00CC66D5">
      <w:pPr>
        <w:pStyle w:val="AssignBody"/>
        <w:rPr>
          <w:rFonts w:asciiTheme="minorHAnsi" w:hAnsiTheme="minorHAnsi" w:cstheme="minorHAnsi"/>
        </w:rPr>
      </w:pPr>
      <w:r w:rsidRPr="006E1930">
        <w:rPr>
          <w:rFonts w:asciiTheme="minorHAnsi" w:hAnsiTheme="minorHAnsi" w:cstheme="minorHAnsi"/>
        </w:rPr>
        <w:t xml:space="preserve"> </w:t>
      </w:r>
    </w:p>
    <w:p w14:paraId="0D2F6EA6" w14:textId="1788489D" w:rsidR="00E611D9" w:rsidRPr="006E1930" w:rsidRDefault="00E611D9" w:rsidP="00E611D9">
      <w:pPr>
        <w:pStyle w:val="AssignBody"/>
        <w:rPr>
          <w:rFonts w:asciiTheme="minorHAnsi" w:hAnsiTheme="minorHAnsi" w:cstheme="minorHAnsi"/>
        </w:rPr>
      </w:pPr>
    </w:p>
    <w:sectPr w:rsidR="00E611D9" w:rsidRPr="006E193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CE2C7" w14:textId="77777777" w:rsidR="00FE0DB9" w:rsidRDefault="00FE0DB9" w:rsidP="00E611D9">
      <w:pPr>
        <w:spacing w:after="0" w:line="240" w:lineRule="auto"/>
      </w:pPr>
      <w:r>
        <w:separator/>
      </w:r>
    </w:p>
  </w:endnote>
  <w:endnote w:type="continuationSeparator" w:id="0">
    <w:p w14:paraId="542CEBAE" w14:textId="77777777" w:rsidR="00FE0DB9" w:rsidRDefault="00FE0DB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A5F3F" w14:textId="77777777" w:rsidR="00FE0DB9" w:rsidRDefault="00FE0DB9" w:rsidP="00E611D9">
      <w:pPr>
        <w:spacing w:after="0" w:line="240" w:lineRule="auto"/>
      </w:pPr>
      <w:r>
        <w:separator/>
      </w:r>
    </w:p>
  </w:footnote>
  <w:footnote w:type="continuationSeparator" w:id="0">
    <w:p w14:paraId="297B1BA5" w14:textId="77777777" w:rsidR="00FE0DB9" w:rsidRDefault="00FE0DB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EC79C9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CC66D5">
            <w:rPr>
              <w:rFonts w:ascii="Arial" w:hAnsi="Arial" w:cs="Arial"/>
            </w:rPr>
            <w:t>7003</w:t>
          </w:r>
        </w:p>
      </w:tc>
      <w:tc>
        <w:tcPr>
          <w:tcW w:w="4508" w:type="dxa"/>
        </w:tcPr>
        <w:p w14:paraId="51D506A0" w14:textId="5F6B9A87"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CC66D5">
            <w:rPr>
              <w:rFonts w:ascii="Arial" w:hAnsi="Arial" w:cs="Arial"/>
            </w:rPr>
            <w:t xml:space="preserve"> 1900764</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394"/>
    <w:rsid w:val="00044331"/>
    <w:rsid w:val="00087FFD"/>
    <w:rsid w:val="002229F0"/>
    <w:rsid w:val="003E55AE"/>
    <w:rsid w:val="00433F17"/>
    <w:rsid w:val="006419C3"/>
    <w:rsid w:val="00691A46"/>
    <w:rsid w:val="006B5861"/>
    <w:rsid w:val="006E1930"/>
    <w:rsid w:val="00817F7A"/>
    <w:rsid w:val="00AD4EBD"/>
    <w:rsid w:val="00BC651E"/>
    <w:rsid w:val="00CC66D5"/>
    <w:rsid w:val="00CD1240"/>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C66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6D5"/>
    <w:rPr>
      <w:rFonts w:ascii="Segoe UI" w:hAnsi="Segoe UI" w:cs="Segoe UI"/>
      <w:sz w:val="18"/>
      <w:szCs w:val="18"/>
    </w:rPr>
  </w:style>
  <w:style w:type="character" w:styleId="Hyperlink">
    <w:name w:val="Hyperlink"/>
    <w:basedOn w:val="DefaultParagraphFont"/>
    <w:uiPriority w:val="99"/>
    <w:unhideWhenUsed/>
    <w:rsid w:val="006E1930"/>
    <w:rPr>
      <w:color w:val="0000FF"/>
      <w:u w:val="single"/>
    </w:rPr>
  </w:style>
  <w:style w:type="character" w:styleId="Emphasis">
    <w:name w:val="Emphasis"/>
    <w:basedOn w:val="DefaultParagraphFont"/>
    <w:uiPriority w:val="20"/>
    <w:qFormat/>
    <w:rsid w:val="006E19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sychclassics.yorku.ca/Maslow/motivation.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3454</Words>
  <Characters>19691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Megan me</cp:lastModifiedBy>
  <cp:revision>2</cp:revision>
  <dcterms:created xsi:type="dcterms:W3CDTF">2020-04-08T13:52:00Z</dcterms:created>
  <dcterms:modified xsi:type="dcterms:W3CDTF">2020-04-08T13:52:00Z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