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EF626" w14:textId="77777777" w:rsidR="003C4C72" w:rsidRPr="003C4C72" w:rsidRDefault="003C4C72" w:rsidP="003C4C72">
      <w:pPr>
        <w:spacing w:before="0" w:beforeAutospacing="0" w:after="0" w:afterAutospacing="0"/>
        <w:jc w:val="center"/>
        <w:rPr>
          <w:rFonts w:ascii="Arial" w:eastAsia="Times New Roman" w:hAnsi="Arial" w:cs="Arial"/>
          <w:noProof w:val="0"/>
          <w:sz w:val="22"/>
        </w:rPr>
      </w:pPr>
      <w:r w:rsidRPr="003C4C72">
        <w:rPr>
          <w:rFonts w:ascii="Arial" w:eastAsia="Times New Roman" w:hAnsi="Arial" w:cs="Arial"/>
          <w:sz w:val="22"/>
          <w:lang w:eastAsia="en-GB"/>
        </w:rPr>
        <w:drawing>
          <wp:anchor distT="0" distB="0" distL="114300" distR="114300" simplePos="0" relativeHeight="251659264" behindDoc="0" locked="0" layoutInCell="1" allowOverlap="1" wp14:anchorId="4A00E7F4" wp14:editId="1FCF6092">
            <wp:simplePos x="0" y="0"/>
            <wp:positionH relativeFrom="margin">
              <wp:align>center</wp:align>
            </wp:positionH>
            <wp:positionV relativeFrom="paragraph">
              <wp:posOffset>74354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475F483"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3C31FDDD"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64E4CA92"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383C213A"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75D36DE8"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4B2C5431" w14:textId="77777777" w:rsidR="003C4C72" w:rsidRPr="003C4C72" w:rsidRDefault="003C4C72" w:rsidP="003C4C72">
      <w:pPr>
        <w:spacing w:before="0" w:beforeAutospacing="0" w:after="0" w:afterAutospacing="0"/>
        <w:jc w:val="center"/>
        <w:rPr>
          <w:rFonts w:ascii="Arial" w:eastAsia="Times New Roman" w:hAnsi="Arial" w:cs="Arial"/>
          <w:noProof w:val="0"/>
          <w:sz w:val="32"/>
        </w:rPr>
      </w:pPr>
      <w:r w:rsidRPr="003C4C72">
        <w:rPr>
          <w:rFonts w:ascii="Arial" w:eastAsia="Times New Roman" w:hAnsi="Arial" w:cs="Arial"/>
          <w:b/>
          <w:noProof w:val="0"/>
          <w:sz w:val="32"/>
        </w:rPr>
        <w:t>Module code</w:t>
      </w:r>
      <w:r w:rsidRPr="003C4C72">
        <w:rPr>
          <w:rFonts w:ascii="Arial" w:eastAsia="Times New Roman" w:hAnsi="Arial" w:cs="Arial"/>
          <w:noProof w:val="0"/>
          <w:sz w:val="32"/>
        </w:rPr>
        <w:t>: BMHP6029</w:t>
      </w:r>
    </w:p>
    <w:p w14:paraId="7EA6BFD4" w14:textId="77777777" w:rsidR="003C4C72" w:rsidRPr="003C4C72" w:rsidRDefault="003C4C72" w:rsidP="003C4C72">
      <w:pPr>
        <w:spacing w:before="0" w:beforeAutospacing="0" w:after="0" w:afterAutospacing="0"/>
        <w:jc w:val="center"/>
        <w:rPr>
          <w:rFonts w:ascii="Arial" w:eastAsia="Times New Roman" w:hAnsi="Arial" w:cs="Arial"/>
          <w:noProof w:val="0"/>
          <w:sz w:val="32"/>
        </w:rPr>
      </w:pPr>
      <w:r w:rsidRPr="003C4C72">
        <w:rPr>
          <w:rFonts w:ascii="Arial" w:eastAsia="Times New Roman" w:hAnsi="Arial" w:cs="Arial"/>
          <w:b/>
          <w:noProof w:val="0"/>
          <w:sz w:val="32"/>
        </w:rPr>
        <w:t>Module</w:t>
      </w:r>
      <w:r w:rsidRPr="003C4C72">
        <w:rPr>
          <w:rFonts w:ascii="Arial" w:eastAsia="Times New Roman" w:hAnsi="Arial" w:cs="Arial"/>
          <w:noProof w:val="0"/>
          <w:sz w:val="32"/>
        </w:rPr>
        <w:t xml:space="preserve"> </w:t>
      </w:r>
      <w:r w:rsidRPr="003C4C72">
        <w:rPr>
          <w:rFonts w:ascii="Arial" w:eastAsia="Times New Roman" w:hAnsi="Arial" w:cs="Arial"/>
          <w:b/>
          <w:noProof w:val="0"/>
          <w:sz w:val="32"/>
        </w:rPr>
        <w:t>Title</w:t>
      </w:r>
      <w:r w:rsidRPr="003C4C72">
        <w:rPr>
          <w:rFonts w:ascii="Arial" w:eastAsia="Times New Roman" w:hAnsi="Arial" w:cs="Arial"/>
          <w:noProof w:val="0"/>
          <w:sz w:val="32"/>
        </w:rPr>
        <w:t xml:space="preserve">: </w:t>
      </w:r>
      <w:r w:rsidRPr="003C4C72">
        <w:rPr>
          <w:rFonts w:ascii="Arial" w:eastAsia="Times New Roman" w:hAnsi="Arial" w:cs="Arial"/>
          <w:bCs/>
          <w:noProof w:val="0"/>
          <w:sz w:val="32"/>
        </w:rPr>
        <w:t>Psychological Classifications and Provisions</w:t>
      </w:r>
    </w:p>
    <w:p w14:paraId="5E1A14A9" w14:textId="77777777" w:rsidR="003C4C72" w:rsidRPr="003C4C72" w:rsidRDefault="003C4C72" w:rsidP="003C4C72">
      <w:pPr>
        <w:spacing w:before="0" w:beforeAutospacing="0" w:after="0" w:afterAutospacing="0"/>
        <w:jc w:val="center"/>
        <w:rPr>
          <w:rFonts w:ascii="Arial" w:eastAsia="Times New Roman" w:hAnsi="Arial" w:cs="Arial"/>
          <w:noProof w:val="0"/>
          <w:sz w:val="32"/>
        </w:rPr>
      </w:pPr>
    </w:p>
    <w:p w14:paraId="29977FEC" w14:textId="77777777" w:rsidR="003C4C72" w:rsidRPr="003C4C72" w:rsidRDefault="003C4C72" w:rsidP="003C4C72">
      <w:pPr>
        <w:spacing w:before="0" w:beforeAutospacing="0" w:after="0" w:afterAutospacing="0"/>
        <w:jc w:val="center"/>
        <w:rPr>
          <w:rFonts w:ascii="Arial" w:eastAsia="Times New Roman" w:hAnsi="Arial" w:cs="Arial"/>
          <w:noProof w:val="0"/>
          <w:sz w:val="22"/>
        </w:rPr>
      </w:pPr>
    </w:p>
    <w:p w14:paraId="3413431F" w14:textId="77777777" w:rsidR="003C4C72" w:rsidRPr="003C4C72" w:rsidRDefault="003C4C72" w:rsidP="003C4C72">
      <w:pPr>
        <w:spacing w:before="0" w:beforeAutospacing="0" w:after="0" w:afterAutospacing="0"/>
        <w:jc w:val="center"/>
        <w:rPr>
          <w:rFonts w:ascii="Arial" w:eastAsia="Times New Roman" w:hAnsi="Arial" w:cs="Arial"/>
          <w:noProof w:val="0"/>
          <w:sz w:val="22"/>
        </w:rPr>
      </w:pPr>
    </w:p>
    <w:p w14:paraId="6202D38D" w14:textId="77777777" w:rsidR="003C4C72" w:rsidRPr="003C4C72" w:rsidRDefault="003C4C72" w:rsidP="003C4C72">
      <w:pPr>
        <w:pBdr>
          <w:bottom w:val="single" w:sz="4" w:space="1" w:color="auto"/>
        </w:pBdr>
        <w:spacing w:before="240" w:after="240"/>
        <w:contextualSpacing/>
        <w:jc w:val="center"/>
        <w:rPr>
          <w:rFonts w:ascii="Arial" w:eastAsiaTheme="majorEastAsia" w:hAnsi="Arial" w:cs="Arial"/>
          <w:b/>
          <w:caps/>
          <w:noProof w:val="0"/>
          <w:spacing w:val="-10"/>
          <w:kern w:val="28"/>
          <w:sz w:val="36"/>
          <w:szCs w:val="56"/>
        </w:rPr>
      </w:pPr>
      <w:r w:rsidRPr="003C4C72">
        <w:rPr>
          <w:rFonts w:ascii="Arial" w:eastAsiaTheme="majorEastAsia" w:hAnsi="Arial" w:cs="Arial"/>
          <w:b/>
          <w:caps/>
          <w:noProof w:val="0"/>
          <w:spacing w:val="-10"/>
          <w:kern w:val="28"/>
          <w:sz w:val="36"/>
          <w:szCs w:val="56"/>
        </w:rPr>
        <w:t>Assignment Title: Component 2: Written Assignment (Report)</w:t>
      </w:r>
    </w:p>
    <w:p w14:paraId="217AB984"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7C2BC901"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36CB1337"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27ACF588" w14:textId="77777777" w:rsidR="003C4C72" w:rsidRPr="003C4C72" w:rsidRDefault="003C4C72" w:rsidP="003C4C72">
      <w:pPr>
        <w:spacing w:before="0" w:beforeAutospacing="0" w:after="0" w:afterAutospacing="0"/>
        <w:jc w:val="center"/>
        <w:rPr>
          <w:rFonts w:ascii="Arial" w:eastAsia="Times New Roman" w:hAnsi="Arial" w:cs="Arial"/>
          <w:b/>
          <w:noProof w:val="0"/>
          <w:sz w:val="22"/>
        </w:rPr>
      </w:pPr>
    </w:p>
    <w:p w14:paraId="31542000" w14:textId="77777777" w:rsidR="003C4C72" w:rsidRPr="003C4C72" w:rsidRDefault="003C4C72" w:rsidP="003C4C72">
      <w:pPr>
        <w:spacing w:before="0" w:beforeAutospacing="0" w:after="0" w:afterAutospacing="0"/>
        <w:jc w:val="center"/>
        <w:rPr>
          <w:rFonts w:ascii="Arial" w:eastAsia="Times New Roman" w:hAnsi="Arial" w:cs="Arial"/>
          <w:noProof w:val="0"/>
        </w:rPr>
      </w:pPr>
      <w:r w:rsidRPr="003C4C72">
        <w:rPr>
          <w:rFonts w:ascii="Arial" w:eastAsia="Times New Roman" w:hAnsi="Arial" w:cs="Arial"/>
          <w:b/>
          <w:noProof w:val="0"/>
        </w:rPr>
        <w:t>Student</w:t>
      </w:r>
      <w:r w:rsidRPr="003C4C72">
        <w:rPr>
          <w:rFonts w:ascii="Arial" w:eastAsia="Times New Roman" w:hAnsi="Arial" w:cs="Arial"/>
          <w:noProof w:val="0"/>
        </w:rPr>
        <w:t xml:space="preserve"> </w:t>
      </w:r>
      <w:r w:rsidRPr="003C4C72">
        <w:rPr>
          <w:rFonts w:ascii="Arial" w:eastAsia="Times New Roman" w:hAnsi="Arial" w:cs="Arial"/>
          <w:b/>
          <w:noProof w:val="0"/>
        </w:rPr>
        <w:t>Name</w:t>
      </w:r>
      <w:r w:rsidRPr="003C4C72">
        <w:rPr>
          <w:rFonts w:ascii="Arial" w:eastAsia="Times New Roman" w:hAnsi="Arial" w:cs="Arial"/>
          <w:noProof w:val="0"/>
        </w:rPr>
        <w:t xml:space="preserve">: </w:t>
      </w:r>
      <w:r w:rsidRPr="0038649E">
        <w:rPr>
          <w:rFonts w:ascii="Arial" w:eastAsia="Times New Roman" w:hAnsi="Arial" w:cs="Arial"/>
          <w:noProof w:val="0"/>
        </w:rPr>
        <w:t>Albert Malula</w:t>
      </w:r>
    </w:p>
    <w:p w14:paraId="035C5F52" w14:textId="168F66A2" w:rsidR="003C4C72" w:rsidRPr="0038649E" w:rsidRDefault="003C4C72" w:rsidP="003C4C72">
      <w:pPr>
        <w:spacing w:before="0" w:beforeAutospacing="0" w:after="160" w:afterAutospacing="0" w:line="259" w:lineRule="auto"/>
        <w:jc w:val="center"/>
        <w:rPr>
          <w:rFonts w:ascii="Arial" w:eastAsiaTheme="majorEastAsia" w:hAnsi="Arial" w:cs="Arial"/>
          <w:b/>
          <w:color w:val="000000" w:themeColor="text1"/>
          <w:sz w:val="28"/>
          <w:szCs w:val="32"/>
        </w:rPr>
      </w:pPr>
      <w:r w:rsidRPr="0038649E">
        <w:rPr>
          <w:rFonts w:ascii="Arial" w:eastAsia="Times New Roman" w:hAnsi="Arial" w:cs="Arial"/>
          <w:b/>
          <w:noProof w:val="0"/>
        </w:rPr>
        <w:t>Student</w:t>
      </w:r>
      <w:r w:rsidRPr="0038649E">
        <w:rPr>
          <w:rFonts w:ascii="Arial" w:eastAsia="Times New Roman" w:hAnsi="Arial" w:cs="Arial"/>
          <w:noProof w:val="0"/>
        </w:rPr>
        <w:t xml:space="preserve"> </w:t>
      </w:r>
      <w:r w:rsidRPr="0038649E">
        <w:rPr>
          <w:rFonts w:ascii="Arial" w:eastAsia="Times New Roman" w:hAnsi="Arial" w:cs="Arial"/>
          <w:b/>
          <w:noProof w:val="0"/>
        </w:rPr>
        <w:t>ID</w:t>
      </w:r>
      <w:r w:rsidRPr="0038649E">
        <w:rPr>
          <w:rFonts w:ascii="Arial" w:eastAsia="Times New Roman" w:hAnsi="Arial" w:cs="Arial"/>
          <w:noProof w:val="0"/>
        </w:rPr>
        <w:t>:</w:t>
      </w:r>
      <w:r w:rsidR="00123048">
        <w:rPr>
          <w:rFonts w:ascii="Arial" w:eastAsia="Times New Roman" w:hAnsi="Arial" w:cs="Arial"/>
          <w:noProof w:val="0"/>
        </w:rPr>
        <w:t xml:space="preserve"> 2310030</w:t>
      </w:r>
      <w:r w:rsidRPr="0038649E">
        <w:rPr>
          <w:rFonts w:ascii="Arial" w:hAnsi="Arial" w:cs="Arial"/>
        </w:rPr>
        <w:br w:type="page"/>
      </w:r>
    </w:p>
    <w:sdt>
      <w:sdtPr>
        <w:rPr>
          <w:rFonts w:ascii="Arial" w:hAnsi="Arial" w:cs="Arial"/>
          <w:b/>
          <w:sz w:val="28"/>
        </w:rPr>
        <w:id w:val="-1344163512"/>
        <w:docPartObj>
          <w:docPartGallery w:val="Table of Contents"/>
          <w:docPartUnique/>
        </w:docPartObj>
      </w:sdtPr>
      <w:sdtEndPr>
        <w:rPr>
          <w:bCs/>
          <w:sz w:val="24"/>
        </w:rPr>
      </w:sdtEndPr>
      <w:sdtContent>
        <w:p w14:paraId="09C16C90" w14:textId="77777777" w:rsidR="003C4C72" w:rsidRPr="0038649E" w:rsidRDefault="003C4C72" w:rsidP="003C4C72">
          <w:pPr>
            <w:spacing w:before="0" w:beforeAutospacing="0" w:after="0" w:afterAutospacing="0"/>
            <w:jc w:val="center"/>
            <w:rPr>
              <w:rFonts w:ascii="Arial" w:hAnsi="Arial" w:cs="Arial"/>
              <w:b/>
              <w:sz w:val="28"/>
            </w:rPr>
          </w:pPr>
          <w:r w:rsidRPr="0038649E">
            <w:rPr>
              <w:rFonts w:ascii="Arial" w:hAnsi="Arial" w:cs="Arial"/>
              <w:b/>
              <w:sz w:val="28"/>
            </w:rPr>
            <w:t>Table of Contents</w:t>
          </w:r>
        </w:p>
        <w:p w14:paraId="5C6E8463"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r w:rsidRPr="00310C5C">
            <w:rPr>
              <w:rFonts w:ascii="Arial" w:hAnsi="Arial" w:cs="Arial"/>
              <w:sz w:val="22"/>
            </w:rPr>
            <w:fldChar w:fldCharType="begin"/>
          </w:r>
          <w:r w:rsidRPr="00310C5C">
            <w:rPr>
              <w:rFonts w:ascii="Arial" w:hAnsi="Arial" w:cs="Arial"/>
              <w:sz w:val="22"/>
            </w:rPr>
            <w:instrText xml:space="preserve"> TOC \o "1-3" \h \z \u </w:instrText>
          </w:r>
          <w:r w:rsidRPr="00310C5C">
            <w:rPr>
              <w:rFonts w:ascii="Arial" w:hAnsi="Arial" w:cs="Arial"/>
              <w:sz w:val="22"/>
            </w:rPr>
            <w:fldChar w:fldCharType="separate"/>
          </w:r>
          <w:hyperlink w:anchor="_Toc214028008" w:history="1">
            <w:r w:rsidRPr="00310C5C">
              <w:rPr>
                <w:rStyle w:val="Hyperlink"/>
                <w:rFonts w:ascii="Arial" w:hAnsi="Arial" w:cs="Arial"/>
                <w:sz w:val="22"/>
              </w:rPr>
              <w:t>1. Introduction</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_Toc214028008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3</w:t>
            </w:r>
            <w:r w:rsidRPr="00310C5C">
              <w:rPr>
                <w:rFonts w:ascii="Arial" w:hAnsi="Arial" w:cs="Arial"/>
                <w:webHidden/>
                <w:sz w:val="22"/>
              </w:rPr>
              <w:fldChar w:fldCharType="end"/>
            </w:r>
          </w:hyperlink>
        </w:p>
        <w:p w14:paraId="16D9AD06"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09" w:history="1">
            <w:r w:rsidRPr="00310C5C">
              <w:rPr>
                <w:rStyle w:val="Hyperlink"/>
                <w:rFonts w:ascii="Arial" w:hAnsi="Arial" w:cs="Arial"/>
                <w:sz w:val="22"/>
              </w:rPr>
              <w:t>2. Classification and diagnosis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_Toc214028009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3</w:t>
            </w:r>
            <w:r w:rsidRPr="00310C5C">
              <w:rPr>
                <w:rFonts w:ascii="Arial" w:hAnsi="Arial" w:cs="Arial"/>
                <w:webHidden/>
                <w:sz w:val="22"/>
              </w:rPr>
              <w:fldChar w:fldCharType="end"/>
            </w:r>
          </w:hyperlink>
        </w:p>
        <w:p w14:paraId="37CF779A"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0" w:history="1">
            <w:r w:rsidRPr="00310C5C">
              <w:rPr>
                <w:rStyle w:val="Hyperlink"/>
                <w:rFonts w:ascii="Arial" w:hAnsi="Arial" w:cs="Arial"/>
                <w:sz w:val="22"/>
              </w:rPr>
              <w:t>2.1 Explanation of the classification in ICD-11 and key diagnostic criteria</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_Toc214028010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3</w:t>
            </w:r>
            <w:r w:rsidRPr="00310C5C">
              <w:rPr>
                <w:rFonts w:ascii="Arial" w:hAnsi="Arial" w:cs="Arial"/>
                <w:webHidden/>
                <w:sz w:val="22"/>
              </w:rPr>
              <w:fldChar w:fldCharType="end"/>
            </w:r>
          </w:hyperlink>
        </w:p>
        <w:p w14:paraId="2D2C202B"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1" w:history="1">
            <w:r w:rsidRPr="00310C5C">
              <w:rPr>
                <w:rStyle w:val="Hyperlink"/>
                <w:rFonts w:ascii="Arial" w:hAnsi="Arial" w:cs="Arial"/>
                <w:sz w:val="22"/>
              </w:rPr>
              <w:t>2.2 Evaluation on the diagnostic processes that differ internationally and application in UK</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_Toc214028011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3</w:t>
            </w:r>
            <w:r w:rsidRPr="00310C5C">
              <w:rPr>
                <w:rFonts w:ascii="Arial" w:hAnsi="Arial" w:cs="Arial"/>
                <w:webHidden/>
                <w:sz w:val="22"/>
              </w:rPr>
              <w:fldChar w:fldCharType="end"/>
            </w:r>
          </w:hyperlink>
        </w:p>
        <w:p w14:paraId="10DAE791"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2" w:history="1">
            <w:r w:rsidRPr="00310C5C">
              <w:rPr>
                <w:rStyle w:val="Hyperlink"/>
                <w:rFonts w:ascii="Arial" w:hAnsi="Arial" w:cs="Arial"/>
                <w:sz w:val="22"/>
              </w:rPr>
              <w:t>2.3 Debates over language "disorder" vs "condition"</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_Toc214028012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4</w:t>
            </w:r>
            <w:r w:rsidRPr="00310C5C">
              <w:rPr>
                <w:rFonts w:ascii="Arial" w:hAnsi="Arial" w:cs="Arial"/>
                <w:webHidden/>
                <w:sz w:val="22"/>
              </w:rPr>
              <w:fldChar w:fldCharType="end"/>
            </w:r>
          </w:hyperlink>
        </w:p>
        <w:p w14:paraId="38F26644"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13" w:history="1">
            <w:r w:rsidRPr="00310C5C">
              <w:rPr>
                <w:rStyle w:val="Hyperlink"/>
                <w:rFonts w:ascii="Arial" w:hAnsi="Arial" w:cs="Arial"/>
                <w:sz w:val="22"/>
              </w:rPr>
              <w:t>3. Treatment Approaches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_Toc214028013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4</w:t>
            </w:r>
            <w:r w:rsidRPr="00310C5C">
              <w:rPr>
                <w:rFonts w:ascii="Arial" w:hAnsi="Arial" w:cs="Arial"/>
                <w:webHidden/>
                <w:sz w:val="22"/>
              </w:rPr>
              <w:fldChar w:fldCharType="end"/>
            </w:r>
          </w:hyperlink>
        </w:p>
        <w:p w14:paraId="464A0835"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4" w:history="1">
            <w:r w:rsidRPr="00310C5C">
              <w:rPr>
                <w:rStyle w:val="Hyperlink"/>
                <w:rFonts w:ascii="Arial" w:hAnsi="Arial" w:cs="Arial"/>
                <w:sz w:val="22"/>
              </w:rPr>
              <w:t>3.1 Critical assessment on treatment options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_Toc214028014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4</w:t>
            </w:r>
            <w:r w:rsidRPr="00310C5C">
              <w:rPr>
                <w:rFonts w:ascii="Arial" w:hAnsi="Arial" w:cs="Arial"/>
                <w:webHidden/>
                <w:sz w:val="22"/>
              </w:rPr>
              <w:fldChar w:fldCharType="end"/>
            </w:r>
          </w:hyperlink>
        </w:p>
        <w:p w14:paraId="2129BA5D"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5" w:history="1">
            <w:r w:rsidRPr="00310C5C">
              <w:rPr>
                <w:rStyle w:val="Hyperlink"/>
                <w:rFonts w:ascii="Arial" w:hAnsi="Arial" w:cs="Arial"/>
                <w:sz w:val="22"/>
              </w:rPr>
              <w:t>3.2 Management of the UK healthcare in treatment and accessibility issues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_Toc214028015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4</w:t>
            </w:r>
            <w:r w:rsidRPr="00310C5C">
              <w:rPr>
                <w:rFonts w:ascii="Arial" w:hAnsi="Arial" w:cs="Arial"/>
                <w:webHidden/>
                <w:sz w:val="22"/>
              </w:rPr>
              <w:fldChar w:fldCharType="end"/>
            </w:r>
          </w:hyperlink>
        </w:p>
        <w:p w14:paraId="58DF44D8"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6" w:history="1">
            <w:r w:rsidRPr="00310C5C">
              <w:rPr>
                <w:rStyle w:val="Hyperlink"/>
                <w:rFonts w:ascii="Arial" w:hAnsi="Arial" w:cs="Arial"/>
                <w:sz w:val="22"/>
              </w:rPr>
              <w:t>3.3 Consideration effectiveness, limitations, and alternative treatments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_Toc214028016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5</w:t>
            </w:r>
            <w:r w:rsidRPr="00310C5C">
              <w:rPr>
                <w:rFonts w:ascii="Arial" w:hAnsi="Arial" w:cs="Arial"/>
                <w:webHidden/>
                <w:sz w:val="22"/>
              </w:rPr>
              <w:fldChar w:fldCharType="end"/>
            </w:r>
          </w:hyperlink>
        </w:p>
        <w:p w14:paraId="0861021E"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17" w:history="1">
            <w:r w:rsidRPr="00310C5C">
              <w:rPr>
                <w:rStyle w:val="Hyperlink"/>
                <w:rFonts w:ascii="Arial" w:hAnsi="Arial" w:cs="Arial"/>
                <w:sz w:val="22"/>
              </w:rPr>
              <w:t>4. Rehabilitation &amp; Long-Term Management</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_Toc214028017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5</w:t>
            </w:r>
            <w:r w:rsidRPr="00310C5C">
              <w:rPr>
                <w:rFonts w:ascii="Arial" w:hAnsi="Arial" w:cs="Arial"/>
                <w:webHidden/>
                <w:sz w:val="22"/>
              </w:rPr>
              <w:fldChar w:fldCharType="end"/>
            </w:r>
          </w:hyperlink>
        </w:p>
        <w:p w14:paraId="0C9ADEBE"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8" w:history="1">
            <w:r w:rsidRPr="00310C5C">
              <w:rPr>
                <w:rStyle w:val="Hyperlink"/>
                <w:rFonts w:ascii="Arial" w:hAnsi="Arial" w:cs="Arial"/>
                <w:sz w:val="22"/>
              </w:rPr>
              <w:t>4.1 Examination rehabilitation strategies in ICD - 11 and implementation in UK healthcare setting</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_Toc214028018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5</w:t>
            </w:r>
            <w:r w:rsidRPr="00310C5C">
              <w:rPr>
                <w:rFonts w:ascii="Arial" w:hAnsi="Arial" w:cs="Arial"/>
                <w:webHidden/>
                <w:sz w:val="22"/>
              </w:rPr>
              <w:fldChar w:fldCharType="end"/>
            </w:r>
          </w:hyperlink>
        </w:p>
        <w:p w14:paraId="2C5FC816"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19" w:history="1">
            <w:r w:rsidRPr="00310C5C">
              <w:rPr>
                <w:rStyle w:val="Hyperlink"/>
                <w:rFonts w:ascii="Arial" w:hAnsi="Arial" w:cs="Arial"/>
                <w:sz w:val="22"/>
              </w:rPr>
              <w:t>4.2 Discussion on social reintegration challenges and community-based interventions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_Toc214028019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6</w:t>
            </w:r>
            <w:r w:rsidRPr="00310C5C">
              <w:rPr>
                <w:rFonts w:ascii="Arial" w:hAnsi="Arial" w:cs="Arial"/>
                <w:webHidden/>
                <w:sz w:val="22"/>
              </w:rPr>
              <w:fldChar w:fldCharType="end"/>
            </w:r>
          </w:hyperlink>
        </w:p>
        <w:p w14:paraId="718BBC25"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20" w:history="1">
            <w:r w:rsidRPr="00310C5C">
              <w:rPr>
                <w:rStyle w:val="Hyperlink"/>
                <w:rFonts w:ascii="Arial" w:hAnsi="Arial" w:cs="Arial"/>
                <w:sz w:val="22"/>
              </w:rPr>
              <w:t>5. Current Debates &amp; Emerging Issues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_Toc214028020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6</w:t>
            </w:r>
            <w:r w:rsidRPr="00310C5C">
              <w:rPr>
                <w:rFonts w:ascii="Arial" w:hAnsi="Arial" w:cs="Arial"/>
                <w:webHidden/>
                <w:sz w:val="22"/>
              </w:rPr>
              <w:fldChar w:fldCharType="end"/>
            </w:r>
          </w:hyperlink>
        </w:p>
        <w:p w14:paraId="18BDD493"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1" w:history="1">
            <w:r w:rsidRPr="00310C5C">
              <w:rPr>
                <w:rStyle w:val="Hyperlink"/>
                <w:rFonts w:ascii="Arial" w:hAnsi="Arial" w:cs="Arial"/>
                <w:sz w:val="22"/>
              </w:rPr>
              <w:t>5.1 Discussion on major academic and clinical debates on classification and treatment</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_Toc214028021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6</w:t>
            </w:r>
            <w:r w:rsidRPr="00310C5C">
              <w:rPr>
                <w:rFonts w:ascii="Arial" w:hAnsi="Arial" w:cs="Arial"/>
                <w:webHidden/>
                <w:sz w:val="22"/>
              </w:rPr>
              <w:fldChar w:fldCharType="end"/>
            </w:r>
          </w:hyperlink>
        </w:p>
        <w:p w14:paraId="4590CC11"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2" w:history="1">
            <w:r w:rsidRPr="00310C5C">
              <w:rPr>
                <w:rStyle w:val="Hyperlink"/>
                <w:rFonts w:ascii="Arial" w:hAnsi="Arial" w:cs="Arial"/>
                <w:sz w:val="22"/>
              </w:rPr>
              <w:t>5.2 Exploration on the role of neurodivergence in redefining diagnostic frameworks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_Toc214028022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7</w:t>
            </w:r>
            <w:r w:rsidRPr="00310C5C">
              <w:rPr>
                <w:rFonts w:ascii="Arial" w:hAnsi="Arial" w:cs="Arial"/>
                <w:webHidden/>
                <w:sz w:val="22"/>
              </w:rPr>
              <w:fldChar w:fldCharType="end"/>
            </w:r>
          </w:hyperlink>
        </w:p>
        <w:p w14:paraId="5EF178A6"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3" w:history="1">
            <w:r w:rsidRPr="00310C5C">
              <w:rPr>
                <w:rStyle w:val="Hyperlink"/>
                <w:rFonts w:ascii="Arial" w:hAnsi="Arial" w:cs="Arial"/>
                <w:sz w:val="22"/>
              </w:rPr>
              <w:t>5.3 Consideration on the policy changes and their implications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_Toc214028023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7</w:t>
            </w:r>
            <w:r w:rsidRPr="00310C5C">
              <w:rPr>
                <w:rFonts w:ascii="Arial" w:hAnsi="Arial" w:cs="Arial"/>
                <w:webHidden/>
                <w:sz w:val="22"/>
              </w:rPr>
              <w:fldChar w:fldCharType="end"/>
            </w:r>
          </w:hyperlink>
        </w:p>
        <w:p w14:paraId="70AE554A"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24" w:history="1">
            <w:r w:rsidRPr="00310C5C">
              <w:rPr>
                <w:rStyle w:val="Hyperlink"/>
                <w:rFonts w:ascii="Arial" w:hAnsi="Arial" w:cs="Arial"/>
                <w:sz w:val="22"/>
              </w:rPr>
              <w:t>6. Policy &amp; Legal Framework</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_Toc214028024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7</w:t>
            </w:r>
            <w:r w:rsidRPr="00310C5C">
              <w:rPr>
                <w:rFonts w:ascii="Arial" w:hAnsi="Arial" w:cs="Arial"/>
                <w:webHidden/>
                <w:sz w:val="22"/>
              </w:rPr>
              <w:fldChar w:fldCharType="end"/>
            </w:r>
          </w:hyperlink>
        </w:p>
        <w:p w14:paraId="6B0AE1AE"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5" w:history="1">
            <w:r w:rsidRPr="00310C5C">
              <w:rPr>
                <w:rStyle w:val="Hyperlink"/>
                <w:rFonts w:ascii="Arial" w:hAnsi="Arial" w:cs="Arial"/>
                <w:sz w:val="22"/>
              </w:rPr>
              <w:t>6.1 Discussion on legal protections and rights of individuals with the chosen disorder</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_Toc214028025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7</w:t>
            </w:r>
            <w:r w:rsidRPr="00310C5C">
              <w:rPr>
                <w:rFonts w:ascii="Arial" w:hAnsi="Arial" w:cs="Arial"/>
                <w:webHidden/>
                <w:sz w:val="22"/>
              </w:rPr>
              <w:fldChar w:fldCharType="end"/>
            </w:r>
          </w:hyperlink>
        </w:p>
        <w:p w14:paraId="1B80BC56"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6" w:history="1">
            <w:r w:rsidRPr="00310C5C">
              <w:rPr>
                <w:rStyle w:val="Hyperlink"/>
                <w:rFonts w:ascii="Arial" w:hAnsi="Arial" w:cs="Arial"/>
                <w:sz w:val="22"/>
              </w:rPr>
              <w:t>6.2 Examination on the UK policies influence service provision and access to care</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_Toc214028026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8</w:t>
            </w:r>
            <w:r w:rsidRPr="00310C5C">
              <w:rPr>
                <w:rFonts w:ascii="Arial" w:hAnsi="Arial" w:cs="Arial"/>
                <w:webHidden/>
                <w:sz w:val="22"/>
              </w:rPr>
              <w:fldChar w:fldCharType="end"/>
            </w:r>
          </w:hyperlink>
        </w:p>
        <w:p w14:paraId="34C5E6EA"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7" w:history="1">
            <w:r w:rsidRPr="00310C5C">
              <w:rPr>
                <w:rStyle w:val="Hyperlink"/>
                <w:rFonts w:ascii="Arial" w:hAnsi="Arial" w:cs="Arial"/>
                <w:sz w:val="22"/>
              </w:rPr>
              <w:t>6.3 Considerations on ethical concerns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_Toc214028027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8</w:t>
            </w:r>
            <w:r w:rsidRPr="00310C5C">
              <w:rPr>
                <w:rFonts w:ascii="Arial" w:hAnsi="Arial" w:cs="Arial"/>
                <w:webHidden/>
                <w:sz w:val="22"/>
              </w:rPr>
              <w:fldChar w:fldCharType="end"/>
            </w:r>
          </w:hyperlink>
        </w:p>
        <w:p w14:paraId="27387746"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28" w:history="1">
            <w:r w:rsidRPr="00310C5C">
              <w:rPr>
                <w:rStyle w:val="Hyperlink"/>
                <w:rFonts w:ascii="Arial" w:hAnsi="Arial" w:cs="Arial"/>
                <w:sz w:val="22"/>
              </w:rPr>
              <w:t>7. UK Data &amp; Statistical Evidence</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_Toc214028028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8</w:t>
            </w:r>
            <w:r w:rsidRPr="00310C5C">
              <w:rPr>
                <w:rFonts w:ascii="Arial" w:hAnsi="Arial" w:cs="Arial"/>
                <w:webHidden/>
                <w:sz w:val="22"/>
              </w:rPr>
              <w:fldChar w:fldCharType="end"/>
            </w:r>
          </w:hyperlink>
        </w:p>
        <w:p w14:paraId="3C449138"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29" w:history="1">
            <w:r w:rsidRPr="00310C5C">
              <w:rPr>
                <w:rStyle w:val="Hyperlink"/>
                <w:rFonts w:ascii="Arial" w:hAnsi="Arial" w:cs="Arial"/>
                <w:sz w:val="22"/>
              </w:rPr>
              <w:t>7.1 Data to support arguments regarding prevalence, treatment success and service access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_Toc214028029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8</w:t>
            </w:r>
            <w:r w:rsidRPr="00310C5C">
              <w:rPr>
                <w:rFonts w:ascii="Arial" w:hAnsi="Arial" w:cs="Arial"/>
                <w:webHidden/>
                <w:sz w:val="22"/>
              </w:rPr>
              <w:fldChar w:fldCharType="end"/>
            </w:r>
          </w:hyperlink>
        </w:p>
        <w:p w14:paraId="2D83F48D"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30" w:history="1">
            <w:r w:rsidRPr="00310C5C">
              <w:rPr>
                <w:rStyle w:val="Hyperlink"/>
                <w:rFonts w:ascii="Arial" w:hAnsi="Arial" w:cs="Arial"/>
                <w:sz w:val="22"/>
              </w:rPr>
              <w:t>7.2 Compare UK data with global trends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_Toc214028030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8</w:t>
            </w:r>
            <w:r w:rsidRPr="00310C5C">
              <w:rPr>
                <w:rFonts w:ascii="Arial" w:hAnsi="Arial" w:cs="Arial"/>
                <w:webHidden/>
                <w:sz w:val="22"/>
              </w:rPr>
              <w:fldChar w:fldCharType="end"/>
            </w:r>
          </w:hyperlink>
        </w:p>
        <w:p w14:paraId="3A498B95"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31" w:history="1">
            <w:r w:rsidRPr="00310C5C">
              <w:rPr>
                <w:rStyle w:val="Hyperlink"/>
                <w:rFonts w:ascii="Arial" w:hAnsi="Arial" w:cs="Arial"/>
                <w:sz w:val="22"/>
              </w:rPr>
              <w:t>8. Recommendations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_Toc214028031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9</w:t>
            </w:r>
            <w:r w:rsidRPr="00310C5C">
              <w:rPr>
                <w:rFonts w:ascii="Arial" w:hAnsi="Arial" w:cs="Arial"/>
                <w:webHidden/>
                <w:sz w:val="22"/>
              </w:rPr>
              <w:fldChar w:fldCharType="end"/>
            </w:r>
          </w:hyperlink>
        </w:p>
        <w:p w14:paraId="327C9C1C"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32" w:history="1">
            <w:r w:rsidRPr="00310C5C">
              <w:rPr>
                <w:rStyle w:val="Hyperlink"/>
                <w:rFonts w:ascii="Arial" w:hAnsi="Arial" w:cs="Arial"/>
                <w:sz w:val="22"/>
              </w:rPr>
              <w:t>8.1 Practical improvements in diagnosis, treatment, or policy</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_Toc214028032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9</w:t>
            </w:r>
            <w:r w:rsidRPr="00310C5C">
              <w:rPr>
                <w:rFonts w:ascii="Arial" w:hAnsi="Arial" w:cs="Arial"/>
                <w:webHidden/>
                <w:sz w:val="22"/>
              </w:rPr>
              <w:fldChar w:fldCharType="end"/>
            </w:r>
          </w:hyperlink>
        </w:p>
        <w:p w14:paraId="717DB4DC" w14:textId="77777777" w:rsidR="003C4C72" w:rsidRPr="00310C5C" w:rsidRDefault="003C4C72" w:rsidP="003C4C72">
          <w:pPr>
            <w:pStyle w:val="TOC2"/>
            <w:tabs>
              <w:tab w:val="right" w:leader="dot" w:pos="9016"/>
            </w:tabs>
            <w:spacing w:before="0" w:beforeAutospacing="0" w:after="0" w:afterAutospacing="0"/>
            <w:rPr>
              <w:rFonts w:ascii="Arial" w:hAnsi="Arial" w:cs="Arial"/>
              <w:sz w:val="22"/>
            </w:rPr>
          </w:pPr>
          <w:hyperlink w:anchor="_Toc214028033" w:history="1">
            <w:r w:rsidRPr="00310C5C">
              <w:rPr>
                <w:rStyle w:val="Hyperlink"/>
                <w:rFonts w:ascii="Arial" w:hAnsi="Arial" w:cs="Arial"/>
                <w:sz w:val="22"/>
              </w:rPr>
              <w:t>8.2 Recommendations are evidence-based and applicable to UK practice</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_Toc214028033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9</w:t>
            </w:r>
            <w:r w:rsidRPr="00310C5C">
              <w:rPr>
                <w:rFonts w:ascii="Arial" w:hAnsi="Arial" w:cs="Arial"/>
                <w:webHidden/>
                <w:sz w:val="22"/>
              </w:rPr>
              <w:fldChar w:fldCharType="end"/>
            </w:r>
          </w:hyperlink>
        </w:p>
        <w:p w14:paraId="7E906231"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34" w:history="1">
            <w:r w:rsidRPr="00310C5C">
              <w:rPr>
                <w:rStyle w:val="Hyperlink"/>
                <w:rFonts w:ascii="Arial" w:hAnsi="Arial" w:cs="Arial"/>
                <w:sz w:val="22"/>
              </w:rPr>
              <w:t>9. Conclusion</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_Toc214028034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9</w:t>
            </w:r>
            <w:r w:rsidRPr="00310C5C">
              <w:rPr>
                <w:rFonts w:ascii="Arial" w:hAnsi="Arial" w:cs="Arial"/>
                <w:webHidden/>
                <w:sz w:val="22"/>
              </w:rPr>
              <w:fldChar w:fldCharType="end"/>
            </w:r>
          </w:hyperlink>
        </w:p>
        <w:p w14:paraId="0413DED3" w14:textId="77777777" w:rsidR="003C4C72" w:rsidRPr="00310C5C" w:rsidRDefault="003C4C72" w:rsidP="003C4C72">
          <w:pPr>
            <w:pStyle w:val="TOC1"/>
            <w:tabs>
              <w:tab w:val="right" w:leader="dot" w:pos="9016"/>
            </w:tabs>
            <w:spacing w:before="0" w:beforeAutospacing="0" w:after="0" w:afterAutospacing="0"/>
            <w:rPr>
              <w:rFonts w:ascii="Arial" w:hAnsi="Arial" w:cs="Arial"/>
              <w:sz w:val="22"/>
            </w:rPr>
          </w:pPr>
          <w:hyperlink w:anchor="_Toc214028035" w:history="1">
            <w:r w:rsidRPr="00310C5C">
              <w:rPr>
                <w:rStyle w:val="Hyperlink"/>
                <w:rFonts w:ascii="Arial" w:hAnsi="Arial" w:cs="Arial"/>
                <w:sz w:val="22"/>
              </w:rPr>
              <w:t>References</w:t>
            </w:r>
            <w:r w:rsidRPr="00310C5C">
              <w:rPr>
                <w:rFonts w:ascii="Arial" w:hAnsi="Arial" w:cs="Arial"/>
                <w:webHidden/>
                <w:sz w:val="22"/>
              </w:rPr>
              <w:tab/>
            </w:r>
            <w:r w:rsidRPr="00310C5C">
              <w:rPr>
                <w:rFonts w:ascii="Arial" w:hAnsi="Arial" w:cs="Arial"/>
                <w:webHidden/>
                <w:sz w:val="22"/>
              </w:rPr>
              <w:fldChar w:fldCharType="begin"/>
            </w:r>
            <w:r w:rsidRPr="00310C5C">
              <w:rPr>
                <w:rFonts w:ascii="Arial" w:hAnsi="Arial" w:cs="Arial"/>
                <w:webHidden/>
                <w:sz w:val="22"/>
              </w:rPr>
              <w:instrText xml:space="preserve"> PAGEREF _Toc214028035 \h </w:instrText>
            </w:r>
            <w:r w:rsidRPr="00310C5C">
              <w:rPr>
                <w:rFonts w:ascii="Arial" w:hAnsi="Arial" w:cs="Arial"/>
                <w:webHidden/>
                <w:sz w:val="22"/>
              </w:rPr>
            </w:r>
            <w:r w:rsidRPr="00310C5C">
              <w:rPr>
                <w:rFonts w:ascii="Arial" w:hAnsi="Arial" w:cs="Arial"/>
                <w:webHidden/>
                <w:sz w:val="22"/>
              </w:rPr>
              <w:fldChar w:fldCharType="separate"/>
            </w:r>
            <w:r w:rsidRPr="00310C5C">
              <w:rPr>
                <w:rFonts w:ascii="Arial" w:hAnsi="Arial" w:cs="Arial"/>
                <w:webHidden/>
                <w:sz w:val="22"/>
              </w:rPr>
              <w:t>11</w:t>
            </w:r>
            <w:r w:rsidRPr="00310C5C">
              <w:rPr>
                <w:rFonts w:ascii="Arial" w:hAnsi="Arial" w:cs="Arial"/>
                <w:webHidden/>
                <w:sz w:val="22"/>
              </w:rPr>
              <w:fldChar w:fldCharType="end"/>
            </w:r>
          </w:hyperlink>
        </w:p>
        <w:p w14:paraId="09580339" w14:textId="77777777" w:rsidR="003C4C72" w:rsidRPr="0038649E" w:rsidRDefault="003C4C72" w:rsidP="003C4C72">
          <w:pPr>
            <w:spacing w:before="0" w:beforeAutospacing="0" w:after="0" w:afterAutospacing="0"/>
            <w:rPr>
              <w:rFonts w:ascii="Arial" w:hAnsi="Arial" w:cs="Arial"/>
            </w:rPr>
          </w:pPr>
          <w:r w:rsidRPr="00310C5C">
            <w:rPr>
              <w:rFonts w:ascii="Arial" w:hAnsi="Arial" w:cs="Arial"/>
              <w:b/>
              <w:bCs/>
              <w:sz w:val="22"/>
            </w:rPr>
            <w:fldChar w:fldCharType="end"/>
          </w:r>
        </w:p>
      </w:sdtContent>
    </w:sdt>
    <w:p w14:paraId="10804886" w14:textId="77777777" w:rsidR="003C4C72" w:rsidRPr="0038649E" w:rsidRDefault="003C4C72">
      <w:pPr>
        <w:spacing w:before="0" w:beforeAutospacing="0" w:after="160" w:afterAutospacing="0" w:line="259" w:lineRule="auto"/>
        <w:jc w:val="left"/>
        <w:rPr>
          <w:rFonts w:ascii="Arial" w:eastAsiaTheme="majorEastAsia" w:hAnsi="Arial" w:cs="Arial"/>
          <w:b/>
          <w:color w:val="000000" w:themeColor="text1"/>
          <w:sz w:val="28"/>
          <w:szCs w:val="32"/>
        </w:rPr>
      </w:pPr>
      <w:r w:rsidRPr="0038649E">
        <w:rPr>
          <w:rFonts w:ascii="Arial" w:hAnsi="Arial" w:cs="Arial"/>
        </w:rPr>
        <w:br w:type="page"/>
      </w:r>
    </w:p>
    <w:p w14:paraId="246AF39B" w14:textId="77777777" w:rsidR="003C4C72" w:rsidRPr="0038649E" w:rsidRDefault="003C4C72" w:rsidP="003C4C72">
      <w:pPr>
        <w:pStyle w:val="Heading1"/>
        <w:rPr>
          <w:rFonts w:ascii="Arial" w:hAnsi="Arial" w:cs="Arial"/>
        </w:rPr>
      </w:pPr>
      <w:bookmarkStart w:id="0" w:name="_Toc214028008"/>
      <w:r w:rsidRPr="0038649E">
        <w:rPr>
          <w:rFonts w:ascii="Arial" w:hAnsi="Arial" w:cs="Arial"/>
        </w:rPr>
        <w:lastRenderedPageBreak/>
        <w:t>1. Introduction</w:t>
      </w:r>
      <w:bookmarkEnd w:id="0"/>
    </w:p>
    <w:p w14:paraId="36103A41" w14:textId="77777777" w:rsidR="003C4C72" w:rsidRPr="00310C5C" w:rsidRDefault="003C4C72" w:rsidP="003C4C72">
      <w:pPr>
        <w:rPr>
          <w:rFonts w:ascii="Arial" w:hAnsi="Arial" w:cs="Arial"/>
          <w:sz w:val="22"/>
        </w:rPr>
      </w:pPr>
      <w:r w:rsidRPr="00310C5C">
        <w:rPr>
          <w:rFonts w:ascii="Arial" w:hAnsi="Arial" w:cs="Arial"/>
          <w:sz w:val="22"/>
        </w:rPr>
        <w:t>Anxiety-related disorders are some of the most prevalent mental health problems in the UK, and ONS surveys suggest that every six adults are likely to have some symptoms every week. NHS Digital reports have registered a consistent increase in presentations in primary care especially among young adults. Public Health England has emphasised on increasing socioeconomic inequalities which affect prevalence and access to treatment. Clinical assessment is influenced by national guidance, such as the NICE recommendations, whilst new NHS policy papers focus on early intervention and support in the community. </w:t>
      </w:r>
    </w:p>
    <w:p w14:paraId="2797AB41" w14:textId="77777777" w:rsidR="003C4C72" w:rsidRPr="0038649E" w:rsidRDefault="003C4C72" w:rsidP="003C4C72">
      <w:pPr>
        <w:pStyle w:val="Heading1"/>
        <w:rPr>
          <w:rFonts w:ascii="Arial" w:hAnsi="Arial" w:cs="Arial"/>
        </w:rPr>
      </w:pPr>
      <w:bookmarkStart w:id="1" w:name="_Toc214028009"/>
      <w:r w:rsidRPr="0038649E">
        <w:rPr>
          <w:rFonts w:ascii="Arial" w:hAnsi="Arial" w:cs="Arial"/>
        </w:rPr>
        <w:t>2. Classification and diagnosis</w:t>
      </w:r>
      <w:bookmarkEnd w:id="1"/>
    </w:p>
    <w:p w14:paraId="009195B6" w14:textId="77777777" w:rsidR="003C4C72" w:rsidRPr="0038649E" w:rsidRDefault="003C4C72" w:rsidP="003C4C72">
      <w:pPr>
        <w:pStyle w:val="Heading2"/>
        <w:rPr>
          <w:rFonts w:ascii="Arial" w:hAnsi="Arial" w:cs="Arial"/>
        </w:rPr>
      </w:pPr>
      <w:bookmarkStart w:id="2" w:name="_Toc214028010"/>
      <w:r w:rsidRPr="0038649E">
        <w:rPr>
          <w:rFonts w:ascii="Arial" w:hAnsi="Arial" w:cs="Arial"/>
        </w:rPr>
        <w:t>2.1 Explanation of the classification in ICD-11 and key diagnostic criteria</w:t>
      </w:r>
      <w:bookmarkEnd w:id="2"/>
    </w:p>
    <w:p w14:paraId="6C292A53" w14:textId="77777777" w:rsidR="003C4C72" w:rsidRPr="00310C5C" w:rsidRDefault="003C4C72" w:rsidP="003C4C72">
      <w:pPr>
        <w:rPr>
          <w:rFonts w:ascii="Arial" w:hAnsi="Arial" w:cs="Arial"/>
          <w:sz w:val="22"/>
        </w:rPr>
      </w:pPr>
      <w:r w:rsidRPr="00310C5C">
        <w:rPr>
          <w:rFonts w:ascii="Arial" w:hAnsi="Arial" w:cs="Arial"/>
          <w:sz w:val="22"/>
        </w:rPr>
        <w:t>Description of the classification of ICD-11 including important diagnostic criteria. The adoption of the ICD-11 framework was to categorise the anxiety or fear-related disorders under one category to achieve enhanced clinical coherence (ICD-11, 2024). The essential diagnostic factors were highlighted such as the presence of excessive fear, autonomic arousal, avoidance behaviours, and allowable functional impairment. The ICD-11 criteria aimed to make the cross-cultural validity and clinical usefulness more increased by explaining the threshold of panic, agoraphobia and generalized anxiety (ICD-11, 2024). However, a residual overlap between the subtypes was recognised and it was recommended that field validation should be conducted so that it can be applicable in the real world in various clinical presentations. </w:t>
      </w:r>
    </w:p>
    <w:p w14:paraId="0249AFBD" w14:textId="77777777" w:rsidR="003C4C72" w:rsidRPr="0038649E" w:rsidRDefault="003C4C72" w:rsidP="003C4C72">
      <w:pPr>
        <w:pStyle w:val="Heading2"/>
        <w:rPr>
          <w:rFonts w:ascii="Arial" w:hAnsi="Arial" w:cs="Arial"/>
        </w:rPr>
      </w:pPr>
      <w:bookmarkStart w:id="3" w:name="_Toc214028011"/>
      <w:r w:rsidRPr="0038649E">
        <w:rPr>
          <w:rFonts w:ascii="Arial" w:hAnsi="Arial" w:cs="Arial"/>
        </w:rPr>
        <w:t>2.2 Evaluation on the diagnostic processes that differ internationally and application in UK</w:t>
      </w:r>
      <w:bookmarkEnd w:id="3"/>
      <w:r w:rsidRPr="0038649E">
        <w:rPr>
          <w:rFonts w:ascii="Arial" w:hAnsi="Arial" w:cs="Arial"/>
        </w:rPr>
        <w:t> </w:t>
      </w:r>
    </w:p>
    <w:p w14:paraId="5FE78ECB" w14:textId="77777777" w:rsidR="003C4C72" w:rsidRPr="00310C5C" w:rsidRDefault="003C4C72" w:rsidP="003C4C72">
      <w:pPr>
        <w:rPr>
          <w:rFonts w:ascii="Arial" w:hAnsi="Arial" w:cs="Arial"/>
          <w:sz w:val="22"/>
        </w:rPr>
      </w:pPr>
      <w:r w:rsidRPr="00310C5C">
        <w:rPr>
          <w:rFonts w:ascii="Arial" w:hAnsi="Arial" w:cs="Arial"/>
          <w:sz w:val="22"/>
        </w:rPr>
        <w:t xml:space="preserve">It was found that diagnostic procedures differed in every country due to varied systems of coding, training of the work force and structure of services. The NHS practice has still been based on the ICD-10 and SNOMED-CT, with the adoption of ICD-11 being inconsistent (WHO, 2025). This, in turn, has made UK clinicians map the ICD-11 constructs onto the existing electronic records and commissioning frameworks. This mapping exercise has been linked to possible inconsistency in case ascertainment and in prevalence as reported. In England, recent national surveillance found that 7.5% of adults were meeting criteria of generalised </w:t>
      </w:r>
      <w:r w:rsidRPr="00310C5C">
        <w:rPr>
          <w:rFonts w:ascii="Arial" w:hAnsi="Arial" w:cs="Arial"/>
          <w:sz w:val="22"/>
        </w:rPr>
        <w:lastRenderedPageBreak/>
        <w:t>anxiety disorder, which highlights the need of the service services and the consequences of diagnostic shift (NHS, 2025). </w:t>
      </w:r>
    </w:p>
    <w:p w14:paraId="515DF73C" w14:textId="77777777" w:rsidR="003C4C72" w:rsidRPr="0038649E" w:rsidRDefault="003C4C72" w:rsidP="003C4C72">
      <w:pPr>
        <w:pStyle w:val="Heading2"/>
        <w:rPr>
          <w:rFonts w:ascii="Arial" w:hAnsi="Arial" w:cs="Arial"/>
        </w:rPr>
      </w:pPr>
      <w:bookmarkStart w:id="4" w:name="_Toc214028012"/>
      <w:r w:rsidRPr="0038649E">
        <w:rPr>
          <w:rFonts w:ascii="Arial" w:hAnsi="Arial" w:cs="Arial"/>
        </w:rPr>
        <w:t>2.3 Debates over language "disorder" vs "condition"</w:t>
      </w:r>
      <w:bookmarkEnd w:id="4"/>
    </w:p>
    <w:p w14:paraId="1CE2A273" w14:textId="77777777" w:rsidR="003C4C72" w:rsidRPr="00310C5C" w:rsidRDefault="003C4C72" w:rsidP="003C4C72">
      <w:pPr>
        <w:rPr>
          <w:rFonts w:ascii="Arial" w:hAnsi="Arial" w:cs="Arial"/>
          <w:sz w:val="22"/>
        </w:rPr>
      </w:pPr>
      <w:r w:rsidRPr="00310C5C">
        <w:rPr>
          <w:rFonts w:ascii="Arial" w:hAnsi="Arial" w:cs="Arial"/>
          <w:sz w:val="22"/>
        </w:rPr>
        <w:t xml:space="preserve">The use of the term disorder and condition has been argued against on the grounds of clinical, social or policy implications. Eligibility and treatment pathways have been identified by NICE guidelines on managing anxiety and the NHS standards of practice (Elston-Short and Benwell, 2025). The use of disorder was justified in terms of diagnostic accuracy and in terms of legal and commissioning congruence hence access to organised interventions. On the other hand, the condition was claimed to minimise stigma and to promote help-seeking in the context of a community (Colman </w:t>
      </w:r>
      <w:r w:rsidRPr="00310C5C">
        <w:rPr>
          <w:rFonts w:ascii="Arial" w:hAnsi="Arial" w:cs="Arial"/>
          <w:i/>
          <w:iCs/>
          <w:sz w:val="22"/>
        </w:rPr>
        <w:t>et al.</w:t>
      </w:r>
      <w:r w:rsidRPr="00310C5C">
        <w:rPr>
          <w:rFonts w:ascii="Arial" w:hAnsi="Arial" w:cs="Arial"/>
          <w:sz w:val="22"/>
        </w:rPr>
        <w:t>, 2020). Practical diagnostic issues have also been reported, such as pressure, and wait times in the service; one example is that referrals to Talking Therapies received a service within six weeks, but it was reported that there were bottlenecks at the secondary care.</w:t>
      </w:r>
    </w:p>
    <w:p w14:paraId="3D7ECD99" w14:textId="77777777" w:rsidR="003C4C72" w:rsidRPr="0038649E" w:rsidRDefault="003C4C72" w:rsidP="003C4C72">
      <w:pPr>
        <w:pStyle w:val="Heading1"/>
        <w:rPr>
          <w:rFonts w:ascii="Arial" w:hAnsi="Arial" w:cs="Arial"/>
        </w:rPr>
      </w:pPr>
      <w:bookmarkStart w:id="5" w:name="_Toc214028013"/>
      <w:r w:rsidRPr="0038649E">
        <w:rPr>
          <w:rFonts w:ascii="Arial" w:hAnsi="Arial" w:cs="Arial"/>
        </w:rPr>
        <w:t>3. Treatment Approaches</w:t>
      </w:r>
      <w:bookmarkEnd w:id="5"/>
    </w:p>
    <w:p w14:paraId="44A24CC9" w14:textId="77777777" w:rsidR="003C4C72" w:rsidRPr="0038649E" w:rsidRDefault="003C4C72" w:rsidP="003C4C72">
      <w:pPr>
        <w:pStyle w:val="Heading2"/>
        <w:rPr>
          <w:rFonts w:ascii="Arial" w:hAnsi="Arial" w:cs="Arial"/>
        </w:rPr>
      </w:pPr>
      <w:bookmarkStart w:id="6" w:name="_Toc214028014"/>
      <w:r w:rsidRPr="0038649E">
        <w:rPr>
          <w:rFonts w:ascii="Arial" w:hAnsi="Arial" w:cs="Arial"/>
        </w:rPr>
        <w:t>3.1 Critical assessment on treatment options</w:t>
      </w:r>
      <w:bookmarkEnd w:id="6"/>
    </w:p>
    <w:p w14:paraId="21688B92" w14:textId="77777777" w:rsidR="003C4C72" w:rsidRPr="00310C5C" w:rsidRDefault="003C4C72" w:rsidP="003C4C72">
      <w:pPr>
        <w:rPr>
          <w:rFonts w:ascii="Arial" w:hAnsi="Arial" w:cs="Arial"/>
          <w:sz w:val="22"/>
        </w:rPr>
      </w:pPr>
      <w:r w:rsidRPr="00310C5C">
        <w:rPr>
          <w:rFonts w:ascii="Arial" w:hAnsi="Arial" w:cs="Arial"/>
          <w:sz w:val="22"/>
        </w:rPr>
        <w:t>Anxiety or fear-related disorders treatment has been placed in a stepped-care model highlighted by the NICE guidelines (NICE, 2024). CBT, exposure-based, and applied relaxation along with psychological methods have been suggested as the first-line therapies, and pharmacological methods with SSRIs have been suggested in situations where the symptoms worsen (NICE, 2025). This framework has been applauded to have given priority to evidence based care and to minimise unnecessary medication. Its effectiveness has been however varied in implementation by localities. </w:t>
      </w:r>
    </w:p>
    <w:p w14:paraId="42BF1DA1" w14:textId="77777777" w:rsidR="003C4C72" w:rsidRPr="0038649E" w:rsidRDefault="003C4C72" w:rsidP="003C4C72">
      <w:pPr>
        <w:pStyle w:val="Heading2"/>
        <w:rPr>
          <w:rFonts w:ascii="Arial" w:hAnsi="Arial" w:cs="Arial"/>
        </w:rPr>
      </w:pPr>
      <w:bookmarkStart w:id="7" w:name="_Toc214028015"/>
      <w:r w:rsidRPr="0038649E">
        <w:rPr>
          <w:rFonts w:ascii="Arial" w:hAnsi="Arial" w:cs="Arial"/>
        </w:rPr>
        <w:t>3.2 Management of the UK healthcare in treatment and accessibility issues</w:t>
      </w:r>
      <w:bookmarkEnd w:id="7"/>
    </w:p>
    <w:p w14:paraId="38E08F2B" w14:textId="77777777" w:rsidR="003C4C72" w:rsidRPr="00310C5C" w:rsidRDefault="003C4C72" w:rsidP="003C4C72">
      <w:pPr>
        <w:rPr>
          <w:rFonts w:ascii="Arial" w:hAnsi="Arial" w:cs="Arial"/>
          <w:sz w:val="22"/>
        </w:rPr>
      </w:pPr>
      <w:r w:rsidRPr="00310C5C">
        <w:rPr>
          <w:rFonts w:ascii="Arial" w:hAnsi="Arial" w:cs="Arial"/>
          <w:sz w:val="22"/>
        </w:rPr>
        <w:t xml:space="preserve">Anxiety treatment in the UK has been managed by NHS Talking Therapies, formerly referred to as IAPT which seeks to promote access to early psychological services. The latest NHS data indicates that there were 1.35 million referrals and 91% of the assessments were finished in six weeks, which is promising the beginning of responsiveness (Sambrook </w:t>
      </w:r>
      <w:r w:rsidRPr="00310C5C">
        <w:rPr>
          <w:rFonts w:ascii="Arial" w:hAnsi="Arial" w:cs="Arial"/>
          <w:i/>
          <w:iCs/>
          <w:sz w:val="22"/>
        </w:rPr>
        <w:t>et al.</w:t>
      </w:r>
      <w:r w:rsidRPr="00310C5C">
        <w:rPr>
          <w:rFonts w:ascii="Arial" w:hAnsi="Arial" w:cs="Arial"/>
          <w:sz w:val="22"/>
        </w:rPr>
        <w:t xml:space="preserve">, 2025). The figures reflect better access; but, the rate of treatment completion is heterogeneous since many patients lose interest before the level of recovery is achieved. The availability of </w:t>
      </w:r>
      <w:r w:rsidRPr="00310C5C">
        <w:rPr>
          <w:rFonts w:ascii="Arial" w:hAnsi="Arial" w:cs="Arial"/>
          <w:sz w:val="22"/>
        </w:rPr>
        <w:lastRenderedPageBreak/>
        <w:t xml:space="preserve">secondary-care is still more limited, especially those cases of more complicated forms of anxiety that need psychiatric contribution where long waiting lines have been noted in various places (Levell, 2022). These challenges have also been caused by workforce shortages which have led to disparity between local mental health Trusts. Prescribing policies also have contributed to the treatment pathways, where dispensing of antidepressants became more than 85 million items in England, which means that use of medication is used when there is low capacity to treat (Bogowicz </w:t>
      </w:r>
      <w:r w:rsidRPr="00310C5C">
        <w:rPr>
          <w:rFonts w:ascii="Arial" w:hAnsi="Arial" w:cs="Arial"/>
          <w:i/>
          <w:iCs/>
          <w:sz w:val="22"/>
        </w:rPr>
        <w:t>et al.</w:t>
      </w:r>
      <w:r w:rsidRPr="00310C5C">
        <w:rPr>
          <w:rFonts w:ascii="Arial" w:hAnsi="Arial" w:cs="Arial"/>
          <w:sz w:val="22"/>
        </w:rPr>
        <w:t>, 2021).</w:t>
      </w:r>
    </w:p>
    <w:p w14:paraId="19E12AC2" w14:textId="77777777" w:rsidR="003C4C72" w:rsidRPr="0038649E" w:rsidRDefault="003C4C72" w:rsidP="003C4C72">
      <w:pPr>
        <w:pStyle w:val="Heading2"/>
        <w:rPr>
          <w:rFonts w:ascii="Arial" w:hAnsi="Arial" w:cs="Arial"/>
        </w:rPr>
      </w:pPr>
      <w:bookmarkStart w:id="8" w:name="_Toc214028016"/>
      <w:r w:rsidRPr="0038649E">
        <w:rPr>
          <w:rFonts w:ascii="Arial" w:hAnsi="Arial" w:cs="Arial"/>
        </w:rPr>
        <w:t>3.3 Consideration effectiveness, limitations, and alternative treatments</w:t>
      </w:r>
      <w:bookmarkEnd w:id="8"/>
    </w:p>
    <w:p w14:paraId="6E32088D" w14:textId="77777777" w:rsidR="003C4C72" w:rsidRPr="00310C5C" w:rsidRDefault="003C4C72" w:rsidP="003C4C72">
      <w:pPr>
        <w:rPr>
          <w:rFonts w:ascii="Arial" w:hAnsi="Arial" w:cs="Arial"/>
          <w:sz w:val="22"/>
        </w:rPr>
      </w:pPr>
      <w:r w:rsidRPr="00310C5C">
        <w:rPr>
          <w:rFonts w:ascii="Arial" w:hAnsi="Arial" w:cs="Arial"/>
          <w:sz w:val="22"/>
        </w:rPr>
        <w:t xml:space="preserve">The NHS outcomes data has confirmed the effectiveness of current UK treatments as recovery levels are about 50% in primary-care psychological services (NHS, 2025). Such outcomes support significant value, but there are uneven distributions where people in the deprived areas have longer waiting time and non-completion rates. Drug therapy has offered significant relief to most but chronic therapy is limited due to side-effects and withdrawal problems. To increase service reach, alternative methods, including digital CBT, mindfulness-based programmes, and hybrid forms of therapy have been introduced (Kirk </w:t>
      </w:r>
      <w:r w:rsidRPr="00310C5C">
        <w:rPr>
          <w:rFonts w:ascii="Arial" w:hAnsi="Arial" w:cs="Arial"/>
          <w:i/>
          <w:iCs/>
          <w:sz w:val="22"/>
        </w:rPr>
        <w:t>et al.</w:t>
      </w:r>
      <w:r w:rsidRPr="00310C5C">
        <w:rPr>
          <w:rFonts w:ascii="Arial" w:hAnsi="Arial" w:cs="Arial"/>
          <w:sz w:val="22"/>
        </w:rPr>
        <w:t>, 2021). These solutions alleviate the burden on waiting time and enhance flexibility, but complicated presentations cannot be as appropriate due to digital exclusion and uneven interaction and lack of contact with therapists.</w:t>
      </w:r>
    </w:p>
    <w:p w14:paraId="107EEC48" w14:textId="77777777" w:rsidR="003C4C72" w:rsidRPr="0038649E" w:rsidRDefault="003C4C72" w:rsidP="003C4C72">
      <w:pPr>
        <w:pStyle w:val="Heading1"/>
        <w:rPr>
          <w:rFonts w:ascii="Arial" w:hAnsi="Arial" w:cs="Arial"/>
        </w:rPr>
      </w:pPr>
      <w:bookmarkStart w:id="9" w:name="_Toc214028017"/>
      <w:r w:rsidRPr="0038649E">
        <w:rPr>
          <w:rFonts w:ascii="Arial" w:hAnsi="Arial" w:cs="Arial"/>
        </w:rPr>
        <w:t>4. Rehabilitation &amp; Long-Term Management</w:t>
      </w:r>
      <w:bookmarkEnd w:id="9"/>
    </w:p>
    <w:p w14:paraId="703B3EB9" w14:textId="77777777" w:rsidR="003C4C72" w:rsidRPr="0038649E" w:rsidRDefault="003C4C72" w:rsidP="003C4C72">
      <w:pPr>
        <w:pStyle w:val="Heading2"/>
        <w:rPr>
          <w:rFonts w:ascii="Arial" w:hAnsi="Arial" w:cs="Arial"/>
        </w:rPr>
      </w:pPr>
      <w:bookmarkStart w:id="10" w:name="_Toc214028018"/>
      <w:r w:rsidRPr="0038649E">
        <w:rPr>
          <w:rFonts w:ascii="Arial" w:hAnsi="Arial" w:cs="Arial"/>
        </w:rPr>
        <w:t>4.1 Examination rehabilitation strategies in ICD - 11 and implementation in UK healthcare setting</w:t>
      </w:r>
      <w:bookmarkEnd w:id="10"/>
    </w:p>
    <w:p w14:paraId="2BE244BB" w14:textId="77777777" w:rsidR="003C4C72" w:rsidRPr="00310C5C" w:rsidRDefault="003C4C72" w:rsidP="003C4C72">
      <w:pPr>
        <w:rPr>
          <w:rFonts w:ascii="Arial" w:hAnsi="Arial" w:cs="Arial"/>
          <w:sz w:val="22"/>
        </w:rPr>
      </w:pPr>
      <w:r w:rsidRPr="00310C5C">
        <w:rPr>
          <w:rFonts w:ascii="Arial" w:hAnsi="Arial" w:cs="Arial"/>
          <w:sz w:val="22"/>
        </w:rPr>
        <w:t xml:space="preserve">Rehabilitation in ICD-11 has been conceptualised as a process that takes place over a long period and is characterised by the restoration of functionality and not by the management of symptoms. The focus is on psycho-rehabilitation, development of social skills, and planning of relapse, particularly in those individuals who have recurrent anxiety or inability to cope (ICD-11, 2025). In the UK, such strategies have been incorporated in terms of community mental health rehabilitation pathways which assist patients when they are being transferred between acute care to community living. In Mental Health Act 1983, as amended in 2007, under Section 117, persons detained previously will get statutory aftercare services which include psychological, social and occupational rehabilitation (Council, 2024). The NHS Long Term </w:t>
      </w:r>
      <w:r w:rsidRPr="00310C5C">
        <w:rPr>
          <w:rFonts w:ascii="Arial" w:hAnsi="Arial" w:cs="Arial"/>
          <w:sz w:val="22"/>
        </w:rPr>
        <w:lastRenderedPageBreak/>
        <w:t>Plan has dedicated a significant amount of money on increasing community rehabilitation, with the investment level nearing PS1 billion in redesigned mental health services. </w:t>
      </w:r>
    </w:p>
    <w:p w14:paraId="227387C9" w14:textId="77777777" w:rsidR="003C4C72" w:rsidRPr="0038649E" w:rsidRDefault="003C4C72" w:rsidP="003C4C72">
      <w:pPr>
        <w:pStyle w:val="Heading2"/>
        <w:rPr>
          <w:rFonts w:ascii="Arial" w:hAnsi="Arial" w:cs="Arial"/>
        </w:rPr>
      </w:pPr>
      <w:bookmarkStart w:id="11" w:name="_Toc214028019"/>
      <w:r w:rsidRPr="0038649E">
        <w:rPr>
          <w:rFonts w:ascii="Arial" w:hAnsi="Arial" w:cs="Arial"/>
        </w:rPr>
        <w:t>4.2 Discussion on social reintegration challenges and community-based interventions</w:t>
      </w:r>
      <w:bookmarkEnd w:id="11"/>
    </w:p>
    <w:p w14:paraId="452CF94B" w14:textId="77777777" w:rsidR="003D7525" w:rsidRDefault="003C4C72" w:rsidP="003C4C72">
      <w:pPr>
        <w:rPr>
          <w:rFonts w:ascii="Arial" w:hAnsi="Arial" w:cs="Arial"/>
          <w:sz w:val="22"/>
        </w:rPr>
      </w:pPr>
      <w:r w:rsidRPr="00310C5C">
        <w:rPr>
          <w:rFonts w:ascii="Arial" w:hAnsi="Arial" w:cs="Arial"/>
          <w:sz w:val="22"/>
        </w:rPr>
        <w:t xml:space="preserve">Introduction of social reintegration is one of the main purposes of long-term management, although several issues are faced by people who are coming out of the anxiety-related disorders. Reintegrating is frequently associated with bargaining work stigma, housing, and low social confidence that may lead to difficulty in long-term recovery. The Mental Health Act 2007 has introduced Community Treatment Orders, which enable compulsory treatment in the community in case of identified risk, which contributes to continuity of care (CQC, 2022). Nevertheless, there are fears that mandatory systems can destroy autonomy and influence therapeutic relationships. The NHS Long Term Plan encourages the expansion of the access to community mental health teams, recovery colleges and supported employment services to support reintegration (NHS England, 2023). </w:t>
      </w:r>
    </w:p>
    <w:p w14:paraId="696492D4" w14:textId="77777777" w:rsidR="003D7525" w:rsidRDefault="003D7525" w:rsidP="003D7525">
      <w:pPr>
        <w:jc w:val="center"/>
        <w:rPr>
          <w:rFonts w:ascii="Arial" w:hAnsi="Arial" w:cs="Arial"/>
          <w:sz w:val="22"/>
        </w:rPr>
      </w:pPr>
      <w:r>
        <w:rPr>
          <w:lang w:eastAsia="en-GB"/>
        </w:rPr>
        <w:drawing>
          <wp:inline distT="0" distB="0" distL="0" distR="0" wp14:anchorId="71B88E36" wp14:editId="5034B144">
            <wp:extent cx="5638800" cy="3476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38800" cy="3476625"/>
                    </a:xfrm>
                    <a:prstGeom prst="rect">
                      <a:avLst/>
                    </a:prstGeom>
                  </pic:spPr>
                </pic:pic>
              </a:graphicData>
            </a:graphic>
          </wp:inline>
        </w:drawing>
      </w:r>
    </w:p>
    <w:p w14:paraId="5261AE06" w14:textId="77777777" w:rsidR="003D7525" w:rsidRDefault="003D7525" w:rsidP="003D7525">
      <w:pPr>
        <w:jc w:val="center"/>
        <w:rPr>
          <w:rFonts w:ascii="Arial" w:hAnsi="Arial" w:cs="Arial"/>
          <w:b/>
          <w:sz w:val="22"/>
        </w:rPr>
      </w:pPr>
      <w:r w:rsidRPr="003D7525">
        <w:rPr>
          <w:rFonts w:ascii="Arial" w:hAnsi="Arial" w:cs="Arial"/>
          <w:b/>
          <w:sz w:val="22"/>
        </w:rPr>
        <w:t>Figure</w:t>
      </w:r>
      <w:r>
        <w:rPr>
          <w:rFonts w:ascii="Arial" w:hAnsi="Arial" w:cs="Arial"/>
          <w:b/>
          <w:sz w:val="22"/>
        </w:rPr>
        <w:t xml:space="preserve"> 1</w:t>
      </w:r>
      <w:r w:rsidRPr="003D7525">
        <w:rPr>
          <w:rFonts w:ascii="Arial" w:hAnsi="Arial" w:cs="Arial"/>
          <w:b/>
          <w:sz w:val="22"/>
        </w:rPr>
        <w:t>: Waiting time as a challenge in the community-based interventions of UK</w:t>
      </w:r>
    </w:p>
    <w:p w14:paraId="085E0250" w14:textId="77777777" w:rsidR="003D7525" w:rsidRPr="003D7525" w:rsidRDefault="003D7525" w:rsidP="003D7525">
      <w:pPr>
        <w:jc w:val="center"/>
        <w:rPr>
          <w:rFonts w:ascii="Arial" w:hAnsi="Arial" w:cs="Arial"/>
          <w:sz w:val="22"/>
        </w:rPr>
      </w:pPr>
      <w:r w:rsidRPr="003D7525">
        <w:rPr>
          <w:rFonts w:ascii="Arial" w:hAnsi="Arial" w:cs="Arial"/>
          <w:sz w:val="22"/>
        </w:rPr>
        <w:t xml:space="preserve">(Source: </w:t>
      </w:r>
      <w:r>
        <w:rPr>
          <w:rFonts w:ascii="Arial" w:hAnsi="Arial" w:cs="Arial"/>
          <w:sz w:val="22"/>
        </w:rPr>
        <w:t>NHS England, 2023</w:t>
      </w:r>
      <w:r w:rsidRPr="003D7525">
        <w:rPr>
          <w:rFonts w:ascii="Arial" w:hAnsi="Arial" w:cs="Arial"/>
          <w:sz w:val="22"/>
        </w:rPr>
        <w:t>)</w:t>
      </w:r>
    </w:p>
    <w:p w14:paraId="198B5A48" w14:textId="77777777" w:rsidR="003C4C72" w:rsidRPr="00310C5C" w:rsidRDefault="003C4C72" w:rsidP="003C4C72">
      <w:pPr>
        <w:rPr>
          <w:rFonts w:ascii="Arial" w:hAnsi="Arial" w:cs="Arial"/>
          <w:sz w:val="22"/>
        </w:rPr>
      </w:pPr>
      <w:r w:rsidRPr="00310C5C">
        <w:rPr>
          <w:rFonts w:ascii="Arial" w:hAnsi="Arial" w:cs="Arial"/>
          <w:sz w:val="22"/>
        </w:rPr>
        <w:lastRenderedPageBreak/>
        <w:t>Social inclusion has also been increased by use of peer-led groups and voluntary-sector programmes. These interventions provide localised and flexible support, but the disparities in regions, the limited resources, and inconsistent practises in commissioning make them less consistent.</w:t>
      </w:r>
    </w:p>
    <w:p w14:paraId="12133DDF" w14:textId="77777777" w:rsidR="003C4C72" w:rsidRPr="0038649E" w:rsidRDefault="003C4C72" w:rsidP="003C4C72">
      <w:pPr>
        <w:pStyle w:val="Heading1"/>
        <w:rPr>
          <w:rFonts w:ascii="Arial" w:hAnsi="Arial" w:cs="Arial"/>
        </w:rPr>
      </w:pPr>
      <w:bookmarkStart w:id="12" w:name="_Toc214028020"/>
      <w:r w:rsidRPr="0038649E">
        <w:rPr>
          <w:rFonts w:ascii="Arial" w:hAnsi="Arial" w:cs="Arial"/>
        </w:rPr>
        <w:t>5. Current Debates &amp; Emerging Issues</w:t>
      </w:r>
      <w:bookmarkEnd w:id="12"/>
    </w:p>
    <w:p w14:paraId="073952F5" w14:textId="77777777" w:rsidR="003C4C72" w:rsidRPr="0038649E" w:rsidRDefault="003C4C72" w:rsidP="003C4C72">
      <w:pPr>
        <w:pStyle w:val="Heading2"/>
        <w:rPr>
          <w:rFonts w:ascii="Arial" w:hAnsi="Arial" w:cs="Arial"/>
        </w:rPr>
      </w:pPr>
      <w:bookmarkStart w:id="13" w:name="_Toc214028021"/>
      <w:r w:rsidRPr="0038649E">
        <w:rPr>
          <w:rFonts w:ascii="Arial" w:hAnsi="Arial" w:cs="Arial"/>
        </w:rPr>
        <w:t>5.1 Discussion on major academic and clinical debates on classification and treatment</w:t>
      </w:r>
      <w:bookmarkEnd w:id="13"/>
    </w:p>
    <w:p w14:paraId="3D30244C" w14:textId="77777777" w:rsidR="003C4C72" w:rsidRPr="00310C5C" w:rsidRDefault="003C4C72" w:rsidP="003C4C72">
      <w:pPr>
        <w:rPr>
          <w:rFonts w:ascii="Arial" w:hAnsi="Arial" w:cs="Arial"/>
          <w:sz w:val="22"/>
        </w:rPr>
      </w:pPr>
      <w:r w:rsidRPr="00310C5C">
        <w:rPr>
          <w:rFonts w:ascii="Arial" w:hAnsi="Arial" w:cs="Arial"/>
          <w:sz w:val="22"/>
        </w:rPr>
        <w:t xml:space="preserve">There has been an ongoing debate on whether the current diagnostic delimitations of anxiety or fear-related disorders are clinically reflective or are artificially carved, to divide overlapping symptoms. UK researchers have doubted whether ICD-11 will be more distinct or that reclassification will potentially lead to fragmentation where ICD-11 is used in the NHS where ICD-10 and SNOMED-CT continue to be used (CareCloud, 2023). It has also been pointed out in academic discourse that there is still an excessive standardisation of both models of treatments with people asserting that the models as recommended by NICE are not comprehensive enough in terms of covering cultural or socio-economic diversity. The UK-based research has reported better results of structured therapies, but they have also highlighted the continuing gaps concerning individuals with complex anxiety as they frequently need larger psychosocial interventions (Wakefield </w:t>
      </w:r>
      <w:r w:rsidRPr="00310C5C">
        <w:rPr>
          <w:rFonts w:ascii="Arial" w:hAnsi="Arial" w:cs="Arial"/>
          <w:i/>
          <w:iCs/>
          <w:sz w:val="22"/>
        </w:rPr>
        <w:t>et al.</w:t>
      </w:r>
      <w:r w:rsidRPr="00310C5C">
        <w:rPr>
          <w:rFonts w:ascii="Arial" w:hAnsi="Arial" w:cs="Arial"/>
          <w:sz w:val="22"/>
        </w:rPr>
        <w:t>, 2020).</w:t>
      </w:r>
    </w:p>
    <w:p w14:paraId="7AED4049" w14:textId="77777777" w:rsidR="003C4C72" w:rsidRPr="0038649E" w:rsidRDefault="003C4C72" w:rsidP="003C4C72">
      <w:pPr>
        <w:pStyle w:val="Heading2"/>
        <w:rPr>
          <w:rFonts w:ascii="Arial" w:hAnsi="Arial" w:cs="Arial"/>
        </w:rPr>
      </w:pPr>
      <w:bookmarkStart w:id="14" w:name="_Toc214028022"/>
      <w:r w:rsidRPr="0038649E">
        <w:rPr>
          <w:rFonts w:ascii="Arial" w:hAnsi="Arial" w:cs="Arial"/>
        </w:rPr>
        <w:t>5.2 Exploration on the role of neurodivergence in redefining diagnostic frameworks</w:t>
      </w:r>
      <w:bookmarkEnd w:id="14"/>
    </w:p>
    <w:p w14:paraId="7AC83810" w14:textId="77777777" w:rsidR="003C4C72" w:rsidRPr="00310C5C" w:rsidRDefault="003C4C72" w:rsidP="003C4C72">
      <w:pPr>
        <w:rPr>
          <w:rFonts w:ascii="Arial" w:hAnsi="Arial" w:cs="Arial"/>
          <w:sz w:val="22"/>
        </w:rPr>
      </w:pPr>
      <w:r w:rsidRPr="00310C5C">
        <w:rPr>
          <w:rFonts w:ascii="Arial" w:hAnsi="Arial" w:cs="Arial"/>
          <w:sz w:val="22"/>
        </w:rPr>
        <w:t xml:space="preserve">Neurodivergence has also been gaining momentum in the conceptualisation and diagnostic processes of anxiety. The UK research has investigated anxiety in autism, ADHD and sensory-processing differences in children with autism, and indicated that the conventional diagnostic cut-offs do not provide good measures of neurodivergent experiences (Makin </w:t>
      </w:r>
      <w:r w:rsidRPr="00310C5C">
        <w:rPr>
          <w:rFonts w:ascii="Arial" w:hAnsi="Arial" w:cs="Arial"/>
          <w:i/>
          <w:iCs/>
          <w:sz w:val="22"/>
        </w:rPr>
        <w:t>et al.</w:t>
      </w:r>
      <w:r w:rsidRPr="00310C5C">
        <w:rPr>
          <w:rFonts w:ascii="Arial" w:hAnsi="Arial" w:cs="Arial"/>
          <w:sz w:val="22"/>
        </w:rPr>
        <w:t>, 2025). This is because many neuro divergents demonstrate elevated arousal or avoidance in response to sensory overload and not pertaining to internal fear states, which contradicts the current ICD-11 standards (ICD-11, 2025). Consequently, there have been calls to have more liberal assessments that are sensitive to the neurological variance. Such deliberations suggest that diagnostic models might need to be improved to prevent misclassification especially in NHS pathways where clinical interviews are still short.</w:t>
      </w:r>
    </w:p>
    <w:p w14:paraId="6E1BAE47" w14:textId="77777777" w:rsidR="003C4C72" w:rsidRPr="0038649E" w:rsidRDefault="003C4C72" w:rsidP="003C4C72">
      <w:pPr>
        <w:pStyle w:val="Heading2"/>
        <w:rPr>
          <w:rFonts w:ascii="Arial" w:hAnsi="Arial" w:cs="Arial"/>
        </w:rPr>
      </w:pPr>
      <w:bookmarkStart w:id="15" w:name="_Toc214028023"/>
      <w:r w:rsidRPr="0038649E">
        <w:rPr>
          <w:rFonts w:ascii="Arial" w:hAnsi="Arial" w:cs="Arial"/>
        </w:rPr>
        <w:lastRenderedPageBreak/>
        <w:t>5.3 Consideration on the policy changes and their implications</w:t>
      </w:r>
      <w:bookmarkEnd w:id="15"/>
    </w:p>
    <w:p w14:paraId="36F9CC5C" w14:textId="77777777" w:rsidR="003C4C72" w:rsidRPr="00310C5C" w:rsidRDefault="003C4C72" w:rsidP="003C4C72">
      <w:pPr>
        <w:rPr>
          <w:rFonts w:ascii="Arial" w:hAnsi="Arial" w:cs="Arial"/>
          <w:sz w:val="22"/>
        </w:rPr>
      </w:pPr>
      <w:r w:rsidRPr="00310C5C">
        <w:rPr>
          <w:rFonts w:ascii="Arial" w:hAnsi="Arial" w:cs="Arial"/>
          <w:sz w:val="22"/>
        </w:rPr>
        <w:t xml:space="preserve">The debate has been highly influenced by policy developments. Equality Act 2010 has necessitated reasonable workplace modifications to persons with long term anxiety enhancing legal safeguards and creating doubts on employer ability and implementation (Li </w:t>
      </w:r>
      <w:r w:rsidRPr="00310C5C">
        <w:rPr>
          <w:rFonts w:ascii="Arial" w:hAnsi="Arial" w:cs="Arial"/>
          <w:i/>
          <w:iCs/>
          <w:sz w:val="22"/>
        </w:rPr>
        <w:t xml:space="preserve">et al., </w:t>
      </w:r>
      <w:r w:rsidRPr="00310C5C">
        <w:rPr>
          <w:rFonts w:ascii="Arial" w:hAnsi="Arial" w:cs="Arial"/>
          <w:sz w:val="22"/>
        </w:rPr>
        <w:t>2025). New reforms of the Mental Health Act and new NHS long term strategies have also promoted more community based support. Nonetheless, recent academic debate in the UK has cautioned about the policy aspirations that are likely to surpass service capacity especially in those areas that have labour shortages.</w:t>
      </w:r>
    </w:p>
    <w:p w14:paraId="2821B4EC" w14:textId="77777777" w:rsidR="003C4C72" w:rsidRPr="0038649E" w:rsidRDefault="003C4C72" w:rsidP="003C4C72">
      <w:pPr>
        <w:pStyle w:val="Heading1"/>
        <w:rPr>
          <w:rFonts w:ascii="Arial" w:hAnsi="Arial" w:cs="Arial"/>
        </w:rPr>
      </w:pPr>
      <w:bookmarkStart w:id="16" w:name="_Toc214028024"/>
      <w:r w:rsidRPr="0038649E">
        <w:rPr>
          <w:rFonts w:ascii="Arial" w:hAnsi="Arial" w:cs="Arial"/>
        </w:rPr>
        <w:t>6. Policy &amp; Legal Framework</w:t>
      </w:r>
      <w:bookmarkEnd w:id="16"/>
    </w:p>
    <w:p w14:paraId="302690DC" w14:textId="77777777" w:rsidR="003C4C72" w:rsidRPr="0038649E" w:rsidRDefault="003C4C72" w:rsidP="003C4C72">
      <w:pPr>
        <w:pStyle w:val="Heading2"/>
        <w:rPr>
          <w:rFonts w:ascii="Arial" w:hAnsi="Arial" w:cs="Arial"/>
        </w:rPr>
      </w:pPr>
      <w:bookmarkStart w:id="17" w:name="_Toc214028025"/>
      <w:r w:rsidRPr="0038649E">
        <w:rPr>
          <w:rFonts w:ascii="Arial" w:hAnsi="Arial" w:cs="Arial"/>
        </w:rPr>
        <w:t>6.1 Discussion on legal protections and rights of individuals with the chosen disorder</w:t>
      </w:r>
      <w:bookmarkEnd w:id="17"/>
    </w:p>
    <w:p w14:paraId="52901A91" w14:textId="77777777" w:rsidR="003C4C72" w:rsidRPr="00310C5C" w:rsidRDefault="003C4C72" w:rsidP="003C4C72">
      <w:pPr>
        <w:rPr>
          <w:rFonts w:ascii="Arial" w:hAnsi="Arial" w:cs="Arial"/>
          <w:sz w:val="22"/>
        </w:rPr>
      </w:pPr>
      <w:r w:rsidRPr="00310C5C">
        <w:rPr>
          <w:rFonts w:ascii="Arial" w:hAnsi="Arial" w:cs="Arial"/>
          <w:sz w:val="22"/>
        </w:rPr>
        <w:t xml:space="preserve">The Mental Health Act 1983 which was amended in 2007 has influenced legal protections in that involuntary treatment may be administered in the event of significant risk being identified (Lippi </w:t>
      </w:r>
      <w:r w:rsidRPr="00310C5C">
        <w:rPr>
          <w:rFonts w:ascii="Arial" w:hAnsi="Arial" w:cs="Arial"/>
          <w:i/>
          <w:iCs/>
          <w:sz w:val="22"/>
        </w:rPr>
        <w:t>et al.</w:t>
      </w:r>
      <w:r w:rsidRPr="00310C5C">
        <w:rPr>
          <w:rFonts w:ascii="Arial" w:hAnsi="Arial" w:cs="Arial"/>
          <w:sz w:val="22"/>
        </w:rPr>
        <w:t>, 2025). Nevertheless, there is still strong concern that coercive interventions can compromise independence and credibility of therapeutic relationships, particularly when dealing with people who present anxiety-related issues.</w:t>
      </w:r>
    </w:p>
    <w:p w14:paraId="7D5813EC" w14:textId="77777777" w:rsidR="003C4C72" w:rsidRPr="0038649E" w:rsidRDefault="003C4C72" w:rsidP="003C4C72">
      <w:pPr>
        <w:pStyle w:val="Heading2"/>
        <w:rPr>
          <w:rFonts w:ascii="Arial" w:hAnsi="Arial" w:cs="Arial"/>
        </w:rPr>
      </w:pPr>
      <w:bookmarkStart w:id="18" w:name="_Toc214028026"/>
      <w:r w:rsidRPr="0038649E">
        <w:rPr>
          <w:rFonts w:ascii="Arial" w:hAnsi="Arial" w:cs="Arial"/>
        </w:rPr>
        <w:t>6.2 Examination on the UK policies influence service provision and access to care</w:t>
      </w:r>
      <w:bookmarkEnd w:id="18"/>
    </w:p>
    <w:p w14:paraId="3701507A" w14:textId="77777777" w:rsidR="003C4C72" w:rsidRPr="00310C5C" w:rsidRDefault="003C4C72" w:rsidP="003C4C72">
      <w:pPr>
        <w:rPr>
          <w:rFonts w:ascii="Arial" w:hAnsi="Arial" w:cs="Arial"/>
          <w:sz w:val="22"/>
        </w:rPr>
      </w:pPr>
      <w:r w:rsidRPr="00310C5C">
        <w:rPr>
          <w:rFonts w:ascii="Arial" w:hAnsi="Arial" w:cs="Arial"/>
          <w:sz w:val="22"/>
        </w:rPr>
        <w:t xml:space="preserve">The Care Act 2014 has been necessitating the local authorities to determine the care requirements and offer social support to people whose anxiety impacts their day to day functioning (Green </w:t>
      </w:r>
      <w:r w:rsidRPr="00310C5C">
        <w:rPr>
          <w:rFonts w:ascii="Arial" w:hAnsi="Arial" w:cs="Arial"/>
          <w:i/>
          <w:iCs/>
          <w:sz w:val="22"/>
        </w:rPr>
        <w:t xml:space="preserve">et al., </w:t>
      </w:r>
      <w:r w:rsidRPr="00310C5C">
        <w:rPr>
          <w:rFonts w:ascii="Arial" w:hAnsi="Arial" w:cs="Arial"/>
          <w:sz w:val="22"/>
        </w:rPr>
        <w:t>2021). Funding policies in mental health have increased investment, although there remains insufficient workforce which limits the amount of services that can be provided to the increase in demand.</w:t>
      </w:r>
    </w:p>
    <w:p w14:paraId="48792905" w14:textId="77777777" w:rsidR="003C4C72" w:rsidRPr="0038649E" w:rsidRDefault="003C4C72" w:rsidP="003C4C72">
      <w:pPr>
        <w:pStyle w:val="Heading2"/>
        <w:rPr>
          <w:rFonts w:ascii="Arial" w:hAnsi="Arial" w:cs="Arial"/>
        </w:rPr>
      </w:pPr>
      <w:bookmarkStart w:id="19" w:name="_Toc214028027"/>
      <w:r w:rsidRPr="0038649E">
        <w:rPr>
          <w:rFonts w:ascii="Arial" w:hAnsi="Arial" w:cs="Arial"/>
        </w:rPr>
        <w:t>6.3 Considerations on ethical concerns</w:t>
      </w:r>
      <w:bookmarkEnd w:id="19"/>
    </w:p>
    <w:p w14:paraId="6B277058" w14:textId="77777777" w:rsidR="003C4C72" w:rsidRPr="00310C5C" w:rsidRDefault="003C4C72" w:rsidP="003C4C72">
      <w:pPr>
        <w:rPr>
          <w:rFonts w:ascii="Arial" w:hAnsi="Arial" w:cs="Arial"/>
          <w:sz w:val="22"/>
        </w:rPr>
      </w:pPr>
      <w:r w:rsidRPr="00310C5C">
        <w:rPr>
          <w:rFonts w:ascii="Arial" w:hAnsi="Arial" w:cs="Arial"/>
          <w:sz w:val="22"/>
        </w:rPr>
        <w:t xml:space="preserve">The issues of ethics have focused on patient autonomy and safety of the population especially when compulsory treatment is involved (Laureano </w:t>
      </w:r>
      <w:r w:rsidRPr="00310C5C">
        <w:rPr>
          <w:rFonts w:ascii="Arial" w:hAnsi="Arial" w:cs="Arial"/>
          <w:i/>
          <w:iCs/>
          <w:sz w:val="22"/>
        </w:rPr>
        <w:t>et al.</w:t>
      </w:r>
      <w:r w:rsidRPr="00310C5C">
        <w:rPr>
          <w:rFonts w:ascii="Arial" w:hAnsi="Arial" w:cs="Arial"/>
          <w:sz w:val="22"/>
        </w:rPr>
        <w:t>, 2024). These problems point to the existing conflicts between the authority of the law, the duty of ethics, and the necessity to offer equal service provision in the UK.</w:t>
      </w:r>
    </w:p>
    <w:p w14:paraId="630DBD67" w14:textId="77777777" w:rsidR="003C4C72" w:rsidRPr="0038649E" w:rsidRDefault="003C4C72" w:rsidP="003C4C72">
      <w:pPr>
        <w:pStyle w:val="Heading1"/>
        <w:rPr>
          <w:rFonts w:ascii="Arial" w:hAnsi="Arial" w:cs="Arial"/>
        </w:rPr>
      </w:pPr>
      <w:bookmarkStart w:id="20" w:name="_Toc214028028"/>
      <w:r w:rsidRPr="0038649E">
        <w:rPr>
          <w:rFonts w:ascii="Arial" w:hAnsi="Arial" w:cs="Arial"/>
        </w:rPr>
        <w:lastRenderedPageBreak/>
        <w:t>7. UK Data &amp; Statistical Evidence</w:t>
      </w:r>
      <w:bookmarkEnd w:id="20"/>
    </w:p>
    <w:p w14:paraId="212805BE" w14:textId="77777777" w:rsidR="003C4C72" w:rsidRPr="0038649E" w:rsidRDefault="003C4C72" w:rsidP="003C4C72">
      <w:pPr>
        <w:pStyle w:val="Heading2"/>
        <w:rPr>
          <w:rFonts w:ascii="Arial" w:hAnsi="Arial" w:cs="Arial"/>
        </w:rPr>
      </w:pPr>
      <w:bookmarkStart w:id="21" w:name="_Toc214028029"/>
      <w:r w:rsidRPr="0038649E">
        <w:rPr>
          <w:rFonts w:ascii="Arial" w:hAnsi="Arial" w:cs="Arial"/>
        </w:rPr>
        <w:t>7.1 Data to support arguments regarding prevalence, treatment success and service access</w:t>
      </w:r>
      <w:bookmarkEnd w:id="21"/>
    </w:p>
    <w:p w14:paraId="1770FE07" w14:textId="77777777" w:rsidR="00C33B81" w:rsidRDefault="003C4C72" w:rsidP="003C4C72">
      <w:pPr>
        <w:rPr>
          <w:rFonts w:ascii="Arial" w:hAnsi="Arial" w:cs="Arial"/>
          <w:sz w:val="22"/>
        </w:rPr>
      </w:pPr>
      <w:r w:rsidRPr="00310C5C">
        <w:rPr>
          <w:rFonts w:ascii="Arial" w:hAnsi="Arial" w:cs="Arial"/>
          <w:sz w:val="22"/>
        </w:rPr>
        <w:t>In England, prevalence of common mental health conditions (CMHC) is 20.2, of which 7.5 per cent meets the criteria of generalised anxiety disorder.  These rates have increased with time; CMHC prevalence within the 16-24 age group has increased to 25.8%.  With regards to access to services; 90.5% of NHS Talking Therapies referrals received services within 6 weeks in March 2025, slightly exceeding the target of 75% (NHS, 2025). </w:t>
      </w:r>
    </w:p>
    <w:p w14:paraId="64CE0844" w14:textId="77777777" w:rsidR="00C33B81" w:rsidRDefault="00C33B81" w:rsidP="00C33B81">
      <w:pPr>
        <w:spacing w:before="0" w:beforeAutospacing="0" w:after="0" w:afterAutospacing="0"/>
        <w:jc w:val="center"/>
        <w:rPr>
          <w:rFonts w:ascii="Arial" w:hAnsi="Arial" w:cs="Arial"/>
          <w:sz w:val="22"/>
        </w:rPr>
      </w:pPr>
      <w:r>
        <w:rPr>
          <w:lang w:eastAsia="en-GB"/>
        </w:rPr>
        <w:drawing>
          <wp:inline distT="0" distB="0" distL="0" distR="0" wp14:anchorId="10815D17" wp14:editId="4DDCF799">
            <wp:extent cx="5731510" cy="29260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26080"/>
                    </a:xfrm>
                    <a:prstGeom prst="rect">
                      <a:avLst/>
                    </a:prstGeom>
                  </pic:spPr>
                </pic:pic>
              </a:graphicData>
            </a:graphic>
          </wp:inline>
        </w:drawing>
      </w:r>
    </w:p>
    <w:p w14:paraId="4F1FFB9C" w14:textId="77777777" w:rsidR="00C33B81" w:rsidRPr="00C33B81" w:rsidRDefault="00C33B81" w:rsidP="00C33B81">
      <w:pPr>
        <w:spacing w:before="0" w:beforeAutospacing="0" w:after="0" w:afterAutospacing="0"/>
        <w:jc w:val="center"/>
        <w:rPr>
          <w:rFonts w:ascii="Arial" w:hAnsi="Arial" w:cs="Arial"/>
          <w:b/>
          <w:sz w:val="22"/>
        </w:rPr>
      </w:pPr>
      <w:r w:rsidRPr="00C33B81">
        <w:rPr>
          <w:rFonts w:ascii="Arial" w:hAnsi="Arial" w:cs="Arial"/>
          <w:b/>
          <w:sz w:val="22"/>
        </w:rPr>
        <w:t>Figure</w:t>
      </w:r>
      <w:r w:rsidR="00103037">
        <w:rPr>
          <w:rFonts w:ascii="Arial" w:hAnsi="Arial" w:cs="Arial"/>
          <w:b/>
          <w:sz w:val="22"/>
        </w:rPr>
        <w:t xml:space="preserve"> 2</w:t>
      </w:r>
      <w:r w:rsidRPr="00C33B81">
        <w:rPr>
          <w:rFonts w:ascii="Arial" w:hAnsi="Arial" w:cs="Arial"/>
          <w:b/>
          <w:sz w:val="22"/>
        </w:rPr>
        <w:t>: Referrals accessing NHS Talking Therapies</w:t>
      </w:r>
    </w:p>
    <w:p w14:paraId="19046086" w14:textId="77777777" w:rsidR="00C33B81" w:rsidRDefault="00C33B81" w:rsidP="00C33B81">
      <w:pPr>
        <w:spacing w:before="0" w:beforeAutospacing="0" w:after="0" w:afterAutospacing="0"/>
        <w:jc w:val="center"/>
        <w:rPr>
          <w:rFonts w:ascii="Arial" w:hAnsi="Arial" w:cs="Arial"/>
          <w:sz w:val="22"/>
        </w:rPr>
      </w:pPr>
      <w:r>
        <w:rPr>
          <w:rFonts w:ascii="Arial" w:hAnsi="Arial" w:cs="Arial"/>
          <w:sz w:val="22"/>
        </w:rPr>
        <w:t>(Source: NHS, 2025)</w:t>
      </w:r>
    </w:p>
    <w:p w14:paraId="57F7A7C8" w14:textId="77777777" w:rsidR="003C4C72" w:rsidRPr="00310C5C" w:rsidRDefault="003C4C72" w:rsidP="003C4C72">
      <w:pPr>
        <w:rPr>
          <w:rFonts w:ascii="Arial" w:hAnsi="Arial" w:cs="Arial"/>
          <w:sz w:val="22"/>
        </w:rPr>
      </w:pPr>
      <w:r w:rsidRPr="00310C5C">
        <w:rPr>
          <w:rFonts w:ascii="Arial" w:hAnsi="Arial" w:cs="Arial"/>
          <w:sz w:val="22"/>
        </w:rPr>
        <w:t>There are disparities in access: individuals living in most deprived localities are 64% more likely to have a common mental disorder compared to the least deprived localities. </w:t>
      </w:r>
    </w:p>
    <w:p w14:paraId="52EC78D9" w14:textId="77777777" w:rsidR="003C4C72" w:rsidRPr="0038649E" w:rsidRDefault="003C4C72" w:rsidP="003C4C72">
      <w:pPr>
        <w:pStyle w:val="Heading2"/>
        <w:rPr>
          <w:rFonts w:ascii="Arial" w:hAnsi="Arial" w:cs="Arial"/>
        </w:rPr>
      </w:pPr>
      <w:bookmarkStart w:id="22" w:name="_Toc214028030"/>
      <w:r w:rsidRPr="0038649E">
        <w:rPr>
          <w:rFonts w:ascii="Arial" w:hAnsi="Arial" w:cs="Arial"/>
        </w:rPr>
        <w:t>7.2 Compare UK data with global trends</w:t>
      </w:r>
      <w:bookmarkEnd w:id="22"/>
    </w:p>
    <w:p w14:paraId="54E50AD3" w14:textId="77777777" w:rsidR="003C4C72" w:rsidRPr="00310C5C" w:rsidRDefault="003C4C72" w:rsidP="003C4C72">
      <w:pPr>
        <w:rPr>
          <w:rFonts w:ascii="Arial" w:hAnsi="Arial" w:cs="Arial"/>
          <w:sz w:val="22"/>
        </w:rPr>
      </w:pPr>
      <w:r w:rsidRPr="00310C5C">
        <w:rPr>
          <w:rFonts w:ascii="Arial" w:hAnsi="Arial" w:cs="Arial"/>
          <w:sz w:val="22"/>
        </w:rPr>
        <w:t xml:space="preserve">It is estimated that globally 4.4 percent of the world has an anxiety disorder.  According to the meta-regression studies, the prevalence is approximately 7.3 and varies widely with geography, culture and approaches used in the measurement (Celdir </w:t>
      </w:r>
      <w:r w:rsidRPr="00310C5C">
        <w:rPr>
          <w:rFonts w:ascii="Arial" w:hAnsi="Arial" w:cs="Arial"/>
          <w:i/>
          <w:iCs/>
          <w:sz w:val="22"/>
        </w:rPr>
        <w:t>et al.</w:t>
      </w:r>
      <w:r w:rsidRPr="00310C5C">
        <w:rPr>
          <w:rFonts w:ascii="Arial" w:hAnsi="Arial" w:cs="Arial"/>
          <w:sz w:val="22"/>
        </w:rPr>
        <w:t xml:space="preserve">, 2022). The prevalence in the UK is generally comparable to that in other global settings, but its high </w:t>
      </w:r>
      <w:r w:rsidRPr="00310C5C">
        <w:rPr>
          <w:rFonts w:ascii="Arial" w:hAnsi="Arial" w:cs="Arial"/>
          <w:sz w:val="22"/>
        </w:rPr>
        <w:lastRenderedPageBreak/>
        <w:t>access to the services through IAPT is compared to lower treatment rates in the rest of the world because only approximately 25 per cent of anxiety patients worldwide are treated. </w:t>
      </w:r>
    </w:p>
    <w:p w14:paraId="71DD335D" w14:textId="77777777" w:rsidR="003C4C72" w:rsidRPr="0038649E" w:rsidRDefault="003C4C72" w:rsidP="003C4C72">
      <w:pPr>
        <w:pStyle w:val="Heading1"/>
        <w:rPr>
          <w:rFonts w:ascii="Arial" w:hAnsi="Arial" w:cs="Arial"/>
        </w:rPr>
      </w:pPr>
      <w:bookmarkStart w:id="23" w:name="_Toc214028031"/>
      <w:r w:rsidRPr="0038649E">
        <w:rPr>
          <w:rFonts w:ascii="Arial" w:hAnsi="Arial" w:cs="Arial"/>
        </w:rPr>
        <w:t>8. Recommendations</w:t>
      </w:r>
      <w:bookmarkEnd w:id="23"/>
    </w:p>
    <w:p w14:paraId="4E087A82" w14:textId="77777777" w:rsidR="003C4C72" w:rsidRPr="0038649E" w:rsidRDefault="003C4C72" w:rsidP="003C4C72">
      <w:pPr>
        <w:pStyle w:val="Heading2"/>
        <w:rPr>
          <w:rFonts w:ascii="Arial" w:hAnsi="Arial" w:cs="Arial"/>
        </w:rPr>
      </w:pPr>
      <w:bookmarkStart w:id="24" w:name="_Toc214028032"/>
      <w:r w:rsidRPr="0038649E">
        <w:rPr>
          <w:rFonts w:ascii="Arial" w:hAnsi="Arial" w:cs="Arial"/>
        </w:rPr>
        <w:t>8.1 Practical improvements in diagnosis, treatment, or policy</w:t>
      </w:r>
      <w:bookmarkEnd w:id="24"/>
    </w:p>
    <w:p w14:paraId="3650B3A8" w14:textId="77777777" w:rsidR="003558CF" w:rsidRPr="003558CF" w:rsidRDefault="003C4C72" w:rsidP="003558CF">
      <w:pPr>
        <w:pStyle w:val="ListParagraph"/>
        <w:numPr>
          <w:ilvl w:val="0"/>
          <w:numId w:val="1"/>
        </w:numPr>
        <w:rPr>
          <w:rFonts w:ascii="Arial" w:hAnsi="Arial" w:cs="Arial"/>
          <w:sz w:val="22"/>
        </w:rPr>
      </w:pPr>
      <w:r w:rsidRPr="003558CF">
        <w:rPr>
          <w:rFonts w:ascii="Arial" w:hAnsi="Arial" w:cs="Arial"/>
          <w:sz w:val="22"/>
        </w:rPr>
        <w:t xml:space="preserve">The implementation process of ICD-11 needs to be enhanced with the mandatory training of clinicians and mapping of electronic-records to SNOMED-CT. </w:t>
      </w:r>
    </w:p>
    <w:p w14:paraId="5108F31F" w14:textId="77777777" w:rsidR="003558CF" w:rsidRPr="003558CF" w:rsidRDefault="003C4C72" w:rsidP="003558CF">
      <w:pPr>
        <w:pStyle w:val="ListParagraph"/>
        <w:numPr>
          <w:ilvl w:val="0"/>
          <w:numId w:val="1"/>
        </w:numPr>
        <w:rPr>
          <w:rFonts w:ascii="Arial" w:hAnsi="Arial" w:cs="Arial"/>
          <w:sz w:val="22"/>
        </w:rPr>
      </w:pPr>
      <w:r w:rsidRPr="003558CF">
        <w:rPr>
          <w:rFonts w:ascii="Arial" w:hAnsi="Arial" w:cs="Arial"/>
          <w:sz w:val="22"/>
        </w:rPr>
        <w:t xml:space="preserve">Funding and nationwide implementation of the training programmes and coding tools can be implemented to minimise the inconsistency of diagnosis and align the practice with international nosology (Derscheid </w:t>
      </w:r>
      <w:r w:rsidRPr="003558CF">
        <w:rPr>
          <w:rFonts w:ascii="Arial" w:hAnsi="Arial" w:cs="Arial"/>
          <w:i/>
          <w:iCs/>
          <w:sz w:val="22"/>
        </w:rPr>
        <w:t xml:space="preserve">et al., </w:t>
      </w:r>
      <w:r w:rsidRPr="003558CF">
        <w:rPr>
          <w:rFonts w:ascii="Arial" w:hAnsi="Arial" w:cs="Arial"/>
          <w:sz w:val="22"/>
        </w:rPr>
        <w:t xml:space="preserve">2021). </w:t>
      </w:r>
    </w:p>
    <w:p w14:paraId="5F63C3DA" w14:textId="77777777" w:rsidR="003558CF" w:rsidRPr="003558CF" w:rsidRDefault="003C4C72" w:rsidP="003558CF">
      <w:pPr>
        <w:pStyle w:val="ListParagraph"/>
        <w:numPr>
          <w:ilvl w:val="0"/>
          <w:numId w:val="1"/>
        </w:numPr>
        <w:rPr>
          <w:rFonts w:ascii="Arial" w:hAnsi="Arial" w:cs="Arial"/>
          <w:sz w:val="22"/>
        </w:rPr>
      </w:pPr>
      <w:r w:rsidRPr="003558CF">
        <w:rPr>
          <w:rFonts w:ascii="Arial" w:hAnsi="Arial" w:cs="Arial"/>
          <w:sz w:val="22"/>
        </w:rPr>
        <w:t xml:space="preserve">Stepped-care pathways offered by NICE have to be supported by greater capacity of therapists in NHS Talking Therapies, and broader access of digital CBT under supervision of a clinician. </w:t>
      </w:r>
    </w:p>
    <w:p w14:paraId="115D6900" w14:textId="77777777" w:rsidR="003C4C72" w:rsidRPr="003558CF" w:rsidRDefault="003C4C72" w:rsidP="003558CF">
      <w:pPr>
        <w:pStyle w:val="ListParagraph"/>
        <w:numPr>
          <w:ilvl w:val="0"/>
          <w:numId w:val="1"/>
        </w:numPr>
        <w:rPr>
          <w:rFonts w:ascii="Arial" w:hAnsi="Arial" w:cs="Arial"/>
          <w:sz w:val="22"/>
        </w:rPr>
      </w:pPr>
      <w:r w:rsidRPr="003558CF">
        <w:rPr>
          <w:rFonts w:ascii="Arial" w:hAnsi="Arial" w:cs="Arial"/>
          <w:sz w:val="22"/>
        </w:rPr>
        <w:t>To monitor the access targets, progress, the national dashboards should be used, and advance choice documentation should be encouraged to support autonomy in times of crisis.</w:t>
      </w:r>
    </w:p>
    <w:p w14:paraId="4791E091" w14:textId="77777777" w:rsidR="003C4C72" w:rsidRPr="0038649E" w:rsidRDefault="003C4C72" w:rsidP="003C4C72">
      <w:pPr>
        <w:pStyle w:val="Heading2"/>
        <w:rPr>
          <w:rFonts w:ascii="Arial" w:hAnsi="Arial" w:cs="Arial"/>
        </w:rPr>
      </w:pPr>
      <w:bookmarkStart w:id="25" w:name="_Toc214028033"/>
      <w:r w:rsidRPr="0038649E">
        <w:rPr>
          <w:rFonts w:ascii="Arial" w:hAnsi="Arial" w:cs="Arial"/>
        </w:rPr>
        <w:t>8.2 Recommendations are evidence-based and applicable to UK practice</w:t>
      </w:r>
      <w:bookmarkEnd w:id="25"/>
    </w:p>
    <w:p w14:paraId="42610406" w14:textId="77777777" w:rsidR="003558CF" w:rsidRPr="003558CF" w:rsidRDefault="003C4C72" w:rsidP="003558CF">
      <w:pPr>
        <w:pStyle w:val="ListParagraph"/>
        <w:numPr>
          <w:ilvl w:val="0"/>
          <w:numId w:val="2"/>
        </w:numPr>
        <w:rPr>
          <w:rFonts w:ascii="Arial" w:hAnsi="Arial" w:cs="Arial"/>
          <w:sz w:val="22"/>
        </w:rPr>
      </w:pPr>
      <w:r w:rsidRPr="003558CF">
        <w:rPr>
          <w:rFonts w:ascii="Arial" w:hAnsi="Arial" w:cs="Arial"/>
          <w:sz w:val="22"/>
        </w:rPr>
        <w:t xml:space="preserve">Mental health capacity in the community should be increased according to the NHS Long Term Plan promises, with a focus on multidisciplinary teams, recovery colleges, and supported employment to enhance social reintegration. </w:t>
      </w:r>
    </w:p>
    <w:p w14:paraId="1EE442DB" w14:textId="77777777" w:rsidR="003558CF" w:rsidRPr="003558CF" w:rsidRDefault="003C4C72" w:rsidP="003558CF">
      <w:pPr>
        <w:pStyle w:val="ListParagraph"/>
        <w:numPr>
          <w:ilvl w:val="0"/>
          <w:numId w:val="2"/>
        </w:numPr>
        <w:rPr>
          <w:rFonts w:ascii="Arial" w:hAnsi="Arial" w:cs="Arial"/>
          <w:sz w:val="22"/>
        </w:rPr>
      </w:pPr>
      <w:r w:rsidRPr="003558CF">
        <w:rPr>
          <w:rFonts w:ascii="Arial" w:hAnsi="Arial" w:cs="Arial"/>
          <w:sz w:val="22"/>
        </w:rPr>
        <w:t xml:space="preserve">The regional distribution of funds ought to be restructured to decrease disparities in access between socioeconomic lines. </w:t>
      </w:r>
    </w:p>
    <w:p w14:paraId="35E59BE2" w14:textId="77777777" w:rsidR="003558CF" w:rsidRPr="003558CF" w:rsidRDefault="003C4C72" w:rsidP="003558CF">
      <w:pPr>
        <w:pStyle w:val="ListParagraph"/>
        <w:numPr>
          <w:ilvl w:val="0"/>
          <w:numId w:val="2"/>
        </w:numPr>
        <w:rPr>
          <w:rFonts w:ascii="Arial" w:hAnsi="Arial" w:cs="Arial"/>
          <w:sz w:val="22"/>
        </w:rPr>
      </w:pPr>
      <w:r w:rsidRPr="003558CF">
        <w:rPr>
          <w:rFonts w:ascii="Arial" w:hAnsi="Arial" w:cs="Arial"/>
          <w:sz w:val="22"/>
        </w:rPr>
        <w:t xml:space="preserve">Reform proposals of the Mental Health Act must be embraced to increase the level of detention, minimise coercive practise and incorporate statutory rights of advance care planning (Ryland and Bunn, 2024). </w:t>
      </w:r>
    </w:p>
    <w:p w14:paraId="4499FC27" w14:textId="77777777" w:rsidR="003C4C72" w:rsidRPr="003558CF" w:rsidRDefault="003C4C72" w:rsidP="003558CF">
      <w:pPr>
        <w:pStyle w:val="ListParagraph"/>
        <w:numPr>
          <w:ilvl w:val="0"/>
          <w:numId w:val="2"/>
        </w:numPr>
        <w:rPr>
          <w:rFonts w:ascii="Arial" w:hAnsi="Arial" w:cs="Arial"/>
          <w:sz w:val="22"/>
        </w:rPr>
      </w:pPr>
      <w:r w:rsidRPr="003558CF">
        <w:rPr>
          <w:rFonts w:ascii="Arial" w:hAnsi="Arial" w:cs="Arial"/>
          <w:sz w:val="22"/>
        </w:rPr>
        <w:t>Collaborations with charities and peer-led services must be contractualised using commissioning arrangements to harness the assets in lived-experience and to offload statutory services.</w:t>
      </w:r>
    </w:p>
    <w:p w14:paraId="626B2FD8" w14:textId="77777777" w:rsidR="003C4C72" w:rsidRPr="0038649E" w:rsidRDefault="003C4C72" w:rsidP="003C4C72">
      <w:pPr>
        <w:pStyle w:val="Heading1"/>
        <w:rPr>
          <w:rFonts w:ascii="Arial" w:hAnsi="Arial" w:cs="Arial"/>
        </w:rPr>
      </w:pPr>
      <w:bookmarkStart w:id="26" w:name="_Toc214028034"/>
      <w:r w:rsidRPr="0038649E">
        <w:rPr>
          <w:rFonts w:ascii="Arial" w:hAnsi="Arial" w:cs="Arial"/>
        </w:rPr>
        <w:lastRenderedPageBreak/>
        <w:t>9. Conclusion</w:t>
      </w:r>
      <w:bookmarkEnd w:id="26"/>
    </w:p>
    <w:p w14:paraId="45175CD7" w14:textId="77777777" w:rsidR="003C4C72" w:rsidRPr="00310C5C" w:rsidRDefault="003C4C72">
      <w:pPr>
        <w:rPr>
          <w:rFonts w:ascii="Arial" w:hAnsi="Arial" w:cs="Arial"/>
          <w:sz w:val="22"/>
        </w:rPr>
      </w:pPr>
      <w:r w:rsidRPr="00310C5C">
        <w:rPr>
          <w:rFonts w:ascii="Arial" w:hAnsi="Arial" w:cs="Arial"/>
          <w:sz w:val="22"/>
        </w:rPr>
        <w:t>Finally, the discussion has revealed that provision of mental health in the UK will largely rely on the course taken in the current NHS reforms. The reforms are meant to enhance integrated care, but this will depend on long-term investment and national coordination. The long waiting lines and unequal capacity in services remain a problem in relation to different regions and that is why there should be more investments and better workforce support. There is still an imperative to increase accessibility in order to minimise differences among socioeconomic groups. The next stage of treatment will be conditioned by a change in approach to community-based care, revised legislation, and improved early-intervention pathways.</w:t>
      </w:r>
    </w:p>
    <w:p w14:paraId="2C51891C" w14:textId="77777777" w:rsidR="003C4C72" w:rsidRPr="0038649E" w:rsidRDefault="003C4C72" w:rsidP="003C4C72">
      <w:pPr>
        <w:rPr>
          <w:rFonts w:ascii="Arial" w:hAnsi="Arial" w:cs="Arial"/>
        </w:rPr>
      </w:pPr>
      <w:r w:rsidRPr="0038649E">
        <w:rPr>
          <w:rFonts w:ascii="Arial" w:hAnsi="Arial" w:cs="Arial"/>
        </w:rPr>
        <w:br w:type="page"/>
      </w:r>
    </w:p>
    <w:p w14:paraId="4F05CB51" w14:textId="77777777" w:rsidR="00675A42" w:rsidRPr="0038649E" w:rsidRDefault="003C4C72" w:rsidP="003C4C72">
      <w:pPr>
        <w:pStyle w:val="Heading1"/>
        <w:rPr>
          <w:rFonts w:ascii="Arial" w:hAnsi="Arial" w:cs="Arial"/>
        </w:rPr>
      </w:pPr>
      <w:bookmarkStart w:id="27" w:name="_Toc214028035"/>
      <w:r w:rsidRPr="0038649E">
        <w:rPr>
          <w:rFonts w:ascii="Arial" w:hAnsi="Arial" w:cs="Arial"/>
        </w:rPr>
        <w:lastRenderedPageBreak/>
        <w:t>References</w:t>
      </w:r>
      <w:bookmarkEnd w:id="27"/>
    </w:p>
    <w:p w14:paraId="2C55BB98" w14:textId="77777777" w:rsidR="003C4C72" w:rsidRPr="00310C5C" w:rsidRDefault="003C4C72" w:rsidP="003C4C72">
      <w:pPr>
        <w:rPr>
          <w:rFonts w:ascii="Arial" w:hAnsi="Arial" w:cs="Arial"/>
          <w:sz w:val="22"/>
        </w:rPr>
      </w:pPr>
      <w:r w:rsidRPr="00310C5C">
        <w:rPr>
          <w:rFonts w:ascii="Arial" w:hAnsi="Arial" w:cs="Arial"/>
          <w:sz w:val="22"/>
        </w:rPr>
        <w:t xml:space="preserve">Bogowicz, P., Curtis, H.J., Walker, A.J., Cowen, P., Geddes, J. and Goldacre, B. (2021) ‘Trends and variation in antidepressant prescribing in English primary care: a retrospective longitudinal study’, </w:t>
      </w:r>
      <w:r w:rsidRPr="00310C5C">
        <w:rPr>
          <w:rFonts w:ascii="Arial" w:hAnsi="Arial" w:cs="Arial"/>
          <w:i/>
          <w:iCs/>
          <w:sz w:val="22"/>
        </w:rPr>
        <w:t>BJGP Open</w:t>
      </w:r>
      <w:r w:rsidRPr="00310C5C">
        <w:rPr>
          <w:rFonts w:ascii="Arial" w:hAnsi="Arial" w:cs="Arial"/>
          <w:sz w:val="22"/>
        </w:rPr>
        <w:t>, 5(4), p. BJGPO.2021.0020. Available at: https://doi.org/10.3399/bjgpo.2021.0020.</w:t>
      </w:r>
    </w:p>
    <w:p w14:paraId="700A6F89" w14:textId="77777777" w:rsidR="003C4C72" w:rsidRPr="00310C5C" w:rsidRDefault="003C4C72" w:rsidP="003C4C72">
      <w:pPr>
        <w:rPr>
          <w:rFonts w:ascii="Arial" w:hAnsi="Arial" w:cs="Arial"/>
          <w:sz w:val="22"/>
        </w:rPr>
      </w:pPr>
      <w:r w:rsidRPr="00310C5C">
        <w:rPr>
          <w:rFonts w:ascii="Arial" w:hAnsi="Arial" w:cs="Arial"/>
          <w:sz w:val="22"/>
        </w:rPr>
        <w:t xml:space="preserve">CareCloud (2023) </w:t>
      </w:r>
      <w:r w:rsidRPr="00310C5C">
        <w:rPr>
          <w:rFonts w:ascii="Arial" w:hAnsi="Arial" w:cs="Arial"/>
          <w:i/>
          <w:iCs/>
          <w:sz w:val="22"/>
        </w:rPr>
        <w:t>Navigating the Transition to ICD-11: Benefits and Challenges - Continuum</w:t>
      </w:r>
      <w:r w:rsidRPr="00310C5C">
        <w:rPr>
          <w:rFonts w:ascii="Arial" w:hAnsi="Arial" w:cs="Arial"/>
          <w:sz w:val="22"/>
        </w:rPr>
        <w:t xml:space="preserve">, </w:t>
      </w:r>
      <w:r w:rsidRPr="00310C5C">
        <w:rPr>
          <w:rFonts w:ascii="Arial" w:hAnsi="Arial" w:cs="Arial"/>
          <w:i/>
          <w:iCs/>
          <w:sz w:val="22"/>
        </w:rPr>
        <w:t>Continuum</w:t>
      </w:r>
      <w:r w:rsidRPr="00310C5C">
        <w:rPr>
          <w:rFonts w:ascii="Arial" w:hAnsi="Arial" w:cs="Arial"/>
          <w:sz w:val="22"/>
        </w:rPr>
        <w:t>. Available at: https://carecloud.com/continuum/navigating-the-transition-to-icd-11-benefits-and-challenges/ (Accessed: 14 November 2025).</w:t>
      </w:r>
    </w:p>
    <w:p w14:paraId="5B65D93F" w14:textId="77777777" w:rsidR="003C4C72" w:rsidRPr="00310C5C" w:rsidRDefault="003C4C72" w:rsidP="003C4C72">
      <w:pPr>
        <w:rPr>
          <w:rFonts w:ascii="Arial" w:hAnsi="Arial" w:cs="Arial"/>
          <w:sz w:val="22"/>
        </w:rPr>
      </w:pPr>
      <w:r w:rsidRPr="00310C5C">
        <w:rPr>
          <w:rFonts w:ascii="Arial" w:hAnsi="Arial" w:cs="Arial"/>
          <w:sz w:val="22"/>
        </w:rPr>
        <w:t xml:space="preserve">Celdir, M.G., Jansson-Knodell, C.L., Hujoel, I.A., Prokop, L.J., Wang, Z., Murad, M.H. and Murray, J.A. (2022) ‘Latitude and Celiac Disease Prevalence: A Meta-Analysis and Meta-Regression’, </w:t>
      </w:r>
      <w:r w:rsidRPr="00310C5C">
        <w:rPr>
          <w:rFonts w:ascii="Arial" w:hAnsi="Arial" w:cs="Arial"/>
          <w:i/>
          <w:iCs/>
          <w:sz w:val="22"/>
        </w:rPr>
        <w:t>Clinical Gastroenterology and Hepatology</w:t>
      </w:r>
      <w:r w:rsidRPr="00310C5C">
        <w:rPr>
          <w:rFonts w:ascii="Arial" w:hAnsi="Arial" w:cs="Arial"/>
          <w:sz w:val="22"/>
        </w:rPr>
        <w:t>, 20(6), pp. e1231–e1239. Available at: https://doi.org/10.1016/j.cgh.2020.09.052.</w:t>
      </w:r>
    </w:p>
    <w:p w14:paraId="6D4C371A" w14:textId="77777777" w:rsidR="003C4C72" w:rsidRPr="00310C5C" w:rsidRDefault="003C4C72" w:rsidP="003C4C72">
      <w:pPr>
        <w:rPr>
          <w:rFonts w:ascii="Arial" w:hAnsi="Arial" w:cs="Arial"/>
          <w:sz w:val="22"/>
        </w:rPr>
      </w:pPr>
      <w:r w:rsidRPr="00310C5C">
        <w:rPr>
          <w:rFonts w:ascii="Arial" w:hAnsi="Arial" w:cs="Arial"/>
          <w:sz w:val="22"/>
        </w:rPr>
        <w:t xml:space="preserve">Colman, L., Delaruelle, K., Luypaert, C., Verniest, R. and Bracke, P. (2020) ‘Burdens in mental health recovery: Causal beliefs and their relation to stigma and help seeking recommendations’, </w:t>
      </w:r>
      <w:r w:rsidRPr="00310C5C">
        <w:rPr>
          <w:rFonts w:ascii="Arial" w:hAnsi="Arial" w:cs="Arial"/>
          <w:i/>
          <w:iCs/>
          <w:sz w:val="22"/>
        </w:rPr>
        <w:t>International Journal of Social Psychiatry</w:t>
      </w:r>
      <w:r w:rsidRPr="00310C5C">
        <w:rPr>
          <w:rFonts w:ascii="Arial" w:hAnsi="Arial" w:cs="Arial"/>
          <w:sz w:val="22"/>
        </w:rPr>
        <w:t>, 67(8), p. 002076402097324. Available at: https://doi.org/10.1177/0020764020973249.</w:t>
      </w:r>
    </w:p>
    <w:p w14:paraId="1FEACBE5" w14:textId="77777777" w:rsidR="003C4C72" w:rsidRPr="00310C5C" w:rsidRDefault="003C4C72" w:rsidP="003C4C72">
      <w:pPr>
        <w:rPr>
          <w:rFonts w:ascii="Arial" w:hAnsi="Arial" w:cs="Arial"/>
          <w:sz w:val="22"/>
        </w:rPr>
      </w:pPr>
      <w:r w:rsidRPr="00310C5C">
        <w:rPr>
          <w:rFonts w:ascii="Arial" w:hAnsi="Arial" w:cs="Arial"/>
          <w:sz w:val="22"/>
        </w:rPr>
        <w:t xml:space="preserve">Council, N. (2024) </w:t>
      </w:r>
      <w:r w:rsidRPr="00310C5C">
        <w:rPr>
          <w:rFonts w:ascii="Arial" w:hAnsi="Arial" w:cs="Arial"/>
          <w:i/>
          <w:iCs/>
          <w:sz w:val="22"/>
        </w:rPr>
        <w:t>Section 117 – Newham Council</w:t>
      </w:r>
      <w:r w:rsidRPr="00310C5C">
        <w:rPr>
          <w:rFonts w:ascii="Arial" w:hAnsi="Arial" w:cs="Arial"/>
          <w:sz w:val="22"/>
        </w:rPr>
        <w:t xml:space="preserve">, </w:t>
      </w:r>
      <w:r w:rsidRPr="00310C5C">
        <w:rPr>
          <w:rFonts w:ascii="Arial" w:hAnsi="Arial" w:cs="Arial"/>
          <w:i/>
          <w:iCs/>
          <w:sz w:val="22"/>
        </w:rPr>
        <w:t>Newham Council</w:t>
      </w:r>
      <w:r w:rsidRPr="00310C5C">
        <w:rPr>
          <w:rFonts w:ascii="Arial" w:hAnsi="Arial" w:cs="Arial"/>
          <w:sz w:val="22"/>
        </w:rPr>
        <w:t>. Available at: https://www.newham.gov.uk/health-adult-social-care/section-117 (Accessed: 14 November 2025).</w:t>
      </w:r>
    </w:p>
    <w:p w14:paraId="0D9CD5F4" w14:textId="77777777" w:rsidR="003C4C72" w:rsidRPr="00310C5C" w:rsidRDefault="003C4C72" w:rsidP="003C4C72">
      <w:pPr>
        <w:rPr>
          <w:rFonts w:ascii="Arial" w:hAnsi="Arial" w:cs="Arial"/>
          <w:sz w:val="22"/>
        </w:rPr>
      </w:pPr>
      <w:r w:rsidRPr="00310C5C">
        <w:rPr>
          <w:rFonts w:ascii="Arial" w:hAnsi="Arial" w:cs="Arial"/>
          <w:sz w:val="22"/>
        </w:rPr>
        <w:t xml:space="preserve">CQC (2022) </w:t>
      </w:r>
      <w:r w:rsidRPr="00310C5C">
        <w:rPr>
          <w:rFonts w:ascii="Arial" w:hAnsi="Arial" w:cs="Arial"/>
          <w:i/>
          <w:iCs/>
          <w:sz w:val="22"/>
        </w:rPr>
        <w:t>Mental Health Act Community Treatments Orders (CTO) – Focused Visits Report - Care Quality Commission</w:t>
      </w:r>
      <w:r w:rsidRPr="00310C5C">
        <w:rPr>
          <w:rFonts w:ascii="Arial" w:hAnsi="Arial" w:cs="Arial"/>
          <w:sz w:val="22"/>
        </w:rPr>
        <w:t xml:space="preserve">, </w:t>
      </w:r>
      <w:r w:rsidRPr="00310C5C">
        <w:rPr>
          <w:rFonts w:ascii="Arial" w:hAnsi="Arial" w:cs="Arial"/>
          <w:i/>
          <w:iCs/>
          <w:sz w:val="22"/>
        </w:rPr>
        <w:t>www.cqc.org.uk</w:t>
      </w:r>
      <w:r w:rsidRPr="00310C5C">
        <w:rPr>
          <w:rFonts w:ascii="Arial" w:hAnsi="Arial" w:cs="Arial"/>
          <w:sz w:val="22"/>
        </w:rPr>
        <w:t>. Available at: https://www.cqc.org.uk/publication/cto-focused-visits/report (Accessed: 14 November 2025).</w:t>
      </w:r>
    </w:p>
    <w:p w14:paraId="54C8A93D" w14:textId="77777777" w:rsidR="003C4C72" w:rsidRPr="00310C5C" w:rsidRDefault="003C4C72" w:rsidP="003C4C72">
      <w:pPr>
        <w:rPr>
          <w:rFonts w:ascii="Arial" w:hAnsi="Arial" w:cs="Arial"/>
          <w:sz w:val="22"/>
        </w:rPr>
      </w:pPr>
      <w:r w:rsidRPr="00310C5C">
        <w:rPr>
          <w:rFonts w:ascii="Arial" w:hAnsi="Arial" w:cs="Arial"/>
          <w:sz w:val="22"/>
        </w:rPr>
        <w:t xml:space="preserve">Department of Health and Social Care (2025) </w:t>
      </w:r>
      <w:r w:rsidRPr="00310C5C">
        <w:rPr>
          <w:rFonts w:ascii="Arial" w:hAnsi="Arial" w:cs="Arial"/>
          <w:i/>
          <w:iCs/>
          <w:sz w:val="22"/>
        </w:rPr>
        <w:t>Care Act Factsheets</w:t>
      </w:r>
      <w:r w:rsidRPr="00310C5C">
        <w:rPr>
          <w:rFonts w:ascii="Arial" w:hAnsi="Arial" w:cs="Arial"/>
          <w:sz w:val="22"/>
        </w:rPr>
        <w:t xml:space="preserve">, </w:t>
      </w:r>
      <w:r w:rsidRPr="00310C5C">
        <w:rPr>
          <w:rFonts w:ascii="Arial" w:hAnsi="Arial" w:cs="Arial"/>
          <w:i/>
          <w:iCs/>
          <w:sz w:val="22"/>
        </w:rPr>
        <w:t>GOV.UK</w:t>
      </w:r>
      <w:r w:rsidRPr="00310C5C">
        <w:rPr>
          <w:rFonts w:ascii="Arial" w:hAnsi="Arial" w:cs="Arial"/>
          <w:sz w:val="22"/>
        </w:rPr>
        <w:t>. Available at: https://www.gov.uk/government/publications/care-act-2014-part-1-factsheets/care-act-factsheets (Accessed: 14 November 2025).</w:t>
      </w:r>
    </w:p>
    <w:p w14:paraId="31115A75" w14:textId="77777777" w:rsidR="003C4C72" w:rsidRPr="00310C5C" w:rsidRDefault="003C4C72" w:rsidP="003C4C72">
      <w:pPr>
        <w:rPr>
          <w:rFonts w:ascii="Arial" w:hAnsi="Arial" w:cs="Arial"/>
          <w:sz w:val="22"/>
        </w:rPr>
      </w:pPr>
      <w:r w:rsidRPr="00310C5C">
        <w:rPr>
          <w:rFonts w:ascii="Arial" w:hAnsi="Arial" w:cs="Arial"/>
          <w:sz w:val="22"/>
        </w:rPr>
        <w:t xml:space="preserve">Derscheid, R.J., Rahe, M.C., Burrough, E.R., Schwartz, K.J. and Arruda, B. (2021) ‘Disease diagnostic coding to facilitate evidence-based medicine: current and future perspectives’, </w:t>
      </w:r>
      <w:r w:rsidRPr="00310C5C">
        <w:rPr>
          <w:rFonts w:ascii="Arial" w:hAnsi="Arial" w:cs="Arial"/>
          <w:i/>
          <w:iCs/>
          <w:sz w:val="22"/>
        </w:rPr>
        <w:t>Journal of Veterinary Diagnostic Investigation</w:t>
      </w:r>
      <w:r w:rsidRPr="00310C5C">
        <w:rPr>
          <w:rFonts w:ascii="Arial" w:hAnsi="Arial" w:cs="Arial"/>
          <w:sz w:val="22"/>
        </w:rPr>
        <w:t>, 33(3), pp. 419–427. Available at: https://doi.org/10.1177/1040638721999373.</w:t>
      </w:r>
    </w:p>
    <w:p w14:paraId="01C8176B" w14:textId="77777777" w:rsidR="003C4C72" w:rsidRPr="00310C5C" w:rsidRDefault="003C4C72" w:rsidP="003C4C72">
      <w:pPr>
        <w:rPr>
          <w:rFonts w:ascii="Arial" w:hAnsi="Arial" w:cs="Arial"/>
          <w:sz w:val="22"/>
        </w:rPr>
      </w:pPr>
      <w:r w:rsidRPr="00310C5C">
        <w:rPr>
          <w:rFonts w:ascii="Arial" w:hAnsi="Arial" w:cs="Arial"/>
          <w:sz w:val="22"/>
        </w:rPr>
        <w:lastRenderedPageBreak/>
        <w:t xml:space="preserve">Elston-Short, J.D.J. and Benwell, M. (2025) ‘Integrated Cognitive Behavior Therapy: Implications for Professional Identity. A Systematic Review’, </w:t>
      </w:r>
      <w:r w:rsidRPr="00310C5C">
        <w:rPr>
          <w:rFonts w:ascii="Arial" w:hAnsi="Arial" w:cs="Arial"/>
          <w:i/>
          <w:iCs/>
          <w:sz w:val="22"/>
        </w:rPr>
        <w:t>American Journal of Qualitative Research</w:t>
      </w:r>
      <w:r w:rsidRPr="00310C5C">
        <w:rPr>
          <w:rFonts w:ascii="Arial" w:hAnsi="Arial" w:cs="Arial"/>
          <w:sz w:val="22"/>
        </w:rPr>
        <w:t>, 9(4), pp. 235–254. Available at: https://doi.org/10.29333/ajqr/17188.</w:t>
      </w:r>
    </w:p>
    <w:p w14:paraId="74372056" w14:textId="77777777" w:rsidR="003C4C72" w:rsidRPr="00310C5C" w:rsidRDefault="003C4C72" w:rsidP="003C4C72">
      <w:pPr>
        <w:rPr>
          <w:rFonts w:ascii="Arial" w:hAnsi="Arial" w:cs="Arial"/>
          <w:sz w:val="22"/>
        </w:rPr>
      </w:pPr>
      <w:r w:rsidRPr="00310C5C">
        <w:rPr>
          <w:rFonts w:ascii="Arial" w:hAnsi="Arial" w:cs="Arial"/>
          <w:sz w:val="22"/>
        </w:rPr>
        <w:t xml:space="preserve">Green, C.E.D.A., Manthorpe, J. and Martineau, S. (2021) ‘A matter of life or death: a rapid review assessment of London’s safeguarding adults reviews to inform the future of mental health adult social care under a new Mental Health Act’, </w:t>
      </w:r>
      <w:r w:rsidRPr="00310C5C">
        <w:rPr>
          <w:rFonts w:ascii="Arial" w:hAnsi="Arial" w:cs="Arial"/>
          <w:i/>
          <w:iCs/>
          <w:sz w:val="22"/>
        </w:rPr>
        <w:t>kclpure.kcl.ac.uk</w:t>
      </w:r>
      <w:r w:rsidRPr="00310C5C">
        <w:rPr>
          <w:rFonts w:ascii="Arial" w:hAnsi="Arial" w:cs="Arial"/>
          <w:sz w:val="22"/>
        </w:rPr>
        <w:t xml:space="preserve"> [Preprint]. Available at: https://doi.org/10.18742/pub01-058.</w:t>
      </w:r>
    </w:p>
    <w:p w14:paraId="01E0737E" w14:textId="77777777" w:rsidR="003C4C72" w:rsidRPr="00310C5C" w:rsidRDefault="003C4C72" w:rsidP="003C4C72">
      <w:pPr>
        <w:rPr>
          <w:rFonts w:ascii="Arial" w:hAnsi="Arial" w:cs="Arial"/>
          <w:sz w:val="22"/>
        </w:rPr>
      </w:pPr>
      <w:r w:rsidRPr="00310C5C">
        <w:rPr>
          <w:rFonts w:ascii="Arial" w:hAnsi="Arial" w:cs="Arial"/>
          <w:sz w:val="22"/>
        </w:rPr>
        <w:t xml:space="preserve">ICD-11 (2024) </w:t>
      </w:r>
      <w:r w:rsidRPr="00310C5C">
        <w:rPr>
          <w:rFonts w:ascii="Arial" w:hAnsi="Arial" w:cs="Arial"/>
          <w:i/>
          <w:iCs/>
          <w:sz w:val="22"/>
        </w:rPr>
        <w:t>ICD-11 for Mortality and Morbidity Statistics</w:t>
      </w:r>
      <w:r w:rsidRPr="00310C5C">
        <w:rPr>
          <w:rFonts w:ascii="Arial" w:hAnsi="Arial" w:cs="Arial"/>
          <w:sz w:val="22"/>
        </w:rPr>
        <w:t xml:space="preserve">, </w:t>
      </w:r>
      <w:r w:rsidRPr="00310C5C">
        <w:rPr>
          <w:rFonts w:ascii="Arial" w:hAnsi="Arial" w:cs="Arial"/>
          <w:i/>
          <w:iCs/>
          <w:sz w:val="22"/>
        </w:rPr>
        <w:t>icd.who.int</w:t>
      </w:r>
      <w:r w:rsidRPr="00310C5C">
        <w:rPr>
          <w:rFonts w:ascii="Arial" w:hAnsi="Arial" w:cs="Arial"/>
          <w:sz w:val="22"/>
        </w:rPr>
        <w:t>. Available at: https://icd.who.int/browse/2024-01/mms/en#1336943699 (Accessed: 14 November 2025).</w:t>
      </w:r>
    </w:p>
    <w:p w14:paraId="1ABB50B6" w14:textId="77777777" w:rsidR="003C4C72" w:rsidRPr="00310C5C" w:rsidRDefault="003C4C72" w:rsidP="003C4C72">
      <w:pPr>
        <w:rPr>
          <w:rFonts w:ascii="Arial" w:hAnsi="Arial" w:cs="Arial"/>
          <w:sz w:val="22"/>
        </w:rPr>
      </w:pPr>
      <w:r w:rsidRPr="00310C5C">
        <w:rPr>
          <w:rFonts w:ascii="Arial" w:hAnsi="Arial" w:cs="Arial"/>
          <w:sz w:val="22"/>
        </w:rPr>
        <w:t xml:space="preserve">Kirk, M.A., Pirbaglou, M., Weerasekera, R. and Ritvo, P. (2021) ‘Effectiveness of online cognitive behavioral interventions that include mindfulness for clinically-diagnosed anxiety and depressive disorders: A systematic review and meta-analysis’, </w:t>
      </w:r>
      <w:r w:rsidRPr="00310C5C">
        <w:rPr>
          <w:rFonts w:ascii="Arial" w:hAnsi="Arial" w:cs="Arial"/>
          <w:i/>
          <w:iCs/>
          <w:sz w:val="22"/>
        </w:rPr>
        <w:t>International Journal of Mental Health</w:t>
      </w:r>
      <w:r w:rsidRPr="00310C5C">
        <w:rPr>
          <w:rFonts w:ascii="Arial" w:hAnsi="Arial" w:cs="Arial"/>
          <w:sz w:val="22"/>
        </w:rPr>
        <w:t>, pp. 1–32. Available at: https://doi.org/10.1080/00207411.2021.1959807.</w:t>
      </w:r>
    </w:p>
    <w:p w14:paraId="1F1428D8" w14:textId="77777777" w:rsidR="003C4C72" w:rsidRPr="00310C5C" w:rsidRDefault="003C4C72" w:rsidP="003C4C72">
      <w:pPr>
        <w:rPr>
          <w:rFonts w:ascii="Arial" w:hAnsi="Arial" w:cs="Arial"/>
          <w:sz w:val="22"/>
        </w:rPr>
      </w:pPr>
      <w:r w:rsidRPr="00310C5C">
        <w:rPr>
          <w:rFonts w:ascii="Arial" w:hAnsi="Arial" w:cs="Arial"/>
          <w:sz w:val="22"/>
        </w:rPr>
        <w:t xml:space="preserve">Laureano, C., Laranjeira, C., Querido, A., Dixe, M.A. and Rego, F. (2024) ‘Ethical issues in clinical decision-making about involuntary psychiatric treatment: A scoping review’, </w:t>
      </w:r>
      <w:r w:rsidRPr="00310C5C">
        <w:rPr>
          <w:rFonts w:ascii="Arial" w:hAnsi="Arial" w:cs="Arial"/>
          <w:i/>
          <w:iCs/>
          <w:sz w:val="22"/>
        </w:rPr>
        <w:t>Healthcare</w:t>
      </w:r>
      <w:r w:rsidRPr="00310C5C">
        <w:rPr>
          <w:rFonts w:ascii="Arial" w:hAnsi="Arial" w:cs="Arial"/>
          <w:sz w:val="22"/>
        </w:rPr>
        <w:t>, 12(4), pp. 1–22. Available at: https://doi.org/10.3390/healthcare12040445.</w:t>
      </w:r>
    </w:p>
    <w:p w14:paraId="636F9EF6" w14:textId="77777777" w:rsidR="003C4C72" w:rsidRPr="00310C5C" w:rsidRDefault="003C4C72" w:rsidP="003C4C72">
      <w:pPr>
        <w:rPr>
          <w:rFonts w:ascii="Arial" w:hAnsi="Arial" w:cs="Arial"/>
          <w:sz w:val="22"/>
        </w:rPr>
      </w:pPr>
      <w:r w:rsidRPr="00310C5C">
        <w:rPr>
          <w:rFonts w:ascii="Arial" w:hAnsi="Arial" w:cs="Arial"/>
          <w:sz w:val="22"/>
        </w:rPr>
        <w:t xml:space="preserve">Levell, N.J. (2022) ‘NHS outpatient secondary care: a time of challenges and opportunities’, </w:t>
      </w:r>
      <w:r w:rsidRPr="00310C5C">
        <w:rPr>
          <w:rFonts w:ascii="Arial" w:hAnsi="Arial" w:cs="Arial"/>
          <w:i/>
          <w:iCs/>
          <w:sz w:val="22"/>
        </w:rPr>
        <w:t>Future Healthcare Journal</w:t>
      </w:r>
      <w:r w:rsidRPr="00310C5C">
        <w:rPr>
          <w:rFonts w:ascii="Arial" w:hAnsi="Arial" w:cs="Arial"/>
          <w:sz w:val="22"/>
        </w:rPr>
        <w:t>, 9(2), pp. 106–112. Available at: https://doi.org/10.7861/fhj.2022-0044.</w:t>
      </w:r>
    </w:p>
    <w:p w14:paraId="4C3241EC" w14:textId="77777777" w:rsidR="003C4C72" w:rsidRPr="00310C5C" w:rsidRDefault="003C4C72" w:rsidP="003C4C72">
      <w:pPr>
        <w:rPr>
          <w:rFonts w:ascii="Arial" w:hAnsi="Arial" w:cs="Arial"/>
          <w:sz w:val="22"/>
        </w:rPr>
      </w:pPr>
      <w:r w:rsidRPr="00310C5C">
        <w:rPr>
          <w:rFonts w:ascii="Arial" w:hAnsi="Arial" w:cs="Arial"/>
          <w:sz w:val="22"/>
        </w:rPr>
        <w:t xml:space="preserve">Li, T., Zheng, L. and Zhang, J. (2025) ‘Legal Protection of Mental Health for Family Caregivers of People with Mental Disorders: Challenges, Current Situation, and Legislative Response’, </w:t>
      </w:r>
      <w:r w:rsidRPr="00310C5C">
        <w:rPr>
          <w:rFonts w:ascii="Arial" w:hAnsi="Arial" w:cs="Arial"/>
          <w:i/>
          <w:iCs/>
          <w:sz w:val="22"/>
        </w:rPr>
        <w:t>Psychology Research and Behavior Management</w:t>
      </w:r>
      <w:r w:rsidRPr="00310C5C">
        <w:rPr>
          <w:rFonts w:ascii="Arial" w:hAnsi="Arial" w:cs="Arial"/>
          <w:sz w:val="22"/>
        </w:rPr>
        <w:t>, Volume 18, pp. 1893–1901. Available at: https://doi.org/10.2147/prbm.s549280.</w:t>
      </w:r>
    </w:p>
    <w:p w14:paraId="3F17CC8E" w14:textId="77777777" w:rsidR="003C4C72" w:rsidRPr="00310C5C" w:rsidRDefault="003C4C72" w:rsidP="003C4C72">
      <w:pPr>
        <w:rPr>
          <w:rFonts w:ascii="Arial" w:hAnsi="Arial" w:cs="Arial"/>
          <w:sz w:val="22"/>
        </w:rPr>
      </w:pPr>
      <w:r w:rsidRPr="00310C5C">
        <w:rPr>
          <w:rFonts w:ascii="Arial" w:hAnsi="Arial" w:cs="Arial"/>
          <w:sz w:val="22"/>
        </w:rPr>
        <w:t xml:space="preserve">Lippi, M., Campanozzi, L.L., D’Andrea, G., Morena, D., Orsini, F., Damato, F.M., Fanelli, G., Balcioglu, Y.H., Ryland, H., Fovet, T., Völlm, B., Vicente-Alba, J., Scott, C.L., Frati, P., Tambone, V. and Rinaldi, R. (2025) ‘Psychiatric Risk Governance Across Jurisdictions: A Comparative Analysis of Involuntary Treatment, Community Treatment Orders, and Forensic Mental Health Services’, </w:t>
      </w:r>
      <w:r w:rsidRPr="00310C5C">
        <w:rPr>
          <w:rFonts w:ascii="Arial" w:hAnsi="Arial" w:cs="Arial"/>
          <w:i/>
          <w:iCs/>
          <w:sz w:val="22"/>
        </w:rPr>
        <w:t>Healthcare</w:t>
      </w:r>
      <w:r w:rsidRPr="00310C5C">
        <w:rPr>
          <w:rFonts w:ascii="Arial" w:hAnsi="Arial" w:cs="Arial"/>
          <w:sz w:val="22"/>
        </w:rPr>
        <w:t>, 13(18), p. 2363. Available at: https://doi.org/10.3390/healthcare13182363.</w:t>
      </w:r>
    </w:p>
    <w:p w14:paraId="0F0F4AEA" w14:textId="77777777" w:rsidR="003C4C72" w:rsidRPr="00310C5C" w:rsidRDefault="003C4C72" w:rsidP="003C4C72">
      <w:pPr>
        <w:rPr>
          <w:rFonts w:ascii="Arial" w:hAnsi="Arial" w:cs="Arial"/>
          <w:sz w:val="22"/>
        </w:rPr>
      </w:pPr>
      <w:r w:rsidRPr="00310C5C">
        <w:rPr>
          <w:rFonts w:ascii="Arial" w:hAnsi="Arial" w:cs="Arial"/>
          <w:sz w:val="22"/>
        </w:rPr>
        <w:lastRenderedPageBreak/>
        <w:t xml:space="preserve">Makin, L., Meyer, A., Zesch, E., Mondelli, V. and Tchanturia, K. (2025) ‘Autism, ADHD, and Their Traits in Adults with Obesity: A Scoping Review’, </w:t>
      </w:r>
      <w:r w:rsidRPr="00310C5C">
        <w:rPr>
          <w:rFonts w:ascii="Arial" w:hAnsi="Arial" w:cs="Arial"/>
          <w:i/>
          <w:iCs/>
          <w:sz w:val="22"/>
        </w:rPr>
        <w:t>Nutrients</w:t>
      </w:r>
      <w:r w:rsidRPr="00310C5C">
        <w:rPr>
          <w:rFonts w:ascii="Arial" w:hAnsi="Arial" w:cs="Arial"/>
          <w:sz w:val="22"/>
        </w:rPr>
        <w:t>, 17(5), p. 787. Available at: https://doi.org/10.3390/nu17050787.</w:t>
      </w:r>
    </w:p>
    <w:p w14:paraId="58B9B8FD" w14:textId="77777777" w:rsidR="003C4C72" w:rsidRPr="00310C5C" w:rsidRDefault="00C33B81" w:rsidP="003C4C72">
      <w:pPr>
        <w:rPr>
          <w:rFonts w:ascii="Arial" w:hAnsi="Arial" w:cs="Arial"/>
          <w:sz w:val="22"/>
        </w:rPr>
      </w:pPr>
      <w:r>
        <w:rPr>
          <w:rFonts w:ascii="Arial" w:hAnsi="Arial" w:cs="Arial"/>
          <w:sz w:val="22"/>
        </w:rPr>
        <w:t>NHS (2025</w:t>
      </w:r>
      <w:r w:rsidR="003C4C72" w:rsidRPr="00310C5C">
        <w:rPr>
          <w:rFonts w:ascii="Arial" w:hAnsi="Arial" w:cs="Arial"/>
          <w:sz w:val="22"/>
        </w:rPr>
        <w:t xml:space="preserve">) </w:t>
      </w:r>
      <w:r w:rsidR="003C4C72" w:rsidRPr="00310C5C">
        <w:rPr>
          <w:rFonts w:ascii="Arial" w:hAnsi="Arial" w:cs="Arial"/>
          <w:i/>
          <w:iCs/>
          <w:sz w:val="22"/>
        </w:rPr>
        <w:t>NHS England» IAPT at 10: Achievements and Challenges</w:t>
      </w:r>
      <w:r w:rsidR="003C4C72" w:rsidRPr="00310C5C">
        <w:rPr>
          <w:rFonts w:ascii="Arial" w:hAnsi="Arial" w:cs="Arial"/>
          <w:sz w:val="22"/>
        </w:rPr>
        <w:t xml:space="preserve">, </w:t>
      </w:r>
      <w:r w:rsidR="003C4C72" w:rsidRPr="00310C5C">
        <w:rPr>
          <w:rFonts w:ascii="Arial" w:hAnsi="Arial" w:cs="Arial"/>
          <w:i/>
          <w:iCs/>
          <w:sz w:val="22"/>
        </w:rPr>
        <w:t>England.nhs.uk</w:t>
      </w:r>
      <w:r w:rsidR="003C4C72" w:rsidRPr="00310C5C">
        <w:rPr>
          <w:rFonts w:ascii="Arial" w:hAnsi="Arial" w:cs="Arial"/>
          <w:sz w:val="22"/>
        </w:rPr>
        <w:t>. Available at: https://www.england.nhs.uk/blog/iapt-at-10-achievements-and-challenges/ (Accessed: 14 November 2025).</w:t>
      </w:r>
    </w:p>
    <w:p w14:paraId="67FAB4C6" w14:textId="77777777" w:rsidR="003C4C72" w:rsidRPr="00310C5C" w:rsidRDefault="00C33B81" w:rsidP="003C4C72">
      <w:pPr>
        <w:rPr>
          <w:rFonts w:ascii="Arial" w:hAnsi="Arial" w:cs="Arial"/>
          <w:sz w:val="22"/>
        </w:rPr>
      </w:pPr>
      <w:r>
        <w:rPr>
          <w:rFonts w:ascii="Arial" w:hAnsi="Arial" w:cs="Arial"/>
          <w:sz w:val="22"/>
        </w:rPr>
        <w:t>NHS (2025</w:t>
      </w:r>
      <w:r w:rsidR="003C4C72" w:rsidRPr="00310C5C">
        <w:rPr>
          <w:rFonts w:ascii="Arial" w:hAnsi="Arial" w:cs="Arial"/>
          <w:sz w:val="22"/>
        </w:rPr>
        <w:t xml:space="preserve">) </w:t>
      </w:r>
      <w:r w:rsidR="003C4C72" w:rsidRPr="00310C5C">
        <w:rPr>
          <w:rFonts w:ascii="Arial" w:hAnsi="Arial" w:cs="Arial"/>
          <w:i/>
          <w:iCs/>
          <w:sz w:val="22"/>
        </w:rPr>
        <w:t>NHS Talking Therapies for anxiety and depression Manual (Formerly known as Improving Access to Psychological Therapies)</w:t>
      </w:r>
      <w:r w:rsidR="003C4C72" w:rsidRPr="00310C5C">
        <w:rPr>
          <w:rFonts w:ascii="Arial" w:hAnsi="Arial" w:cs="Arial"/>
          <w:sz w:val="22"/>
        </w:rPr>
        <w:t>. Available at: https://www.england.nhs.uk/wp-content/uploads/2018/06/nhs-talking-therapies-manual-v7.1-updated.pdf?utm_source=chatgpt.com (Accessed: 14 November 2025).</w:t>
      </w:r>
    </w:p>
    <w:p w14:paraId="17F5FB3B" w14:textId="77777777" w:rsidR="003C4C72" w:rsidRPr="00310C5C" w:rsidRDefault="00C33B81" w:rsidP="003C4C72">
      <w:pPr>
        <w:rPr>
          <w:rFonts w:ascii="Arial" w:hAnsi="Arial" w:cs="Arial"/>
          <w:sz w:val="22"/>
        </w:rPr>
      </w:pPr>
      <w:r>
        <w:rPr>
          <w:rFonts w:ascii="Arial" w:hAnsi="Arial" w:cs="Arial"/>
          <w:sz w:val="22"/>
        </w:rPr>
        <w:t>NHS (2025</w:t>
      </w:r>
      <w:r w:rsidR="003C4C72" w:rsidRPr="00310C5C">
        <w:rPr>
          <w:rFonts w:ascii="Arial" w:hAnsi="Arial" w:cs="Arial"/>
          <w:sz w:val="22"/>
        </w:rPr>
        <w:t xml:space="preserve">) </w:t>
      </w:r>
      <w:r w:rsidR="003C4C72" w:rsidRPr="00310C5C">
        <w:rPr>
          <w:rFonts w:ascii="Arial" w:hAnsi="Arial" w:cs="Arial"/>
          <w:i/>
          <w:iCs/>
          <w:sz w:val="22"/>
        </w:rPr>
        <w:t>Waiting Times</w:t>
      </w:r>
      <w:r w:rsidR="003C4C72" w:rsidRPr="00310C5C">
        <w:rPr>
          <w:rFonts w:ascii="Arial" w:hAnsi="Arial" w:cs="Arial"/>
          <w:sz w:val="22"/>
        </w:rPr>
        <w:t xml:space="preserve">, </w:t>
      </w:r>
      <w:r w:rsidR="003C4C72" w:rsidRPr="00310C5C">
        <w:rPr>
          <w:rFonts w:ascii="Arial" w:hAnsi="Arial" w:cs="Arial"/>
          <w:i/>
          <w:iCs/>
          <w:sz w:val="22"/>
        </w:rPr>
        <w:t>NHS</w:t>
      </w:r>
      <w:r w:rsidR="003C4C72" w:rsidRPr="00310C5C">
        <w:rPr>
          <w:rFonts w:ascii="Arial" w:hAnsi="Arial" w:cs="Arial"/>
          <w:sz w:val="22"/>
        </w:rPr>
        <w:t>. Available at: https://digital.nhs.uk/data-and-information/publications/statistical/nhs-talking-therapies-monthly-statistics-including-employment-advisors/performance-march-2025-and-quarter-4-2024-25-data/waiting-times (Accessed: 14 November 2025).</w:t>
      </w:r>
    </w:p>
    <w:p w14:paraId="52B3BE1B" w14:textId="77777777" w:rsidR="003C4C72" w:rsidRPr="00310C5C" w:rsidRDefault="003C4C72" w:rsidP="003C4C72">
      <w:pPr>
        <w:rPr>
          <w:rFonts w:ascii="Arial" w:hAnsi="Arial" w:cs="Arial"/>
          <w:sz w:val="22"/>
        </w:rPr>
      </w:pPr>
      <w:r w:rsidRPr="00310C5C">
        <w:rPr>
          <w:rFonts w:ascii="Arial" w:hAnsi="Arial" w:cs="Arial"/>
          <w:sz w:val="22"/>
        </w:rPr>
        <w:t xml:space="preserve">NHS England (2023) </w:t>
      </w:r>
      <w:r w:rsidRPr="00310C5C">
        <w:rPr>
          <w:rFonts w:ascii="Arial" w:hAnsi="Arial" w:cs="Arial"/>
          <w:i/>
          <w:iCs/>
          <w:sz w:val="22"/>
        </w:rPr>
        <w:t>NHS England» New mental health support in schools and colleges and faster access to NHS care</w:t>
      </w:r>
      <w:r w:rsidRPr="00310C5C">
        <w:rPr>
          <w:rFonts w:ascii="Arial" w:hAnsi="Arial" w:cs="Arial"/>
          <w:sz w:val="22"/>
        </w:rPr>
        <w:t xml:space="preserve">, </w:t>
      </w:r>
      <w:r w:rsidRPr="00310C5C">
        <w:rPr>
          <w:rFonts w:ascii="Arial" w:hAnsi="Arial" w:cs="Arial"/>
          <w:i/>
          <w:iCs/>
          <w:sz w:val="22"/>
        </w:rPr>
        <w:t>England.nhs.uk</w:t>
      </w:r>
      <w:r w:rsidRPr="00310C5C">
        <w:rPr>
          <w:rFonts w:ascii="Arial" w:hAnsi="Arial" w:cs="Arial"/>
          <w:sz w:val="22"/>
        </w:rPr>
        <w:t>. Available at: https://www.england.nhs.uk/mental-health/cyp/trailblazers/ (Accessed: 14 November 2025).</w:t>
      </w:r>
    </w:p>
    <w:p w14:paraId="5490EA13" w14:textId="77777777" w:rsidR="003C4C72" w:rsidRPr="00310C5C" w:rsidRDefault="003C4C72" w:rsidP="003C4C72">
      <w:pPr>
        <w:rPr>
          <w:rFonts w:ascii="Arial" w:hAnsi="Arial" w:cs="Arial"/>
          <w:sz w:val="22"/>
        </w:rPr>
      </w:pPr>
      <w:r w:rsidRPr="00310C5C">
        <w:rPr>
          <w:rFonts w:ascii="Arial" w:hAnsi="Arial" w:cs="Arial"/>
          <w:sz w:val="22"/>
        </w:rPr>
        <w:t xml:space="preserve">NICE (2024) </w:t>
      </w:r>
      <w:r w:rsidRPr="00310C5C">
        <w:rPr>
          <w:rFonts w:ascii="Arial" w:hAnsi="Arial" w:cs="Arial"/>
          <w:i/>
          <w:iCs/>
          <w:sz w:val="22"/>
        </w:rPr>
        <w:t>NICE Guidance</w:t>
      </w:r>
      <w:r w:rsidRPr="00310C5C">
        <w:rPr>
          <w:rFonts w:ascii="Arial" w:hAnsi="Arial" w:cs="Arial"/>
          <w:sz w:val="22"/>
        </w:rPr>
        <w:t xml:space="preserve">, </w:t>
      </w:r>
      <w:r w:rsidRPr="00310C5C">
        <w:rPr>
          <w:rFonts w:ascii="Arial" w:hAnsi="Arial" w:cs="Arial"/>
          <w:i/>
          <w:iCs/>
          <w:sz w:val="22"/>
        </w:rPr>
        <w:t>NICE</w:t>
      </w:r>
      <w:r w:rsidRPr="00310C5C">
        <w:rPr>
          <w:rFonts w:ascii="Arial" w:hAnsi="Arial" w:cs="Arial"/>
          <w:sz w:val="22"/>
        </w:rPr>
        <w:t>. Available at: https://www.nice.org.uk/guidance (Accessed: 14 November 2025).</w:t>
      </w:r>
    </w:p>
    <w:p w14:paraId="5670B3B1" w14:textId="77777777" w:rsidR="003C4C72" w:rsidRPr="00310C5C" w:rsidRDefault="003C4C72" w:rsidP="003C4C72">
      <w:pPr>
        <w:rPr>
          <w:rFonts w:ascii="Arial" w:hAnsi="Arial" w:cs="Arial"/>
          <w:sz w:val="22"/>
        </w:rPr>
      </w:pPr>
      <w:r w:rsidRPr="00310C5C">
        <w:rPr>
          <w:rFonts w:ascii="Arial" w:hAnsi="Arial" w:cs="Arial"/>
          <w:sz w:val="22"/>
        </w:rPr>
        <w:t xml:space="preserve">NICE (2025) </w:t>
      </w:r>
      <w:r w:rsidRPr="00310C5C">
        <w:rPr>
          <w:rFonts w:ascii="Arial" w:hAnsi="Arial" w:cs="Arial"/>
          <w:i/>
          <w:iCs/>
          <w:sz w:val="22"/>
        </w:rPr>
        <w:t>Overview | Generalised anxiety disorder and panic disorder in adults: management | Guidance | NICE</w:t>
      </w:r>
      <w:r w:rsidRPr="00310C5C">
        <w:rPr>
          <w:rFonts w:ascii="Arial" w:hAnsi="Arial" w:cs="Arial"/>
          <w:sz w:val="22"/>
        </w:rPr>
        <w:t xml:space="preserve">, </w:t>
      </w:r>
      <w:r w:rsidRPr="00310C5C">
        <w:rPr>
          <w:rFonts w:ascii="Arial" w:hAnsi="Arial" w:cs="Arial"/>
          <w:i/>
          <w:iCs/>
          <w:sz w:val="22"/>
        </w:rPr>
        <w:t>Nice.org.uk</w:t>
      </w:r>
      <w:r w:rsidRPr="00310C5C">
        <w:rPr>
          <w:rFonts w:ascii="Arial" w:hAnsi="Arial" w:cs="Arial"/>
          <w:sz w:val="22"/>
        </w:rPr>
        <w:t>. NICE. Available at: https://www.nice.org.uk/guidance/CG113? (Accessed: 14 November 2025).</w:t>
      </w:r>
    </w:p>
    <w:p w14:paraId="3CAA7082" w14:textId="77777777" w:rsidR="003C4C72" w:rsidRPr="00310C5C" w:rsidRDefault="003C4C72" w:rsidP="003C4C72">
      <w:pPr>
        <w:rPr>
          <w:rFonts w:ascii="Arial" w:hAnsi="Arial" w:cs="Arial"/>
          <w:sz w:val="22"/>
        </w:rPr>
      </w:pPr>
      <w:r w:rsidRPr="00310C5C">
        <w:rPr>
          <w:rFonts w:ascii="Arial" w:hAnsi="Arial" w:cs="Arial"/>
          <w:sz w:val="22"/>
        </w:rPr>
        <w:t xml:space="preserve">Ryland, H. and Bunn, S. (2024) </w:t>
      </w:r>
      <w:r w:rsidRPr="00310C5C">
        <w:rPr>
          <w:rFonts w:ascii="Arial" w:hAnsi="Arial" w:cs="Arial"/>
          <w:i/>
          <w:iCs/>
          <w:sz w:val="22"/>
        </w:rPr>
        <w:t>Reforming the Mental Health Act – Approaches to Improve Patient Choice</w:t>
      </w:r>
      <w:r w:rsidRPr="00310C5C">
        <w:rPr>
          <w:rFonts w:ascii="Arial" w:hAnsi="Arial" w:cs="Arial"/>
          <w:sz w:val="22"/>
        </w:rPr>
        <w:t xml:space="preserve">, </w:t>
      </w:r>
      <w:r w:rsidRPr="00310C5C">
        <w:rPr>
          <w:rFonts w:ascii="Arial" w:hAnsi="Arial" w:cs="Arial"/>
          <w:i/>
          <w:iCs/>
          <w:sz w:val="22"/>
        </w:rPr>
        <w:t>POST</w:t>
      </w:r>
      <w:r w:rsidRPr="00310C5C">
        <w:rPr>
          <w:rFonts w:ascii="Arial" w:hAnsi="Arial" w:cs="Arial"/>
          <w:sz w:val="22"/>
        </w:rPr>
        <w:t>. Available at: https://post.parliament.uk/research-briefings/post-pn-0695/ (Accessed: 14 November 2025).</w:t>
      </w:r>
    </w:p>
    <w:p w14:paraId="71AAF195" w14:textId="77777777" w:rsidR="003C4C72" w:rsidRPr="00310C5C" w:rsidRDefault="003C4C72" w:rsidP="003C4C72">
      <w:pPr>
        <w:rPr>
          <w:rFonts w:ascii="Arial" w:hAnsi="Arial" w:cs="Arial"/>
          <w:sz w:val="22"/>
        </w:rPr>
      </w:pPr>
      <w:r w:rsidRPr="00310C5C">
        <w:rPr>
          <w:rFonts w:ascii="Arial" w:hAnsi="Arial" w:cs="Arial"/>
          <w:sz w:val="22"/>
        </w:rPr>
        <w:t xml:space="preserve">Sambrook, L., McIntyre, J.C., Nathan, R., Tait, J., Ashley-Mudie, P., Humphreys, M., Wilson, P. and Saini, P. (2025) ‘“A community in crisis”: staff qualitative experiences of NHS and third sector mental healthcare in England’, </w:t>
      </w:r>
      <w:r w:rsidRPr="00310C5C">
        <w:rPr>
          <w:rFonts w:ascii="Arial" w:hAnsi="Arial" w:cs="Arial"/>
          <w:i/>
          <w:iCs/>
          <w:sz w:val="22"/>
        </w:rPr>
        <w:t>BJPsych Open</w:t>
      </w:r>
      <w:r w:rsidRPr="00310C5C">
        <w:rPr>
          <w:rFonts w:ascii="Arial" w:hAnsi="Arial" w:cs="Arial"/>
          <w:sz w:val="22"/>
        </w:rPr>
        <w:t>, 11(5). Available at: https://doi.org/10.1192/bjo.2025.10826.</w:t>
      </w:r>
    </w:p>
    <w:p w14:paraId="4602D079" w14:textId="77777777" w:rsidR="003C4C72" w:rsidRPr="00310C5C" w:rsidRDefault="003C4C72" w:rsidP="003C4C72">
      <w:pPr>
        <w:rPr>
          <w:rFonts w:ascii="Arial" w:hAnsi="Arial" w:cs="Arial"/>
          <w:sz w:val="22"/>
        </w:rPr>
      </w:pPr>
      <w:r w:rsidRPr="00310C5C">
        <w:rPr>
          <w:rFonts w:ascii="Arial" w:hAnsi="Arial" w:cs="Arial"/>
          <w:sz w:val="22"/>
        </w:rPr>
        <w:lastRenderedPageBreak/>
        <w:t>Wakefield, S., Kellett, S., Simmonds</w:t>
      </w:r>
      <w:r w:rsidRPr="00310C5C">
        <w:rPr>
          <w:rFonts w:ascii="Cambria Math" w:hAnsi="Cambria Math" w:cs="Cambria Math"/>
          <w:sz w:val="22"/>
        </w:rPr>
        <w:t>‐</w:t>
      </w:r>
      <w:r w:rsidRPr="00310C5C">
        <w:rPr>
          <w:rFonts w:ascii="Arial" w:hAnsi="Arial" w:cs="Arial"/>
          <w:sz w:val="22"/>
        </w:rPr>
        <w:t>Buckley, M., Stockton, D., Bradbury, A. and Delgadillo, J. (2020) ‘Improving access to psychological therapies (IAPT) in the united kingdom: A systematic review and meta</w:t>
      </w:r>
      <w:r w:rsidRPr="00310C5C">
        <w:rPr>
          <w:rFonts w:ascii="Cambria Math" w:hAnsi="Cambria Math" w:cs="Cambria Math"/>
          <w:sz w:val="22"/>
        </w:rPr>
        <w:t>‐</w:t>
      </w:r>
      <w:r w:rsidRPr="00310C5C">
        <w:rPr>
          <w:rFonts w:ascii="Arial" w:hAnsi="Arial" w:cs="Arial"/>
          <w:sz w:val="22"/>
        </w:rPr>
        <w:t>analysis of 10</w:t>
      </w:r>
      <w:r w:rsidRPr="00310C5C">
        <w:rPr>
          <w:rFonts w:ascii="Cambria Math" w:hAnsi="Cambria Math" w:cs="Cambria Math"/>
          <w:sz w:val="22"/>
        </w:rPr>
        <w:t>‐</w:t>
      </w:r>
      <w:r w:rsidRPr="00310C5C">
        <w:rPr>
          <w:rFonts w:ascii="Arial" w:hAnsi="Arial" w:cs="Arial"/>
          <w:sz w:val="22"/>
        </w:rPr>
        <w:t>years of practice</w:t>
      </w:r>
      <w:r w:rsidRPr="00310C5C">
        <w:rPr>
          <w:rFonts w:ascii="Cambria Math" w:hAnsi="Cambria Math" w:cs="Cambria Math"/>
          <w:sz w:val="22"/>
        </w:rPr>
        <w:t>‐</w:t>
      </w:r>
      <w:r w:rsidRPr="00310C5C">
        <w:rPr>
          <w:rFonts w:ascii="Arial" w:hAnsi="Arial" w:cs="Arial"/>
          <w:sz w:val="22"/>
        </w:rPr>
        <w:t xml:space="preserve">based evidence’, </w:t>
      </w:r>
      <w:r w:rsidRPr="00310C5C">
        <w:rPr>
          <w:rFonts w:ascii="Arial" w:hAnsi="Arial" w:cs="Arial"/>
          <w:i/>
          <w:iCs/>
          <w:sz w:val="22"/>
        </w:rPr>
        <w:t>British Journal of Clinical Psychology</w:t>
      </w:r>
      <w:r w:rsidRPr="00310C5C">
        <w:rPr>
          <w:rFonts w:ascii="Arial" w:hAnsi="Arial" w:cs="Arial"/>
          <w:sz w:val="22"/>
        </w:rPr>
        <w:t>, 60(1), pp. 1–37. Available at: https://doi.org/10.1111/bjc.12259.</w:t>
      </w:r>
    </w:p>
    <w:p w14:paraId="750488CC" w14:textId="77777777" w:rsidR="003C4C72" w:rsidRPr="00310C5C" w:rsidRDefault="003C4C72">
      <w:pPr>
        <w:rPr>
          <w:rFonts w:ascii="Arial" w:hAnsi="Arial" w:cs="Arial"/>
          <w:sz w:val="22"/>
        </w:rPr>
      </w:pPr>
      <w:r w:rsidRPr="00310C5C">
        <w:rPr>
          <w:rFonts w:ascii="Arial" w:hAnsi="Arial" w:cs="Arial"/>
          <w:sz w:val="22"/>
        </w:rPr>
        <w:t xml:space="preserve">WHO (2025) </w:t>
      </w:r>
      <w:r w:rsidRPr="00310C5C">
        <w:rPr>
          <w:rFonts w:ascii="Arial" w:hAnsi="Arial" w:cs="Arial"/>
          <w:i/>
          <w:iCs/>
          <w:sz w:val="22"/>
        </w:rPr>
        <w:t>Clinical descriptions and diagnostic requirements for ICD-11 mental, behavioural and neurodevelopmental disorders (CDDR)</w:t>
      </w:r>
      <w:r w:rsidRPr="00310C5C">
        <w:rPr>
          <w:rFonts w:ascii="Arial" w:hAnsi="Arial" w:cs="Arial"/>
          <w:sz w:val="22"/>
        </w:rPr>
        <w:t xml:space="preserve">, </w:t>
      </w:r>
      <w:r w:rsidRPr="00310C5C">
        <w:rPr>
          <w:rFonts w:ascii="Arial" w:hAnsi="Arial" w:cs="Arial"/>
          <w:i/>
          <w:iCs/>
          <w:sz w:val="22"/>
        </w:rPr>
        <w:t>Who.int</w:t>
      </w:r>
      <w:r w:rsidRPr="00310C5C">
        <w:rPr>
          <w:rFonts w:ascii="Arial" w:hAnsi="Arial" w:cs="Arial"/>
          <w:sz w:val="22"/>
        </w:rPr>
        <w:t>. Available at: https://www.who.int/publications/i/item/9789240077263? (Accessed: 14 November 2025).</w:t>
      </w:r>
    </w:p>
    <w:sectPr w:rsidR="003C4C72" w:rsidRPr="00310C5C" w:rsidSect="003369FC">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AA8D5" w14:textId="77777777" w:rsidR="00173CFB" w:rsidRDefault="00173CFB" w:rsidP="003369FC">
      <w:pPr>
        <w:spacing w:before="0" w:after="0" w:line="240" w:lineRule="auto"/>
      </w:pPr>
      <w:r>
        <w:separator/>
      </w:r>
    </w:p>
  </w:endnote>
  <w:endnote w:type="continuationSeparator" w:id="0">
    <w:p w14:paraId="4A8D8CD1" w14:textId="77777777" w:rsidR="00173CFB" w:rsidRDefault="00173CFB" w:rsidP="003369F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0592924"/>
      <w:docPartObj>
        <w:docPartGallery w:val="Page Numbers (Bottom of Page)"/>
        <w:docPartUnique/>
      </w:docPartObj>
    </w:sdtPr>
    <w:sdtEndPr>
      <w:rPr>
        <w:rFonts w:ascii="Arial" w:hAnsi="Arial" w:cs="Arial"/>
        <w:noProof/>
        <w:color w:val="7F7F7F" w:themeColor="background1" w:themeShade="7F"/>
        <w:spacing w:val="60"/>
        <w:sz w:val="18"/>
      </w:rPr>
    </w:sdtEndPr>
    <w:sdtContent>
      <w:p w14:paraId="7EE51CEA" w14:textId="77777777" w:rsidR="003369FC" w:rsidRPr="003369FC" w:rsidRDefault="003369FC">
        <w:pPr>
          <w:pStyle w:val="Footer"/>
          <w:pBdr>
            <w:top w:val="single" w:sz="4" w:space="1" w:color="D9D9D9" w:themeColor="background1" w:themeShade="D9"/>
          </w:pBdr>
          <w:jc w:val="right"/>
          <w:rPr>
            <w:rFonts w:ascii="Arial" w:hAnsi="Arial" w:cs="Arial"/>
            <w:sz w:val="18"/>
          </w:rPr>
        </w:pPr>
        <w:r w:rsidRPr="003369FC">
          <w:rPr>
            <w:rFonts w:ascii="Arial" w:hAnsi="Arial" w:cs="Arial"/>
            <w:noProof w:val="0"/>
            <w:sz w:val="18"/>
          </w:rPr>
          <w:fldChar w:fldCharType="begin"/>
        </w:r>
        <w:r w:rsidRPr="003369FC">
          <w:rPr>
            <w:rFonts w:ascii="Arial" w:hAnsi="Arial" w:cs="Arial"/>
            <w:sz w:val="18"/>
          </w:rPr>
          <w:instrText xml:space="preserve"> PAGE   \* MERGEFORMAT </w:instrText>
        </w:r>
        <w:r w:rsidRPr="003369FC">
          <w:rPr>
            <w:rFonts w:ascii="Arial" w:hAnsi="Arial" w:cs="Arial"/>
            <w:noProof w:val="0"/>
            <w:sz w:val="18"/>
          </w:rPr>
          <w:fldChar w:fldCharType="separate"/>
        </w:r>
        <w:r w:rsidR="0098518D">
          <w:rPr>
            <w:rFonts w:ascii="Arial" w:hAnsi="Arial" w:cs="Arial"/>
            <w:sz w:val="18"/>
          </w:rPr>
          <w:t>0</w:t>
        </w:r>
        <w:r w:rsidRPr="003369FC">
          <w:rPr>
            <w:rFonts w:ascii="Arial" w:hAnsi="Arial" w:cs="Arial"/>
            <w:sz w:val="18"/>
          </w:rPr>
          <w:fldChar w:fldCharType="end"/>
        </w:r>
        <w:r w:rsidRPr="003369FC">
          <w:rPr>
            <w:rFonts w:ascii="Arial" w:hAnsi="Arial" w:cs="Arial"/>
            <w:sz w:val="18"/>
          </w:rPr>
          <w:t xml:space="preserve"> | </w:t>
        </w:r>
        <w:r w:rsidRPr="003369FC">
          <w:rPr>
            <w:rFonts w:ascii="Arial" w:hAnsi="Arial" w:cs="Arial"/>
            <w:color w:val="7F7F7F" w:themeColor="background1" w:themeShade="7F"/>
            <w:spacing w:val="60"/>
            <w:sz w:val="18"/>
          </w:rPr>
          <w:t>Page</w:t>
        </w:r>
      </w:p>
    </w:sdtContent>
  </w:sdt>
  <w:p w14:paraId="36934142" w14:textId="77777777" w:rsidR="003369FC" w:rsidRDefault="00336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8518A" w14:textId="77777777" w:rsidR="00173CFB" w:rsidRDefault="00173CFB" w:rsidP="003369FC">
      <w:pPr>
        <w:spacing w:before="0" w:after="0" w:line="240" w:lineRule="auto"/>
      </w:pPr>
      <w:r>
        <w:separator/>
      </w:r>
    </w:p>
  </w:footnote>
  <w:footnote w:type="continuationSeparator" w:id="0">
    <w:p w14:paraId="207E1E3E" w14:textId="77777777" w:rsidR="00173CFB" w:rsidRDefault="00173CFB" w:rsidP="003369F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A0C29"/>
    <w:multiLevelType w:val="hybridMultilevel"/>
    <w:tmpl w:val="6B98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BB2E52"/>
    <w:multiLevelType w:val="hybridMultilevel"/>
    <w:tmpl w:val="5A282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489749">
    <w:abstractNumId w:val="1"/>
  </w:num>
  <w:num w:numId="2" w16cid:durableId="1494642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C72"/>
    <w:rsid w:val="00103037"/>
    <w:rsid w:val="00123048"/>
    <w:rsid w:val="001476CA"/>
    <w:rsid w:val="00173CFB"/>
    <w:rsid w:val="00310C5C"/>
    <w:rsid w:val="003369FC"/>
    <w:rsid w:val="003469B6"/>
    <w:rsid w:val="003558CF"/>
    <w:rsid w:val="0038649E"/>
    <w:rsid w:val="003C4C72"/>
    <w:rsid w:val="003D7525"/>
    <w:rsid w:val="004067C6"/>
    <w:rsid w:val="00675A42"/>
    <w:rsid w:val="0098518D"/>
    <w:rsid w:val="00B61F00"/>
    <w:rsid w:val="00C33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BFEA"/>
  <w15:chartTrackingRefBased/>
  <w15:docId w15:val="{1848F39D-4FE3-4E23-8F86-2DEC618E1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9B6"/>
    <w:pPr>
      <w:spacing w:before="100" w:beforeAutospacing="1" w:after="100" w:afterAutospacing="1"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3469B6"/>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469B6"/>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3C4C72"/>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9B6"/>
    <w:rPr>
      <w:rFonts w:ascii="Times New Roman" w:eastAsiaTheme="majorEastAsia" w:hAnsi="Times New Roman" w:cstheme="majorBidi"/>
      <w:b/>
      <w:noProof/>
      <w:color w:val="000000" w:themeColor="text1"/>
      <w:sz w:val="28"/>
      <w:szCs w:val="32"/>
    </w:rPr>
  </w:style>
  <w:style w:type="character" w:customStyle="1" w:styleId="Heading2Char">
    <w:name w:val="Heading 2 Char"/>
    <w:basedOn w:val="DefaultParagraphFont"/>
    <w:link w:val="Heading2"/>
    <w:uiPriority w:val="9"/>
    <w:rsid w:val="003469B6"/>
    <w:rPr>
      <w:rFonts w:ascii="Times New Roman" w:eastAsiaTheme="majorEastAsia" w:hAnsi="Times New Roman" w:cstheme="majorBidi"/>
      <w:b/>
      <w:noProof/>
      <w:color w:val="000000" w:themeColor="text1"/>
      <w:sz w:val="26"/>
      <w:szCs w:val="26"/>
    </w:rPr>
  </w:style>
  <w:style w:type="paragraph" w:styleId="Title">
    <w:name w:val="Title"/>
    <w:basedOn w:val="Normal"/>
    <w:next w:val="Normal"/>
    <w:link w:val="TitleChar"/>
    <w:autoRedefine/>
    <w:uiPriority w:val="10"/>
    <w:qFormat/>
    <w:rsid w:val="003469B6"/>
    <w:pPr>
      <w:pBdr>
        <w:bottom w:val="single" w:sz="4" w:space="1" w:color="auto"/>
      </w:pBdr>
      <w:contextualSpacing/>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3469B6"/>
    <w:rPr>
      <w:rFonts w:ascii="Times New Roman" w:eastAsiaTheme="majorEastAsia" w:hAnsi="Times New Roman" w:cstheme="majorBidi"/>
      <w:b/>
      <w:noProof/>
      <w:color w:val="000000" w:themeColor="text1"/>
      <w:spacing w:val="-10"/>
      <w:kern w:val="28"/>
      <w:sz w:val="40"/>
      <w:szCs w:val="56"/>
    </w:rPr>
  </w:style>
  <w:style w:type="character" w:customStyle="1" w:styleId="Heading3Char">
    <w:name w:val="Heading 3 Char"/>
    <w:basedOn w:val="DefaultParagraphFont"/>
    <w:link w:val="Heading3"/>
    <w:uiPriority w:val="9"/>
    <w:rsid w:val="003C4C72"/>
    <w:rPr>
      <w:rFonts w:asciiTheme="majorHAnsi" w:eastAsiaTheme="majorEastAsia" w:hAnsiTheme="majorHAnsi" w:cstheme="majorBidi"/>
      <w:noProof/>
      <w:color w:val="1F4D78" w:themeColor="accent1" w:themeShade="7F"/>
      <w:sz w:val="24"/>
      <w:szCs w:val="24"/>
    </w:rPr>
  </w:style>
  <w:style w:type="paragraph" w:styleId="TOCHeading">
    <w:name w:val="TOC Heading"/>
    <w:basedOn w:val="Heading1"/>
    <w:next w:val="Normal"/>
    <w:uiPriority w:val="39"/>
    <w:unhideWhenUsed/>
    <w:qFormat/>
    <w:rsid w:val="003C4C72"/>
    <w:pPr>
      <w:spacing w:before="240" w:beforeAutospacing="0" w:after="0" w:afterAutospacing="0"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3C4C72"/>
  </w:style>
  <w:style w:type="paragraph" w:styleId="TOC2">
    <w:name w:val="toc 2"/>
    <w:basedOn w:val="Normal"/>
    <w:next w:val="Normal"/>
    <w:autoRedefine/>
    <w:uiPriority w:val="39"/>
    <w:unhideWhenUsed/>
    <w:rsid w:val="003C4C72"/>
    <w:pPr>
      <w:ind w:left="240"/>
    </w:pPr>
  </w:style>
  <w:style w:type="character" w:styleId="Hyperlink">
    <w:name w:val="Hyperlink"/>
    <w:basedOn w:val="DefaultParagraphFont"/>
    <w:uiPriority w:val="99"/>
    <w:unhideWhenUsed/>
    <w:rsid w:val="003C4C72"/>
    <w:rPr>
      <w:color w:val="0563C1" w:themeColor="hyperlink"/>
      <w:u w:val="single"/>
    </w:rPr>
  </w:style>
  <w:style w:type="paragraph" w:styleId="Header">
    <w:name w:val="header"/>
    <w:basedOn w:val="Normal"/>
    <w:link w:val="HeaderChar"/>
    <w:uiPriority w:val="99"/>
    <w:unhideWhenUsed/>
    <w:rsid w:val="003369F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369FC"/>
    <w:rPr>
      <w:rFonts w:ascii="Times New Roman" w:hAnsi="Times New Roman"/>
      <w:noProof/>
      <w:sz w:val="24"/>
    </w:rPr>
  </w:style>
  <w:style w:type="paragraph" w:styleId="Footer">
    <w:name w:val="footer"/>
    <w:basedOn w:val="Normal"/>
    <w:link w:val="FooterChar"/>
    <w:uiPriority w:val="99"/>
    <w:unhideWhenUsed/>
    <w:rsid w:val="003369F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369FC"/>
    <w:rPr>
      <w:rFonts w:ascii="Times New Roman" w:hAnsi="Times New Roman"/>
      <w:noProof/>
      <w:sz w:val="24"/>
    </w:rPr>
  </w:style>
  <w:style w:type="paragraph" w:styleId="ListParagraph">
    <w:name w:val="List Paragraph"/>
    <w:basedOn w:val="Normal"/>
    <w:uiPriority w:val="34"/>
    <w:qFormat/>
    <w:rsid w:val="00355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756454">
      <w:bodyDiv w:val="1"/>
      <w:marLeft w:val="0"/>
      <w:marRight w:val="0"/>
      <w:marTop w:val="0"/>
      <w:marBottom w:val="0"/>
      <w:divBdr>
        <w:top w:val="none" w:sz="0" w:space="0" w:color="auto"/>
        <w:left w:val="none" w:sz="0" w:space="0" w:color="auto"/>
        <w:bottom w:val="none" w:sz="0" w:space="0" w:color="auto"/>
        <w:right w:val="none" w:sz="0" w:space="0" w:color="auto"/>
      </w:divBdr>
    </w:div>
    <w:div w:id="445732674">
      <w:bodyDiv w:val="1"/>
      <w:marLeft w:val="0"/>
      <w:marRight w:val="0"/>
      <w:marTop w:val="0"/>
      <w:marBottom w:val="0"/>
      <w:divBdr>
        <w:top w:val="none" w:sz="0" w:space="0" w:color="auto"/>
        <w:left w:val="none" w:sz="0" w:space="0" w:color="auto"/>
        <w:bottom w:val="none" w:sz="0" w:space="0" w:color="auto"/>
        <w:right w:val="none" w:sz="0" w:space="0" w:color="auto"/>
      </w:divBdr>
      <w:divsChild>
        <w:div w:id="1705249143">
          <w:marLeft w:val="0"/>
          <w:marRight w:val="0"/>
          <w:marTop w:val="0"/>
          <w:marBottom w:val="0"/>
          <w:divBdr>
            <w:top w:val="none" w:sz="0" w:space="0" w:color="auto"/>
            <w:left w:val="none" w:sz="0" w:space="0" w:color="auto"/>
            <w:bottom w:val="none" w:sz="0" w:space="0" w:color="auto"/>
            <w:right w:val="none" w:sz="0" w:space="0" w:color="auto"/>
          </w:divBdr>
        </w:div>
      </w:divsChild>
    </w:div>
    <w:div w:id="639268253">
      <w:bodyDiv w:val="1"/>
      <w:marLeft w:val="0"/>
      <w:marRight w:val="0"/>
      <w:marTop w:val="0"/>
      <w:marBottom w:val="0"/>
      <w:divBdr>
        <w:top w:val="none" w:sz="0" w:space="0" w:color="auto"/>
        <w:left w:val="none" w:sz="0" w:space="0" w:color="auto"/>
        <w:bottom w:val="none" w:sz="0" w:space="0" w:color="auto"/>
        <w:right w:val="none" w:sz="0" w:space="0" w:color="auto"/>
      </w:divBdr>
    </w:div>
    <w:div w:id="827867841">
      <w:bodyDiv w:val="1"/>
      <w:marLeft w:val="0"/>
      <w:marRight w:val="0"/>
      <w:marTop w:val="0"/>
      <w:marBottom w:val="0"/>
      <w:divBdr>
        <w:top w:val="none" w:sz="0" w:space="0" w:color="auto"/>
        <w:left w:val="none" w:sz="0" w:space="0" w:color="auto"/>
        <w:bottom w:val="none" w:sz="0" w:space="0" w:color="auto"/>
        <w:right w:val="none" w:sz="0" w:space="0" w:color="auto"/>
      </w:divBdr>
    </w:div>
    <w:div w:id="1266962747">
      <w:bodyDiv w:val="1"/>
      <w:marLeft w:val="0"/>
      <w:marRight w:val="0"/>
      <w:marTop w:val="0"/>
      <w:marBottom w:val="0"/>
      <w:divBdr>
        <w:top w:val="none" w:sz="0" w:space="0" w:color="auto"/>
        <w:left w:val="none" w:sz="0" w:space="0" w:color="auto"/>
        <w:bottom w:val="none" w:sz="0" w:space="0" w:color="auto"/>
        <w:right w:val="none" w:sz="0" w:space="0" w:color="auto"/>
      </w:divBdr>
    </w:div>
    <w:div w:id="2146313357">
      <w:bodyDiv w:val="1"/>
      <w:marLeft w:val="0"/>
      <w:marRight w:val="0"/>
      <w:marTop w:val="0"/>
      <w:marBottom w:val="0"/>
      <w:divBdr>
        <w:top w:val="none" w:sz="0" w:space="0" w:color="auto"/>
        <w:left w:val="none" w:sz="0" w:space="0" w:color="auto"/>
        <w:bottom w:val="none" w:sz="0" w:space="0" w:color="auto"/>
        <w:right w:val="none" w:sz="0" w:space="0" w:color="auto"/>
      </w:divBdr>
      <w:divsChild>
        <w:div w:id="207646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283AD-B7C5-44AE-8A35-27C58FE97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4042</Words>
  <Characters>23043</Characters>
  <Application>Microsoft Office Word</Application>
  <DocSecurity>0</DocSecurity>
  <Lines>192</Lines>
  <Paragraphs>54</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1. Introduction</vt:lpstr>
      <vt:lpstr>2. Classification and diagnosis</vt:lpstr>
      <vt:lpstr>    2.1 Explanation of the classification in ICD-11 and key diagnostic criteria</vt:lpstr>
      <vt:lpstr>    2.2 Evaluation on the diagnostic processes that differ internationally and appli</vt:lpstr>
      <vt:lpstr>    2.3 Debates over language "disorder" vs "condition"</vt:lpstr>
      <vt:lpstr>3. Treatment Approaches</vt:lpstr>
      <vt:lpstr>    3.1 Critical assessment on treatment options</vt:lpstr>
      <vt:lpstr>    3.2 Management of the UK healthcare in treatment and accessibility issues</vt:lpstr>
      <vt:lpstr>    3.3 Consideration effectiveness, limitations, and alternative treatments</vt:lpstr>
      <vt:lpstr>4. Rehabilitation &amp; Long-Term Management</vt:lpstr>
      <vt:lpstr>    4.1 Examination rehabilitation strategies in ICD - 11 and implementation in UK h</vt:lpstr>
      <vt:lpstr>    4.2 Discussion on social reintegration challenges and community-based interventi</vt:lpstr>
      <vt:lpstr>5. Current Debates &amp; Emerging Issues</vt:lpstr>
      <vt:lpstr>    5.1 Discussion on major academic and clinical debates on classification and trea</vt:lpstr>
      <vt:lpstr>    5.2 Exploration on the role of neurodivergence in redefining diagnostic framewor</vt:lpstr>
      <vt:lpstr>    5.3 Consideration on the policy changes and their implications</vt:lpstr>
      <vt:lpstr>6. Policy &amp; Legal Framework</vt:lpstr>
      <vt:lpstr>    6.1 Discussion on legal protections and rights of individuals with the chosen di</vt:lpstr>
      <vt:lpstr>    6.2 Examination on the UK policies influence service provision and access to car</vt:lpstr>
      <vt:lpstr>    6.3 Considerations on ethical concerns</vt:lpstr>
      <vt:lpstr>7. UK Data &amp; Statistical Evidence</vt:lpstr>
      <vt:lpstr>    7.1 Data to support arguments regarding prevalence, treatment success and servic</vt:lpstr>
      <vt:lpstr>    7.2 Compare UK data with global trends</vt:lpstr>
      <vt:lpstr>8. Recommendations</vt:lpstr>
      <vt:lpstr>    8.1 Practical improvements in diagnosis, treatment, or policy</vt:lpstr>
      <vt:lpstr>    8.2 Recommendations are evidence-based and applicable to UK practice</vt:lpstr>
      <vt:lpstr>9. Conclusion</vt:lpstr>
      <vt:lpstr>References</vt:lpstr>
    </vt:vector>
  </TitlesOfParts>
  <Company/>
  <LinksUpToDate>false</LinksUpToDate>
  <CharactersWithSpaces>27031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dc:description/>
  <cp:lastModifiedBy>Exauce Malula</cp:lastModifiedBy>
  <cp:revision>8</cp:revision>
  <dcterms:created xsi:type="dcterms:W3CDTF">2025-11-14T10:21:00Z</dcterms:created>
  <dcterms:modified xsi:type="dcterms:W3CDTF">2025-11-16T08:56:00Z</dcterms:modified>
</cp:coreProperties>
</file>