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D20DDF8" w:rsidR="005E6C44" w:rsidRPr="004C3A0B" w:rsidRDefault="006D1691" w:rsidP="003F6F7B">
            <w:pPr>
              <w:rPr>
                <w:rFonts w:ascii="Arial" w:hAnsi="Arial" w:cs="Arial"/>
                <w:sz w:val="22"/>
                <w:szCs w:val="22"/>
              </w:rPr>
            </w:pPr>
            <w:r>
              <w:rPr>
                <w:rFonts w:ascii="Arial" w:hAnsi="Arial" w:cs="Arial"/>
                <w:sz w:val="22"/>
                <w:szCs w:val="22"/>
              </w:rPr>
              <w:t xml:space="preserve">Catalin </w:t>
            </w:r>
            <w:proofErr w:type="spellStart"/>
            <w:r>
              <w:rPr>
                <w:rFonts w:ascii="Arial" w:hAnsi="Arial" w:cs="Arial"/>
                <w:sz w:val="22"/>
                <w:szCs w:val="22"/>
              </w:rPr>
              <w:t>Tudorel</w:t>
            </w:r>
            <w:proofErr w:type="spellEnd"/>
            <w:r>
              <w:rPr>
                <w:rFonts w:ascii="Arial" w:hAnsi="Arial" w:cs="Arial"/>
                <w:sz w:val="22"/>
                <w:szCs w:val="22"/>
              </w:rPr>
              <w:t xml:space="preserve"> Anca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93A1EFC" w:rsidR="005E6C44" w:rsidRPr="004C3A0B" w:rsidRDefault="006D1691" w:rsidP="003F6F7B">
            <w:pPr>
              <w:rPr>
                <w:rFonts w:ascii="Arial" w:hAnsi="Arial" w:cs="Arial"/>
                <w:sz w:val="22"/>
                <w:szCs w:val="22"/>
              </w:rPr>
            </w:pPr>
            <w:r>
              <w:rPr>
                <w:rFonts w:ascii="Arial" w:hAnsi="Arial" w:cs="Arial"/>
                <w:sz w:val="22"/>
                <w:szCs w:val="22"/>
              </w:rPr>
              <w:t>2024817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FBB13D8" w:rsidR="005E6C44" w:rsidRPr="004C3A0B" w:rsidRDefault="006D1691" w:rsidP="003F6F7B">
            <w:pPr>
              <w:rPr>
                <w:rFonts w:ascii="Arial" w:hAnsi="Arial" w:cs="Arial"/>
                <w:sz w:val="22"/>
                <w:szCs w:val="22"/>
              </w:rPr>
            </w:pPr>
            <w:r>
              <w:rPr>
                <w:rFonts w:ascii="Arial" w:hAnsi="Arial" w:cs="Arial"/>
                <w:sz w:val="22"/>
                <w:szCs w:val="22"/>
              </w:rPr>
              <w:t>2024817</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B727FAD" w:rsidR="004C3D85" w:rsidRPr="00EA41C7" w:rsidRDefault="00EA41C7" w:rsidP="00EA41C7">
            <w:pPr>
              <w:spacing w:after="120" w:line="340" w:lineRule="auto"/>
              <w:rPr>
                <w:color w:val="000000" w:themeColor="text1"/>
                <w:sz w:val="22"/>
                <w:szCs w:val="22"/>
              </w:rPr>
            </w:pPr>
            <w:r w:rsidRPr="00EA41C7">
              <w:rPr>
                <w:rFonts w:ascii="Calibri Light" w:eastAsia="Calibri Light" w:hAnsi="Calibri Light" w:cs="Calibri Light"/>
                <w:b/>
                <w:bCs/>
                <w:color w:val="000000" w:themeColor="text1"/>
                <w:sz w:val="22"/>
                <w:szCs w:val="22"/>
              </w:rPr>
              <w:t>An Exploration of the Lived Experiences of People Living with Dementia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B2CC040" w:rsidR="004C3D85" w:rsidRPr="00D839CD" w:rsidRDefault="00EA41C7" w:rsidP="003C07E3">
            <w:pPr>
              <w:rPr>
                <w:rFonts w:ascii="Arial" w:hAnsi="Arial" w:cs="Arial"/>
                <w:sz w:val="22"/>
                <w:szCs w:val="22"/>
              </w:rPr>
            </w:pPr>
            <w:r>
              <w:rPr>
                <w:rFonts w:ascii="Arial" w:hAnsi="Arial" w:cs="Arial"/>
                <w:sz w:val="22"/>
                <w:szCs w:val="22"/>
              </w:rPr>
              <w:t>20</w:t>
            </w:r>
            <w:r w:rsidRPr="00EA41C7">
              <w:rPr>
                <w:rFonts w:ascii="Arial" w:hAnsi="Arial" w:cs="Arial"/>
                <w:sz w:val="22"/>
                <w:szCs w:val="22"/>
                <w:vertAlign w:val="superscript"/>
              </w:rPr>
              <w:t>TH</w:t>
            </w:r>
            <w:r>
              <w:rPr>
                <w:rFonts w:ascii="Arial" w:hAnsi="Arial" w:cs="Arial"/>
                <w:sz w:val="22"/>
                <w:szCs w:val="22"/>
              </w:rPr>
              <w:t xml:space="preserve"> July</w:t>
            </w:r>
            <w:r w:rsidR="00311E91">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14B840B" w:rsidR="004C3D85" w:rsidRPr="004C3A0B" w:rsidRDefault="00EA41C7" w:rsidP="003C07E3">
            <w:pPr>
              <w:rPr>
                <w:rFonts w:ascii="Arial" w:hAnsi="Arial" w:cs="Arial"/>
                <w:sz w:val="22"/>
                <w:szCs w:val="22"/>
              </w:rPr>
            </w:pPr>
            <w:r>
              <w:rPr>
                <w:rFonts w:ascii="Arial" w:hAnsi="Arial" w:cs="Arial"/>
                <w:sz w:val="22"/>
                <w:szCs w:val="22"/>
              </w:rPr>
              <w:t>4</w:t>
            </w:r>
            <w:r w:rsidRPr="00EA41C7">
              <w:rPr>
                <w:rFonts w:ascii="Arial" w:hAnsi="Arial" w:cs="Arial"/>
                <w:sz w:val="22"/>
                <w:szCs w:val="22"/>
                <w:vertAlign w:val="superscript"/>
              </w:rPr>
              <w:t>th</w:t>
            </w:r>
            <w:r>
              <w:rPr>
                <w:rFonts w:ascii="Arial" w:hAnsi="Arial" w:cs="Arial"/>
                <w:sz w:val="22"/>
                <w:szCs w:val="22"/>
              </w:rPr>
              <w:t xml:space="preserve"> December</w:t>
            </w:r>
            <w:r w:rsidR="00311E91">
              <w:rPr>
                <w:rFonts w:ascii="Arial" w:hAnsi="Arial" w:cs="Arial"/>
                <w:sz w:val="22"/>
                <w:szCs w:val="22"/>
              </w:rPr>
              <w:t xml:space="preserve"> 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1E1D8BC" w14:textId="6BB18910" w:rsidR="00EA41C7" w:rsidRPr="00EA41C7" w:rsidRDefault="00EA41C7" w:rsidP="00EA41C7">
            <w:pPr>
              <w:spacing w:after="120" w:line="340" w:lineRule="auto"/>
              <w:rPr>
                <w:color w:val="000000" w:themeColor="text1"/>
                <w:sz w:val="22"/>
                <w:szCs w:val="22"/>
              </w:rPr>
            </w:pPr>
            <w:r>
              <w:rPr>
                <w:rFonts w:ascii="Arial" w:hAnsi="Arial" w:cs="Arial"/>
                <w:sz w:val="24"/>
                <w:szCs w:val="24"/>
              </w:rPr>
              <w:t>To</w:t>
            </w:r>
            <w:r w:rsidR="00311E91" w:rsidRPr="00EA41C7">
              <w:rPr>
                <w:rFonts w:ascii="Arial" w:hAnsi="Arial" w:cs="Arial"/>
                <w:sz w:val="24"/>
                <w:szCs w:val="24"/>
              </w:rPr>
              <w:t xml:space="preserve"> explore the</w:t>
            </w:r>
            <w:r>
              <w:rPr>
                <w:rFonts w:ascii="Arial" w:hAnsi="Arial" w:cs="Arial"/>
                <w:sz w:val="24"/>
                <w:szCs w:val="24"/>
              </w:rPr>
              <w:t xml:space="preserve"> lived experiences of people living</w:t>
            </w:r>
            <w:r w:rsidRPr="00EA41C7">
              <w:rPr>
                <w:rFonts w:ascii="Calibri Light" w:eastAsia="Calibri Light" w:hAnsi="Calibri Light" w:cs="Calibri Light"/>
                <w:b/>
                <w:bCs/>
                <w:color w:val="000000" w:themeColor="text1"/>
                <w:sz w:val="22"/>
                <w:szCs w:val="22"/>
              </w:rPr>
              <w:t xml:space="preserve"> with Dementia in the UK</w:t>
            </w:r>
          </w:p>
          <w:p w14:paraId="2B320BC7" w14:textId="104484CF" w:rsidR="00F96C3F" w:rsidRPr="00EA41C7" w:rsidRDefault="00F96C3F" w:rsidP="00F96C3F">
            <w:pPr>
              <w:rPr>
                <w:rFonts w:ascii="Arial" w:hAnsi="Arial" w:cs="Arial"/>
                <w:color w:val="000000" w:themeColor="text1"/>
                <w:sz w:val="22"/>
                <w:szCs w:val="22"/>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56F5234" w14:textId="39E3FD1A" w:rsidR="00EB532B" w:rsidRPr="00EA41C7" w:rsidRDefault="00311E91" w:rsidP="00EB532B">
            <w:pPr>
              <w:spacing w:after="120" w:line="340" w:lineRule="auto"/>
              <w:rPr>
                <w:color w:val="000000" w:themeColor="text1"/>
                <w:sz w:val="22"/>
                <w:szCs w:val="22"/>
              </w:rPr>
            </w:pPr>
            <w:r w:rsidRPr="00311E91">
              <w:rPr>
                <w:rFonts w:ascii="Arial" w:hAnsi="Arial" w:cs="Arial"/>
              </w:rPr>
              <w:t xml:space="preserve">•What is </w:t>
            </w:r>
            <w:r w:rsidR="00EB532B">
              <w:rPr>
                <w:rFonts w:ascii="Arial" w:hAnsi="Arial" w:cs="Arial"/>
              </w:rPr>
              <w:t xml:space="preserve">the </w:t>
            </w:r>
            <w:r w:rsidR="00EA41C7">
              <w:rPr>
                <w:rFonts w:ascii="Arial" w:hAnsi="Arial" w:cs="Arial"/>
              </w:rPr>
              <w:t xml:space="preserve">impact of </w:t>
            </w:r>
            <w:r w:rsidR="00EB532B">
              <w:rPr>
                <w:rFonts w:ascii="Arial" w:hAnsi="Arial" w:cs="Arial"/>
                <w:sz w:val="24"/>
                <w:szCs w:val="24"/>
              </w:rPr>
              <w:t>exploring</w:t>
            </w:r>
            <w:r w:rsidR="00EB532B" w:rsidRPr="00EA41C7">
              <w:rPr>
                <w:rFonts w:ascii="Arial" w:hAnsi="Arial" w:cs="Arial"/>
                <w:sz w:val="24"/>
                <w:szCs w:val="24"/>
              </w:rPr>
              <w:t xml:space="preserve"> the</w:t>
            </w:r>
            <w:r w:rsidR="00EB532B">
              <w:rPr>
                <w:rFonts w:ascii="Arial" w:hAnsi="Arial" w:cs="Arial"/>
                <w:sz w:val="24"/>
                <w:szCs w:val="24"/>
              </w:rPr>
              <w:t xml:space="preserve"> lived experiences of people living</w:t>
            </w:r>
            <w:r w:rsidR="00EB532B" w:rsidRPr="00EA41C7">
              <w:rPr>
                <w:rFonts w:ascii="Calibri Light" w:eastAsia="Calibri Light" w:hAnsi="Calibri Light" w:cs="Calibri Light"/>
                <w:b/>
                <w:bCs/>
                <w:color w:val="000000" w:themeColor="text1"/>
                <w:sz w:val="22"/>
                <w:szCs w:val="22"/>
              </w:rPr>
              <w:t xml:space="preserve"> with Dementia in the UK</w:t>
            </w:r>
          </w:p>
          <w:p w14:paraId="6AB152DB" w14:textId="77777777" w:rsidR="00EB532B" w:rsidRPr="00EA41C7" w:rsidRDefault="00EB532B" w:rsidP="00EB532B">
            <w:pPr>
              <w:rPr>
                <w:rFonts w:ascii="Arial" w:hAnsi="Arial" w:cs="Arial"/>
                <w:color w:val="000000" w:themeColor="text1"/>
                <w:sz w:val="22"/>
                <w:szCs w:val="22"/>
              </w:rPr>
            </w:pPr>
          </w:p>
          <w:p w14:paraId="43E4BFAF" w14:textId="2FC47DB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1B2A65A" w14:textId="77777777" w:rsidR="00EB532B" w:rsidRPr="009D2E0B" w:rsidRDefault="00EB532B" w:rsidP="00F96C3F">
            <w:pPr>
              <w:autoSpaceDE w:val="0"/>
              <w:autoSpaceDN w:val="0"/>
              <w:adjustRightInd w:val="0"/>
              <w:rPr>
                <w:rFonts w:ascii="Arial" w:hAnsi="Arial" w:cs="Arial"/>
                <w:b/>
                <w:bCs/>
                <w:sz w:val="22"/>
                <w:szCs w:val="22"/>
              </w:rPr>
            </w:pPr>
          </w:p>
          <w:p w14:paraId="721E8F0C" w14:textId="77777777" w:rsidR="00EB532B" w:rsidRDefault="00EB532B" w:rsidP="00EB532B">
            <w:pPr>
              <w:spacing w:after="180" w:line="300" w:lineRule="auto"/>
              <w:jc w:val="both"/>
            </w:pPr>
            <w:r>
              <w:t>To explore the lived experiences of people living with dementia in the UK, including impacts on daily life, identity, relationships and access to care.</w:t>
            </w:r>
          </w:p>
          <w:p w14:paraId="574A3C8C" w14:textId="44A2A916"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Pr="004A708B" w:rsidRDefault="004A708B" w:rsidP="004A708B">
            <w:pPr>
              <w:rPr>
                <w:rFonts w:ascii="Arial" w:hAnsi="Arial" w:cs="Arial"/>
                <w:sz w:val="22"/>
                <w:szCs w:val="22"/>
              </w:rPr>
            </w:pPr>
            <w:r w:rsidRPr="004A708B">
              <w:rPr>
                <w:rFonts w:ascii="Arial" w:hAnsi="Arial" w:cs="Arial"/>
                <w:sz w:val="22"/>
                <w:szCs w:val="22"/>
              </w:rPr>
              <w:t>Objectives:</w:t>
            </w:r>
          </w:p>
          <w:p w14:paraId="54A07B97" w14:textId="77777777" w:rsidR="004A708B" w:rsidRPr="004A708B" w:rsidRDefault="004A708B" w:rsidP="004A708B">
            <w:pPr>
              <w:rPr>
                <w:rFonts w:ascii="Arial" w:hAnsi="Arial" w:cs="Arial"/>
                <w:sz w:val="22"/>
                <w:szCs w:val="22"/>
              </w:rPr>
            </w:pPr>
          </w:p>
          <w:p w14:paraId="3125506E" w14:textId="77777777" w:rsidR="00EB532B" w:rsidRDefault="004A708B" w:rsidP="00EB532B">
            <w:pPr>
              <w:pStyle w:val="ListParagraph"/>
              <w:numPr>
                <w:ilvl w:val="0"/>
                <w:numId w:val="28"/>
              </w:numPr>
              <w:spacing w:after="90" w:line="288" w:lineRule="auto"/>
              <w:contextualSpacing w:val="0"/>
            </w:pPr>
            <w:r w:rsidRPr="004A708B">
              <w:rPr>
                <w:rFonts w:ascii="Arial" w:hAnsi="Arial" w:cs="Arial"/>
              </w:rPr>
              <w:t>•</w:t>
            </w:r>
            <w:r w:rsidRPr="004A708B">
              <w:rPr>
                <w:rFonts w:ascii="Arial" w:hAnsi="Arial" w:cs="Arial"/>
              </w:rPr>
              <w:tab/>
            </w:r>
            <w:r w:rsidR="00EB532B">
              <w:t>To discuss the lived experiences of people living with dementia in the UK.</w:t>
            </w:r>
          </w:p>
          <w:p w14:paraId="7F8B5B3B" w14:textId="77777777" w:rsidR="00EB532B" w:rsidRDefault="00EB532B" w:rsidP="00EB532B">
            <w:pPr>
              <w:pStyle w:val="ListParagraph"/>
              <w:numPr>
                <w:ilvl w:val="0"/>
                <w:numId w:val="28"/>
              </w:numPr>
              <w:spacing w:after="90" w:line="288" w:lineRule="auto"/>
              <w:contextualSpacing w:val="0"/>
            </w:pPr>
            <w:r>
              <w:t>To examine barriers to timely diagnosis and appropriate health and social care.</w:t>
            </w:r>
          </w:p>
          <w:p w14:paraId="2037ED62" w14:textId="77777777" w:rsidR="00EB532B" w:rsidRDefault="00EB532B" w:rsidP="00EB532B">
            <w:pPr>
              <w:pStyle w:val="ListParagraph"/>
              <w:numPr>
                <w:ilvl w:val="0"/>
                <w:numId w:val="28"/>
              </w:numPr>
              <w:spacing w:after="90" w:line="288" w:lineRule="auto"/>
              <w:contextualSpacing w:val="0"/>
            </w:pPr>
            <w:r>
              <w:t>To provide recommendations for person-centred, culturally sensitive dementia care in the UK.</w:t>
            </w:r>
          </w:p>
          <w:p w14:paraId="63AA5A72" w14:textId="1C9A8153"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95C8A2F" w14:textId="77777777" w:rsidR="00EB532B" w:rsidRDefault="00EB532B" w:rsidP="00EB532B">
            <w:pPr>
              <w:spacing w:after="180" w:line="300" w:lineRule="auto"/>
              <w:jc w:val="both"/>
            </w:pPr>
            <w:r>
              <w:t>The methodology is secondary research: a systematic literature review of ten peer-reviewed journal articles, analysed thematically.</w:t>
            </w:r>
          </w:p>
          <w:p w14:paraId="0E2DFEAD" w14:textId="77777777" w:rsidR="00EB532B" w:rsidRDefault="00EB532B" w:rsidP="00EB532B">
            <w:pPr>
              <w:spacing w:before="60" w:after="60"/>
            </w:pPr>
            <w:r>
              <w:rPr>
                <w:b/>
                <w:bCs/>
                <w:color w:val="1F4E5F"/>
              </w:rPr>
              <w:t>Databases</w:t>
            </w:r>
          </w:p>
          <w:p w14:paraId="158FDEE9" w14:textId="77777777" w:rsidR="00EB532B" w:rsidRDefault="00EB532B" w:rsidP="00EB532B">
            <w:pPr>
              <w:spacing w:after="160"/>
            </w:pPr>
            <w:r>
              <w:t>ProQuest, PubMed, CINAHL, and Google Scholar.</w:t>
            </w:r>
          </w:p>
          <w:p w14:paraId="4B673CA1" w14:textId="77777777" w:rsidR="00EB532B" w:rsidRDefault="00EB532B" w:rsidP="00EB532B">
            <w:pPr>
              <w:spacing w:before="60" w:after="60"/>
            </w:pPr>
            <w:r>
              <w:rPr>
                <w:b/>
                <w:bCs/>
                <w:color w:val="1F4E5F"/>
              </w:rPr>
              <w:t>Keywords</w:t>
            </w:r>
          </w:p>
          <w:p w14:paraId="528DB7DE" w14:textId="77777777" w:rsidR="00EB532B" w:rsidRDefault="00EB532B" w:rsidP="00EB532B">
            <w:pPr>
              <w:spacing w:after="180" w:line="300" w:lineRule="auto"/>
              <w:jc w:val="both"/>
            </w:pPr>
            <w:r>
              <w:t>‘</w:t>
            </w:r>
            <w:proofErr w:type="gramStart"/>
            <w:r>
              <w:t>lived</w:t>
            </w:r>
            <w:proofErr w:type="gramEnd"/>
            <w:r>
              <w:t xml:space="preserve"> experiences dementia UK’ OR ‘living with dementia UK’ OR ((dementia) AND (United Kingdom))</w:t>
            </w:r>
          </w:p>
          <w:p w14:paraId="21D38F26" w14:textId="77777777" w:rsidR="00EB532B" w:rsidRDefault="00EB532B" w:rsidP="00EB532B">
            <w:pPr>
              <w:spacing w:before="60" w:after="60"/>
            </w:pPr>
            <w:r>
              <w:rPr>
                <w:b/>
                <w:bCs/>
                <w:color w:val="1F4E5F"/>
              </w:rPr>
              <w:t>Inclusion criteria</w:t>
            </w:r>
          </w:p>
          <w:p w14:paraId="4C2773EE" w14:textId="77777777" w:rsidR="00EB532B" w:rsidRDefault="00EB532B" w:rsidP="00EB532B">
            <w:pPr>
              <w:pStyle w:val="ListParagraph"/>
              <w:numPr>
                <w:ilvl w:val="0"/>
                <w:numId w:val="28"/>
              </w:numPr>
              <w:spacing w:after="90" w:line="288" w:lineRule="auto"/>
              <w:contextualSpacing w:val="0"/>
            </w:pPr>
            <w:r>
              <w:t>Peer-reviewed studies only</w:t>
            </w:r>
          </w:p>
          <w:p w14:paraId="2097441C" w14:textId="77777777" w:rsidR="00EB532B" w:rsidRDefault="00EB532B" w:rsidP="00EB532B">
            <w:pPr>
              <w:pStyle w:val="ListParagraph"/>
              <w:numPr>
                <w:ilvl w:val="0"/>
                <w:numId w:val="28"/>
              </w:numPr>
              <w:spacing w:after="90" w:line="288" w:lineRule="auto"/>
              <w:contextualSpacing w:val="0"/>
            </w:pPr>
            <w:r>
              <w:t>Primary qualitative or mixed-methods studies</w:t>
            </w:r>
          </w:p>
          <w:p w14:paraId="661CA70F" w14:textId="77777777" w:rsidR="00EB532B" w:rsidRDefault="00EB532B" w:rsidP="00EB532B">
            <w:pPr>
              <w:pStyle w:val="ListParagraph"/>
              <w:numPr>
                <w:ilvl w:val="0"/>
                <w:numId w:val="28"/>
              </w:numPr>
              <w:spacing w:after="90" w:line="288" w:lineRule="auto"/>
              <w:contextualSpacing w:val="0"/>
            </w:pPr>
            <w:r>
              <w:t>Studies based in the UK</w:t>
            </w:r>
          </w:p>
          <w:p w14:paraId="08D61BC3" w14:textId="77777777" w:rsidR="00EB532B" w:rsidRDefault="00EB532B" w:rsidP="00EB532B">
            <w:pPr>
              <w:pStyle w:val="ListParagraph"/>
              <w:numPr>
                <w:ilvl w:val="0"/>
                <w:numId w:val="28"/>
              </w:numPr>
              <w:spacing w:after="90" w:line="288" w:lineRule="auto"/>
              <w:contextualSpacing w:val="0"/>
            </w:pPr>
            <w:r>
              <w:t>Studies on experiences of people living with dementia</w:t>
            </w:r>
          </w:p>
          <w:p w14:paraId="18F3B6D3" w14:textId="77777777" w:rsidR="00EB532B" w:rsidRDefault="00EB532B" w:rsidP="00EB532B">
            <w:pPr>
              <w:pStyle w:val="ListParagraph"/>
              <w:numPr>
                <w:ilvl w:val="0"/>
                <w:numId w:val="28"/>
              </w:numPr>
              <w:spacing w:after="90" w:line="288" w:lineRule="auto"/>
              <w:contextualSpacing w:val="0"/>
            </w:pPr>
            <w:r>
              <w:t>Studies published between 2016 and 2026</w:t>
            </w:r>
          </w:p>
          <w:p w14:paraId="58B96BDB" w14:textId="77777777" w:rsidR="00EB532B" w:rsidRDefault="00EB532B" w:rsidP="00EB532B">
            <w:pPr>
              <w:spacing w:before="60" w:after="60"/>
            </w:pPr>
            <w:r>
              <w:rPr>
                <w:b/>
                <w:bCs/>
                <w:color w:val="1F4E5F"/>
              </w:rPr>
              <w:lastRenderedPageBreak/>
              <w:t>Exclusion criteria</w:t>
            </w:r>
          </w:p>
          <w:p w14:paraId="5C6B9B08" w14:textId="77777777" w:rsidR="00EB532B" w:rsidRDefault="00EB532B" w:rsidP="00EB532B">
            <w:pPr>
              <w:pStyle w:val="ListParagraph"/>
              <w:numPr>
                <w:ilvl w:val="0"/>
                <w:numId w:val="28"/>
              </w:numPr>
              <w:spacing w:after="90" w:line="288" w:lineRule="auto"/>
              <w:contextualSpacing w:val="0"/>
            </w:pPr>
            <w:r>
              <w:t>Non-peer-reviewed sources</w:t>
            </w:r>
          </w:p>
          <w:p w14:paraId="27276005" w14:textId="77777777" w:rsidR="00EB532B" w:rsidRDefault="00EB532B" w:rsidP="00EB532B">
            <w:pPr>
              <w:pStyle w:val="ListParagraph"/>
              <w:numPr>
                <w:ilvl w:val="0"/>
                <w:numId w:val="28"/>
              </w:numPr>
              <w:spacing w:after="90" w:line="288" w:lineRule="auto"/>
              <w:contextualSpacing w:val="0"/>
            </w:pPr>
            <w:r>
              <w:t>Secondary research studies</w:t>
            </w:r>
          </w:p>
          <w:p w14:paraId="2C9B58B0" w14:textId="77777777" w:rsidR="00EB532B" w:rsidRDefault="00EB532B" w:rsidP="00EB532B">
            <w:pPr>
              <w:pStyle w:val="ListParagraph"/>
              <w:numPr>
                <w:ilvl w:val="0"/>
                <w:numId w:val="28"/>
              </w:numPr>
              <w:spacing w:after="90" w:line="288" w:lineRule="auto"/>
              <w:contextualSpacing w:val="0"/>
            </w:pPr>
            <w:r>
              <w:t>Studies based outside the UK</w:t>
            </w:r>
          </w:p>
          <w:p w14:paraId="5EA62C9B" w14:textId="77777777" w:rsidR="00EB532B" w:rsidRDefault="00EB532B" w:rsidP="00EB532B">
            <w:pPr>
              <w:pStyle w:val="ListParagraph"/>
              <w:numPr>
                <w:ilvl w:val="0"/>
                <w:numId w:val="28"/>
              </w:numPr>
              <w:spacing w:after="90" w:line="288" w:lineRule="auto"/>
              <w:contextualSpacing w:val="0"/>
            </w:pPr>
            <w:r>
              <w:t>Studies not related to dementia</w:t>
            </w:r>
          </w:p>
          <w:p w14:paraId="280A19E4" w14:textId="77777777" w:rsidR="00EB532B" w:rsidRDefault="00EB532B" w:rsidP="00EB532B">
            <w:pPr>
              <w:pStyle w:val="ListParagraph"/>
              <w:numPr>
                <w:ilvl w:val="0"/>
                <w:numId w:val="28"/>
              </w:numPr>
              <w:spacing w:after="90" w:line="288" w:lineRule="auto"/>
              <w:contextualSpacing w:val="0"/>
            </w:pPr>
            <w:r>
              <w:t>Studies published prior to 2016</w:t>
            </w:r>
          </w:p>
          <w:p w14:paraId="5FCB6CFF" w14:textId="77777777" w:rsidR="00EB532B" w:rsidRDefault="00EB532B" w:rsidP="00EB532B">
            <w:pPr>
              <w:rPr>
                <w:rFonts w:ascii="Arial" w:hAnsi="Arial" w:cs="Arial"/>
                <w:color w:val="808080"/>
                <w:sz w:val="18"/>
                <w:szCs w:val="18"/>
              </w:rPr>
            </w:pPr>
          </w:p>
          <w:p w14:paraId="108EF2F7" w14:textId="2CF2203C" w:rsidR="00F96C3F" w:rsidRPr="004C3A0B" w:rsidRDefault="00F96C3F" w:rsidP="00EB532B">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77777777" w:rsidR="00003E64" w:rsidRDefault="00003E64" w:rsidP="003257BD">
            <w:pPr>
              <w:rPr>
                <w:rFonts w:ascii="Arial" w:hAnsi="Arial" w:cs="Arial"/>
                <w:color w:val="00B050"/>
                <w:sz w:val="22"/>
                <w:szCs w:val="22"/>
              </w:rPr>
            </w:pPr>
          </w:p>
          <w:p w14:paraId="20B2D3F5" w14:textId="1B22075D" w:rsidR="00EB532B" w:rsidRPr="004C3A0B" w:rsidRDefault="00EB532B" w:rsidP="003257BD">
            <w:pPr>
              <w:rPr>
                <w:rFonts w:ascii="Arial" w:hAnsi="Arial" w:cs="Arial"/>
                <w:sz w:val="22"/>
                <w:szCs w:val="22"/>
              </w:rPr>
            </w:pPr>
            <w:r>
              <w:rPr>
                <w:rFonts w:ascii="Arial" w:hAnsi="Arial" w:cs="Arial"/>
                <w:sz w:val="22"/>
                <w:szCs w:val="22"/>
              </w:rPr>
              <w:t xml:space="preserve">Emotional distress </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2C3868D" w14:textId="34FE1185" w:rsidR="00104DC6" w:rsidRPr="00104DC6" w:rsidRDefault="00104DC6" w:rsidP="00104DC6">
            <w:pPr>
              <w:rPr>
                <w:rFonts w:ascii="Arial" w:hAnsi="Arial" w:cs="Arial"/>
                <w:sz w:val="22"/>
                <w:szCs w:val="22"/>
              </w:rPr>
            </w:pPr>
            <w:r>
              <w:rPr>
                <w:rFonts w:ascii="Arial" w:hAnsi="Arial" w:cs="Arial"/>
                <w:sz w:val="22"/>
                <w:szCs w:val="22"/>
              </w:rPr>
              <w:t>Talking</w:t>
            </w:r>
            <w:r w:rsidRPr="00104DC6">
              <w:rPr>
                <w:rFonts w:ascii="Arial" w:hAnsi="Arial" w:cs="Arial"/>
                <w:sz w:val="22"/>
                <w:szCs w:val="22"/>
              </w:rPr>
              <w:t xml:space="preserve"> with my </w:t>
            </w:r>
            <w:r>
              <w:rPr>
                <w:rFonts w:ascii="Arial" w:hAnsi="Arial" w:cs="Arial"/>
                <w:sz w:val="22"/>
                <w:szCs w:val="22"/>
              </w:rPr>
              <w:t>lecturer</w:t>
            </w:r>
            <w:r w:rsidRPr="00104DC6">
              <w:rPr>
                <w:rFonts w:ascii="Arial" w:hAnsi="Arial" w:cs="Arial"/>
                <w:sz w:val="22"/>
                <w:szCs w:val="22"/>
              </w:rPr>
              <w:t xml:space="preserve"> and will use the </w:t>
            </w:r>
          </w:p>
          <w:p w14:paraId="4B70FB1C" w14:textId="05BB1F98" w:rsidR="00003E64" w:rsidRDefault="00104DC6" w:rsidP="00104DC6">
            <w:pPr>
              <w:rPr>
                <w:rFonts w:ascii="Arial" w:hAnsi="Arial" w:cs="Arial"/>
                <w:sz w:val="22"/>
                <w:szCs w:val="22"/>
              </w:rPr>
            </w:pPr>
            <w:r w:rsidRPr="00104DC6">
              <w:rPr>
                <w:rFonts w:ascii="Arial" w:hAnsi="Arial" w:cs="Arial"/>
                <w:sz w:val="22"/>
                <w:szCs w:val="22"/>
              </w:rPr>
              <w:t>wellbeing service</w:t>
            </w:r>
            <w:r>
              <w:rPr>
                <w:rFonts w:ascii="Arial" w:hAnsi="Arial" w:cs="Arial"/>
                <w:sz w:val="22"/>
                <w:szCs w:val="22"/>
              </w:rPr>
              <w:t xml:space="preserve"> and </w:t>
            </w:r>
            <w:proofErr w:type="gramStart"/>
            <w:r>
              <w:rPr>
                <w:rFonts w:ascii="Arial" w:hAnsi="Arial" w:cs="Arial"/>
                <w:sz w:val="22"/>
                <w:szCs w:val="22"/>
              </w:rPr>
              <w:t xml:space="preserve">support </w:t>
            </w:r>
            <w:r w:rsidRPr="00104DC6">
              <w:rPr>
                <w:rFonts w:ascii="Arial" w:hAnsi="Arial" w:cs="Arial"/>
                <w:sz w:val="22"/>
                <w:szCs w:val="22"/>
              </w:rPr>
              <w:t xml:space="preserve"> at</w:t>
            </w:r>
            <w:proofErr w:type="gramEnd"/>
            <w:r w:rsidRPr="00104DC6">
              <w:rPr>
                <w:rFonts w:ascii="Arial" w:hAnsi="Arial" w:cs="Arial"/>
                <w:sz w:val="22"/>
                <w:szCs w:val="22"/>
              </w:rPr>
              <w:t xml:space="preserve">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57E5884" w:rsidR="003C3C40" w:rsidRPr="004033FC" w:rsidRDefault="00186538" w:rsidP="003C3C40">
            <w:pPr>
              <w:rPr>
                <w:rFonts w:ascii="Arial" w:hAnsi="Arial" w:cs="Arial"/>
                <w:color w:val="00B050"/>
                <w:sz w:val="22"/>
                <w:szCs w:val="22"/>
              </w:rPr>
            </w:pPr>
            <w:r>
              <w:rPr>
                <w:rFonts w:ascii="Arial" w:hAnsi="Arial" w:cs="Arial"/>
                <w:color w:val="00B050"/>
                <w:sz w:val="22"/>
                <w:szCs w:val="22"/>
              </w:rPr>
              <w:t xml:space="preserve">No relevant risks as it is </w:t>
            </w:r>
            <w:proofErr w:type="gramStart"/>
            <w:r>
              <w:rPr>
                <w:rFonts w:ascii="Arial" w:hAnsi="Arial" w:cs="Arial"/>
                <w:color w:val="00B050"/>
                <w:sz w:val="22"/>
                <w:szCs w:val="22"/>
              </w:rPr>
              <w:t>a secondary research</w:t>
            </w:r>
            <w:proofErr w:type="gramEnd"/>
            <w:r w:rsidR="003C3C40">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07904AE" w:rsidR="0094056C" w:rsidRDefault="00EB532B" w:rsidP="00D107AC">
            <w:pPr>
              <w:rPr>
                <w:rFonts w:ascii="Arial" w:hAnsi="Arial" w:cs="Arial"/>
                <w:sz w:val="22"/>
                <w:szCs w:val="22"/>
              </w:rPr>
            </w:pPr>
            <w:r>
              <w:rPr>
                <w:rFonts w:ascii="Arial" w:hAnsi="Arial" w:cs="Arial"/>
                <w:sz w:val="22"/>
                <w:szCs w:val="22"/>
              </w:rPr>
              <w:t>N/A</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0889C9B" w:rsidR="00003E64" w:rsidRDefault="00186538" w:rsidP="003257BD">
            <w:pPr>
              <w:rPr>
                <w:rFonts w:ascii="Arial" w:hAnsi="Arial" w:cs="Arial"/>
                <w:sz w:val="22"/>
                <w:szCs w:val="22"/>
              </w:rPr>
            </w:pPr>
            <w:r>
              <w:rPr>
                <w:rFonts w:ascii="Arial" w:hAnsi="Arial" w:cs="Arial"/>
                <w:sz w:val="22"/>
                <w:szCs w:val="22"/>
              </w:rPr>
              <w:t>Excessive printing</w:t>
            </w:r>
            <w:r w:rsidR="00EB532B">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77777777" w:rsidR="00003E64" w:rsidRDefault="00003E64" w:rsidP="003257BD">
            <w:pPr>
              <w:rPr>
                <w:rFonts w:ascii="Arial" w:hAnsi="Arial" w:cs="Arial"/>
                <w:sz w:val="22"/>
                <w:szCs w:val="22"/>
              </w:rPr>
            </w:pPr>
          </w:p>
          <w:p w14:paraId="1B693177" w14:textId="2E7A6B58" w:rsidR="00003E64"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6E5D4F10" w14:textId="77777777" w:rsidR="00EB532B" w:rsidRPr="004C3A0B" w:rsidRDefault="00EB532B"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A087ED4"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Bianca Sanfilippo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76361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76361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3049FAF" w:rsidR="004D0161" w:rsidRPr="004C3A0B" w:rsidRDefault="00EB532B" w:rsidP="00694EA8">
            <w:pPr>
              <w:spacing w:before="100" w:beforeAutospacing="1" w:after="100" w:afterAutospacing="1"/>
              <w:rPr>
                <w:rFonts w:ascii="Arial" w:hAnsi="Arial" w:cs="Arial"/>
                <w:sz w:val="22"/>
                <w:szCs w:val="22"/>
              </w:rPr>
            </w:pPr>
            <w:r>
              <w:rPr>
                <w:rFonts w:ascii="Arial" w:hAnsi="Arial" w:cs="Arial"/>
                <w:sz w:val="22"/>
                <w:szCs w:val="22"/>
              </w:rPr>
              <w:t xml:space="preserve">Catalin </w:t>
            </w:r>
            <w:proofErr w:type="spellStart"/>
            <w:r>
              <w:rPr>
                <w:rFonts w:ascii="Arial" w:hAnsi="Arial" w:cs="Arial"/>
                <w:sz w:val="22"/>
                <w:szCs w:val="22"/>
              </w:rPr>
              <w:t>Tudorel</w:t>
            </w:r>
            <w:proofErr w:type="spellEnd"/>
            <w:r>
              <w:rPr>
                <w:rFonts w:ascii="Arial" w:hAnsi="Arial" w:cs="Arial"/>
                <w:sz w:val="22"/>
                <w:szCs w:val="22"/>
              </w:rPr>
              <w:t xml:space="preserve"> Anca</w:t>
            </w:r>
          </w:p>
        </w:tc>
        <w:tc>
          <w:tcPr>
            <w:tcW w:w="2139" w:type="dxa"/>
            <w:gridSpan w:val="3"/>
            <w:vAlign w:val="center"/>
          </w:tcPr>
          <w:p w14:paraId="7C2D2CC9" w14:textId="1446A57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EB532B">
              <w:rPr>
                <w:rFonts w:ascii="Arial" w:hAnsi="Arial" w:cs="Arial"/>
                <w:b/>
                <w:bCs/>
                <w:sz w:val="22"/>
                <w:szCs w:val="22"/>
              </w:rPr>
              <w:t>20/07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1A184E59"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EB532B">
              <w:t>20/07/</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0D6BE" w14:textId="77777777" w:rsidR="00763612" w:rsidRDefault="00763612" w:rsidP="00390251">
      <w:r>
        <w:separator/>
      </w:r>
    </w:p>
    <w:p w14:paraId="66AB05EC" w14:textId="77777777" w:rsidR="00763612" w:rsidRDefault="00763612"/>
  </w:endnote>
  <w:endnote w:type="continuationSeparator" w:id="0">
    <w:p w14:paraId="3F528F5B" w14:textId="77777777" w:rsidR="00763612" w:rsidRDefault="00763612" w:rsidP="00390251">
      <w:r>
        <w:continuationSeparator/>
      </w:r>
    </w:p>
    <w:p w14:paraId="5D527A50" w14:textId="77777777" w:rsidR="00763612" w:rsidRDefault="007636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5487E" w14:textId="77777777" w:rsidR="00763612" w:rsidRDefault="00763612" w:rsidP="00390251">
      <w:r>
        <w:separator/>
      </w:r>
    </w:p>
    <w:p w14:paraId="6CCAD3E0" w14:textId="77777777" w:rsidR="00763612" w:rsidRDefault="00763612"/>
  </w:footnote>
  <w:footnote w:type="continuationSeparator" w:id="0">
    <w:p w14:paraId="788C4F1A" w14:textId="77777777" w:rsidR="00763612" w:rsidRDefault="00763612" w:rsidP="00390251">
      <w:r>
        <w:continuationSeparator/>
      </w:r>
    </w:p>
    <w:p w14:paraId="39C38B16" w14:textId="77777777" w:rsidR="00763612" w:rsidRDefault="007636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044F24"/>
    <w:multiLevelType w:val="hybridMultilevel"/>
    <w:tmpl w:val="D66807D0"/>
    <w:lvl w:ilvl="0" w:tplc="FF3E7A0E">
      <w:start w:val="1"/>
      <w:numFmt w:val="bullet"/>
      <w:lvlText w:val="–"/>
      <w:lvlJc w:val="left"/>
      <w:pPr>
        <w:ind w:left="620" w:hanging="300"/>
      </w:pPr>
      <w:rPr>
        <w:color w:val="1F4E5F"/>
      </w:rPr>
    </w:lvl>
    <w:lvl w:ilvl="1" w:tplc="EE060AF8">
      <w:numFmt w:val="decimal"/>
      <w:lvlText w:val=""/>
      <w:lvlJc w:val="left"/>
    </w:lvl>
    <w:lvl w:ilvl="2" w:tplc="14263818">
      <w:numFmt w:val="decimal"/>
      <w:lvlText w:val=""/>
      <w:lvlJc w:val="left"/>
    </w:lvl>
    <w:lvl w:ilvl="3" w:tplc="73A4DA18">
      <w:numFmt w:val="decimal"/>
      <w:lvlText w:val=""/>
      <w:lvlJc w:val="left"/>
    </w:lvl>
    <w:lvl w:ilvl="4" w:tplc="4D7C1766">
      <w:numFmt w:val="decimal"/>
      <w:lvlText w:val=""/>
      <w:lvlJc w:val="left"/>
    </w:lvl>
    <w:lvl w:ilvl="5" w:tplc="2A94D3B4">
      <w:numFmt w:val="decimal"/>
      <w:lvlText w:val=""/>
      <w:lvlJc w:val="left"/>
    </w:lvl>
    <w:lvl w:ilvl="6" w:tplc="616A94C2">
      <w:numFmt w:val="decimal"/>
      <w:lvlText w:val=""/>
      <w:lvlJc w:val="left"/>
    </w:lvl>
    <w:lvl w:ilvl="7" w:tplc="530A410C">
      <w:numFmt w:val="decimal"/>
      <w:lvlText w:val=""/>
      <w:lvlJc w:val="left"/>
    </w:lvl>
    <w:lvl w:ilvl="8" w:tplc="D76ABF8E">
      <w:numFmt w:val="decimal"/>
      <w:lvlText w:val=""/>
      <w:lvlJc w:val="left"/>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224218546">
    <w:abstractNumId w:val="1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1691"/>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612"/>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5871"/>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41C7"/>
    <w:rsid w:val="00EA5DE3"/>
    <w:rsid w:val="00EB532B"/>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3130</Words>
  <Characters>17846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20935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Catalin Anca</cp:lastModifiedBy>
  <cp:revision>2</cp:revision>
  <cp:lastPrinted>2016-10-24T12:21:00Z</cp:lastPrinted>
  <dcterms:created xsi:type="dcterms:W3CDTF">2026-07-21T15:29:00Z</dcterms:created>
  <dcterms:modified xsi:type="dcterms:W3CDTF">2026-07-21T15:29:00Z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acd5a788-2f01-43a1-9f57-3f1ac5ff4b01</vt:lpwstr>
  </property>
</Properties>
</file>