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drawings/drawing1.xml" ContentType="application/vnd.openxmlformats-officedocument.drawingml.chartshapes+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073E" w:rsidRDefault="002834EB" w:rsidP="002834EB">
      <w:pPr>
        <w:jc w:val="center"/>
        <w:rPr>
          <w:b/>
        </w:rPr>
      </w:pPr>
      <w:r>
        <w:rPr>
          <w:b/>
        </w:rPr>
        <w:t>Assessment 1 – Ratio analysis of Barclays PLC</w:t>
      </w:r>
    </w:p>
    <w:p w:rsidR="002834EB" w:rsidRDefault="002834EB" w:rsidP="002834EB">
      <w:pPr>
        <w:jc w:val="center"/>
        <w:rPr>
          <w:b/>
        </w:rPr>
      </w:pPr>
      <w:r>
        <w:rPr>
          <w:b/>
        </w:rPr>
        <w:t>Michael Gale – 1705934</w:t>
      </w:r>
    </w:p>
    <w:p w:rsidR="002834EB" w:rsidRDefault="002834EB" w:rsidP="002834EB">
      <w:pPr>
        <w:rPr>
          <w:b/>
        </w:rPr>
      </w:pPr>
      <w:r>
        <w:rPr>
          <w:b/>
        </w:rPr>
        <w:t>Introduction</w:t>
      </w:r>
    </w:p>
    <w:p w:rsidR="00827248" w:rsidRPr="002834EB" w:rsidRDefault="002834EB" w:rsidP="00827248">
      <w:r>
        <w:t>The following report will utilise ratios to analyse the financial position of Barclays PLC</w:t>
      </w:r>
      <w:r w:rsidR="00827248">
        <w:t xml:space="preserve">, ratios are a method of presenting financial information in an understandable form and mean that an organisations performance can be easily summarised (McIsaac, 2004). </w:t>
      </w:r>
    </w:p>
    <w:p w:rsidR="00827248" w:rsidRDefault="00827248" w:rsidP="002834EB">
      <w:r>
        <w:t xml:space="preserve">The report will discuss key ratios to summarise performance in profitability, liquidity, gearing, efficiency and investment. Within the analysis of ratios, possible reasons for changes in performance </w:t>
      </w:r>
      <w:r w:rsidR="005B0F82">
        <w:t>are</w:t>
      </w:r>
      <w:r>
        <w:t xml:space="preserve"> discussed with comparisons made to a similar organisation to fully understand the performance of Barclays PLC. Ratio comparison against other companies in the same industry is an essential part of utilising ratios to their full potent</w:t>
      </w:r>
      <w:r w:rsidR="001C3FD7">
        <w:t>ial (Demonstrating Value, 2018) and</w:t>
      </w:r>
      <w:r w:rsidR="00094902">
        <w:t xml:space="preserve"> the</w:t>
      </w:r>
      <w:r w:rsidR="001C3FD7">
        <w:t xml:space="preserve"> survival of any business may depend on it achieving comparable performance to similar organisations (Atrill, 2012).</w:t>
      </w:r>
      <w:r>
        <w:t xml:space="preserve"> </w:t>
      </w:r>
      <w:r w:rsidR="007F76AC">
        <w:t>The report will then discuss the limitations of ratios before making</w:t>
      </w:r>
      <w:r>
        <w:t xml:space="preserve"> recommendations to improve the performance of Barclays PLC. </w:t>
      </w:r>
    </w:p>
    <w:p w:rsidR="002834EB" w:rsidRDefault="00477763" w:rsidP="002834EB">
      <w:pPr>
        <w:rPr>
          <w:b/>
        </w:rPr>
      </w:pPr>
      <w:r>
        <w:rPr>
          <w:b/>
        </w:rPr>
        <w:t>Recommendations at a glance</w:t>
      </w:r>
    </w:p>
    <w:p w:rsidR="00477763" w:rsidRDefault="00477763" w:rsidP="00477763">
      <w:pPr>
        <w:pStyle w:val="ListParagraph"/>
        <w:numPr>
          <w:ilvl w:val="0"/>
          <w:numId w:val="11"/>
        </w:numPr>
      </w:pPr>
      <w:r>
        <w:t xml:space="preserve">Increase net income with a focus on increasing sales </w:t>
      </w:r>
    </w:p>
    <w:p w:rsidR="00477763" w:rsidRDefault="00477763" w:rsidP="00477763">
      <w:pPr>
        <w:pStyle w:val="ListParagraph"/>
        <w:numPr>
          <w:ilvl w:val="0"/>
          <w:numId w:val="11"/>
        </w:numPr>
      </w:pPr>
      <w:r>
        <w:t>Include benchmarks for net profit against competitors in monthly and annual reporting</w:t>
      </w:r>
    </w:p>
    <w:p w:rsidR="00477763" w:rsidRDefault="00477763" w:rsidP="00477763">
      <w:pPr>
        <w:pStyle w:val="ListParagraph"/>
        <w:numPr>
          <w:ilvl w:val="0"/>
          <w:numId w:val="11"/>
        </w:numPr>
      </w:pPr>
      <w:r>
        <w:t xml:space="preserve">Increase current ratio to 1.5 and ensure regular reporting of current ratio occurs </w:t>
      </w:r>
    </w:p>
    <w:p w:rsidR="00477763" w:rsidRDefault="00477763" w:rsidP="00477763">
      <w:pPr>
        <w:pStyle w:val="ListParagraph"/>
        <w:numPr>
          <w:ilvl w:val="0"/>
          <w:numId w:val="11"/>
        </w:numPr>
      </w:pPr>
      <w:r>
        <w:t>Reduce operating expenses</w:t>
      </w:r>
    </w:p>
    <w:p w:rsidR="00477763" w:rsidRPr="00477763" w:rsidRDefault="00477763" w:rsidP="002834EB">
      <w:pPr>
        <w:pStyle w:val="ListParagraph"/>
        <w:numPr>
          <w:ilvl w:val="0"/>
          <w:numId w:val="11"/>
        </w:numPr>
      </w:pPr>
      <w:r>
        <w:t>Increase operating profit</w:t>
      </w:r>
    </w:p>
    <w:p w:rsidR="002834EB" w:rsidRDefault="002834EB" w:rsidP="002834EB">
      <w:pPr>
        <w:rPr>
          <w:b/>
        </w:rPr>
      </w:pPr>
      <w:r>
        <w:rPr>
          <w:b/>
        </w:rPr>
        <w:t>Use of Ratios</w:t>
      </w:r>
    </w:p>
    <w:p w:rsidR="001C3FD7" w:rsidRDefault="001C3FD7" w:rsidP="002834EB">
      <w:r>
        <w:t>As previously mentioned, ratios are a method of presenting financial information in an easily understandable form (McIsaac, 2004)</w:t>
      </w:r>
      <w:r w:rsidR="007915DC">
        <w:t>, they</w:t>
      </w:r>
      <w:r>
        <w:t xml:space="preserve"> utilise financial figures in order to gain significant information about a company (CFI, 2018).</w:t>
      </w:r>
      <w:r w:rsidR="007915DC">
        <w:t xml:space="preserve"> Ratios utilise figures in the financial statements and relate one figure to another giving the means to assess the financial health of a business by providing a quick and relatively simple means of doing so (Atrill, 2012). </w:t>
      </w:r>
    </w:p>
    <w:p w:rsidR="007915DC" w:rsidRDefault="007915DC" w:rsidP="002834EB">
      <w:r>
        <w:t>Ratios can be used for two main purposes:</w:t>
      </w:r>
    </w:p>
    <w:p w:rsidR="007915DC" w:rsidRDefault="007915DC" w:rsidP="00094902">
      <w:pPr>
        <w:pStyle w:val="ListParagraph"/>
        <w:numPr>
          <w:ilvl w:val="0"/>
          <w:numId w:val="1"/>
        </w:numPr>
      </w:pPr>
      <w:r>
        <w:t xml:space="preserve">Track performance </w:t>
      </w:r>
    </w:p>
    <w:p w:rsidR="007915DC" w:rsidRDefault="007915DC" w:rsidP="007915DC">
      <w:pPr>
        <w:pStyle w:val="ListParagraph"/>
      </w:pPr>
      <w:r>
        <w:t xml:space="preserve">Companies can track certain ratios over a period of years or months to spot trends or potential issues with the business. </w:t>
      </w:r>
    </w:p>
    <w:p w:rsidR="007915DC" w:rsidRDefault="007915DC" w:rsidP="007915DC">
      <w:pPr>
        <w:pStyle w:val="ListParagraph"/>
        <w:numPr>
          <w:ilvl w:val="0"/>
          <w:numId w:val="1"/>
        </w:numPr>
      </w:pPr>
      <w:r>
        <w:t>Make comparative judgements (CFI, 2018)</w:t>
      </w:r>
    </w:p>
    <w:p w:rsidR="007915DC" w:rsidRDefault="007915DC" w:rsidP="007915DC">
      <w:pPr>
        <w:pStyle w:val="ListParagraph"/>
      </w:pPr>
      <w:r>
        <w:t xml:space="preserve">Standalone ratios may not be that useful </w:t>
      </w:r>
      <w:r w:rsidR="00204835">
        <w:t xml:space="preserve">to a company so performance must be considered in relation to similar businesses </w:t>
      </w:r>
      <w:r w:rsidR="005B0F82">
        <w:t xml:space="preserve">operating in the same industry </w:t>
      </w:r>
      <w:r w:rsidR="00876A34">
        <w:t xml:space="preserve">(Atrill, 2012). </w:t>
      </w:r>
    </w:p>
    <w:p w:rsidR="003C7F97" w:rsidRDefault="003C7F97" w:rsidP="007915DC">
      <w:pPr>
        <w:pStyle w:val="ListParagraph"/>
      </w:pPr>
    </w:p>
    <w:p w:rsidR="003C7F97" w:rsidRDefault="003C7F97" w:rsidP="003C7F97">
      <w:pPr>
        <w:pStyle w:val="ListParagraph"/>
        <w:ind w:left="0"/>
      </w:pPr>
      <w:r>
        <w:t>There is no standard method of calculating ratios or a generally accepted list of ratios that must be applied (Atrill, 2012), but according to Atrill and McLaney</w:t>
      </w:r>
      <w:r w:rsidR="00982302">
        <w:t>,</w:t>
      </w:r>
      <w:r>
        <w:t xml:space="preserve"> (2017)</w:t>
      </w:r>
      <w:r w:rsidR="00982302">
        <w:t>,</w:t>
      </w:r>
      <w:r>
        <w:t xml:space="preserve"> ratios can be grouped into </w:t>
      </w:r>
      <w:r w:rsidR="00F7277E">
        <w:t>five</w:t>
      </w:r>
      <w:r>
        <w:t xml:space="preserve"> main categories:</w:t>
      </w:r>
    </w:p>
    <w:p w:rsidR="003C7F97" w:rsidRDefault="003C7F97" w:rsidP="003C7F97">
      <w:pPr>
        <w:pStyle w:val="ListParagraph"/>
        <w:ind w:left="0"/>
      </w:pPr>
    </w:p>
    <w:p w:rsidR="003C7F97" w:rsidRDefault="003C7F97" w:rsidP="00EB2783">
      <w:pPr>
        <w:pStyle w:val="ListParagraph"/>
        <w:numPr>
          <w:ilvl w:val="0"/>
          <w:numId w:val="10"/>
        </w:numPr>
      </w:pPr>
      <w:r>
        <w:t xml:space="preserve">Profitability </w:t>
      </w:r>
    </w:p>
    <w:p w:rsidR="003C7F97" w:rsidRDefault="003C7F97" w:rsidP="00EB2783">
      <w:pPr>
        <w:pStyle w:val="ListParagraph"/>
        <w:numPr>
          <w:ilvl w:val="0"/>
          <w:numId w:val="10"/>
        </w:numPr>
      </w:pPr>
      <w:r>
        <w:t>Efficiency</w:t>
      </w:r>
    </w:p>
    <w:p w:rsidR="003C7F97" w:rsidRDefault="003C7F97" w:rsidP="00EB2783">
      <w:pPr>
        <w:pStyle w:val="ListParagraph"/>
        <w:numPr>
          <w:ilvl w:val="0"/>
          <w:numId w:val="10"/>
        </w:numPr>
      </w:pPr>
      <w:r>
        <w:t xml:space="preserve">Liquidity </w:t>
      </w:r>
    </w:p>
    <w:p w:rsidR="003C7F97" w:rsidRDefault="003C7F97" w:rsidP="00EB2783">
      <w:pPr>
        <w:pStyle w:val="ListParagraph"/>
        <w:numPr>
          <w:ilvl w:val="0"/>
          <w:numId w:val="10"/>
        </w:numPr>
      </w:pPr>
      <w:r>
        <w:t xml:space="preserve">Gearing </w:t>
      </w:r>
    </w:p>
    <w:p w:rsidR="003C7F97" w:rsidRDefault="003C7F97" w:rsidP="00EB2783">
      <w:pPr>
        <w:pStyle w:val="ListParagraph"/>
        <w:numPr>
          <w:ilvl w:val="0"/>
          <w:numId w:val="10"/>
        </w:numPr>
      </w:pPr>
      <w:r>
        <w:t xml:space="preserve">Investment </w:t>
      </w:r>
    </w:p>
    <w:p w:rsidR="003C7F97" w:rsidRPr="001C3FD7" w:rsidRDefault="003C7F97" w:rsidP="003C7F97">
      <w:r>
        <w:lastRenderedPageBreak/>
        <w:t xml:space="preserve">In the next </w:t>
      </w:r>
      <w:r w:rsidR="005B0F82">
        <w:t>section,</w:t>
      </w:r>
      <w:r>
        <w:t xml:space="preserve"> ratios</w:t>
      </w:r>
      <w:r w:rsidR="005B0F82">
        <w:t xml:space="preserve"> are calculated in each of the five</w:t>
      </w:r>
      <w:r>
        <w:t xml:space="preserve"> groups with more detail provided on each group. </w:t>
      </w:r>
    </w:p>
    <w:p w:rsidR="002834EB" w:rsidRDefault="002834EB" w:rsidP="002834EB">
      <w:pPr>
        <w:rPr>
          <w:b/>
        </w:rPr>
      </w:pPr>
      <w:r>
        <w:rPr>
          <w:b/>
        </w:rPr>
        <w:t xml:space="preserve">Ratio Analysis </w:t>
      </w:r>
    </w:p>
    <w:p w:rsidR="00982302" w:rsidRPr="00982302" w:rsidRDefault="00982302" w:rsidP="00982302">
      <w:pPr>
        <w:pStyle w:val="ListParagraph"/>
        <w:numPr>
          <w:ilvl w:val="0"/>
          <w:numId w:val="3"/>
        </w:numPr>
        <w:rPr>
          <w:b/>
        </w:rPr>
      </w:pPr>
      <w:r>
        <w:t>Profitability</w:t>
      </w:r>
    </w:p>
    <w:p w:rsidR="001A77FB" w:rsidRDefault="001A77FB" w:rsidP="00982302">
      <w:pPr>
        <w:pStyle w:val="ListParagraph"/>
        <w:ind w:left="0"/>
      </w:pPr>
      <w:r>
        <w:t xml:space="preserve">Ratios linked to profitability measure a company’s ability to generate income relative to balance sheet assets, operating costs, and revenue (CFI, 2018), and provide insights into the degrees of success in creating wealth for their owners (Atrill, 2012). </w:t>
      </w:r>
    </w:p>
    <w:p w:rsidR="001A77FB" w:rsidRDefault="001A77FB" w:rsidP="00982302">
      <w:pPr>
        <w:pStyle w:val="ListParagraph"/>
        <w:ind w:left="0"/>
      </w:pPr>
    </w:p>
    <w:p w:rsidR="00982302" w:rsidRPr="00EC00DE" w:rsidRDefault="005B0F82" w:rsidP="001A77FB">
      <w:pPr>
        <w:pStyle w:val="ListParagraph"/>
        <w:numPr>
          <w:ilvl w:val="0"/>
          <w:numId w:val="4"/>
        </w:numPr>
        <w:rPr>
          <w:b/>
        </w:rPr>
      </w:pPr>
      <w:r>
        <w:t>Net Profit Ratio</w:t>
      </w:r>
    </w:p>
    <w:p w:rsidR="00EC00DE" w:rsidRPr="00F245C1" w:rsidRDefault="00EC00DE" w:rsidP="00EC00DE">
      <w:pPr>
        <w:pStyle w:val="ListParagraph"/>
        <w:ind w:left="0"/>
        <w:rPr>
          <w:b/>
        </w:rPr>
      </w:pPr>
      <w:r>
        <w:t>This ratio shows the net profit for the financial years 2016 and 2017, the net profit ratio represents the profits before interest is taken into account and compares operating profit with sales revenue (Atrill and McLaney, 2017).</w:t>
      </w:r>
    </w:p>
    <w:p w:rsidR="00F245C1" w:rsidRDefault="00F245C1" w:rsidP="00F245C1">
      <w:pPr>
        <w:pStyle w:val="ListParagraph"/>
        <w:ind w:left="780"/>
      </w:pPr>
    </w:p>
    <w:p w:rsidR="001A77FB" w:rsidRDefault="00EC00DE" w:rsidP="001A77FB">
      <w:pPr>
        <w:pStyle w:val="ListParagraph"/>
        <w:ind w:left="78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1571625</wp:posOffset>
                </wp:positionH>
                <wp:positionV relativeFrom="paragraph">
                  <wp:posOffset>581025</wp:posOffset>
                </wp:positionV>
                <wp:extent cx="514350" cy="2190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123.75pt;margin-top:45.75pt;width:40.5pt;height: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" fillcolor="white [3201]" stroked="f" strokeweight=".5pt">
                <v:textbox>
                  <w:txbxContent>
                    <w:p w:rsidR="00350C9B" w:rsidRPr="00EC00DE" w:rsidRDefault="00350C9B">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5C8AD552" wp14:editId="452A7E96">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A77FB" w:rsidRDefault="001A77FB" w:rsidP="001A77FB">
      <w:pPr>
        <w:pStyle w:val="ListParagraph"/>
        <w:ind w:left="0"/>
        <w:rPr>
          <w:b/>
        </w:rPr>
      </w:pPr>
    </w:p>
    <w:p w:rsidR="00982302" w:rsidRDefault="00EC00DE" w:rsidP="00982302">
      <w:r>
        <w:t xml:space="preserve">From viewing </w:t>
      </w:r>
      <w:r w:rsidR="005B0F82">
        <w:t xml:space="preserve">the </w:t>
      </w:r>
      <w:r>
        <w:t xml:space="preserve">net profit in </w:t>
      </w:r>
      <w:r w:rsidR="00F7277E">
        <w:t>isolation,</w:t>
      </w:r>
      <w:r w:rsidR="00094902">
        <w:t xml:space="preserve"> the company</w:t>
      </w:r>
      <w:r>
        <w:t xml:space="preserve"> could be fairly hap</w:t>
      </w:r>
      <w:bookmarkStart w:id="0" w:name="_GoBack"/>
      <w:bookmarkEnd w:id="0"/>
      <w:r>
        <w:t>py that performance has increased from</w:t>
      </w:r>
      <w:r w:rsidR="004E3811">
        <w:t xml:space="preserve"> the</w:t>
      </w:r>
      <w:r>
        <w:t xml:space="preserve"> financial year 2016 by over 1%</w:t>
      </w:r>
      <w:r w:rsidR="004E3811">
        <w:t xml:space="preserve"> in 2017</w:t>
      </w:r>
      <w:r w:rsidR="00DC7EA5">
        <w:t>,</w:t>
      </w:r>
      <w:r>
        <w:t xml:space="preserve"> and therefore is moving in the right direction. When compared to the performance of HSB</w:t>
      </w:r>
      <w:r w:rsidR="004E3811">
        <w:t xml:space="preserve">C (orange dot) Barclays PLC have some way to go to catch up with a key competitor as there is just over a 10% difference in the net profit ratio. </w:t>
      </w:r>
      <w:r w:rsidR="0061572A">
        <w:t>In addition</w:t>
      </w:r>
      <w:r w:rsidR="00DE24DF">
        <w:t>, according to Maverick (2018), the average net profit margin for retail or commercial banks is around 24%</w:t>
      </w:r>
      <w:r w:rsidR="0061572A">
        <w:t xml:space="preserve"> so Barclays PLC is also behind the sector average. </w:t>
      </w:r>
    </w:p>
    <w:p w:rsidR="004E3811" w:rsidRDefault="004E3811" w:rsidP="004E3811">
      <w:pPr>
        <w:pStyle w:val="ListParagraph"/>
        <w:numPr>
          <w:ilvl w:val="0"/>
          <w:numId w:val="4"/>
        </w:numPr>
        <w:rPr>
          <w:b/>
        </w:rPr>
      </w:pPr>
      <w:r>
        <w:t>Gross Profit Ratio</w:t>
      </w:r>
    </w:p>
    <w:p w:rsidR="004E3811" w:rsidRDefault="004E3811" w:rsidP="004E3811">
      <w:pPr>
        <w:pStyle w:val="ListParagraph"/>
        <w:ind w:left="0"/>
      </w:pPr>
      <w:r>
        <w:t xml:space="preserve">This ratio is a measure of the profitability of Barclays PLC as it represents the difference between cost of sales and sales revenue and relates gross profit to the sales revenue of the business (Atrill, 2012). </w:t>
      </w:r>
    </w:p>
    <w:p w:rsidR="004E3811" w:rsidRDefault="004E3811" w:rsidP="004E3811">
      <w:pPr>
        <w:pStyle w:val="ListParagraph"/>
        <w:ind w:left="0"/>
      </w:pPr>
    </w:p>
    <w:p w:rsidR="004E3811" w:rsidRDefault="008F2537" w:rsidP="004E3811">
      <w:pPr>
        <w:pStyle w:val="ListParagraph"/>
        <w:ind w:left="0"/>
      </w:pPr>
      <w:r>
        <w:rPr>
          <w:noProof/>
          <w:lang w:eastAsia="en-GB"/>
        </w:rPr>
        <w:lastRenderedPageBreak/>
        <mc:AlternateContent>
          <mc:Choice Requires="wps">
            <w:drawing>
              <wp:anchor distT="0" distB="0" distL="114300" distR="114300" simplePos="0" relativeHeight="251661312" behindDoc="0" locked="0" layoutInCell="1" allowOverlap="1" wp14:anchorId="3058F930" wp14:editId="605C83DF">
                <wp:simplePos x="0" y="0"/>
                <wp:positionH relativeFrom="column">
                  <wp:posOffset>1247775</wp:posOffset>
                </wp:positionH>
                <wp:positionV relativeFrom="paragraph">
                  <wp:posOffset>1685290</wp:posOffset>
                </wp:positionV>
                <wp:extent cx="514350" cy="21907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8F2537">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8F930" id="Text Box 7" o:spid="_x0000_s1027" type="#_x0000_t202" style="position:absolute;margin-left:98.25pt;margin-top:132.7pt;width:40.5pt;height:1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" fillcolor="white [3201]" stroked="f" strokeweight=".5pt">
                <v:textbox>
                  <w:txbxContent>
                    <w:p w:rsidR="00350C9B" w:rsidRPr="00EC00DE" w:rsidRDefault="00350C9B" w:rsidP="008F2537">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6CFCBA1B" wp14:editId="62263488">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F2537" w:rsidRDefault="008F2537" w:rsidP="004E3811">
      <w:pPr>
        <w:pStyle w:val="ListParagraph"/>
        <w:ind w:left="0"/>
      </w:pPr>
    </w:p>
    <w:p w:rsidR="008F2537" w:rsidRDefault="008F2537" w:rsidP="004E3811">
      <w:pPr>
        <w:pStyle w:val="ListParagraph"/>
        <w:ind w:left="0"/>
      </w:pPr>
      <w:r>
        <w:t>A positive result for Barclays PLC as gross profit</w:t>
      </w:r>
      <w:r w:rsidR="002F3026">
        <w:t xml:space="preserve"> has</w:t>
      </w:r>
      <w:r>
        <w:t xml:space="preserve"> </w:t>
      </w:r>
      <w:r w:rsidR="002F3026">
        <w:t xml:space="preserve">remained almost identical to the previous financial year. In </w:t>
      </w:r>
      <w:r w:rsidR="00094902">
        <w:t>general,</w:t>
      </w:r>
      <w:r w:rsidR="002F3026">
        <w:t xml:space="preserve"> the gross profit margin should be stable from year to year (Kenton, 2018) as a change in this margin can have a significant effect on the profitability of a company (Atrill and McLaney, 2017). Barclays PLC is also outperforming HSBC by almost 10% on gross profit, which shows that the company is more efficient, before any other expenses are included, in buying or selling goods (Atrill and McLaney, 2017) than one of its competitors.  </w:t>
      </w:r>
    </w:p>
    <w:p w:rsidR="0061572A" w:rsidRDefault="0061572A" w:rsidP="004E3811">
      <w:pPr>
        <w:pStyle w:val="ListParagraph"/>
        <w:ind w:left="0"/>
      </w:pPr>
    </w:p>
    <w:p w:rsidR="0061572A" w:rsidRDefault="0061572A" w:rsidP="0061572A">
      <w:pPr>
        <w:pStyle w:val="ListParagraph"/>
        <w:numPr>
          <w:ilvl w:val="0"/>
          <w:numId w:val="4"/>
        </w:numPr>
      </w:pPr>
      <w:r>
        <w:t xml:space="preserve">Return on capital employed </w:t>
      </w:r>
      <w:r w:rsidR="00094902">
        <w:t>(ROCE)</w:t>
      </w:r>
    </w:p>
    <w:p w:rsidR="0061572A" w:rsidRDefault="0061572A" w:rsidP="0061572A">
      <w:pPr>
        <w:pStyle w:val="ListParagraph"/>
        <w:ind w:left="0"/>
      </w:pPr>
      <w:r>
        <w:t xml:space="preserve">This ratio </w:t>
      </w:r>
      <w:r w:rsidR="00094902">
        <w:t xml:space="preserve">shows investors how much money in profits each pound of capital employed generates, ROCE is a long-term profitability measure </w:t>
      </w:r>
      <w:r w:rsidR="00292608">
        <w:t>that shows how efficiently a company can generate profits from its capital employed (My Accounting Course, 2018).</w:t>
      </w:r>
      <w:r w:rsidR="00094902">
        <w:t xml:space="preserve"> </w:t>
      </w:r>
      <w:r w:rsidR="00292608">
        <w:t>ROCE is a fundamental measure to show business performance and can be used to establish targets for profitability (Atrill, 2012).</w:t>
      </w:r>
    </w:p>
    <w:p w:rsidR="00292608" w:rsidRDefault="00292608" w:rsidP="0061572A">
      <w:pPr>
        <w:pStyle w:val="ListParagraph"/>
        <w:ind w:left="0"/>
      </w:pPr>
    </w:p>
    <w:p w:rsidR="00292608" w:rsidRDefault="00292608" w:rsidP="0061572A">
      <w:pPr>
        <w:pStyle w:val="ListParagraph"/>
        <w:ind w:left="0"/>
      </w:pPr>
      <w:r>
        <w:rPr>
          <w:noProof/>
          <w:lang w:eastAsia="en-GB"/>
        </w:rPr>
        <mc:AlternateContent>
          <mc:Choice Requires="wps">
            <w:drawing>
              <wp:anchor distT="0" distB="0" distL="114300" distR="114300" simplePos="0" relativeHeight="251663360" behindDoc="0" locked="0" layoutInCell="1" allowOverlap="1" wp14:anchorId="4DCF33E3" wp14:editId="21066B73">
                <wp:simplePos x="0" y="0"/>
                <wp:positionH relativeFrom="column">
                  <wp:posOffset>1104900</wp:posOffset>
                </wp:positionH>
                <wp:positionV relativeFrom="paragraph">
                  <wp:posOffset>614045</wp:posOffset>
                </wp:positionV>
                <wp:extent cx="514350" cy="2190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292608">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F33E3" id="Text Box 9" o:spid="_x0000_s1028" type="#_x0000_t202" style="position:absolute;margin-left:87pt;margin-top:48.35pt;width:40.5pt;height:1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" fillcolor="white [3201]" stroked="f" strokeweight=".5pt">
                <v:textbox>
                  <w:txbxContent>
                    <w:p w:rsidR="00350C9B" w:rsidRPr="00EC00DE" w:rsidRDefault="00350C9B" w:rsidP="00292608">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17F330C4" wp14:editId="611D17A4">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F2537" w:rsidRDefault="008F2537" w:rsidP="004E3811">
      <w:pPr>
        <w:pStyle w:val="ListParagraph"/>
        <w:ind w:left="0"/>
      </w:pPr>
    </w:p>
    <w:p w:rsidR="00292608" w:rsidRDefault="00292608" w:rsidP="004E3811">
      <w:pPr>
        <w:pStyle w:val="ListParagraph"/>
        <w:ind w:left="0"/>
      </w:pPr>
      <w:r>
        <w:t>Similarly, to previous results Barclays PLC is moving in the right direction with a slight increase from 2016 to 2017</w:t>
      </w:r>
      <w:r w:rsidR="009A1BFD">
        <w:t xml:space="preserve"> for ROCE. When compared to HSBC the company is </w:t>
      </w:r>
      <w:r w:rsidR="009A1BFD">
        <w:lastRenderedPageBreak/>
        <w:t>underperforming as HSBC’s ROCE is over 3% higher for 2017. When looking into more detail at HSBC’s performance their profit before interest and tax is 21% higher than Barclays PLC so to only be performing around 3% lower than HSBC, in regards to ROCE, is a positive result.</w:t>
      </w:r>
    </w:p>
    <w:p w:rsidR="009A1BFD" w:rsidRDefault="009A1BFD" w:rsidP="004E3811">
      <w:pPr>
        <w:pStyle w:val="ListParagraph"/>
        <w:ind w:left="0"/>
      </w:pPr>
    </w:p>
    <w:p w:rsidR="009A1BFD" w:rsidRDefault="005445A8" w:rsidP="009A1BFD">
      <w:pPr>
        <w:pStyle w:val="ListParagraph"/>
        <w:numPr>
          <w:ilvl w:val="0"/>
          <w:numId w:val="4"/>
        </w:numPr>
      </w:pPr>
      <w:r>
        <w:t>Return on Assets (ROA)</w:t>
      </w:r>
    </w:p>
    <w:p w:rsidR="005445A8" w:rsidRDefault="005445A8" w:rsidP="005445A8">
      <w:pPr>
        <w:pStyle w:val="ListParagraph"/>
        <w:ind w:left="0"/>
      </w:pPr>
      <w:r>
        <w:t xml:space="preserve">This ratio looks at what earnings are generated via invested capital assets and gives an idea of how effective a company is in converting invested money into net </w:t>
      </w:r>
      <w:r w:rsidR="005B0F82">
        <w:t xml:space="preserve">income (Kenton, 2017). It is a </w:t>
      </w:r>
      <w:r>
        <w:t>ratio that shows, during a period, how efficiently a company can manage its assets to produce profits (My Accounting Course, 2019).</w:t>
      </w:r>
    </w:p>
    <w:p w:rsidR="005445A8" w:rsidRDefault="005445A8" w:rsidP="005445A8">
      <w:pPr>
        <w:pStyle w:val="ListParagraph"/>
        <w:ind w:left="0"/>
      </w:pPr>
    </w:p>
    <w:p w:rsidR="005445A8" w:rsidRDefault="00AD5483" w:rsidP="005445A8">
      <w:pPr>
        <w:pStyle w:val="ListParagraph"/>
        <w:ind w:left="0"/>
      </w:pPr>
      <w:r>
        <w:rPr>
          <w:noProof/>
          <w:lang w:eastAsia="en-GB"/>
        </w:rPr>
        <mc:AlternateContent>
          <mc:Choice Requires="wps">
            <w:drawing>
              <wp:anchor distT="0" distB="0" distL="114300" distR="114300" simplePos="0" relativeHeight="251665408" behindDoc="0" locked="0" layoutInCell="1" allowOverlap="1" wp14:anchorId="7A3F851C" wp14:editId="71E28432">
                <wp:simplePos x="0" y="0"/>
                <wp:positionH relativeFrom="column">
                  <wp:posOffset>1114425</wp:posOffset>
                </wp:positionH>
                <wp:positionV relativeFrom="paragraph">
                  <wp:posOffset>726440</wp:posOffset>
                </wp:positionV>
                <wp:extent cx="514350" cy="21907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AD5483">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F851C" id="Text Box 11" o:spid="_x0000_s1029" type="#_x0000_t202" style="position:absolute;margin-left:87.75pt;margin-top:57.2pt;width:40.5pt;height:1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" fillcolor="white [3201]" stroked="f" strokeweight=".5pt">
                <v:textbox>
                  <w:txbxContent>
                    <w:p w:rsidR="00350C9B" w:rsidRPr="00EC00DE" w:rsidRDefault="00350C9B" w:rsidP="00AD5483">
                      <w:pPr>
                        <w:rPr>
                          <w:sz w:val="18"/>
                          <w:szCs w:val="18"/>
                        </w:rPr>
                      </w:pPr>
                      <w:r w:rsidRPr="00EC00DE">
                        <w:rPr>
                          <w:sz w:val="18"/>
                          <w:szCs w:val="18"/>
                        </w:rPr>
                        <w:t>HSBC</w:t>
                      </w:r>
                    </w:p>
                  </w:txbxContent>
                </v:textbox>
              </v:shape>
            </w:pict>
          </mc:Fallback>
        </mc:AlternateContent>
      </w:r>
      <w:r w:rsidR="005445A8">
        <w:rPr>
          <w:noProof/>
          <w:lang w:eastAsia="en-GB"/>
        </w:rPr>
        <w:drawing>
          <wp:inline distT="0" distB="0" distL="0" distR="0" wp14:anchorId="241A708B" wp14:editId="6359BDE3">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D5483" w:rsidRDefault="00AD5483" w:rsidP="005445A8">
      <w:pPr>
        <w:pStyle w:val="ListParagraph"/>
        <w:ind w:left="0"/>
      </w:pPr>
    </w:p>
    <w:p w:rsidR="00AD5483" w:rsidRDefault="00AD5483" w:rsidP="005445A8">
      <w:pPr>
        <w:pStyle w:val="ListParagraph"/>
        <w:ind w:left="0"/>
        <w:rPr>
          <w:b/>
        </w:rPr>
      </w:pPr>
      <w:r>
        <w:t xml:space="preserve">A disappointing result for Barclays PLC as ROA has decreased by 0.04% from 2016 and the company are 0.43% behind HSBC. </w:t>
      </w:r>
      <w:r w:rsidR="00B00B73">
        <w:t xml:space="preserve">The lower the ROA figure indicates the more asset-intensive a company is, Barclays PLC has decreased assets by £80 billion from 2016 but </w:t>
      </w:r>
      <w:r w:rsidR="005B0F82">
        <w:t>the asset total</w:t>
      </w:r>
      <w:r w:rsidR="00B00B73">
        <w:t xml:space="preserve"> is still higher than total assets in 2015. </w:t>
      </w:r>
      <w:r w:rsidR="00483AE6">
        <w:t>T</w:t>
      </w:r>
      <w:r w:rsidR="00B00B73">
        <w:t xml:space="preserve">he decrease in net income of almost 400k </w:t>
      </w:r>
      <w:r w:rsidR="00483AE6">
        <w:t xml:space="preserve">is a key factor in the drop in ROA and this is why it is essential for Barclays PLC to increase net income as highlighted in </w:t>
      </w:r>
      <w:r w:rsidR="00230483" w:rsidRPr="00230483">
        <w:t>recommendation 1.</w:t>
      </w:r>
    </w:p>
    <w:p w:rsidR="00483AE6" w:rsidRDefault="00483AE6" w:rsidP="005445A8">
      <w:pPr>
        <w:pStyle w:val="ListParagraph"/>
        <w:ind w:left="0"/>
        <w:rPr>
          <w:b/>
        </w:rPr>
      </w:pPr>
    </w:p>
    <w:p w:rsidR="00483AE6" w:rsidRPr="00483AE6" w:rsidRDefault="00483AE6" w:rsidP="00483AE6">
      <w:pPr>
        <w:pStyle w:val="ListParagraph"/>
        <w:numPr>
          <w:ilvl w:val="0"/>
          <w:numId w:val="3"/>
        </w:numPr>
        <w:spacing w:after="0"/>
        <w:rPr>
          <w:b/>
        </w:rPr>
      </w:pPr>
      <w:r>
        <w:t xml:space="preserve">Liquidity </w:t>
      </w:r>
    </w:p>
    <w:p w:rsidR="00483AE6" w:rsidRDefault="00483AE6" w:rsidP="00483AE6">
      <w:pPr>
        <w:spacing w:after="0"/>
      </w:pPr>
      <w:r>
        <w:t xml:space="preserve">Ratios linked to liquidity can be utilised for measuring a company’s ability to meet its </w:t>
      </w:r>
      <w:r w:rsidR="005242F5">
        <w:t>short-term</w:t>
      </w:r>
      <w:r>
        <w:t xml:space="preserve"> liabilities (Rashid, 2018), liquidity is essential for the survival of a business (Atrill, 2012) as the ratios are concerned with how the business can meet its short-term financial obligations (Atrill and McLaney, 2017). </w:t>
      </w:r>
    </w:p>
    <w:p w:rsidR="00437A7E" w:rsidRDefault="00437A7E" w:rsidP="00483AE6">
      <w:pPr>
        <w:spacing w:after="0"/>
      </w:pPr>
    </w:p>
    <w:p w:rsidR="00437A7E" w:rsidRDefault="00437A7E" w:rsidP="00437A7E">
      <w:pPr>
        <w:pStyle w:val="ListParagraph"/>
        <w:numPr>
          <w:ilvl w:val="0"/>
          <w:numId w:val="4"/>
        </w:numPr>
        <w:spacing w:after="0"/>
      </w:pPr>
      <w:r>
        <w:t>Current Ratio</w:t>
      </w:r>
    </w:p>
    <w:p w:rsidR="00437A7E" w:rsidRDefault="00437A7E" w:rsidP="00437A7E">
      <w:pPr>
        <w:pStyle w:val="ListParagraph"/>
        <w:spacing w:after="0"/>
        <w:ind w:left="0"/>
      </w:pPr>
      <w:r>
        <w:t>This ratio compares assets defined as liquid (cash and those that will soon be turned into cash) with the current liabilities of the company (Atrill, 2012) and is a simple measure, which estimates if a company can pay short-term debts (tutor2u, 2018).</w:t>
      </w:r>
    </w:p>
    <w:p w:rsidR="005242F5" w:rsidRDefault="005242F5" w:rsidP="00437A7E">
      <w:pPr>
        <w:pStyle w:val="ListParagraph"/>
        <w:spacing w:after="0"/>
        <w:ind w:left="0"/>
      </w:pPr>
    </w:p>
    <w:p w:rsidR="005242F5" w:rsidRDefault="005242F5" w:rsidP="00437A7E">
      <w:pPr>
        <w:pStyle w:val="ListParagraph"/>
        <w:spacing w:after="0"/>
        <w:ind w:left="0"/>
      </w:pPr>
      <w:r>
        <w:rPr>
          <w:noProof/>
          <w:lang w:eastAsia="en-GB"/>
        </w:rPr>
        <w:lastRenderedPageBreak/>
        <w:drawing>
          <wp:inline distT="0" distB="0" distL="0" distR="0" wp14:anchorId="3BED03FD" wp14:editId="4B03079C">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83AE6" w:rsidRPr="00483AE6" w:rsidRDefault="00483AE6" w:rsidP="00483AE6">
      <w:pPr>
        <w:spacing w:after="0"/>
      </w:pPr>
    </w:p>
    <w:p w:rsidR="005242F5" w:rsidRDefault="005242F5" w:rsidP="002834EB">
      <w:r>
        <w:t xml:space="preserve">The ratio has maintained over the last 2 years remaining at 1.06, which is slightly down on the current ratio </w:t>
      </w:r>
      <w:r w:rsidR="006D6C9C">
        <w:t>of HSBC. A current ratio above one</w:t>
      </w:r>
      <w:r>
        <w:t xml:space="preserve"> is </w:t>
      </w:r>
      <w:r w:rsidR="006D6C9C">
        <w:t xml:space="preserve">fairly </w:t>
      </w:r>
      <w:r>
        <w:t>encouraging for Barclays PLC</w:t>
      </w:r>
      <w:r w:rsidR="00964441">
        <w:t>,</w:t>
      </w:r>
      <w:r>
        <w:t xml:space="preserve"> as it indicates the company has enough c</w:t>
      </w:r>
      <w:r w:rsidR="00964441">
        <w:t>ash to be able to pay its debts.</w:t>
      </w:r>
      <w:r w:rsidR="006D6C9C">
        <w:t xml:space="preserve"> </w:t>
      </w:r>
      <w:r w:rsidR="00964441">
        <w:t>I</w:t>
      </w:r>
      <w:r w:rsidR="006D6C9C">
        <w:t>deally</w:t>
      </w:r>
      <w:r w:rsidR="007F76AC">
        <w:t>,</w:t>
      </w:r>
      <w:r w:rsidR="006D6C9C">
        <w:t xml:space="preserve"> a ratio between 1.5 and 2.0 would be better </w:t>
      </w:r>
      <w:r>
        <w:t>(tuto</w:t>
      </w:r>
      <w:r w:rsidR="006D6C9C">
        <w:t>r4u, 2018). Anything less than one</w:t>
      </w:r>
      <w:r>
        <w:t xml:space="preserve"> would be a concern for Barclays </w:t>
      </w:r>
      <w:r w:rsidR="00F7277E">
        <w:t>PLC,</w:t>
      </w:r>
      <w:r>
        <w:t xml:space="preserve"> as it would indicate the business is not well placed to pay its debts (tutor4u, 2018). </w:t>
      </w:r>
    </w:p>
    <w:p w:rsidR="00964441" w:rsidRDefault="00964441" w:rsidP="00964441">
      <w:pPr>
        <w:pStyle w:val="ListParagraph"/>
        <w:numPr>
          <w:ilvl w:val="0"/>
          <w:numId w:val="4"/>
        </w:numPr>
        <w:rPr>
          <w:b/>
        </w:rPr>
      </w:pPr>
      <w:r>
        <w:t>Acid Test</w:t>
      </w:r>
    </w:p>
    <w:p w:rsidR="00964441" w:rsidRPr="00964441" w:rsidRDefault="00964441" w:rsidP="00964441">
      <w:pPr>
        <w:pStyle w:val="ListParagraph"/>
        <w:ind w:left="0"/>
      </w:pPr>
      <w:r>
        <w:t>This ratio is similar to the current ratio but it represents a more stringent test of liquidity (Atrill and McLaney, 2017) and provides a more rigorous assessment of a company’s liquidity (Investing Answers, 2018).</w:t>
      </w:r>
    </w:p>
    <w:p w:rsidR="00964441" w:rsidRPr="003308D6" w:rsidRDefault="00964441" w:rsidP="00964441">
      <w:r>
        <w:rPr>
          <w:noProof/>
          <w:lang w:eastAsia="en-GB"/>
        </w:rPr>
        <mc:AlternateContent>
          <mc:Choice Requires="wps">
            <w:drawing>
              <wp:anchor distT="0" distB="0" distL="114300" distR="114300" simplePos="0" relativeHeight="251667456" behindDoc="0" locked="0" layoutInCell="1" allowOverlap="1" wp14:anchorId="21B54D06" wp14:editId="4358A2FD">
                <wp:simplePos x="0" y="0"/>
                <wp:positionH relativeFrom="column">
                  <wp:posOffset>1152525</wp:posOffset>
                </wp:positionH>
                <wp:positionV relativeFrom="paragraph">
                  <wp:posOffset>880110</wp:posOffset>
                </wp:positionV>
                <wp:extent cx="514350" cy="219075"/>
                <wp:effectExtent l="0" t="0" r="0" b="9525"/>
                <wp:wrapNone/>
                <wp:docPr id="14" name="Text Box 14"/>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964441">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54D06" id="Text Box 14" o:spid="_x0000_s1030" type="#_x0000_t202" style="position:absolute;margin-left:90.75pt;margin-top:69.3pt;width:40.5pt;height:1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" fillcolor="white [3201]" stroked="f" strokeweight=".5pt">
                <v:textbox>
                  <w:txbxContent>
                    <w:p w:rsidR="00350C9B" w:rsidRPr="00EC00DE" w:rsidRDefault="00350C9B" w:rsidP="00964441">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588A156E" wp14:editId="71261F17">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175CE" w:rsidRDefault="00B26240" w:rsidP="008175CE">
      <w:r>
        <w:t>Barclays PLC has increased the acid test ratio by 0.11 from 2016, which is a very positive result and the company also has a higher acid test ratio than HSBC. According to Investing Answers (2018)</w:t>
      </w:r>
      <w:r w:rsidR="008175CE">
        <w:t>,</w:t>
      </w:r>
      <w:r>
        <w:t xml:space="preserve"> </w:t>
      </w:r>
      <w:r w:rsidR="008175CE">
        <w:t xml:space="preserve">an acid test ratio of 1.0 or higher is desirable for most companies but Barclays PLC should not be overly concerned as many highly successful business have a ratio below 1.0 without causing liquidity problems (Atrill, 2012). </w:t>
      </w:r>
    </w:p>
    <w:p w:rsidR="008175CE" w:rsidRDefault="008175CE" w:rsidP="008175CE">
      <w:pPr>
        <w:pStyle w:val="ListParagraph"/>
        <w:numPr>
          <w:ilvl w:val="0"/>
          <w:numId w:val="3"/>
        </w:numPr>
      </w:pPr>
      <w:r>
        <w:t>Efficiency</w:t>
      </w:r>
    </w:p>
    <w:p w:rsidR="008175CE" w:rsidRDefault="008175CE" w:rsidP="008175CE">
      <w:pPr>
        <w:pStyle w:val="ListParagraph"/>
        <w:ind w:left="0"/>
      </w:pPr>
      <w:r>
        <w:lastRenderedPageBreak/>
        <w:t>These ratios measure a company’s ability to manage its liabilities effect</w:t>
      </w:r>
      <w:r w:rsidR="005B0F82">
        <w:t>ively and use its assets (Nickol</w:t>
      </w:r>
      <w:r>
        <w:t xml:space="preserve">as, 2018), </w:t>
      </w:r>
      <w:r w:rsidR="003308D6">
        <w:t>and assess how successfully various resources of the business are managed (Atrill and McLaney, 2017).</w:t>
      </w:r>
    </w:p>
    <w:p w:rsidR="003308D6" w:rsidRDefault="003308D6" w:rsidP="008175CE">
      <w:pPr>
        <w:pStyle w:val="ListParagraph"/>
        <w:ind w:left="0"/>
      </w:pPr>
    </w:p>
    <w:p w:rsidR="003308D6" w:rsidRDefault="003308D6" w:rsidP="008175CE">
      <w:pPr>
        <w:pStyle w:val="ListParagraph"/>
        <w:ind w:left="0"/>
      </w:pPr>
      <w:r>
        <w:rPr>
          <w:noProof/>
          <w:lang w:eastAsia="en-GB"/>
        </w:rPr>
        <mc:AlternateContent>
          <mc:Choice Requires="wps">
            <w:drawing>
              <wp:anchor distT="0" distB="0" distL="114300" distR="114300" simplePos="0" relativeHeight="251669504" behindDoc="0" locked="0" layoutInCell="1" allowOverlap="1" wp14:anchorId="77C4A26A" wp14:editId="4D97A6D5">
                <wp:simplePos x="0" y="0"/>
                <wp:positionH relativeFrom="column">
                  <wp:posOffset>1114425</wp:posOffset>
                </wp:positionH>
                <wp:positionV relativeFrom="paragraph">
                  <wp:posOffset>1139825</wp:posOffset>
                </wp:positionV>
                <wp:extent cx="514350" cy="219075"/>
                <wp:effectExtent l="0" t="0" r="0" b="9525"/>
                <wp:wrapNone/>
                <wp:docPr id="18" name="Text Box 18"/>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3308D6">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4A26A" id="Text Box 18" o:spid="_x0000_s1031" type="#_x0000_t202" style="position:absolute;margin-left:87.75pt;margin-top:89.75pt;width:40.5pt;height:17.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" fillcolor="white [3201]" stroked="f" strokeweight=".5pt">
                <v:textbox>
                  <w:txbxContent>
                    <w:p w:rsidR="00350C9B" w:rsidRPr="00EC00DE" w:rsidRDefault="00350C9B" w:rsidP="003308D6">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650C63C2" wp14:editId="10457163">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308D6" w:rsidRDefault="003308D6" w:rsidP="008175CE">
      <w:pPr>
        <w:pStyle w:val="ListParagraph"/>
        <w:ind w:left="0"/>
      </w:pPr>
    </w:p>
    <w:p w:rsidR="003308D6" w:rsidRDefault="003308D6" w:rsidP="008175CE">
      <w:pPr>
        <w:pStyle w:val="ListParagraph"/>
        <w:ind w:left="0"/>
      </w:pPr>
      <w:r>
        <w:t xml:space="preserve">Barclays PLC has improved performance in this ratio and become more efficient since 2016 by 0.1, this means that for every pound in sales revenue it takes 70p to create the sale, which was at 80p for 2016. HSBC is outperforming Barclays PLC by </w:t>
      </w:r>
      <w:r w:rsidR="0017597D">
        <w:t>15p for every pound so there is still work to do for Barclays PLC.</w:t>
      </w:r>
    </w:p>
    <w:p w:rsidR="0017597D" w:rsidRDefault="0017597D" w:rsidP="008175CE">
      <w:pPr>
        <w:pStyle w:val="ListParagraph"/>
        <w:ind w:left="0"/>
        <w:rPr>
          <w:b/>
        </w:rPr>
      </w:pPr>
    </w:p>
    <w:p w:rsidR="0017597D" w:rsidRPr="0017597D" w:rsidRDefault="0017597D" w:rsidP="0017597D">
      <w:pPr>
        <w:pStyle w:val="ListParagraph"/>
        <w:numPr>
          <w:ilvl w:val="0"/>
          <w:numId w:val="4"/>
        </w:numPr>
        <w:rPr>
          <w:b/>
        </w:rPr>
      </w:pPr>
      <w:r>
        <w:t xml:space="preserve">Total asset turnover </w:t>
      </w:r>
    </w:p>
    <w:p w:rsidR="0017597D" w:rsidRDefault="0017597D" w:rsidP="0017597D">
      <w:pPr>
        <w:pStyle w:val="ListParagraph"/>
        <w:ind w:left="0"/>
      </w:pPr>
      <w:r>
        <w:t>This ratio indicates the efficiency of a company using its assets to generate revenue</w:t>
      </w:r>
      <w:r w:rsidR="00B34C8B">
        <w:t xml:space="preserve"> (Kenton, 2018), </w:t>
      </w:r>
      <w:r w:rsidR="005D03A9">
        <w:t xml:space="preserve">and the higher the total asset turnover ratio is, the better the company is considered as making money </w:t>
      </w:r>
      <w:r w:rsidR="007F76AC">
        <w:t>by using its</w:t>
      </w:r>
      <w:r w:rsidR="005D03A9">
        <w:t xml:space="preserve"> assets (Peavler, 2018).</w:t>
      </w:r>
    </w:p>
    <w:p w:rsidR="005D03A9" w:rsidRDefault="005D03A9" w:rsidP="0017597D">
      <w:pPr>
        <w:pStyle w:val="ListParagraph"/>
        <w:ind w:left="0"/>
      </w:pPr>
    </w:p>
    <w:p w:rsidR="005D03A9" w:rsidRPr="0017597D" w:rsidRDefault="005D03A9" w:rsidP="0017597D">
      <w:pPr>
        <w:pStyle w:val="ListParagraph"/>
        <w:ind w:left="0"/>
      </w:pPr>
      <w:r>
        <w:rPr>
          <w:noProof/>
          <w:lang w:eastAsia="en-GB"/>
        </w:rPr>
        <mc:AlternateContent>
          <mc:Choice Requires="wps">
            <w:drawing>
              <wp:anchor distT="0" distB="0" distL="114300" distR="114300" simplePos="0" relativeHeight="251671552" behindDoc="0" locked="0" layoutInCell="1" allowOverlap="1" wp14:anchorId="6D28736B" wp14:editId="43E0C8F5">
                <wp:simplePos x="0" y="0"/>
                <wp:positionH relativeFrom="column">
                  <wp:posOffset>1200150</wp:posOffset>
                </wp:positionH>
                <wp:positionV relativeFrom="paragraph">
                  <wp:posOffset>629285</wp:posOffset>
                </wp:positionV>
                <wp:extent cx="514350" cy="219075"/>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5D03A9">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8736B" id="Text Box 20" o:spid="_x0000_s1032" type="#_x0000_t202" style="position:absolute;margin-left:94.5pt;margin-top:49.55pt;width:40.5pt;height:1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" fillcolor="white [3201]" stroked="f" strokeweight=".5pt">
                <v:textbox>
                  <w:txbxContent>
                    <w:p w:rsidR="00350C9B" w:rsidRPr="00EC00DE" w:rsidRDefault="00350C9B" w:rsidP="005D03A9">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2F47B01D" wp14:editId="5972B4E2">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C20DA" w:rsidRDefault="005C20DA" w:rsidP="002834EB">
      <w:r>
        <w:t xml:space="preserve">The ratio has pretty much maintained for Barclays PLC from 2016 with the slight drop linked to a drop in sales for the company. The ratio is once again lower than the result for HSBC </w:t>
      </w:r>
      <w:r>
        <w:lastRenderedPageBreak/>
        <w:t>and a higher ratio implies that the company has experie</w:t>
      </w:r>
      <w:r w:rsidR="00EA7C9A">
        <w:t xml:space="preserve">nced more sales (Peavler, 2018), so </w:t>
      </w:r>
      <w:r>
        <w:t>Barclays PLC needs to focus on increasing revenue going forward.</w:t>
      </w:r>
    </w:p>
    <w:p w:rsidR="007F76AC" w:rsidRDefault="007F76AC" w:rsidP="007F76AC">
      <w:pPr>
        <w:pStyle w:val="ListParagraph"/>
        <w:numPr>
          <w:ilvl w:val="0"/>
          <w:numId w:val="3"/>
        </w:numPr>
      </w:pPr>
      <w:r>
        <w:t>Gearing</w:t>
      </w:r>
    </w:p>
    <w:p w:rsidR="007F76AC" w:rsidRDefault="007F76AC" w:rsidP="007F76AC">
      <w:pPr>
        <w:pStyle w:val="ListParagraph"/>
        <w:ind w:left="0"/>
      </w:pPr>
      <w:r>
        <w:t xml:space="preserve">Gearing ratios measure the </w:t>
      </w:r>
      <w:r w:rsidR="00C50DBE">
        <w:t xml:space="preserve">amount of assets invested in a company that are financed by long-term borrowing (tutor2u, 2019), and shows the capital insufficiency or sufficiency of a company (McIsaac, 2004). Gearing is linked to the degree of risk associated with a company as it highlights how much borrowing the business has (Atrill, 2012). </w:t>
      </w:r>
    </w:p>
    <w:p w:rsidR="00D5516F" w:rsidRDefault="00D5516F" w:rsidP="007F76AC">
      <w:pPr>
        <w:pStyle w:val="ListParagraph"/>
        <w:ind w:left="0"/>
      </w:pPr>
    </w:p>
    <w:p w:rsidR="00D5516F" w:rsidRDefault="00D5516F" w:rsidP="00D5516F">
      <w:pPr>
        <w:pStyle w:val="ListParagraph"/>
        <w:numPr>
          <w:ilvl w:val="0"/>
          <w:numId w:val="4"/>
        </w:numPr>
      </w:pPr>
      <w:r>
        <w:t>Gearing Ratio</w:t>
      </w:r>
    </w:p>
    <w:p w:rsidR="00D5516F" w:rsidRDefault="00D5516F" w:rsidP="00D5516F">
      <w:pPr>
        <w:pStyle w:val="ListParagraph"/>
        <w:ind w:left="0"/>
      </w:pPr>
      <w:r>
        <w:t>This measures the impact between long-term lenders to the capital structure (Atrill and McLaney, 2017) of Barclays PLC.</w:t>
      </w:r>
    </w:p>
    <w:p w:rsidR="00D5516F" w:rsidRDefault="00D5516F" w:rsidP="00D5516F">
      <w:pPr>
        <w:pStyle w:val="ListParagraph"/>
        <w:ind w:left="0"/>
      </w:pPr>
    </w:p>
    <w:p w:rsidR="00D5516F" w:rsidRDefault="00B34078" w:rsidP="00D5516F">
      <w:pPr>
        <w:pStyle w:val="ListParagraph"/>
        <w:ind w:left="0"/>
      </w:pPr>
      <w:r>
        <w:rPr>
          <w:noProof/>
          <w:lang w:eastAsia="en-GB"/>
        </w:rPr>
        <mc:AlternateContent>
          <mc:Choice Requires="wps">
            <w:drawing>
              <wp:anchor distT="0" distB="0" distL="114300" distR="114300" simplePos="0" relativeHeight="251673600" behindDoc="0" locked="0" layoutInCell="1" allowOverlap="1" wp14:anchorId="53D6253B" wp14:editId="595F2A5D">
                <wp:simplePos x="0" y="0"/>
                <wp:positionH relativeFrom="column">
                  <wp:posOffset>1066800</wp:posOffset>
                </wp:positionH>
                <wp:positionV relativeFrom="paragraph">
                  <wp:posOffset>595630</wp:posOffset>
                </wp:positionV>
                <wp:extent cx="514350" cy="219075"/>
                <wp:effectExtent l="0" t="0" r="0" b="9525"/>
                <wp:wrapNone/>
                <wp:docPr id="24" name="Text Box 24"/>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B34078">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6253B" id="Text Box 24" o:spid="_x0000_s1033" type="#_x0000_t202" style="position:absolute;margin-left:84pt;margin-top:46.9pt;width:40.5pt;height:17.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" fillcolor="white [3201]" stroked="f" strokeweight=".5pt">
                <v:textbox>
                  <w:txbxContent>
                    <w:p w:rsidR="00350C9B" w:rsidRPr="00EC00DE" w:rsidRDefault="00350C9B" w:rsidP="00B34078">
                      <w:pPr>
                        <w:rPr>
                          <w:sz w:val="18"/>
                          <w:szCs w:val="18"/>
                        </w:rPr>
                      </w:pPr>
                      <w:r w:rsidRPr="00EC00DE">
                        <w:rPr>
                          <w:sz w:val="18"/>
                          <w:szCs w:val="18"/>
                        </w:rPr>
                        <w:t>HSBC</w:t>
                      </w:r>
                    </w:p>
                  </w:txbxContent>
                </v:textbox>
              </v:shape>
            </w:pict>
          </mc:Fallback>
        </mc:AlternateContent>
      </w:r>
      <w:r w:rsidR="00D5516F">
        <w:rPr>
          <w:noProof/>
          <w:lang w:eastAsia="en-GB"/>
        </w:rPr>
        <w:drawing>
          <wp:inline distT="0" distB="0" distL="0" distR="0" wp14:anchorId="2B98EC5B" wp14:editId="17F0DC51">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5516F" w:rsidRDefault="00D5516F" w:rsidP="00D5516F">
      <w:pPr>
        <w:pStyle w:val="ListParagraph"/>
        <w:ind w:left="0"/>
      </w:pPr>
    </w:p>
    <w:p w:rsidR="00D5516F" w:rsidRDefault="005B0F82" w:rsidP="00D5516F">
      <w:pPr>
        <w:pStyle w:val="ListParagraph"/>
        <w:ind w:left="0"/>
      </w:pPr>
      <w:r>
        <w:t xml:space="preserve">A positive result </w:t>
      </w:r>
      <w:r w:rsidR="00D5516F">
        <w:t>as gearing has reduced by over .3% since 2016 and is also almost 2% lower than the result of HSBC. This level of gearing is traditionally described as low gearing (</w:t>
      </w:r>
      <w:r w:rsidR="009F60F4">
        <w:t xml:space="preserve">tutor4u, 2019), which means Barclays PLC is less vulnerable to a downturn in cash flow as a drop in profits wouldn’t affect the interest on repayments and repayments owed. </w:t>
      </w:r>
    </w:p>
    <w:p w:rsidR="009F60F4" w:rsidRDefault="009F60F4" w:rsidP="00D5516F">
      <w:pPr>
        <w:pStyle w:val="ListParagraph"/>
        <w:ind w:left="0"/>
      </w:pPr>
    </w:p>
    <w:p w:rsidR="009F60F4" w:rsidRDefault="009F60F4" w:rsidP="009F60F4">
      <w:pPr>
        <w:pStyle w:val="ListParagraph"/>
        <w:numPr>
          <w:ilvl w:val="0"/>
          <w:numId w:val="4"/>
        </w:numPr>
      </w:pPr>
      <w:r>
        <w:t>Interest Cover Ratio</w:t>
      </w:r>
    </w:p>
    <w:p w:rsidR="009F60F4" w:rsidRDefault="009F60F4" w:rsidP="009F60F4">
      <w:pPr>
        <w:pStyle w:val="ListParagraph"/>
        <w:ind w:left="0"/>
      </w:pPr>
      <w:r>
        <w:t>This ratio looks at the relationship between the amount of operating profit available to cover interest payable.</w:t>
      </w:r>
    </w:p>
    <w:p w:rsidR="009F60F4" w:rsidRDefault="009F60F4" w:rsidP="009F60F4">
      <w:pPr>
        <w:pStyle w:val="ListParagraph"/>
        <w:ind w:left="0"/>
      </w:pPr>
    </w:p>
    <w:p w:rsidR="009F60F4" w:rsidRDefault="00B34078" w:rsidP="009F60F4">
      <w:pPr>
        <w:pStyle w:val="ListParagraph"/>
        <w:ind w:left="0"/>
      </w:pPr>
      <w:r>
        <w:rPr>
          <w:noProof/>
          <w:lang w:eastAsia="en-GB"/>
        </w:rPr>
        <w:lastRenderedPageBreak/>
        <mc:AlternateContent>
          <mc:Choice Requires="wps">
            <w:drawing>
              <wp:anchor distT="0" distB="0" distL="114300" distR="114300" simplePos="0" relativeHeight="251675648" behindDoc="0" locked="0" layoutInCell="1" allowOverlap="1" wp14:anchorId="37CE20B7" wp14:editId="79C9E2B8">
                <wp:simplePos x="0" y="0"/>
                <wp:positionH relativeFrom="column">
                  <wp:posOffset>1095375</wp:posOffset>
                </wp:positionH>
                <wp:positionV relativeFrom="paragraph">
                  <wp:posOffset>621665</wp:posOffset>
                </wp:positionV>
                <wp:extent cx="514350" cy="219075"/>
                <wp:effectExtent l="0" t="0" r="0" b="9525"/>
                <wp:wrapNone/>
                <wp:docPr id="25" name="Text Box 25"/>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B34078">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E20B7" id="Text Box 25" o:spid="_x0000_s1034" type="#_x0000_t202" style="position:absolute;margin-left:86.25pt;margin-top:48.95pt;width:40.5pt;height:17.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" fillcolor="white [3201]" stroked="f" strokeweight=".5pt">
                <v:textbox>
                  <w:txbxContent>
                    <w:p w:rsidR="00350C9B" w:rsidRPr="00EC00DE" w:rsidRDefault="00350C9B" w:rsidP="00B34078">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2D9B6BC9" wp14:editId="3BCB2E2A">
            <wp:extent cx="4572000" cy="27432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34078" w:rsidRDefault="00B34078" w:rsidP="009F60F4">
      <w:pPr>
        <w:pStyle w:val="ListParagraph"/>
        <w:ind w:left="0"/>
      </w:pPr>
    </w:p>
    <w:p w:rsidR="00B34078" w:rsidRDefault="00B34078" w:rsidP="00230483">
      <w:pPr>
        <w:pStyle w:val="ListParagraph"/>
        <w:ind w:left="0"/>
      </w:pPr>
      <w:r>
        <w:t xml:space="preserve">Barclays PLC has improved </w:t>
      </w:r>
      <w:r w:rsidR="00B83C7C">
        <w:t xml:space="preserve">its performance in the interest cover ratio from 2016 and is moving in the right direction. This figure measures how many times Barclays PLC could pay its debts using its earnings and a figure of less than 1.5 would be worrying (Investopedia, 2019). Although there has been improvement in Barclays </w:t>
      </w:r>
      <w:r w:rsidR="00F7277E">
        <w:t>PLC,</w:t>
      </w:r>
      <w:r w:rsidR="00B83C7C">
        <w:t xml:space="preserve"> it is still performing worse than one of its competitors, to improve interest cover ratio the operating pr</w:t>
      </w:r>
      <w:r w:rsidR="00230483">
        <w:t xml:space="preserve">ofit would need to be increased </w:t>
      </w:r>
      <w:r w:rsidR="005B0F82">
        <w:t xml:space="preserve">as </w:t>
      </w:r>
      <w:r w:rsidR="00230483" w:rsidRPr="00230483">
        <w:t>highlighted in recommendation 5.</w:t>
      </w:r>
    </w:p>
    <w:p w:rsidR="00B83C7C" w:rsidRDefault="00B83C7C" w:rsidP="00B83C7C">
      <w:pPr>
        <w:pStyle w:val="ListParagraph"/>
        <w:ind w:left="0"/>
        <w:rPr>
          <w:b/>
        </w:rPr>
      </w:pPr>
    </w:p>
    <w:p w:rsidR="00B83C7C" w:rsidRPr="00B83C7C" w:rsidRDefault="00B83C7C" w:rsidP="00B83C7C">
      <w:pPr>
        <w:pStyle w:val="ListParagraph"/>
        <w:numPr>
          <w:ilvl w:val="0"/>
          <w:numId w:val="3"/>
        </w:numPr>
        <w:rPr>
          <w:b/>
        </w:rPr>
      </w:pPr>
      <w:r>
        <w:t>Investment</w:t>
      </w:r>
    </w:p>
    <w:p w:rsidR="00B83C7C" w:rsidRDefault="00EB2783" w:rsidP="00B83C7C">
      <w:pPr>
        <w:pStyle w:val="ListParagraph"/>
        <w:ind w:left="0"/>
      </w:pPr>
      <w:r>
        <w:t>Ratios within this category are essential for shareholders, who are not involved with the management of the business, as they asses the performance and returns of shares (Atrill, 2012).</w:t>
      </w:r>
    </w:p>
    <w:p w:rsidR="00EB2783" w:rsidRDefault="00EB2783" w:rsidP="00B83C7C">
      <w:pPr>
        <w:pStyle w:val="ListParagraph"/>
        <w:ind w:left="0"/>
      </w:pPr>
    </w:p>
    <w:p w:rsidR="00EB2783" w:rsidRDefault="00EB2783" w:rsidP="00EB2783">
      <w:pPr>
        <w:pStyle w:val="ListParagraph"/>
        <w:numPr>
          <w:ilvl w:val="0"/>
          <w:numId w:val="4"/>
        </w:numPr>
        <w:rPr>
          <w:b/>
        </w:rPr>
      </w:pPr>
      <w:r>
        <w:t>Earnings Per Share (EPS)</w:t>
      </w:r>
    </w:p>
    <w:p w:rsidR="00EB2783" w:rsidRDefault="00EB2783" w:rsidP="00EB2783">
      <w:pPr>
        <w:pStyle w:val="ListParagraph"/>
        <w:ind w:left="0"/>
      </w:pPr>
      <w:r>
        <w:t xml:space="preserve">This ratio relates the earnings of the business to the number of ordinary shares and is regarded as a fundamental measure of share performance (Atrill and McLaney, 2017). For this </w:t>
      </w:r>
      <w:r w:rsidR="005B0F82">
        <w:t>ratio,</w:t>
      </w:r>
      <w:r>
        <w:t xml:space="preserve"> there will not be a comparison to HSBC as according to Atrill, (2012) it is not normally that helpful to compare EPS across </w:t>
      </w:r>
      <w:r w:rsidR="005B0F82">
        <w:t>companies,</w:t>
      </w:r>
      <w:r>
        <w:t xml:space="preserve"> as there may be differences in financing arrangements.</w:t>
      </w:r>
    </w:p>
    <w:p w:rsidR="00EB2783" w:rsidRDefault="00EB2783" w:rsidP="00EB2783">
      <w:pPr>
        <w:pStyle w:val="ListParagraph"/>
        <w:ind w:left="0"/>
      </w:pPr>
    </w:p>
    <w:p w:rsidR="00EB2783" w:rsidRPr="00EB2783" w:rsidRDefault="00350C9B" w:rsidP="00EB2783">
      <w:pPr>
        <w:pStyle w:val="ListParagraph"/>
        <w:ind w:left="0"/>
      </w:pPr>
      <w:r>
        <w:rPr>
          <w:noProof/>
          <w:lang w:eastAsia="en-GB"/>
        </w:rPr>
        <w:lastRenderedPageBreak/>
        <mc:AlternateContent>
          <mc:Choice Requires="wps">
            <w:drawing>
              <wp:anchor distT="0" distB="0" distL="114300" distR="114300" simplePos="0" relativeHeight="251676672" behindDoc="0" locked="0" layoutInCell="1" allowOverlap="1">
                <wp:simplePos x="0" y="0"/>
                <wp:positionH relativeFrom="column">
                  <wp:posOffset>942975</wp:posOffset>
                </wp:positionH>
                <wp:positionV relativeFrom="paragraph">
                  <wp:posOffset>2371725</wp:posOffset>
                </wp:positionV>
                <wp:extent cx="590550" cy="2667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90550" cy="266700"/>
                        </a:xfrm>
                        <a:prstGeom prst="rect">
                          <a:avLst/>
                        </a:prstGeom>
                        <a:solidFill>
                          <a:schemeClr val="lt1"/>
                        </a:solidFill>
                        <a:ln w="6350">
                          <a:noFill/>
                        </a:ln>
                      </wps:spPr>
                      <wps:txbx>
                        <w:txbxContent>
                          <w:p w:rsidR="00350C9B" w:rsidRDefault="00350C9B">
                            <w: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35" type="#_x0000_t202" style="position:absolute;margin-left:74.25pt;margin-top:186.75pt;width:46.5pt;height:2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" fillcolor="white [3201]" stroked="f" strokeweight=".5pt">
                <v:textbox>
                  <w:txbxContent>
                    <w:p w:rsidR="00350C9B" w:rsidRDefault="00350C9B">
                      <w:r>
                        <w:t>2016</w:t>
                      </w:r>
                    </w:p>
                  </w:txbxContent>
                </v:textbox>
              </v:shape>
            </w:pict>
          </mc:Fallback>
        </mc:AlternateContent>
      </w:r>
      <w:r>
        <w:rPr>
          <w:noProof/>
          <w:lang w:eastAsia="en-GB"/>
        </w:rPr>
        <w:drawing>
          <wp:inline distT="0" distB="0" distL="0" distR="0" wp14:anchorId="7A9BE2F3" wp14:editId="467B1D8E">
            <wp:extent cx="4572000" cy="27432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350C9B" w:rsidRDefault="00350C9B" w:rsidP="002834EB">
      <w:r>
        <w:t>From looking at the ratio in isolation, it could easily be reported as a very poor performance due to a drop in EPS of over 17p from 2016 leading to a negative result for shareholders. As Atrill, (2012) discussed the use of ratios is only a starting point for further analysis and by viewing the consolidated income statement the reason for the drop in EPS is down to a decision made to discontinue some operations which decreased profit by over £2 million. This decision was made to benefit shareholders in the future as if income and expenditure remained the same for 2018 EPS wo</w:t>
      </w:r>
      <w:r w:rsidR="001F2E94">
        <w:t>uld be 0.076, which is a move from a</w:t>
      </w:r>
      <w:r w:rsidR="005B0F82">
        <w:t xml:space="preserve"> negative to a positive figure but still requires more improvement. </w:t>
      </w:r>
    </w:p>
    <w:p w:rsidR="001F2E94" w:rsidRDefault="001F2E94" w:rsidP="001F2E94">
      <w:pPr>
        <w:pStyle w:val="ListParagraph"/>
        <w:numPr>
          <w:ilvl w:val="0"/>
          <w:numId w:val="4"/>
        </w:numPr>
      </w:pPr>
      <w:r>
        <w:t>Return on Equity (ROE)</w:t>
      </w:r>
    </w:p>
    <w:p w:rsidR="001F2E94" w:rsidRPr="00350C9B" w:rsidRDefault="001F2E94" w:rsidP="001F2E94">
      <w:pPr>
        <w:pStyle w:val="ListParagraph"/>
        <w:ind w:left="0"/>
      </w:pPr>
      <w:r>
        <w:t>This ratio shows how much profit each pound of stockholders equity generates and is a gauge of how effective the company is at using equity to fund operations and grow the company (My Accounting Course, 2019).</w:t>
      </w:r>
    </w:p>
    <w:p w:rsidR="00350C9B" w:rsidRDefault="001F2E94" w:rsidP="002834EB">
      <w:pPr>
        <w:rPr>
          <w:b/>
        </w:rPr>
      </w:pPr>
      <w:r>
        <w:rPr>
          <w:noProof/>
          <w:lang w:eastAsia="en-GB"/>
        </w:rPr>
        <w:drawing>
          <wp:inline distT="0" distB="0" distL="0" distR="0" wp14:anchorId="6790B163" wp14:editId="432E747D">
            <wp:extent cx="4572000" cy="27432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F2E94" w:rsidRPr="00460F87" w:rsidRDefault="00460F87" w:rsidP="002834EB">
      <w:r>
        <w:t>Barclays PLC has decreased in ROE from 2016 to 2017</w:t>
      </w:r>
      <w:r w:rsidR="005B0F82">
        <w:t xml:space="preserve"> by</w:t>
      </w:r>
      <w:r>
        <w:t xml:space="preserve"> over .5% but is still outperforming HSBC. Improvements in this ratio are linked to recommendation </w:t>
      </w:r>
      <w:r w:rsidR="00230483">
        <w:t>1</w:t>
      </w:r>
      <w:r>
        <w:rPr>
          <w:b/>
        </w:rPr>
        <w:t xml:space="preserve"> </w:t>
      </w:r>
      <w:r>
        <w:t xml:space="preserve">on improving net income as this dropped by almost 300k from 2016. </w:t>
      </w:r>
    </w:p>
    <w:p w:rsidR="00477763" w:rsidRDefault="00477763" w:rsidP="002834EB">
      <w:pPr>
        <w:rPr>
          <w:b/>
        </w:rPr>
      </w:pPr>
    </w:p>
    <w:p w:rsidR="00204835" w:rsidRDefault="00876A34" w:rsidP="002834EB">
      <w:pPr>
        <w:rPr>
          <w:b/>
        </w:rPr>
      </w:pPr>
      <w:r>
        <w:rPr>
          <w:b/>
        </w:rPr>
        <w:lastRenderedPageBreak/>
        <w:t>Challenges with Ratio Analysis</w:t>
      </w:r>
    </w:p>
    <w:p w:rsidR="005C20DA" w:rsidRDefault="005C20DA" w:rsidP="002834EB">
      <w:r>
        <w:t>Although Ratio analysis is widely used to build up a picture of the position and performance of a company</w:t>
      </w:r>
      <w:r w:rsidR="00EA7C9A">
        <w:t xml:space="preserve"> they are only, really, the starting point for further analysis (Atrill, 2012). Ratios </w:t>
      </w:r>
      <w:r w:rsidR="00B71DE5">
        <w:t>help companie</w:t>
      </w:r>
      <w:r w:rsidR="00EA7C9A">
        <w:t>s highlight the strengths and weaknesses of a business as opposed to providing all the answers and they cannot explain why changes have occurred or why strengths and weaknesses exist (Atrill and McLaney, 2017). This means that further investigation and analysis needs to be undertaken alongside ratio analysis to ensure the f</w:t>
      </w:r>
      <w:r w:rsidR="00B71DE5">
        <w:t>ull picture is being viewed.</w:t>
      </w:r>
    </w:p>
    <w:p w:rsidR="00B71DE5" w:rsidRDefault="00B71DE5" w:rsidP="002834EB">
      <w:r>
        <w:t xml:space="preserve">Ratios viewed in isolation are of limited </w:t>
      </w:r>
      <w:r w:rsidR="00C42667">
        <w:t>value,</w:t>
      </w:r>
      <w:r>
        <w:t xml:space="preserve"> as they will not help to identify a trend or weakness, for ratios to have significant impact they must be considered relative to each other and the market place (McIsaac, 2004). This requires comparative analysis against a competitor to identify whether the company is performing worse or better than the market average (CFI, 2018) and also analysis over a per</w:t>
      </w:r>
      <w:r w:rsidR="0085388C">
        <w:t xml:space="preserve">iod of 3 years (McIsaac, 2004) or between periods (Atrill, 2012). </w:t>
      </w:r>
      <w:r w:rsidR="00B01EA9">
        <w:t>C</w:t>
      </w:r>
      <w:r w:rsidR="00460F87">
        <w:t xml:space="preserve">omparing against other companies can also be </w:t>
      </w:r>
      <w:r w:rsidR="00B01EA9">
        <w:t>challenging,</w:t>
      </w:r>
      <w:r w:rsidR="00460F87">
        <w:t xml:space="preserve"> </w:t>
      </w:r>
      <w:r w:rsidR="00B01EA9">
        <w:t xml:space="preserve">as there may be different accounting principles, methods, and classifications in place that affect how comparable two companies are (Faello, 2015). </w:t>
      </w:r>
    </w:p>
    <w:p w:rsidR="0085388C" w:rsidRDefault="0085388C" w:rsidP="002834EB">
      <w:r>
        <w:t>There are further challenges with comparing ratios from different periods though</w:t>
      </w:r>
      <w:r w:rsidR="00C42667">
        <w:t>,</w:t>
      </w:r>
      <w:r>
        <w:t xml:space="preserve"> as trading conditions could be different between periods and operating inefficiencies may not be clearly exposed in financial statements (Atrill, 2012). </w:t>
      </w:r>
    </w:p>
    <w:p w:rsidR="00460F87" w:rsidRDefault="0085388C" w:rsidP="002834EB">
      <w:r>
        <w:t>T</w:t>
      </w:r>
      <w:r w:rsidR="00EA7C9A">
        <w:t>he potential for misstating the numerator or denominator, which all financial ratios consist of</w:t>
      </w:r>
      <w:r w:rsidR="00E8132E">
        <w:t>,</w:t>
      </w:r>
      <w:r w:rsidR="00C42667">
        <w:t xml:space="preserve"> is </w:t>
      </w:r>
      <w:r>
        <w:t xml:space="preserve">another challenge </w:t>
      </w:r>
      <w:r w:rsidR="00E8132E">
        <w:t xml:space="preserve">as this could lead to the </w:t>
      </w:r>
      <w:r w:rsidR="00B71DE5">
        <w:t>financial ratio being an</w:t>
      </w:r>
      <w:r w:rsidR="00E8132E">
        <w:t xml:space="preserve"> error (Faello, 2015).</w:t>
      </w:r>
      <w:r>
        <w:t xml:space="preserve"> </w:t>
      </w:r>
      <w:r w:rsidR="00E8132E">
        <w:t xml:space="preserve"> </w:t>
      </w:r>
      <w:r w:rsidR="00B71DE5">
        <w:t xml:space="preserve">This is particularly prevalent when comparing organisations as different companies could use different methods to record data meaning that the ratio comparison would not be fit for purpose (Faello, 2015). </w:t>
      </w:r>
    </w:p>
    <w:p w:rsidR="00EA7C9A" w:rsidRDefault="0085388C" w:rsidP="002834EB">
      <w:r>
        <w:t xml:space="preserve">Linked to this is the quality of financial statements, all ratios are based on financial statements so ratios could inherit any limitations of the statements (Atrill and McLaney 2017). </w:t>
      </w:r>
      <w:r w:rsidR="00460F87">
        <w:t>Financial statements could also be deliberately misleading as there is evidence some companies have employed certain accounting policies or ordered transactions to occur in a particular way to portray a better picture of financial health (Atrill, 2012). This practice is known as creative accounting and occurs despite accounting rules and independent checks being in place (Atrill and McLaney, 2017).</w:t>
      </w:r>
    </w:p>
    <w:p w:rsidR="00B71DE5" w:rsidRPr="005C20DA" w:rsidRDefault="00B01EA9" w:rsidP="002834EB">
      <w:r>
        <w:t xml:space="preserve">Overall ratios are a useful tool for analysing the performance of a company providing they are not relied on exclusively and one does not lose sight of information contained in the financial statements (Atrill, 2012). Comparison against other, similar, organisations is essential providing care has been taken to understand the accounting methods of the comparative company. Ratios should be used by company’s providing they are used as the starting point for analysis and not as the answers (Atrill, 2012). </w:t>
      </w:r>
    </w:p>
    <w:p w:rsidR="002834EB" w:rsidRDefault="002834EB" w:rsidP="002834EB">
      <w:pPr>
        <w:rPr>
          <w:b/>
        </w:rPr>
      </w:pPr>
      <w:r>
        <w:rPr>
          <w:b/>
        </w:rPr>
        <w:t xml:space="preserve">Recommendations </w:t>
      </w:r>
    </w:p>
    <w:p w:rsidR="00477763" w:rsidRPr="00477763" w:rsidRDefault="00477763" w:rsidP="002834EB">
      <w:r>
        <w:t xml:space="preserve">The following five recommendations are based on the analysis of the ratios in this report and further analysis of the financial statements. Specific references to ratios have been mentioned beneath some recommendations but an improved performance in the areas would lead to improved performance across all ratios. </w:t>
      </w:r>
    </w:p>
    <w:p w:rsidR="00BE1379" w:rsidRDefault="00230483" w:rsidP="00477763">
      <w:pPr>
        <w:pStyle w:val="ListParagraph"/>
        <w:numPr>
          <w:ilvl w:val="0"/>
          <w:numId w:val="12"/>
        </w:numPr>
      </w:pPr>
      <w:r>
        <w:t>Increase net income</w:t>
      </w:r>
      <w:r w:rsidR="00BE1379">
        <w:t xml:space="preserve"> with a focus on increasing sales </w:t>
      </w:r>
    </w:p>
    <w:p w:rsidR="00477763" w:rsidRDefault="00477763" w:rsidP="00477763">
      <w:pPr>
        <w:pStyle w:val="ListParagraph"/>
        <w:numPr>
          <w:ilvl w:val="0"/>
          <w:numId w:val="13"/>
        </w:numPr>
      </w:pPr>
      <w:r>
        <w:t>This would improve net profit ratio, ROCE, ROA, total asset turnover, and ROE</w:t>
      </w:r>
    </w:p>
    <w:p w:rsidR="00BE1379" w:rsidRDefault="00BE1379" w:rsidP="00477763">
      <w:pPr>
        <w:pStyle w:val="ListParagraph"/>
        <w:numPr>
          <w:ilvl w:val="0"/>
          <w:numId w:val="12"/>
        </w:numPr>
      </w:pPr>
      <w:r>
        <w:lastRenderedPageBreak/>
        <w:t>Include benchmarks for net profit against competitors in monthly and annual reporting</w:t>
      </w:r>
    </w:p>
    <w:p w:rsidR="00BE1379" w:rsidRDefault="00230483" w:rsidP="00477763">
      <w:pPr>
        <w:pStyle w:val="ListParagraph"/>
        <w:numPr>
          <w:ilvl w:val="0"/>
          <w:numId w:val="12"/>
        </w:numPr>
      </w:pPr>
      <w:r>
        <w:t xml:space="preserve">Increase current ratio to 1.5 and ensure regular reporting of current ratio occurs </w:t>
      </w:r>
    </w:p>
    <w:p w:rsidR="00230483" w:rsidRDefault="00230483" w:rsidP="00477763">
      <w:pPr>
        <w:pStyle w:val="ListParagraph"/>
        <w:numPr>
          <w:ilvl w:val="0"/>
          <w:numId w:val="12"/>
        </w:numPr>
      </w:pPr>
      <w:r>
        <w:t>Reduce operating expenses (some work has already occurred on this in 2017 so monitoring of operating expense ratio to continue)</w:t>
      </w:r>
    </w:p>
    <w:p w:rsidR="00477763" w:rsidRDefault="00477763" w:rsidP="00477763">
      <w:pPr>
        <w:pStyle w:val="ListParagraph"/>
        <w:numPr>
          <w:ilvl w:val="0"/>
          <w:numId w:val="13"/>
        </w:numPr>
      </w:pPr>
      <w:r>
        <w:t xml:space="preserve">This would improve operating expense ratio, and EPS </w:t>
      </w:r>
    </w:p>
    <w:p w:rsidR="00230483" w:rsidRDefault="00230483" w:rsidP="00477763">
      <w:pPr>
        <w:pStyle w:val="ListParagraph"/>
        <w:numPr>
          <w:ilvl w:val="0"/>
          <w:numId w:val="12"/>
        </w:numPr>
      </w:pPr>
      <w:r>
        <w:t>Increase operating profit (linked to recommendation 4)</w:t>
      </w:r>
    </w:p>
    <w:p w:rsidR="00230483" w:rsidRPr="00BE1379" w:rsidRDefault="00477763" w:rsidP="00230483">
      <w:pPr>
        <w:pStyle w:val="ListParagraph"/>
        <w:numPr>
          <w:ilvl w:val="0"/>
          <w:numId w:val="13"/>
        </w:numPr>
      </w:pPr>
      <w:r>
        <w:t xml:space="preserve">This would improve EPS and overall financial health of the company. </w:t>
      </w:r>
    </w:p>
    <w:p w:rsidR="00245F9E" w:rsidRDefault="00245F9E">
      <w:pPr>
        <w:rPr>
          <w:b/>
        </w:rPr>
      </w:pPr>
      <w:r>
        <w:rPr>
          <w:b/>
        </w:rPr>
        <w:br w:type="page"/>
      </w:r>
    </w:p>
    <w:p w:rsidR="002834EB" w:rsidRDefault="002834EB" w:rsidP="002834EB">
      <w:pPr>
        <w:rPr>
          <w:b/>
        </w:rPr>
      </w:pPr>
      <w:r>
        <w:rPr>
          <w:b/>
        </w:rPr>
        <w:lastRenderedPageBreak/>
        <w:t>Bibliography</w:t>
      </w:r>
    </w:p>
    <w:p w:rsidR="00BE1379" w:rsidRDefault="00BE1379" w:rsidP="001C3FD7">
      <w:r>
        <w:t xml:space="preserve">Atrill, P. (2012). </w:t>
      </w:r>
      <w:r w:rsidRPr="00FE7408">
        <w:rPr>
          <w:i/>
        </w:rPr>
        <w:t>‘Financial Management for decision makers.</w:t>
      </w:r>
      <w:r>
        <w:t xml:space="preserve">’ </w:t>
      </w:r>
      <w:hyperlink r:id="rId19" w:history="1">
        <w:r w:rsidRPr="00ED2D11">
          <w:rPr>
            <w:rStyle w:val="Hyperlink"/>
          </w:rPr>
          <w:t>https://www-dawsonera-com.ezproxy.uwtsd.ac.uk/readonline/9780273759737</w:t>
        </w:r>
      </w:hyperlink>
      <w:r>
        <w:t xml:space="preserve"> [Accessed 28th December 2018]</w:t>
      </w:r>
    </w:p>
    <w:p w:rsidR="00BE1379" w:rsidRDefault="00BE1379" w:rsidP="001C3FD7">
      <w:r>
        <w:t xml:space="preserve">Atrill, P. McLaney, E.J. (2017). </w:t>
      </w:r>
      <w:r w:rsidRPr="003C7F97">
        <w:rPr>
          <w:i/>
        </w:rPr>
        <w:t>‘Accounting and finance for non-specialists.’</w:t>
      </w:r>
      <w:r>
        <w:t xml:space="preserve"> </w:t>
      </w:r>
      <w:hyperlink r:id="rId20" w:history="1">
        <w:r w:rsidRPr="00ED2D11">
          <w:rPr>
            <w:rStyle w:val="Hyperlink"/>
          </w:rPr>
          <w:t>https://www-dawsonera-com.ezproxy.uwtsd.ac.uk/readonline/9781292135618</w:t>
        </w:r>
      </w:hyperlink>
      <w:r>
        <w:t xml:space="preserve"> [Accessed 28th December 2018]</w:t>
      </w:r>
    </w:p>
    <w:p w:rsidR="00BE1379" w:rsidRDefault="00BE1379" w:rsidP="001C3FD7">
      <w:r>
        <w:t xml:space="preserve">CFI. (2018). </w:t>
      </w:r>
      <w:r w:rsidRPr="006A6037">
        <w:rPr>
          <w:i/>
        </w:rPr>
        <w:t xml:space="preserve">‘What are Financial Ratios?’ </w:t>
      </w:r>
      <w:hyperlink r:id="rId21" w:history="1">
        <w:r w:rsidRPr="00ED2D11">
          <w:rPr>
            <w:rStyle w:val="Hyperlink"/>
          </w:rPr>
          <w:t>https://corporatefinanceinstitute.com/resources/knowledge/finance/financial-ratios/</w:t>
        </w:r>
      </w:hyperlink>
      <w:r>
        <w:t xml:space="preserve"> [Accessed 28</w:t>
      </w:r>
      <w:r w:rsidRPr="006A6037">
        <w:rPr>
          <w:vertAlign w:val="superscript"/>
        </w:rPr>
        <w:t>th</w:t>
      </w:r>
      <w:r>
        <w:t xml:space="preserve"> December 2018]</w:t>
      </w:r>
    </w:p>
    <w:p w:rsidR="00BE1379" w:rsidRDefault="00BE1379" w:rsidP="00827248">
      <w:r>
        <w:t xml:space="preserve">Demonstrating Value. (2018). </w:t>
      </w:r>
      <w:r w:rsidRPr="00F63E52">
        <w:rPr>
          <w:i/>
        </w:rPr>
        <w:t xml:space="preserve">‘Financial Ratio Analysis.’ </w:t>
      </w:r>
      <w:hyperlink r:id="rId22" w:history="1">
        <w:r w:rsidRPr="007F22B7">
          <w:rPr>
            <w:rStyle w:val="Hyperlink"/>
          </w:rPr>
          <w:t>https://www.demonstratingvalue.org/resources/financial-ratio-analysis</w:t>
        </w:r>
      </w:hyperlink>
      <w:r>
        <w:t xml:space="preserve"> [Accessed 1st November 2018]</w:t>
      </w:r>
    </w:p>
    <w:p w:rsidR="00BE1379" w:rsidRPr="00964441" w:rsidRDefault="00BE1379" w:rsidP="002834EB">
      <w:r>
        <w:t xml:space="preserve">Dunstan, R. (2018). </w:t>
      </w:r>
      <w:r w:rsidRPr="001F2E94">
        <w:rPr>
          <w:i/>
        </w:rPr>
        <w:t>‘Key Ratios.’</w:t>
      </w:r>
      <w:r>
        <w:rPr>
          <w:i/>
        </w:rPr>
        <w:t xml:space="preserve"> </w:t>
      </w:r>
      <w:r>
        <w:t xml:space="preserve">Week 4 Analysis and Interpretation of Financial Statements 1. </w:t>
      </w:r>
      <w:hyperlink r:id="rId23" w:history="1">
        <w:r w:rsidRPr="00ED2D11">
          <w:rPr>
            <w:rStyle w:val="Hyperlink"/>
          </w:rPr>
          <w:t>https://moodle.uwtsd.ac.uk/course/view.php?id=4394</w:t>
        </w:r>
      </w:hyperlink>
      <w:r>
        <w:t xml:space="preserve"> [Accessed 28</w:t>
      </w:r>
      <w:r w:rsidRPr="001F2E94">
        <w:rPr>
          <w:vertAlign w:val="superscript"/>
        </w:rPr>
        <w:t>th</w:t>
      </w:r>
      <w:r>
        <w:t xml:space="preserve"> December 2018]</w:t>
      </w:r>
    </w:p>
    <w:p w:rsidR="00BE1379" w:rsidRDefault="00BE1379" w:rsidP="002834EB">
      <w:r>
        <w:t xml:space="preserve">Faello, J. (2015). </w:t>
      </w:r>
      <w:r w:rsidRPr="00E8132E">
        <w:rPr>
          <w:i/>
        </w:rPr>
        <w:t>‘Understanding the limitations of financial ratios.</w:t>
      </w:r>
      <w:r>
        <w:t xml:space="preserve">’ </w:t>
      </w:r>
      <w:hyperlink r:id="rId24" w:history="1">
        <w:r w:rsidRPr="00ED2D11">
          <w:rPr>
            <w:rStyle w:val="Hyperlink"/>
          </w:rPr>
          <w:t>https://search-proquest-com.ezproxy.uwtsd.ac.uk/docview/1768318991?accountid=130472&amp;rfr_id=info%3Axri%2Fsid%3Aprimo</w:t>
        </w:r>
      </w:hyperlink>
      <w:r>
        <w:t xml:space="preserve"> [Accessed 31</w:t>
      </w:r>
      <w:r w:rsidRPr="00E8132E">
        <w:rPr>
          <w:vertAlign w:val="superscript"/>
        </w:rPr>
        <w:t>st</w:t>
      </w:r>
      <w:r>
        <w:t xml:space="preserve"> December 2018]</w:t>
      </w:r>
    </w:p>
    <w:p w:rsidR="00BE1379" w:rsidRDefault="00BE1379" w:rsidP="002834EB">
      <w:r>
        <w:t xml:space="preserve">Investing Answers. (2018). ‘Acid-Test Ratio.’ </w:t>
      </w:r>
      <w:hyperlink r:id="rId25" w:history="1">
        <w:r w:rsidRPr="00ED2D11">
          <w:rPr>
            <w:rStyle w:val="Hyperlink"/>
          </w:rPr>
          <w:t>https://investinganswers.com/financial-dictionary/ratio-analysis/acid-test-ratio-1225</w:t>
        </w:r>
      </w:hyperlink>
      <w:r>
        <w:t xml:space="preserve"> [Accessed 31st December 2018]</w:t>
      </w:r>
    </w:p>
    <w:p w:rsidR="00BE1379" w:rsidRDefault="00BE1379" w:rsidP="002834EB">
      <w:r>
        <w:t xml:space="preserve">Investopedia. (2019). </w:t>
      </w:r>
      <w:r w:rsidRPr="00B83C7C">
        <w:rPr>
          <w:i/>
        </w:rPr>
        <w:t xml:space="preserve">‘Debt Ratios: Interest Coverage Ratio.’ </w:t>
      </w:r>
      <w:hyperlink r:id="rId26" w:history="1">
        <w:r w:rsidRPr="00ED2D11">
          <w:rPr>
            <w:rStyle w:val="Hyperlink"/>
          </w:rPr>
          <w:t>https://www.investopedia.com/university/ratios/debt/ratio5.asp</w:t>
        </w:r>
      </w:hyperlink>
      <w:r>
        <w:t xml:space="preserve"> [Accessed 2nd January 2019] </w:t>
      </w:r>
    </w:p>
    <w:p w:rsidR="00BE1379" w:rsidRDefault="00BE1379" w:rsidP="001C3FD7">
      <w:r>
        <w:t xml:space="preserve">Kenton, W. (2017). </w:t>
      </w:r>
      <w:r w:rsidRPr="005445A8">
        <w:rPr>
          <w:i/>
        </w:rPr>
        <w:t xml:space="preserve">‘Return on Assets – ROA.’ </w:t>
      </w:r>
      <w:hyperlink r:id="rId27" w:history="1">
        <w:r w:rsidRPr="00ED2D11">
          <w:rPr>
            <w:rStyle w:val="Hyperlink"/>
          </w:rPr>
          <w:t>https://www.investopedia.com/terms/r/returnonassets.asp</w:t>
        </w:r>
      </w:hyperlink>
      <w:r>
        <w:t xml:space="preserve"> [Accessed 28th December 2018]</w:t>
      </w:r>
    </w:p>
    <w:p w:rsidR="00BE1379" w:rsidRDefault="00BE1379" w:rsidP="002834EB">
      <w:r>
        <w:t xml:space="preserve">Kenton, W. (2018). </w:t>
      </w:r>
      <w:r w:rsidRPr="00B34C8B">
        <w:rPr>
          <w:i/>
        </w:rPr>
        <w:t xml:space="preserve">‘Asset Turnover Ratio.’ </w:t>
      </w:r>
      <w:hyperlink r:id="rId28" w:history="1">
        <w:r w:rsidRPr="00ED2D11">
          <w:rPr>
            <w:rStyle w:val="Hyperlink"/>
          </w:rPr>
          <w:t>https://www.investopedia.com/terms/a/assetturnover.asp</w:t>
        </w:r>
      </w:hyperlink>
      <w:r>
        <w:t xml:space="preserve"> [Accessed 31st December 2018]</w:t>
      </w:r>
    </w:p>
    <w:p w:rsidR="00BE1379" w:rsidRDefault="00BE1379" w:rsidP="001C3FD7">
      <w:r>
        <w:t xml:space="preserve">Kenton, W. (2018). </w:t>
      </w:r>
      <w:r w:rsidRPr="002F3026">
        <w:rPr>
          <w:i/>
        </w:rPr>
        <w:t xml:space="preserve">‘Gross Profit Margin.’ </w:t>
      </w:r>
      <w:hyperlink r:id="rId29" w:history="1">
        <w:r w:rsidRPr="00ED2D11">
          <w:rPr>
            <w:rStyle w:val="Hyperlink"/>
          </w:rPr>
          <w:t>https://www.investopedia.com/terms/g/gross_profit_margin.asp</w:t>
        </w:r>
      </w:hyperlink>
      <w:r>
        <w:t xml:space="preserve"> [Accessed 28th December 2018]</w:t>
      </w:r>
    </w:p>
    <w:p w:rsidR="00BE1379" w:rsidRDefault="00BE1379" w:rsidP="002834EB">
      <w:r>
        <w:t xml:space="preserve">McIsaac, I. (2004). </w:t>
      </w:r>
      <w:r w:rsidRPr="00BC55A2">
        <w:rPr>
          <w:i/>
        </w:rPr>
        <w:t>‘Understanding Annual Reports and Company Accounts. A Guide to Financial Statements.</w:t>
      </w:r>
      <w:r>
        <w:rPr>
          <w:i/>
        </w:rPr>
        <w:t>’</w:t>
      </w:r>
      <w:r>
        <w:t xml:space="preserve"> </w:t>
      </w:r>
      <w:hyperlink r:id="rId30" w:history="1">
        <w:r w:rsidRPr="00ED2D11">
          <w:rPr>
            <w:rStyle w:val="Hyperlink"/>
          </w:rPr>
          <w:t>https://moodle.uwtsd.ac.uk/pluginfile.php/94307/mod_resource/content/0/Financial-Statements%20-%20mciasaac.pdf</w:t>
        </w:r>
      </w:hyperlink>
      <w:r>
        <w:t xml:space="preserve"> [Accessed 27</w:t>
      </w:r>
      <w:r w:rsidRPr="00BC55A2">
        <w:rPr>
          <w:vertAlign w:val="superscript"/>
        </w:rPr>
        <w:t>th</w:t>
      </w:r>
      <w:r>
        <w:t xml:space="preserve"> December 2018]</w:t>
      </w:r>
    </w:p>
    <w:p w:rsidR="00BE1379" w:rsidRDefault="00BE1379" w:rsidP="001C3FD7">
      <w:r>
        <w:t xml:space="preserve">My Accounting Course. (2018). </w:t>
      </w:r>
      <w:r w:rsidRPr="00292608">
        <w:rPr>
          <w:i/>
        </w:rPr>
        <w:t xml:space="preserve">‘Return on Capital Employed.’ </w:t>
      </w:r>
      <w:hyperlink r:id="rId31" w:history="1">
        <w:r w:rsidRPr="00ED2D11">
          <w:rPr>
            <w:rStyle w:val="Hyperlink"/>
          </w:rPr>
          <w:t>https://www.myaccountingcourse.com/financial-ratios/return-on-capital-employed</w:t>
        </w:r>
      </w:hyperlink>
      <w:r>
        <w:t xml:space="preserve"> [Accessed 31st December 2018]</w:t>
      </w:r>
    </w:p>
    <w:p w:rsidR="00BE1379" w:rsidRDefault="00BE1379" w:rsidP="001C3FD7">
      <w:r>
        <w:t xml:space="preserve">My Accounting Course. (2019). ‘Return on Assets Ratio – ROA.’ </w:t>
      </w:r>
      <w:hyperlink r:id="rId32" w:history="1">
        <w:r w:rsidRPr="00ED2D11">
          <w:rPr>
            <w:rStyle w:val="Hyperlink"/>
          </w:rPr>
          <w:t>https://www.myaccountingcourse.com/financial-ratios/return-on-assets</w:t>
        </w:r>
      </w:hyperlink>
      <w:r>
        <w:t xml:space="preserve"> [Accessed 2nd January 2019]</w:t>
      </w:r>
    </w:p>
    <w:p w:rsidR="00BE1379" w:rsidRDefault="00BE1379" w:rsidP="002834EB">
      <w:r>
        <w:t xml:space="preserve">My Accounting Course. (2019). </w:t>
      </w:r>
      <w:r w:rsidRPr="001F2E94">
        <w:rPr>
          <w:i/>
        </w:rPr>
        <w:t xml:space="preserve">‘Return on Equity (ROE) Ratio.’ </w:t>
      </w:r>
      <w:hyperlink r:id="rId33" w:history="1">
        <w:r w:rsidRPr="00ED2D11">
          <w:rPr>
            <w:rStyle w:val="Hyperlink"/>
          </w:rPr>
          <w:t>https://www.myaccountingcourse.com/financial-ratios/return-on-equity</w:t>
        </w:r>
      </w:hyperlink>
      <w:r>
        <w:t xml:space="preserve"> [Accessed 2nd January 2019]</w:t>
      </w:r>
    </w:p>
    <w:p w:rsidR="00BE1379" w:rsidRDefault="00BE1379" w:rsidP="002834EB">
      <w:r>
        <w:lastRenderedPageBreak/>
        <w:t xml:space="preserve">Nickolas, S. (2018). </w:t>
      </w:r>
      <w:r w:rsidRPr="008175CE">
        <w:rPr>
          <w:i/>
        </w:rPr>
        <w:t xml:space="preserve">‘What do Efficiency Ratios Measure?’ </w:t>
      </w:r>
      <w:hyperlink r:id="rId34" w:history="1">
        <w:r w:rsidRPr="00ED2D11">
          <w:rPr>
            <w:rStyle w:val="Hyperlink"/>
          </w:rPr>
          <w:t>https://www.investopedia.com/ask/answers/040715/what-do-efficiency-ratios-measure.asp</w:t>
        </w:r>
      </w:hyperlink>
      <w:r>
        <w:t xml:space="preserve"> [Accessed 31st December 2018]</w:t>
      </w:r>
    </w:p>
    <w:p w:rsidR="00BE1379" w:rsidRDefault="00BE1379" w:rsidP="002834EB">
      <w:r>
        <w:t xml:space="preserve">Peavler, R. (2018). </w:t>
      </w:r>
      <w:r w:rsidRPr="00E8132E">
        <w:rPr>
          <w:i/>
        </w:rPr>
        <w:t xml:space="preserve">‘Understanding and Using the Total Asset Turnover Ratio.’ </w:t>
      </w:r>
      <w:hyperlink r:id="rId35" w:history="1">
        <w:r w:rsidRPr="00ED2D11">
          <w:rPr>
            <w:rStyle w:val="Hyperlink"/>
          </w:rPr>
          <w:t>https://www.thebalancesmb.com/calculating-total-asset-turnover-ratio-393209</w:t>
        </w:r>
      </w:hyperlink>
      <w:r>
        <w:t xml:space="preserve"> [Accessed 31st December 2018] </w:t>
      </w:r>
    </w:p>
    <w:p w:rsidR="00BE1379" w:rsidRDefault="00BE1379" w:rsidP="00483AE6">
      <w:r>
        <w:t xml:space="preserve">Rashid, C.A. (2018). </w:t>
      </w:r>
      <w:r w:rsidRPr="00FE7408">
        <w:rPr>
          <w:i/>
        </w:rPr>
        <w:t>‘Efficiency of Financial Ratios Analysis for Evaluating Companies’ Liquidity.’</w:t>
      </w:r>
      <w:r>
        <w:t xml:space="preserve"> </w:t>
      </w:r>
      <w:hyperlink r:id="rId36" w:history="1">
        <w:r w:rsidRPr="00ED2D11">
          <w:rPr>
            <w:rStyle w:val="Hyperlink"/>
          </w:rPr>
          <w:t>http://ijsses.org/wp-content/uploads/2018/05/Efficiency-of-Financial-Ratios-Analysis-for-Evaluating-11111.pdf</w:t>
        </w:r>
      </w:hyperlink>
      <w:r>
        <w:t xml:space="preserve"> [Accessed 28th December 2018]</w:t>
      </w:r>
    </w:p>
    <w:p w:rsidR="00BE1379" w:rsidRDefault="00BE1379" w:rsidP="00483AE6">
      <w:r>
        <w:t xml:space="preserve">Tutor2u. (2018). </w:t>
      </w:r>
      <w:r w:rsidRPr="00437A7E">
        <w:rPr>
          <w:i/>
        </w:rPr>
        <w:t>‘Current Ratio.’</w:t>
      </w:r>
      <w:r>
        <w:t xml:space="preserve"> </w:t>
      </w:r>
      <w:hyperlink r:id="rId37" w:history="1">
        <w:r w:rsidRPr="00ED2D11">
          <w:rPr>
            <w:rStyle w:val="Hyperlink"/>
          </w:rPr>
          <w:t>https://www.tutor2u.net/business/reference/current-ratio</w:t>
        </w:r>
      </w:hyperlink>
      <w:r>
        <w:t xml:space="preserve"> [Accessed 31st December 2018]</w:t>
      </w:r>
    </w:p>
    <w:p w:rsidR="00BE1379" w:rsidRDefault="00BE1379" w:rsidP="002834EB">
      <w:r>
        <w:t xml:space="preserve">Tutor2u. (2019). </w:t>
      </w:r>
      <w:r w:rsidRPr="00C50DBE">
        <w:rPr>
          <w:i/>
        </w:rPr>
        <w:t>‘Gearing Ratio.’</w:t>
      </w:r>
      <w:r>
        <w:t xml:space="preserve"> </w:t>
      </w:r>
      <w:hyperlink r:id="rId38" w:history="1">
        <w:r w:rsidRPr="00ED2D11">
          <w:rPr>
            <w:rStyle w:val="Hyperlink"/>
          </w:rPr>
          <w:t>https://www.tutor2u.net/business/reference/gearing-ratio</w:t>
        </w:r>
      </w:hyperlink>
      <w:r>
        <w:t xml:space="preserve"> [Accessed 2nd January 2019)</w:t>
      </w:r>
    </w:p>
    <w:sectPr w:rsidR="00BE13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0C9B" w:rsidRDefault="00350C9B" w:rsidP="00982302">
      <w:pPr>
        <w:spacing w:after="0" w:line="240" w:lineRule="auto"/>
      </w:pPr>
      <w:r>
        <w:separator/>
      </w:r>
    </w:p>
  </w:endnote>
  <w:endnote w:type="continuationSeparator" w:id="0">
    <w:p w:rsidR="00350C9B" w:rsidRDefault="00350C9B" w:rsidP="00982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0C9B" w:rsidRDefault="00350C9B" w:rsidP="00982302">
      <w:pPr>
        <w:spacing w:after="0" w:line="240" w:lineRule="auto"/>
      </w:pPr>
      <w:r>
        <w:separator/>
      </w:r>
    </w:p>
  </w:footnote>
  <w:footnote w:type="continuationSeparator" w:id="0">
    <w:p w:rsidR="00350C9B" w:rsidRDefault="00350C9B" w:rsidP="00982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E0D54"/>
    <w:multiLevelType w:val="hybridMultilevel"/>
    <w:tmpl w:val="DF00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265B9"/>
    <w:multiLevelType w:val="hybridMultilevel"/>
    <w:tmpl w:val="51A809C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B5E0DAD"/>
    <w:multiLevelType w:val="hybridMultilevel"/>
    <w:tmpl w:val="783E5548"/>
    <w:lvl w:ilvl="0" w:tplc="A9D8436E">
      <w:start w:val="1"/>
      <w:numFmt w:val="upperRoman"/>
      <w:lvlText w:val="%1."/>
      <w:lvlJc w:val="righ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0B3339"/>
    <w:multiLevelType w:val="hybridMultilevel"/>
    <w:tmpl w:val="9612942A"/>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EB52244"/>
    <w:multiLevelType w:val="hybridMultilevel"/>
    <w:tmpl w:val="661EE6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93378B"/>
    <w:multiLevelType w:val="hybridMultilevel"/>
    <w:tmpl w:val="2BDAD520"/>
    <w:lvl w:ilvl="0" w:tplc="08090013">
      <w:start w:val="1"/>
      <w:numFmt w:val="upp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4642110C"/>
    <w:multiLevelType w:val="hybridMultilevel"/>
    <w:tmpl w:val="7F345ED0"/>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DB57D1"/>
    <w:multiLevelType w:val="hybridMultilevel"/>
    <w:tmpl w:val="6A1E79EA"/>
    <w:lvl w:ilvl="0" w:tplc="F4C241B6">
      <w:start w:val="1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3052B28"/>
    <w:multiLevelType w:val="hybridMultilevel"/>
    <w:tmpl w:val="E530F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CE79AF"/>
    <w:multiLevelType w:val="hybridMultilevel"/>
    <w:tmpl w:val="271810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EC38C3"/>
    <w:multiLevelType w:val="hybridMultilevel"/>
    <w:tmpl w:val="E530F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D05A88"/>
    <w:multiLevelType w:val="hybridMultilevel"/>
    <w:tmpl w:val="697C4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C03D87"/>
    <w:multiLevelType w:val="hybridMultilevel"/>
    <w:tmpl w:val="6CB4B2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2"/>
  </w:num>
  <w:num w:numId="4">
    <w:abstractNumId w:val="1"/>
  </w:num>
  <w:num w:numId="5">
    <w:abstractNumId w:val="12"/>
  </w:num>
  <w:num w:numId="6">
    <w:abstractNumId w:val="4"/>
  </w:num>
  <w:num w:numId="7">
    <w:abstractNumId w:val="9"/>
  </w:num>
  <w:num w:numId="8">
    <w:abstractNumId w:val="3"/>
  </w:num>
  <w:num w:numId="9">
    <w:abstractNumId w:val="5"/>
  </w:num>
  <w:num w:numId="10">
    <w:abstractNumId w:val="6"/>
  </w:num>
  <w:num w:numId="11">
    <w:abstractNumId w:val="8"/>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4EB"/>
    <w:rsid w:val="00094902"/>
    <w:rsid w:val="0017597D"/>
    <w:rsid w:val="001A77FB"/>
    <w:rsid w:val="001C3FD7"/>
    <w:rsid w:val="001F2E94"/>
    <w:rsid w:val="00204835"/>
    <w:rsid w:val="00213624"/>
    <w:rsid w:val="00230483"/>
    <w:rsid w:val="00245F9E"/>
    <w:rsid w:val="002834EB"/>
    <w:rsid w:val="00292608"/>
    <w:rsid w:val="002F3026"/>
    <w:rsid w:val="003308D6"/>
    <w:rsid w:val="00350C9B"/>
    <w:rsid w:val="003C7F97"/>
    <w:rsid w:val="00437A7E"/>
    <w:rsid w:val="00460F87"/>
    <w:rsid w:val="00477763"/>
    <w:rsid w:val="00483AE6"/>
    <w:rsid w:val="004E3811"/>
    <w:rsid w:val="005242F5"/>
    <w:rsid w:val="005445A8"/>
    <w:rsid w:val="005B0F82"/>
    <w:rsid w:val="005C20DA"/>
    <w:rsid w:val="005D03A9"/>
    <w:rsid w:val="0061572A"/>
    <w:rsid w:val="006C3FAC"/>
    <w:rsid w:val="006D6C9C"/>
    <w:rsid w:val="007915DC"/>
    <w:rsid w:val="007F76AC"/>
    <w:rsid w:val="008175CE"/>
    <w:rsid w:val="00827248"/>
    <w:rsid w:val="0085388C"/>
    <w:rsid w:val="00876A34"/>
    <w:rsid w:val="008F2537"/>
    <w:rsid w:val="00964441"/>
    <w:rsid w:val="00982302"/>
    <w:rsid w:val="009A1BFD"/>
    <w:rsid w:val="009F60F4"/>
    <w:rsid w:val="00A374C3"/>
    <w:rsid w:val="00AD5483"/>
    <w:rsid w:val="00B00B73"/>
    <w:rsid w:val="00B01EA9"/>
    <w:rsid w:val="00B26240"/>
    <w:rsid w:val="00B34078"/>
    <w:rsid w:val="00B34C8B"/>
    <w:rsid w:val="00B71DE5"/>
    <w:rsid w:val="00B83C7C"/>
    <w:rsid w:val="00BA3928"/>
    <w:rsid w:val="00BC1020"/>
    <w:rsid w:val="00BE1379"/>
    <w:rsid w:val="00C42667"/>
    <w:rsid w:val="00C50DBE"/>
    <w:rsid w:val="00CB073E"/>
    <w:rsid w:val="00D5516F"/>
    <w:rsid w:val="00DC7EA5"/>
    <w:rsid w:val="00DE24DF"/>
    <w:rsid w:val="00E8132E"/>
    <w:rsid w:val="00EA7C9A"/>
    <w:rsid w:val="00EB2783"/>
    <w:rsid w:val="00EC00DE"/>
    <w:rsid w:val="00F245C1"/>
    <w:rsid w:val="00F72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0F888"/>
  <w15:chartTrackingRefBased/>
  <w15:docId w15:val="{B7D7D621-D680-4F38-A944-4DCB7FF3A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34EB"/>
    <w:rPr>
      <w:color w:val="0563C1" w:themeColor="hyperlink"/>
      <w:u w:val="single"/>
    </w:rPr>
  </w:style>
  <w:style w:type="paragraph" w:styleId="ListParagraph">
    <w:name w:val="List Paragraph"/>
    <w:basedOn w:val="Normal"/>
    <w:uiPriority w:val="34"/>
    <w:qFormat/>
    <w:rsid w:val="007915DC"/>
    <w:pPr>
      <w:ind w:left="720"/>
      <w:contextualSpacing/>
    </w:pPr>
  </w:style>
  <w:style w:type="paragraph" w:styleId="Header">
    <w:name w:val="header"/>
    <w:basedOn w:val="Normal"/>
    <w:link w:val="HeaderChar"/>
    <w:uiPriority w:val="99"/>
    <w:unhideWhenUsed/>
    <w:rsid w:val="00982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302"/>
  </w:style>
  <w:style w:type="paragraph" w:styleId="Footer">
    <w:name w:val="footer"/>
    <w:basedOn w:val="Normal"/>
    <w:link w:val="FooterChar"/>
    <w:uiPriority w:val="99"/>
    <w:unhideWhenUsed/>
    <w:rsid w:val="00982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hyperlink" Target="https://www.investopedia.com/university/ratios/debt/ratio5.asp"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corporatefinanceinstitute.com/resources/knowledge/finance/financial-ratios/" TargetMode="External"/><Relationship Id="rId34" Type="http://schemas.openxmlformats.org/officeDocument/2006/relationships/hyperlink" Target="https://www.investopedia.com/ask/answers/040715/what-do-efficiency-ratios-measure.asp"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hyperlink" Target="https://investinganswers.com/financial-dictionary/ratio-analysis/acid-test-ratio-1225" TargetMode="External"/><Relationship Id="rId33" Type="http://schemas.openxmlformats.org/officeDocument/2006/relationships/hyperlink" Target="https://www.myaccountingcourse.com/financial-ratios/return-on-equity" TargetMode="External"/><Relationship Id="rId38" Type="http://schemas.openxmlformats.org/officeDocument/2006/relationships/hyperlink" Target="https://www.tutor2u.net/business/reference/gearing-ratio" TargetMode="Externa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hyperlink" Target="https://www-dawsonera-com.ezproxy.uwtsd.ac.uk/readonline/9781292135618" TargetMode="External"/><Relationship Id="rId29" Type="http://schemas.openxmlformats.org/officeDocument/2006/relationships/hyperlink" Target="https://www.investopedia.com/terms/g/gross_profit_margin.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hyperlink" Target="https://search-proquest-com.ezproxy.uwtsd.ac.uk/docview/1768318991?accountid=130472&amp;rfr_id=info%3Axri%2Fsid%3Aprimo" TargetMode="External"/><Relationship Id="rId32" Type="http://schemas.openxmlformats.org/officeDocument/2006/relationships/hyperlink" Target="https://www.myaccountingcourse.com/financial-ratios/return-on-assets" TargetMode="External"/><Relationship Id="rId37" Type="http://schemas.openxmlformats.org/officeDocument/2006/relationships/hyperlink" Target="https://www.tutor2u.net/business/reference/current-ratio"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moodle.uwtsd.ac.uk/course/view.php?id=4394" TargetMode="External"/><Relationship Id="rId28" Type="http://schemas.openxmlformats.org/officeDocument/2006/relationships/hyperlink" Target="https://www.investopedia.com/terms/a/assetturnover.asp" TargetMode="External"/><Relationship Id="rId36" Type="http://schemas.openxmlformats.org/officeDocument/2006/relationships/hyperlink" Target="http://ijsses.org/wp-content/uploads/2018/05/Efficiency-of-Financial-Ratios-Analysis-for-Evaluating-11111.pdf" TargetMode="External"/><Relationship Id="rId10" Type="http://schemas.openxmlformats.org/officeDocument/2006/relationships/chart" Target="charts/chart4.xml"/><Relationship Id="rId19" Type="http://schemas.openxmlformats.org/officeDocument/2006/relationships/hyperlink" Target="https://www-dawsonera-com.ezproxy.uwtsd.ac.uk/readonline/9780273759737" TargetMode="External"/><Relationship Id="rId31" Type="http://schemas.openxmlformats.org/officeDocument/2006/relationships/hyperlink" Target="https://www.myaccountingcourse.com/financial-ratios/return-on-capital-employed"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www.demonstratingvalue.org/resources/financial-ratio-analysis" TargetMode="External"/><Relationship Id="rId27" Type="http://schemas.openxmlformats.org/officeDocument/2006/relationships/hyperlink" Target="https://www.investopedia.com/terms/r/returnonassets.asp" TargetMode="External"/><Relationship Id="rId30" Type="http://schemas.openxmlformats.org/officeDocument/2006/relationships/hyperlink" Target="https://moodle.uwtsd.ac.uk/pluginfile.php/94307/mod_resource/content/0/Financial-Statements%20-%20mciasaac.pdf" TargetMode="External"/><Relationship Id="rId35" Type="http://schemas.openxmlformats.org/officeDocument/2006/relationships/hyperlink" Target="https://www.thebalancesmb.com/calculating-total-asset-turnover-ratio-39320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9"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0"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1" TargetMode="Externa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chartUserShapes" Target="../drawings/drawing1.xml"/></Relationships>
</file>

<file path=word/charts/_rels/chart12.xml.rels><?xml version="1.0" encoding="UTF-8" standalone="yes"?>
<Relationships xmlns="http://schemas.openxmlformats.org/package/2006/relationships"><Relationship Id="rId3" Type="http://schemas.openxmlformats.org/officeDocument/2006/relationships/oleObject" Target="Book12"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Net Profit</a:t>
            </a:r>
            <a:r>
              <a:rPr lang="en-GB" b="0" cap="none" spc="0" baseline="0">
                <a:ln w="0"/>
                <a:solidFill>
                  <a:schemeClr val="tx1"/>
                </a:solidFill>
                <a:effectLst>
                  <a:outerShdw blurRad="38100" dist="19050" dir="2700000" algn="tl" rotWithShape="0">
                    <a:schemeClr val="dk1">
                      <a:alpha val="40000"/>
                    </a:schemeClr>
                  </a:outerShdw>
                </a:effectLst>
              </a:rPr>
              <a:t>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16.8</c:v>
                </c:pt>
                <c:pt idx="1">
                  <c:v>15.06</c:v>
                </c:pt>
              </c:numCache>
            </c:numRef>
          </c:val>
          <c:extLst>
            <c:ext xmlns:c16="http://schemas.microsoft.com/office/drawing/2014/chart" uri="{C3380CC4-5D6E-409C-BE32-E72D297353CC}">
              <c16:uniqueId val="{00000000-303F-40EA-B9C4-B72E1FB1A0AC}"/>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26.92</c:v>
              </c:pt>
            </c:numLit>
          </c:val>
          <c:smooth val="0"/>
          <c:extLst>
            <c:ext xmlns:c16="http://schemas.microsoft.com/office/drawing/2014/chart" uri="{C3380CC4-5D6E-409C-BE32-E72D297353CC}">
              <c16:uniqueId val="{00000001-303F-40EA-B9C4-B72E1FB1A0AC}"/>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Gross Profit</a:t>
            </a:r>
            <a:r>
              <a:rPr lang="en-GB" b="0" cap="none" spc="0" baseline="0">
                <a:ln w="0"/>
                <a:solidFill>
                  <a:schemeClr val="tx1"/>
                </a:solidFill>
                <a:effectLst>
                  <a:outerShdw blurRad="38100" dist="19050" dir="2700000" algn="tl" rotWithShape="0">
                    <a:schemeClr val="dk1">
                      <a:alpha val="40000"/>
                    </a:schemeClr>
                  </a:outerShdw>
                </a:effectLst>
              </a:rPr>
              <a:t>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88.92</c:v>
                </c:pt>
                <c:pt idx="1">
                  <c:v>88.94</c:v>
                </c:pt>
              </c:numCache>
            </c:numRef>
          </c:val>
          <c:extLst>
            <c:ext xmlns:c16="http://schemas.microsoft.com/office/drawing/2014/chart" uri="{C3380CC4-5D6E-409C-BE32-E72D297353CC}">
              <c16:uniqueId val="{00000000-5A16-4510-AAD6-4AEA25192A38}"/>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77.89</c:v>
              </c:pt>
            </c:numLit>
          </c:val>
          <c:smooth val="0"/>
          <c:extLst>
            <c:ext xmlns:c16="http://schemas.microsoft.com/office/drawing/2014/chart" uri="{C3380CC4-5D6E-409C-BE32-E72D297353CC}">
              <c16:uniqueId val="{00000001-5A16-4510-AAD6-4AEA25192A38}"/>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Return on Capital Employed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5.36</c:v>
                </c:pt>
                <c:pt idx="1">
                  <c:v>4.53</c:v>
                </c:pt>
              </c:numCache>
            </c:numRef>
          </c:val>
          <c:extLst>
            <c:ext xmlns:c16="http://schemas.microsoft.com/office/drawing/2014/chart" uri="{C3380CC4-5D6E-409C-BE32-E72D297353CC}">
              <c16:uniqueId val="{00000000-35E0-4B55-81C7-9A5D09800DDE}"/>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8.68</c:v>
              </c:pt>
            </c:numLit>
          </c:val>
          <c:smooth val="0"/>
          <c:extLst>
            <c:ext xmlns:c16="http://schemas.microsoft.com/office/drawing/2014/chart" uri="{C3380CC4-5D6E-409C-BE32-E72D297353CC}">
              <c16:uniqueId val="{00000001-35E0-4B55-81C7-9A5D09800DDE}"/>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Return on Assets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1.6</c:v>
                </c:pt>
                <c:pt idx="1">
                  <c:v>1.64</c:v>
                </c:pt>
              </c:numCache>
            </c:numRef>
          </c:val>
          <c:extLst>
            <c:ext xmlns:c16="http://schemas.microsoft.com/office/drawing/2014/chart" uri="{C3380CC4-5D6E-409C-BE32-E72D297353CC}">
              <c16:uniqueId val="{00000000-EC30-461C-86EE-46B836E8A61E}"/>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2.0299999999999998</c:v>
              </c:pt>
            </c:numLit>
          </c:val>
          <c:smooth val="0"/>
          <c:extLst>
            <c:ext xmlns:c16="http://schemas.microsoft.com/office/drawing/2014/chart" uri="{C3380CC4-5D6E-409C-BE32-E72D297353CC}">
              <c16:uniqueId val="{00000001-EC30-461C-86EE-46B836E8A61E}"/>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Current Ratio</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1.06</c:v>
                </c:pt>
                <c:pt idx="1">
                  <c:v>1.06</c:v>
                </c:pt>
              </c:numCache>
            </c:numRef>
          </c:val>
          <c:extLst>
            <c:ext xmlns:c16="http://schemas.microsoft.com/office/drawing/2014/chart" uri="{C3380CC4-5D6E-409C-BE32-E72D297353CC}">
              <c16:uniqueId val="{00000000-7260-4A30-AB02-2877021A8ECC}"/>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1.0900000000000001</c:v>
              </c:pt>
            </c:numLit>
          </c:val>
          <c:smooth val="0"/>
          <c:extLst>
            <c:ext xmlns:c16="http://schemas.microsoft.com/office/drawing/2014/chart" uri="{C3380CC4-5D6E-409C-BE32-E72D297353CC}">
              <c16:uniqueId val="{00000001-7260-4A30-AB02-2877021A8ECC}"/>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Acid Test</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0.66</c:v>
                </c:pt>
                <c:pt idx="1">
                  <c:v>0.55000000000000004</c:v>
                </c:pt>
              </c:numCache>
            </c:numRef>
          </c:val>
          <c:extLst>
            <c:ext xmlns:c16="http://schemas.microsoft.com/office/drawing/2014/chart" uri="{C3380CC4-5D6E-409C-BE32-E72D297353CC}">
              <c16:uniqueId val="{00000000-4F6F-4920-8444-77EDBF63D36F}"/>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0.63</c:v>
              </c:pt>
            </c:numLit>
          </c:val>
          <c:smooth val="0"/>
          <c:extLst>
            <c:ext xmlns:c16="http://schemas.microsoft.com/office/drawing/2014/chart" uri="{C3380CC4-5D6E-409C-BE32-E72D297353CC}">
              <c16:uniqueId val="{00000001-4F6F-4920-8444-77EDBF63D36F}"/>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Operating Expense Ratio</a:t>
            </a: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0.7</c:v>
                </c:pt>
                <c:pt idx="1">
                  <c:v>0.8</c:v>
                </c:pt>
              </c:numCache>
            </c:numRef>
          </c:val>
          <c:extLst>
            <c:ext xmlns:c16="http://schemas.microsoft.com/office/drawing/2014/chart" uri="{C3380CC4-5D6E-409C-BE32-E72D297353CC}">
              <c16:uniqueId val="{00000000-F5E3-4ACC-B03E-D31A13784B10}"/>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0.55000000000000004</c:v>
              </c:pt>
            </c:numLit>
          </c:val>
          <c:smooth val="0"/>
          <c:extLst>
            <c:ext xmlns:c16="http://schemas.microsoft.com/office/drawing/2014/chart" uri="{C3380CC4-5D6E-409C-BE32-E72D297353CC}">
              <c16:uniqueId val="{00000001-F5E3-4ACC-B03E-D31A13784B10}"/>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Total Asset</a:t>
            </a:r>
            <a:r>
              <a:rPr lang="en-GB" b="0" cap="none" spc="0" baseline="0">
                <a:ln w="0"/>
                <a:solidFill>
                  <a:schemeClr val="tx1"/>
                </a:solidFill>
                <a:effectLst>
                  <a:outerShdw blurRad="38100" dist="19050" dir="2700000" algn="tl" rotWithShape="0">
                    <a:schemeClr val="dk1">
                      <a:alpha val="40000"/>
                    </a:schemeClr>
                  </a:outerShdw>
                </a:effectLst>
              </a:rPr>
              <a:t> Turnover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1.7999999999999999E-2</c:v>
                </c:pt>
                <c:pt idx="1">
                  <c:v>1.84E-2</c:v>
                </c:pt>
              </c:numCache>
            </c:numRef>
          </c:val>
          <c:extLst>
            <c:ext xmlns:c16="http://schemas.microsoft.com/office/drawing/2014/chart" uri="{C3380CC4-5D6E-409C-BE32-E72D297353CC}">
              <c16:uniqueId val="{00000000-55BA-4DA2-BC5E-453EA6FD4E0E}"/>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2.5999999999999999E-2</c:v>
              </c:pt>
            </c:numLit>
          </c:val>
          <c:smooth val="0"/>
          <c:extLst>
            <c:ext xmlns:c16="http://schemas.microsoft.com/office/drawing/2014/chart" uri="{C3380CC4-5D6E-409C-BE32-E72D297353CC}">
              <c16:uniqueId val="{00000001-55BA-4DA2-BC5E-453EA6FD4E0E}"/>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Gearing</a:t>
            </a:r>
            <a:r>
              <a:rPr lang="en-GB" b="0" cap="none" spc="0" baseline="0">
                <a:ln w="0"/>
                <a:solidFill>
                  <a:schemeClr val="tx1"/>
                </a:solidFill>
                <a:effectLst>
                  <a:outerShdw blurRad="38100" dist="19050" dir="2700000" algn="tl" rotWithShape="0">
                    <a:schemeClr val="dk1">
                      <a:alpha val="40000"/>
                    </a:schemeClr>
                  </a:outerShdw>
                </a:effectLst>
              </a:rPr>
              <a:t> Ratio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5.37</c:v>
                </c:pt>
                <c:pt idx="1">
                  <c:v>5.7</c:v>
                </c:pt>
              </c:numCache>
            </c:numRef>
          </c:val>
          <c:extLst>
            <c:ext xmlns:c16="http://schemas.microsoft.com/office/drawing/2014/chart" uri="{C3380CC4-5D6E-409C-BE32-E72D297353CC}">
              <c16:uniqueId val="{00000000-E163-4EEF-8104-8042BC935989}"/>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7.1</c:v>
              </c:pt>
            </c:numLit>
          </c:val>
          <c:smooth val="0"/>
          <c:extLst>
            <c:ext xmlns:c16="http://schemas.microsoft.com/office/drawing/2014/chart" uri="{C3380CC4-5D6E-409C-BE32-E72D297353CC}">
              <c16:uniqueId val="{00000001-E163-4EEF-8104-8042BC935989}"/>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Interest</a:t>
            </a:r>
            <a:r>
              <a:rPr lang="en-GB" b="0" cap="none" spc="0" baseline="0">
                <a:ln w="0"/>
                <a:solidFill>
                  <a:schemeClr val="tx1"/>
                </a:solidFill>
                <a:effectLst>
                  <a:outerShdw blurRad="38100" dist="19050" dir="2700000" algn="tl" rotWithShape="0">
                    <a:schemeClr val="dk1">
                      <a:alpha val="40000"/>
                    </a:schemeClr>
                  </a:outerShdw>
                </a:effectLst>
              </a:rPr>
              <a:t> Cover</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2.39</c:v>
                </c:pt>
                <c:pt idx="1">
                  <c:v>2.2599999999999998</c:v>
                </c:pt>
              </c:numCache>
            </c:numRef>
          </c:val>
          <c:extLst>
            <c:ext xmlns:c16="http://schemas.microsoft.com/office/drawing/2014/chart" uri="{C3380CC4-5D6E-409C-BE32-E72D297353CC}">
              <c16:uniqueId val="{00000000-6F4A-4AFE-9375-BC67B8EA7359}"/>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3.07</c:v>
              </c:pt>
            </c:numLit>
          </c:val>
          <c:smooth val="0"/>
          <c:extLst>
            <c:ext xmlns:c16="http://schemas.microsoft.com/office/drawing/2014/chart" uri="{C3380CC4-5D6E-409C-BE32-E72D297353CC}">
              <c16:uniqueId val="{00000001-6F4A-4AFE-9375-BC67B8EA7359}"/>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Earnings Per</a:t>
            </a:r>
            <a:r>
              <a:rPr lang="en-GB" b="0" cap="none" spc="0" baseline="0">
                <a:ln w="0"/>
                <a:solidFill>
                  <a:schemeClr val="tx1"/>
                </a:solidFill>
                <a:effectLst>
                  <a:outerShdw blurRad="38100" dist="19050" dir="2700000" algn="tl" rotWithShape="0">
                    <a:schemeClr val="dk1">
                      <a:alpha val="40000"/>
                    </a:schemeClr>
                  </a:outerShdw>
                </a:effectLst>
              </a:rPr>
              <a:t> Share</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lineChart>
        <c:grouping val="standard"/>
        <c:varyColors val="0"/>
        <c:ser>
          <c:idx val="0"/>
          <c:order val="0"/>
          <c:spPr>
            <a:ln w="41275" cap="rnd" cmpd="dbl">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 (2)'!$A$21:$A$23</c:f>
              <c:numCache>
                <c:formatCode>General</c:formatCode>
                <c:ptCount val="3"/>
                <c:pt idx="0">
                  <c:v>2017</c:v>
                </c:pt>
                <c:pt idx="1">
                  <c:v>2016</c:v>
                </c:pt>
              </c:numCache>
            </c:numRef>
          </c:cat>
          <c:val>
            <c:numRef>
              <c:f>'Sheet1 (2)'!$B$21:$B$23</c:f>
              <c:numCache>
                <c:formatCode>General</c:formatCode>
                <c:ptCount val="3"/>
                <c:pt idx="0">
                  <c:v>0.17</c:v>
                </c:pt>
                <c:pt idx="1">
                  <c:v>-0.05</c:v>
                </c:pt>
              </c:numCache>
            </c:numRef>
          </c:val>
          <c:smooth val="0"/>
          <c:extLst>
            <c:ext xmlns:c16="http://schemas.microsoft.com/office/drawing/2014/chart" uri="{C3380CC4-5D6E-409C-BE32-E72D297353CC}">
              <c16:uniqueId val="{00000000-4C67-4F1A-8D80-6EA2CA1AB7F4}"/>
            </c:ext>
          </c:extLst>
        </c:ser>
        <c:dLbls>
          <c:showLegendKey val="0"/>
          <c:showVal val="0"/>
          <c:showCatName val="0"/>
          <c:showSerName val="0"/>
          <c:showPercent val="0"/>
          <c:showBubbleSize val="0"/>
        </c:dLbls>
        <c:smooth val="0"/>
        <c:axId val="322979784"/>
        <c:axId val="322975520"/>
      </c:lineChart>
      <c:catAx>
        <c:axId val="322979784"/>
        <c:scaling>
          <c:orientation val="minMax"/>
        </c:scaling>
        <c:delete val="1"/>
        <c:axPos val="b"/>
        <c:numFmt formatCode="General" sourceLinked="1"/>
        <c:majorTickMark val="none"/>
        <c:minorTickMark val="none"/>
        <c:tickLblPos val="nextTo"/>
        <c:crossAx val="322975520"/>
        <c:crosses val="autoZero"/>
        <c:auto val="0"/>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Return on Equity %</a:t>
            </a: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 (2)'!$A$21:$A$23</c:f>
              <c:strCache>
                <c:ptCount val="3"/>
                <c:pt idx="0">
                  <c:v>2016</c:v>
                </c:pt>
                <c:pt idx="1">
                  <c:v>2017</c:v>
                </c:pt>
                <c:pt idx="2">
                  <c:v>HSBC (2017)</c:v>
                </c:pt>
              </c:strCache>
            </c:strRef>
          </c:cat>
          <c:val>
            <c:numRef>
              <c:f>'Sheet1 (2)'!$B$21:$B$23</c:f>
              <c:numCache>
                <c:formatCode>General</c:formatCode>
                <c:ptCount val="3"/>
                <c:pt idx="0">
                  <c:v>27.8</c:v>
                </c:pt>
                <c:pt idx="1">
                  <c:v>27.28</c:v>
                </c:pt>
                <c:pt idx="2">
                  <c:v>27.17</c:v>
                </c:pt>
              </c:numCache>
            </c:numRef>
          </c:val>
          <c:extLst>
            <c:ext xmlns:c16="http://schemas.microsoft.com/office/drawing/2014/chart" uri="{C3380CC4-5D6E-409C-BE32-E72D297353CC}">
              <c16:uniqueId val="{00000000-1A6F-45EC-BC50-2363CAB04EAC}"/>
            </c:ext>
          </c:extLst>
        </c:ser>
        <c:dLbls>
          <c:showLegendKey val="0"/>
          <c:showVal val="0"/>
          <c:showCatName val="0"/>
          <c:showSerName val="0"/>
          <c:showPercent val="0"/>
          <c:showBubbleSize val="0"/>
        </c:dLbls>
        <c:gapWidth val="219"/>
        <c:axId val="322979784"/>
        <c:axId val="322975520"/>
      </c:bar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0.52569</cdr:x>
      <cdr:y>0.86111</cdr:y>
    </cdr:from>
    <cdr:to>
      <cdr:x>0.65486</cdr:x>
      <cdr:y>0.95833</cdr:y>
    </cdr:to>
    <cdr:sp macro="" textlink="">
      <cdr:nvSpPr>
        <cdr:cNvPr id="2" name="Text Box 27"/>
        <cdr:cNvSpPr txBox="1"/>
      </cdr:nvSpPr>
      <cdr:spPr>
        <a:xfrm xmlns:a="http://schemas.openxmlformats.org/drawingml/2006/main">
          <a:off x="2403475" y="2362200"/>
          <a:ext cx="590550" cy="266700"/>
        </a:xfrm>
        <a:prstGeom xmlns:a="http://schemas.openxmlformats.org/drawingml/2006/main" prst="rect">
          <a:avLst/>
        </a:prstGeom>
        <a:solidFill xmlns:a="http://schemas.openxmlformats.org/drawingml/2006/main">
          <a:schemeClr val="lt1"/>
        </a:solidFill>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07000"/>
            </a:lnSpc>
            <a:spcAft>
              <a:spcPts val="800"/>
            </a:spcAft>
          </a:pPr>
          <a:r>
            <a:rPr lang="en-GB" sz="1100">
              <a:effectLst/>
              <a:latin typeface="Arial" panose="020B0604020202020204" pitchFamily="34" charset="0"/>
              <a:ea typeface="Calibri" panose="020F0502020204030204" pitchFamily="34" charset="0"/>
            </a:rPr>
            <a:t>2017</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13</Pages>
  <Words>3203</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21424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6</cp:revision>
  <dcterms:created xsi:type="dcterms:W3CDTF">2019-01-02T13:31:00Z</dcterms:created>
  <dcterms:modified xsi:type="dcterms:W3CDTF">2019-01-18T07:50:00Z</dcterms:modified>
</cp:coreProperties>
</file>