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BAD10" w14:textId="43A911FA" w:rsidR="00A54552" w:rsidRPr="00A54552" w:rsidRDefault="00A54552" w:rsidP="00A54552">
      <w:pPr>
        <w:spacing w:line="480" w:lineRule="auto"/>
        <w:rPr>
          <w:b/>
          <w:bCs/>
        </w:rPr>
      </w:pPr>
      <w:r w:rsidRPr="00A54552">
        <w:rPr>
          <w:b/>
          <w:bCs/>
        </w:rPr>
        <w:t>Carla MORRIS</w:t>
      </w:r>
      <w:r>
        <w:rPr>
          <w:b/>
          <w:bCs/>
        </w:rPr>
        <w:t xml:space="preserve"> - 2222329</w:t>
      </w:r>
    </w:p>
    <w:p w14:paraId="1A4A6DDF" w14:textId="77777777" w:rsidR="00A54552" w:rsidRDefault="00A54552" w:rsidP="00555396">
      <w:pPr>
        <w:spacing w:line="480" w:lineRule="auto"/>
        <w:jc w:val="center"/>
        <w:rPr>
          <w:b/>
          <w:bCs/>
          <w:u w:val="single"/>
        </w:rPr>
      </w:pPr>
    </w:p>
    <w:p w14:paraId="0F6778C0" w14:textId="21B50CEF" w:rsidR="00905A1E" w:rsidRPr="00905A1E" w:rsidRDefault="00A54552" w:rsidP="00555396">
      <w:pPr>
        <w:spacing w:line="480" w:lineRule="auto"/>
        <w:jc w:val="center"/>
        <w:rPr>
          <w:b/>
          <w:bCs/>
          <w:u w:val="single"/>
        </w:rPr>
      </w:pPr>
      <w:r>
        <w:rPr>
          <w:b/>
          <w:bCs/>
          <w:u w:val="single"/>
        </w:rPr>
        <w:t xml:space="preserve">Essay 1: </w:t>
      </w:r>
      <w:r w:rsidR="00905A1E" w:rsidRPr="00905A1E">
        <w:rPr>
          <w:b/>
          <w:bCs/>
          <w:u w:val="single"/>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273C155D" w14:textId="77777777" w:rsidR="00905A1E" w:rsidRDefault="00905A1E" w:rsidP="00555396">
      <w:pPr>
        <w:spacing w:line="480" w:lineRule="auto"/>
      </w:pPr>
    </w:p>
    <w:p w14:paraId="5FBA3317" w14:textId="0F902084" w:rsidR="00E82BFB" w:rsidRDefault="00E82BFB" w:rsidP="00555396">
      <w:pPr>
        <w:spacing w:line="480" w:lineRule="auto"/>
      </w:pPr>
      <w:r>
        <w:t xml:space="preserve">HMICFRS commissioned a large-scale survey of the public to assess perceptions of the police. The study consisted of 17,043 surveys and spoke with members of the public. The surveys were conducted online and face-to-face. Overall, the results showed that 61% of people included in the survey were satisfied with their local police force. This was an increase from 2017. 65% of respondents agree that police in their local area treat people fairly and with respect and 74% believe that the police effectively deal with an emergency. These statistics have also improved from 2017. </w:t>
      </w:r>
      <w:r w:rsidR="006D4A17">
        <w:t xml:space="preserve">(HMICFRS, </w:t>
      </w:r>
      <w:r w:rsidR="006D4A17">
        <w:rPr>
          <w:i/>
          <w:iCs/>
        </w:rPr>
        <w:t>Survey summary 2018</w:t>
      </w:r>
      <w:r w:rsidR="006D4A17">
        <w:t xml:space="preserve"> 2024)</w:t>
      </w:r>
    </w:p>
    <w:p w14:paraId="74D59F17" w14:textId="4DDE9785" w:rsidR="00487043" w:rsidRDefault="00487043" w:rsidP="00555396">
      <w:pPr>
        <w:spacing w:line="480" w:lineRule="auto"/>
      </w:pPr>
      <w:r>
        <w:t>The home office report from December 2014 was based around improving police integrity and focused on reforming the complaints and disciplinary systems. The prime minister at the time, Theresa May wrote in the forward</w:t>
      </w:r>
      <w:r w:rsidR="00441628">
        <w:t>,</w:t>
      </w:r>
      <w:r>
        <w:t xml:space="preserve"> that she has always been clear that </w:t>
      </w:r>
      <w:proofErr w:type="gramStart"/>
      <w:r>
        <w:t>the vast majority of</w:t>
      </w:r>
      <w:proofErr w:type="gramEnd"/>
      <w:r>
        <w:t xml:space="preserve"> police officers and staff do their jobs with integrity and honesty and that they put themselves in harms way to keep the public safe, however it is recognised that there are a minority who act inappropriately. </w:t>
      </w:r>
      <w:r w:rsidRPr="00487043">
        <w:t xml:space="preserve">(Gov.uk, </w:t>
      </w:r>
      <w:r w:rsidRPr="00487043">
        <w:rPr>
          <w:i/>
          <w:iCs/>
        </w:rPr>
        <w:t>Improving police integrity</w:t>
      </w:r>
      <w:r w:rsidRPr="00487043">
        <w:t xml:space="preserve"> 2014)</w:t>
      </w:r>
      <w:r>
        <w:t xml:space="preserve"> The report states that the police are taking steps to meet the challenge they face to ensure they continue to maintain and improve public trust and confidence. </w:t>
      </w:r>
      <w:r w:rsidR="00441628">
        <w:t xml:space="preserve">Policing in the UK is rooted in the concept of policing by consent which is designed to maintain the approval, respect, and affection of the public. </w:t>
      </w:r>
      <w:r w:rsidR="00555396">
        <w:t>(Gov.uk, 2023)</w:t>
      </w:r>
    </w:p>
    <w:p w14:paraId="2615DF91" w14:textId="50906BC2" w:rsidR="006D4A17" w:rsidRDefault="006D4A17" w:rsidP="00555396">
      <w:pPr>
        <w:spacing w:line="480" w:lineRule="auto"/>
      </w:pPr>
      <w:r>
        <w:lastRenderedPageBreak/>
        <w:t xml:space="preserve">The College of Policing have guidelines in place to ensure all officers are trained to be able to build trust and confidence </w:t>
      </w:r>
      <w:r w:rsidR="004C5014">
        <w:t>in</w:t>
      </w:r>
      <w:r>
        <w:t xml:space="preserve"> the public.</w:t>
      </w:r>
      <w:r w:rsidR="004C5014">
        <w:t xml:space="preserve"> All police officers and staff who join the organisation are expected to abide by the statutory code of practice to compliment the non-statutory Code of Ethics. This is expected of all police personnel, whether they are on the front line or not. This includes contactors and volunteers. (College of Policing, </w:t>
      </w:r>
      <w:r w:rsidR="004C5014">
        <w:rPr>
          <w:i/>
          <w:iCs/>
        </w:rPr>
        <w:t>Guidance for ethical and professional behaviour in policing</w:t>
      </w:r>
      <w:r w:rsidR="004C5014">
        <w:t xml:space="preserve"> 2024)</w:t>
      </w:r>
      <w:r w:rsidR="001A0C26">
        <w:t xml:space="preserve"> </w:t>
      </w:r>
    </w:p>
    <w:p w14:paraId="77BBC36C" w14:textId="54633781" w:rsidR="00487043" w:rsidRPr="00555396" w:rsidRDefault="00487043" w:rsidP="00555396">
      <w:pPr>
        <w:pStyle w:val="NormalWeb"/>
        <w:spacing w:line="480" w:lineRule="auto"/>
        <w:rPr>
          <w:rFonts w:eastAsia="Calibri"/>
          <w:color w:val="000000"/>
        </w:rPr>
      </w:pPr>
      <w:r>
        <w:t xml:space="preserve">The Code of Ethics </w:t>
      </w:r>
      <w:r w:rsidR="009F332E">
        <w:t xml:space="preserve">uses three ethical policing principles which are focused on courage, respect, </w:t>
      </w:r>
      <w:r w:rsidR="00B77C99">
        <w:t>empathy,</w:t>
      </w:r>
      <w:r w:rsidR="009F332E">
        <w:t xml:space="preserve"> and public service. The college of policing describes courage as taking responsibility for your actions and decisions, setting an example by acting as a role model to members of the public and the young people that officers meet while on the front line. Officers are expected to challenge inappropriate and unprofessional behaviour that undermine the profession and challenge all prejudice and discrimination. It is also important to ensure that unprofessional behaviour and conduct within the organisation is highlighted to supervisors to ensure that internally, the organisation is abiding by the code. It’s important to demonstrate integrity and understand the need to be truthful when making decisions and take responsibility if questioned on decision making process</w:t>
      </w:r>
      <w:r w:rsidR="009F332E" w:rsidRPr="00555396">
        <w:rPr>
          <w:rFonts w:asciiTheme="minorHAnsi" w:hAnsiTheme="minorHAnsi" w:cstheme="minorHAnsi"/>
        </w:rPr>
        <w:t xml:space="preserve">. </w:t>
      </w:r>
      <w:r w:rsidR="00555396" w:rsidRPr="00555396">
        <w:rPr>
          <w:rFonts w:asciiTheme="minorHAnsi" w:eastAsia="Calibri" w:hAnsiTheme="minorHAnsi" w:cstheme="minorHAnsi"/>
          <w:color w:val="000000"/>
        </w:rPr>
        <w:t>(College of Policing, 2024)</w:t>
      </w:r>
    </w:p>
    <w:p w14:paraId="7BFC8C2B" w14:textId="2F33B772" w:rsidR="009F332E" w:rsidRDefault="009F332E" w:rsidP="00555396">
      <w:pPr>
        <w:spacing w:line="480" w:lineRule="auto"/>
      </w:pPr>
      <w:r>
        <w:t xml:space="preserve">The college of policing describe Respect and empathy as acting with respect, listening </w:t>
      </w:r>
      <w:r w:rsidR="00173E62">
        <w:t>to,</w:t>
      </w:r>
      <w:r>
        <w:t xml:space="preserve"> and understanding perspectives and understanding the impact of emotions and welfare. It also explains the importance of being fair and impartial when going into situations. Officers are expected to treat everyone with dignity and ensure that people feel like they are valued. At this point in policing in 2024, the focus on victims is of the highest importance, and ensuring that every victim that officers </w:t>
      </w:r>
      <w:r w:rsidR="00B77C99">
        <w:t>encounter</w:t>
      </w:r>
      <w:r>
        <w:t xml:space="preserve"> feel safe and secure to tell their story to the officers who respond to their needs. </w:t>
      </w:r>
      <w:r w:rsidR="004B4363">
        <w:t xml:space="preserve">Understanding the complex emotions of the impact that the police have and ensure that the organisation provides a service that takes account of each individual needs. </w:t>
      </w:r>
      <w:r w:rsidR="00555396" w:rsidRPr="00555396">
        <w:rPr>
          <w:rFonts w:eastAsia="Calibri" w:cstheme="minorHAnsi"/>
          <w:color w:val="000000"/>
          <w:lang w:eastAsia="en-GB"/>
        </w:rPr>
        <w:t>(College of Policing, 2024)</w:t>
      </w:r>
    </w:p>
    <w:p w14:paraId="70A464AA" w14:textId="585E1D7F" w:rsidR="004B4363" w:rsidRDefault="004B4363" w:rsidP="00555396">
      <w:pPr>
        <w:spacing w:line="480" w:lineRule="auto"/>
      </w:pPr>
      <w:r>
        <w:lastRenderedPageBreak/>
        <w:t xml:space="preserve">The college of policing describes public service as delivering a service to be proud of, acting lawfully and understanding to the </w:t>
      </w:r>
      <w:r w:rsidR="00B77C99">
        <w:t>public’s</w:t>
      </w:r>
      <w:r>
        <w:t xml:space="preserve"> needs. The police organisation </w:t>
      </w:r>
      <w:r w:rsidR="00B77C99">
        <w:t>is</w:t>
      </w:r>
      <w:r>
        <w:t xml:space="preserve"> committed to working in the public interest and take pride in providing an excellent service.</w:t>
      </w:r>
      <w:r w:rsidR="00CA3C57">
        <w:t xml:space="preserve"> Working collaboratively with colleagues and outside agencies ensure that officers </w:t>
      </w:r>
      <w:r w:rsidR="00B77C99">
        <w:t>can</w:t>
      </w:r>
      <w:r w:rsidR="00CA3C57">
        <w:t xml:space="preserve"> provide the best service to the public, while respecting the discretion they have and apply powers when lawful, </w:t>
      </w:r>
      <w:r w:rsidR="00B77C99">
        <w:t>proportionate,</w:t>
      </w:r>
      <w:r w:rsidR="00CA3C57">
        <w:t xml:space="preserve"> and necessary. </w:t>
      </w:r>
      <w:r w:rsidR="00B77C99">
        <w:t xml:space="preserve">(College of Policing, </w:t>
      </w:r>
      <w:r w:rsidR="00B77C99">
        <w:rPr>
          <w:i/>
          <w:iCs/>
        </w:rPr>
        <w:t>Code of ethics</w:t>
      </w:r>
      <w:r w:rsidR="00B77C99">
        <w:t xml:space="preserve"> 2024)</w:t>
      </w:r>
    </w:p>
    <w:p w14:paraId="78423534" w14:textId="1029250B" w:rsidR="001D2D4F" w:rsidRPr="00555396" w:rsidRDefault="0015788E" w:rsidP="00555396">
      <w:pPr>
        <w:pStyle w:val="NormalWeb"/>
        <w:spacing w:line="480" w:lineRule="auto"/>
        <w:rPr>
          <w:color w:val="000000"/>
        </w:rPr>
      </w:pPr>
      <w:r>
        <w:t>Within the police service, the professional standards department plays an important role in maintain</w:t>
      </w:r>
      <w:r w:rsidR="00A4456F">
        <w:t xml:space="preserve">ing </w:t>
      </w:r>
      <w:r>
        <w:t>trust and confidence</w:t>
      </w:r>
      <w:r w:rsidR="00A4456F">
        <w:t xml:space="preserve"> that the public have in the police service and ensure that they monitor the persons who are entering the organisation and manage any internal misconduct and complaints. If the public perception is that the police have not been able to do their own internal investigation or there is any inclination that the police are being biased in an investigation, the Independent Office for Police Conduct would then be involved.</w:t>
      </w:r>
      <w:r w:rsidR="00555396">
        <w:t xml:space="preserve"> </w:t>
      </w:r>
    </w:p>
    <w:p w14:paraId="66C4EF3D" w14:textId="0AD44676" w:rsidR="00BB17AF" w:rsidRPr="00555396" w:rsidRDefault="00BB17AF" w:rsidP="00555396">
      <w:pPr>
        <w:pStyle w:val="NormalWeb"/>
        <w:spacing w:line="480" w:lineRule="auto"/>
        <w:rPr>
          <w:color w:val="000000"/>
        </w:rPr>
      </w:pPr>
      <w:r>
        <w:t xml:space="preserve">The Independent Office for Police Conduct ensures that police complaints are dealt with fairly and is impartial to the police service. They oversee the police complaints system and play a vital role in improving police practice ensuring that the police are accountable for their actions. The IPOC work closely with HMICFRS and the college of policing to assess and respond to complaints that are brought to their attention. The IOPC also have powers that are police-like powers where they </w:t>
      </w:r>
      <w:r w:rsidR="0015788E">
        <w:t>can</w:t>
      </w:r>
      <w:r>
        <w:t xml:space="preserve"> investigate criminal allegations against police </w:t>
      </w:r>
      <w:r w:rsidR="0015788E">
        <w:t xml:space="preserve">and crime commissioners and their deputies. Having an independent organisation overseeing police </w:t>
      </w:r>
      <w:r w:rsidR="0015788E" w:rsidRPr="00555396">
        <w:rPr>
          <w:rFonts w:asciiTheme="minorHAnsi" w:hAnsiTheme="minorHAnsi" w:cstheme="minorHAnsi"/>
        </w:rPr>
        <w:t xml:space="preserve">complaints, can lead to better police practice and benefits communities and police forces. </w:t>
      </w:r>
      <w:r w:rsidR="00555396" w:rsidRPr="00555396">
        <w:rPr>
          <w:rStyle w:val="gmail-apple-converted-space"/>
          <w:rFonts w:asciiTheme="minorHAnsi" w:hAnsiTheme="minorHAnsi" w:cstheme="minorHAnsi"/>
          <w:color w:val="000000"/>
        </w:rPr>
        <w:t>(IOPC, 2024)</w:t>
      </w:r>
    </w:p>
    <w:p w14:paraId="08B81761" w14:textId="13808019" w:rsidR="0015788E" w:rsidRDefault="0015788E" w:rsidP="00555396">
      <w:pPr>
        <w:spacing w:line="480" w:lineRule="auto"/>
      </w:pPr>
      <w:r>
        <w:t>To summarise this essay</w:t>
      </w:r>
      <w:r w:rsidR="00A4456F">
        <w:t xml:space="preserve">, </w:t>
      </w:r>
      <w:r w:rsidR="00173E62">
        <w:t xml:space="preserve">we have discussed the HMICFRS report and the plans in place by the UK government to put plans in place to improve public trust and to maintain confidence in the police who are supporting the communities. </w:t>
      </w:r>
      <w:r w:rsidR="00A4456F">
        <w:t xml:space="preserve"> </w:t>
      </w:r>
      <w:r w:rsidR="00173E62">
        <w:t xml:space="preserve">It’s clear that there are steps in place by the organisations that police the United Kingdom to ensure that the individuals who are being employed are expected </w:t>
      </w:r>
      <w:r w:rsidR="00173E62">
        <w:lastRenderedPageBreak/>
        <w:t xml:space="preserve">to abide by the code of ethics set out by the college of policing and that there are ways and means of dealing with anyone who steers away from their professionalism and that there are organisations such as the IOPC that exist to ensure that </w:t>
      </w:r>
      <w:r w:rsidR="00441628">
        <w:t xml:space="preserve">investigations into police misconduct are managed appropriately and fairly. </w:t>
      </w:r>
    </w:p>
    <w:p w14:paraId="0D1CB7C1" w14:textId="77777777" w:rsidR="00607298" w:rsidRDefault="00607298" w:rsidP="00555396">
      <w:pPr>
        <w:spacing w:line="480" w:lineRule="auto"/>
      </w:pPr>
    </w:p>
    <w:p w14:paraId="30F2A877" w14:textId="3C3A9A93" w:rsidR="00607298" w:rsidRPr="00555396" w:rsidRDefault="00555396" w:rsidP="00555396">
      <w:pPr>
        <w:spacing w:line="480" w:lineRule="auto"/>
        <w:rPr>
          <w:b/>
          <w:bCs/>
        </w:rPr>
      </w:pPr>
      <w:r w:rsidRPr="00555396">
        <w:rPr>
          <w:b/>
          <w:bCs/>
        </w:rPr>
        <w:t>Word Count - 984</w:t>
      </w:r>
    </w:p>
    <w:p w14:paraId="6DE2B48C" w14:textId="77777777" w:rsidR="00607298" w:rsidRDefault="00607298" w:rsidP="00555396">
      <w:pPr>
        <w:spacing w:line="480" w:lineRule="auto"/>
      </w:pPr>
    </w:p>
    <w:p w14:paraId="1FFA4BD2" w14:textId="77777777" w:rsidR="00555396" w:rsidRDefault="00555396" w:rsidP="00555396">
      <w:pPr>
        <w:spacing w:line="480" w:lineRule="auto"/>
      </w:pPr>
    </w:p>
    <w:p w14:paraId="16682CCB" w14:textId="3119E812" w:rsidR="00555396" w:rsidRPr="006E7648" w:rsidRDefault="00A54552" w:rsidP="00555396">
      <w:pPr>
        <w:pStyle w:val="NormalWeb"/>
        <w:spacing w:before="0" w:beforeAutospacing="0" w:after="0" w:afterAutospacing="0" w:line="480" w:lineRule="auto"/>
        <w:jc w:val="center"/>
        <w:rPr>
          <w:rFonts w:asciiTheme="minorHAnsi" w:hAnsiTheme="minorHAnsi" w:cstheme="minorHAnsi"/>
          <w:b/>
          <w:bCs/>
          <w:color w:val="000000"/>
          <w:u w:val="single"/>
        </w:rPr>
      </w:pPr>
      <w:r>
        <w:rPr>
          <w:rFonts w:asciiTheme="minorHAnsi" w:hAnsiTheme="minorHAnsi" w:cstheme="minorHAnsi"/>
          <w:b/>
          <w:bCs/>
          <w:color w:val="000000"/>
          <w:u w:val="single"/>
        </w:rPr>
        <w:t xml:space="preserve">Essay Two: </w:t>
      </w:r>
      <w:r w:rsidR="00555396" w:rsidRPr="006E7648">
        <w:rPr>
          <w:rFonts w:asciiTheme="minorHAnsi" w:hAnsiTheme="minorHAnsi" w:cstheme="minorHAnsi"/>
          <w:b/>
          <w:bCs/>
          <w:color w:val="000000"/>
          <w:u w:val="single"/>
        </w:rPr>
        <w:t>Community policing - Why is partnership the most effective strategy for improving community engagement?</w:t>
      </w:r>
    </w:p>
    <w:p w14:paraId="358B196D"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p>
    <w:p w14:paraId="345B2E7C"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 xml:space="preserve">Having partnerships in the community when it comes to policing makes it easier to understand what needs the community have </w:t>
      </w:r>
      <w:r>
        <w:rPr>
          <w:rFonts w:asciiTheme="minorHAnsi" w:hAnsiTheme="minorHAnsi" w:cstheme="minorHAnsi"/>
          <w:color w:val="000000"/>
        </w:rPr>
        <w:t>and how best to help them improve on areas that are causing issues</w:t>
      </w:r>
      <w:r w:rsidRPr="006E7648">
        <w:rPr>
          <w:rFonts w:asciiTheme="minorHAnsi" w:hAnsiTheme="minorHAnsi" w:cstheme="minorHAnsi"/>
          <w:color w:val="000000"/>
        </w:rPr>
        <w:t>. Working alongside local authorities can help tackle the quality-of-life issues in the community according to a case study by the Home Office named Research Report 61. This case study highlights the importance of partnerships with neighbourhood policing. The case study shows that due to there being evidence supporting the impact the ‘National Reassurance Policing Programme’ had ‘on public confidence, victimisation and anti-social behaviour rates’, Neighbourhood policing was introduced through all neighbourhoods in Wales and England. (Home Office, Delivering neighbourhood policing in partnership 2012)</w:t>
      </w:r>
      <w:r w:rsidRPr="006E7648">
        <w:rPr>
          <w:rStyle w:val="gmail-apple-converted-space"/>
          <w:rFonts w:asciiTheme="minorHAnsi" w:hAnsiTheme="minorHAnsi" w:cstheme="minorHAnsi"/>
          <w:color w:val="000000"/>
        </w:rPr>
        <w:t> </w:t>
      </w:r>
    </w:p>
    <w:p w14:paraId="29131441"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p>
    <w:p w14:paraId="5BFCC6D8"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 xml:space="preserve">“NRPP (Neighbourhood Reassurance Policing Programme) activities can be summarised as 1) targeted policing activity and problem-solving to tackle crimes and disorder; 2) soliciting community involvement in the process of identifying priorities and providing information, input and feedback; </w:t>
      </w:r>
      <w:r w:rsidRPr="006E7648">
        <w:rPr>
          <w:rFonts w:asciiTheme="minorHAnsi" w:hAnsiTheme="minorHAnsi" w:cstheme="minorHAnsi"/>
          <w:color w:val="000000"/>
        </w:rPr>
        <w:lastRenderedPageBreak/>
        <w:t xml:space="preserve">and 3) increasing the presence of visible, accessible, and locally known authority figures in neighbourhoods, in particular police officers and police community support officers.” </w:t>
      </w:r>
      <w:r>
        <w:rPr>
          <w:rFonts w:asciiTheme="minorHAnsi" w:hAnsiTheme="minorHAnsi" w:cstheme="minorHAnsi"/>
          <w:color w:val="000000"/>
        </w:rPr>
        <w:t>(</w:t>
      </w:r>
      <w:proofErr w:type="spellStart"/>
      <w:r w:rsidRPr="006E7648">
        <w:rPr>
          <w:rFonts w:asciiTheme="minorHAnsi" w:hAnsiTheme="minorHAnsi" w:cstheme="minorHAnsi"/>
          <w:color w:val="000000"/>
        </w:rPr>
        <w:t>tuffin</w:t>
      </w:r>
      <w:proofErr w:type="spellEnd"/>
      <w:r w:rsidRPr="006E7648">
        <w:rPr>
          <w:rFonts w:asciiTheme="minorHAnsi" w:hAnsiTheme="minorHAnsi" w:cstheme="minorHAnsi"/>
          <w:color w:val="000000"/>
        </w:rPr>
        <w:t xml:space="preserve"> et al.</w:t>
      </w:r>
      <w:r>
        <w:rPr>
          <w:rFonts w:asciiTheme="minorHAnsi" w:hAnsiTheme="minorHAnsi" w:cstheme="minorHAnsi"/>
          <w:color w:val="000000"/>
        </w:rPr>
        <w:t xml:space="preserve"> </w:t>
      </w:r>
      <w:r w:rsidRPr="006E7648">
        <w:rPr>
          <w:rFonts w:asciiTheme="minorHAnsi" w:hAnsiTheme="minorHAnsi" w:cstheme="minorHAnsi"/>
          <w:color w:val="000000"/>
        </w:rPr>
        <w:t xml:space="preserve">2006) </w:t>
      </w:r>
    </w:p>
    <w:p w14:paraId="0B654661"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p>
    <w:p w14:paraId="4749BF05"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Neighbourhood policing is complex and stems from 4 themes:</w:t>
      </w:r>
    </w:p>
    <w:p w14:paraId="7331FD1A"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Partnership working arrangements, information sharing, problem solving and engaging with members of the local community - (Home Office, delivering neighbourhood policing in partnership 2012)</w:t>
      </w:r>
      <w:r w:rsidRPr="006E7648">
        <w:rPr>
          <w:rStyle w:val="gmail-apple-converted-space"/>
          <w:rFonts w:asciiTheme="minorHAnsi" w:hAnsiTheme="minorHAnsi" w:cstheme="minorHAnsi"/>
          <w:color w:val="000000"/>
        </w:rPr>
        <w:t xml:space="preserve"> In</w:t>
      </w:r>
      <w:r w:rsidRPr="006E7648">
        <w:rPr>
          <w:rFonts w:asciiTheme="minorHAnsi" w:hAnsiTheme="minorHAnsi" w:cstheme="minorHAnsi"/>
          <w:color w:val="000000"/>
        </w:rPr>
        <w:t xml:space="preserve"> policing, this is known as the SARA model. (College of Policing, Problem-solving policing 2023) The college off policing describes the model as firstly, identifying, and prioritising crime and disorder problems, then analysing the potential problems by gathering information and intelligence to identify the potential causes. The model then moves on to responding by developing and implementing activities to address the cause of the problem that has been identified in the analysis stage. Finally, assessing the measure of impact the response has had and whether it has had the desired effect. If the assessment phase is deemed unsuccessful, the model would need to start again to address the problems that remain. (College of Policing, Problem-solving policing 2023)</w:t>
      </w:r>
    </w:p>
    <w:p w14:paraId="5FC7C9ED"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An article by Career’s in Blue highlights the SARA model and states that ‘By using partner agencies this will go some way to alleviate what is a community problem. The forefront of every agency is to keep the community safe.’ (Farrell, 2024) It also shows the importance of working as a collaborative and the effects this can have not only on making the community safe, but by also reducing crime at its root.</w:t>
      </w:r>
      <w:r w:rsidRPr="006E7648">
        <w:rPr>
          <w:rStyle w:val="gmail-apple-converted-space"/>
          <w:rFonts w:asciiTheme="minorHAnsi" w:hAnsiTheme="minorHAnsi" w:cstheme="minorHAnsi"/>
          <w:color w:val="000000"/>
        </w:rPr>
        <w:t> </w:t>
      </w:r>
    </w:p>
    <w:p w14:paraId="0E9A7021"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p>
    <w:p w14:paraId="55CC4C19"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 xml:space="preserve">Neighbourhood policing is an effective way of managing a community’s needs by placing officers or staff in the neighbourhoods, making the police more accessible to members of the public. These officers become known to the public, which builds trust, and the accessibility of these officers can result in people feeling more able to approach them with any problems or queries they may have. The study by the Home Office found that there were factors deemed important to ensure that the </w:t>
      </w:r>
      <w:r w:rsidRPr="006E7648">
        <w:rPr>
          <w:rFonts w:asciiTheme="minorHAnsi" w:hAnsiTheme="minorHAnsi" w:cstheme="minorHAnsi"/>
          <w:color w:val="000000"/>
        </w:rPr>
        <w:lastRenderedPageBreak/>
        <w:t>public would engage with contributors. Having enthusiastic and committed people involved across the neighbourhood partnership’ would lead to its success. (Home Office, Delivering neighbourhood policing in partnership 2012). Research also found that the neighbourhood policing teams should have extensive knowledge of the local area, the problems those areas were facing and a genuine interest in the wellbeing of the residents who are living in the area. (Home Office, Delivering neighbourhood policing in partnership 2012).</w:t>
      </w:r>
      <w:r w:rsidRPr="006E7648">
        <w:rPr>
          <w:rStyle w:val="gmail-apple-converted-space"/>
          <w:rFonts w:asciiTheme="minorHAnsi" w:hAnsiTheme="minorHAnsi" w:cstheme="minorHAnsi"/>
          <w:color w:val="000000"/>
        </w:rPr>
        <w:t> </w:t>
      </w:r>
    </w:p>
    <w:p w14:paraId="19903812"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p>
    <w:p w14:paraId="4CC3CDF9"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This also would bare its challenges due to the longevity of the neighbourhood policing teams and the amount of awareness newer officers would have when it comes to a local area. If staff have been in an area for a long time, they will have extensive knowledge about what that neighbourhood needs, however if that member of staff were to move on and be replaced by someone new, the knowledge and trust can be hard to build back up. The research done by the home office also backs this up and explains the reason why this could risk the partnership. ‘Turnover of staff in lead roles such as the Neighbourhood Manager or an NPT Inspector was identified as a risk to successful partnership working, particularly if new members of staff were not as committed to working collaboratively.’ (Home Office, Delivering neighbourhood policing in partnership 2012)</w:t>
      </w:r>
    </w:p>
    <w:p w14:paraId="0EC1B595"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r w:rsidRPr="006E7648">
        <w:rPr>
          <w:rFonts w:asciiTheme="minorHAnsi" w:hAnsiTheme="minorHAnsi" w:cstheme="minorHAnsi"/>
          <w:color w:val="000000"/>
        </w:rPr>
        <w:t xml:space="preserve">Other barriers include not engaging with the community. Not everyone in a community will want to involve themselves with local concerns. The report by the Home Office states that ‘their attempts to involve some resident populations (e.g. minority ethnic groups, more affluent residents and young people) were unsuccessful’ (Home Office, delivering neighbourhood policing in partnership 2012) Neighbourhood policing teams hold a meeting weekly, monthly, or fortnightly with residents of their areas. These are known as PACT meetings, which stands for Partnerships and Communities Together. The Home Office report noted that these PACT meetings were ‘not representative’ and ‘generally comprised residents who were already involved in other residents’ groups, or residents who felt particularly strongly about a specific issue facing them personally.’ (Home Office, delivering neighbourhood policing in partnership 2012) To overcome this issue, neighbourhood policing teams </w:t>
      </w:r>
      <w:r w:rsidRPr="006E7648">
        <w:rPr>
          <w:rFonts w:asciiTheme="minorHAnsi" w:hAnsiTheme="minorHAnsi" w:cstheme="minorHAnsi"/>
          <w:color w:val="000000"/>
        </w:rPr>
        <w:lastRenderedPageBreak/>
        <w:t>would link in with partner agencies and speak to residents so that they would have their concerns aired face to face without having to attend a meeting. These were known as ‘Environmental visual audits, EVA’s’ (Home Office, delivering neighbourhood policing in partnership 2012) Teams would also do door to door engagement and issued PACT postcards to ensure all residents would be able to have every opportunity to engage with agencies to help them. These could then be dropped at focal points such as libraries and post offices. (Home Office, Delivering neighbourhood policing in partnership 2012)</w:t>
      </w:r>
      <w:r w:rsidRPr="006E7648">
        <w:rPr>
          <w:rStyle w:val="gmail-apple-converted-space"/>
          <w:rFonts w:asciiTheme="minorHAnsi" w:hAnsiTheme="minorHAnsi" w:cstheme="minorHAnsi"/>
          <w:color w:val="000000"/>
        </w:rPr>
        <w:t> </w:t>
      </w:r>
    </w:p>
    <w:p w14:paraId="385FCCBA" w14:textId="77777777" w:rsidR="00555396" w:rsidRPr="006E7648" w:rsidRDefault="00555396" w:rsidP="00555396">
      <w:pPr>
        <w:pStyle w:val="NormalWeb"/>
        <w:spacing w:before="0" w:beforeAutospacing="0" w:after="0" w:afterAutospacing="0" w:line="480" w:lineRule="auto"/>
        <w:rPr>
          <w:rFonts w:asciiTheme="minorHAnsi" w:hAnsiTheme="minorHAnsi" w:cstheme="minorHAnsi"/>
          <w:color w:val="000000"/>
        </w:rPr>
      </w:pPr>
    </w:p>
    <w:p w14:paraId="4E3DCCDE" w14:textId="77777777" w:rsidR="00555396" w:rsidRDefault="00555396" w:rsidP="00555396">
      <w:pPr>
        <w:spacing w:line="480" w:lineRule="auto"/>
      </w:pPr>
      <w:r>
        <w:t xml:space="preserve">To summarise this essay, the benefits of having partnerships working alongside neighbourhood policing have been discussed and have we have looked at the aims and objectives that the government have for neighbourhood policing. There will always be people in the community that do not want to engage with police however this is when the SARA model will play a huge part in trying to problem solve the issues that face the policing teams and help them to re-assess ways of trying to improve community engagement. </w:t>
      </w:r>
    </w:p>
    <w:p w14:paraId="33E93D90" w14:textId="77777777" w:rsidR="00555396" w:rsidRDefault="00555396" w:rsidP="00555396">
      <w:pPr>
        <w:spacing w:line="480" w:lineRule="auto"/>
      </w:pPr>
    </w:p>
    <w:p w14:paraId="15EB79C8" w14:textId="5F80F4E0" w:rsidR="00555396" w:rsidRDefault="00555396" w:rsidP="00555396">
      <w:pPr>
        <w:spacing w:line="480" w:lineRule="auto"/>
        <w:rPr>
          <w:b/>
          <w:bCs/>
        </w:rPr>
      </w:pPr>
      <w:r w:rsidRPr="00554F8E">
        <w:rPr>
          <w:b/>
          <w:bCs/>
        </w:rPr>
        <w:t xml:space="preserve">Word Count </w:t>
      </w:r>
      <w:r>
        <w:rPr>
          <w:b/>
          <w:bCs/>
        </w:rPr>
        <w:t>–</w:t>
      </w:r>
      <w:r w:rsidRPr="00554F8E">
        <w:rPr>
          <w:b/>
          <w:bCs/>
        </w:rPr>
        <w:t xml:space="preserve"> 10</w:t>
      </w:r>
      <w:r>
        <w:rPr>
          <w:b/>
          <w:bCs/>
        </w:rPr>
        <w:t>19</w:t>
      </w:r>
    </w:p>
    <w:p w14:paraId="7FF89C04" w14:textId="77777777" w:rsidR="00555396" w:rsidRPr="00554F8E" w:rsidRDefault="00555396" w:rsidP="00555396">
      <w:pPr>
        <w:spacing w:line="480" w:lineRule="auto"/>
        <w:rPr>
          <w:b/>
          <w:bCs/>
        </w:rPr>
      </w:pPr>
    </w:p>
    <w:p w14:paraId="71E62D7E" w14:textId="77777777" w:rsidR="00607298" w:rsidRDefault="00607298" w:rsidP="00555396">
      <w:pPr>
        <w:spacing w:line="480" w:lineRule="auto"/>
      </w:pPr>
    </w:p>
    <w:p w14:paraId="0CE5FB96" w14:textId="07C02398" w:rsidR="00555396" w:rsidRDefault="00A54552" w:rsidP="00555396">
      <w:pPr>
        <w:spacing w:line="480" w:lineRule="auto"/>
        <w:jc w:val="center"/>
        <w:rPr>
          <w:b/>
          <w:bCs/>
          <w:u w:val="single"/>
        </w:rPr>
      </w:pPr>
      <w:r>
        <w:rPr>
          <w:b/>
          <w:bCs/>
          <w:u w:val="single"/>
        </w:rPr>
        <w:t xml:space="preserve">Essay Three: </w:t>
      </w:r>
      <w:r w:rsidR="00555396" w:rsidRPr="00FB7142">
        <w:rPr>
          <w:b/>
          <w:bCs/>
          <w:u w:val="single"/>
        </w:rPr>
        <w:t>How effective are cognitive interviews as a means of obtaining initial accounts from victims and witnesses?</w:t>
      </w:r>
    </w:p>
    <w:p w14:paraId="6DF15326" w14:textId="77777777" w:rsidR="00555396" w:rsidRPr="00FB7142" w:rsidRDefault="00555396" w:rsidP="00555396">
      <w:pPr>
        <w:spacing w:line="480" w:lineRule="auto"/>
        <w:jc w:val="center"/>
        <w:rPr>
          <w:b/>
          <w:bCs/>
          <w:u w:val="single"/>
        </w:rPr>
      </w:pPr>
    </w:p>
    <w:p w14:paraId="5E0FD8B5" w14:textId="77777777" w:rsidR="00555396" w:rsidRDefault="00555396" w:rsidP="00555396">
      <w:pPr>
        <w:spacing w:line="480" w:lineRule="auto"/>
      </w:pPr>
      <w:r>
        <w:t>Cognitive interviews were developed in the 1990’s, demonstrating the best practice to effectively interview. This type of interview was designed to avoid leading the victim or witness and to allow them to recall their memory at their own pace. (</w:t>
      </w:r>
      <w:proofErr w:type="spellStart"/>
      <w:r>
        <w:t>Psychdout</w:t>
      </w:r>
      <w:proofErr w:type="spellEnd"/>
      <w:r>
        <w:t xml:space="preserve">, 2012) A study by Ronald P Fisher and R </w:t>
      </w:r>
      <w:r>
        <w:lastRenderedPageBreak/>
        <w:t xml:space="preserve">Edward Geiselman was conducted around the cognitive interview method focusing on the way that the police interview, and the quality of the information that they were able to retrieve. </w:t>
      </w:r>
      <w:r>
        <w:rPr>
          <w:rFonts w:cstheme="minorHAnsi"/>
          <w:shd w:val="clear" w:color="auto" w:fill="FFFFFF"/>
        </w:rPr>
        <w:t>(</w:t>
      </w:r>
      <w:r w:rsidRPr="00520DB0">
        <w:rPr>
          <w:rFonts w:cstheme="minorHAnsi"/>
          <w:shd w:val="clear" w:color="auto" w:fill="FFFFFF"/>
        </w:rPr>
        <w:t>Fisher et al</w:t>
      </w:r>
      <w:r>
        <w:rPr>
          <w:rFonts w:cstheme="minorHAnsi"/>
          <w:shd w:val="clear" w:color="auto" w:fill="FFFFFF"/>
        </w:rPr>
        <w:t xml:space="preserve">, </w:t>
      </w:r>
      <w:r w:rsidRPr="00520DB0">
        <w:rPr>
          <w:rFonts w:cstheme="minorHAnsi"/>
          <w:shd w:val="clear" w:color="auto" w:fill="FFFFFF"/>
        </w:rPr>
        <w:t>1989)</w:t>
      </w:r>
    </w:p>
    <w:p w14:paraId="20F973FE" w14:textId="77777777" w:rsidR="00555396" w:rsidRDefault="00555396" w:rsidP="00555396">
      <w:pPr>
        <w:spacing w:line="480" w:lineRule="auto"/>
        <w:rPr>
          <w:rFonts w:cstheme="minorHAnsi"/>
          <w:shd w:val="clear" w:color="auto" w:fill="FFFFFF"/>
        </w:rPr>
      </w:pPr>
      <w:r>
        <w:t xml:space="preserve">The abstract from the article reads </w:t>
      </w:r>
      <w:r w:rsidRPr="00FC173E">
        <w:t>‘</w:t>
      </w:r>
      <w:r w:rsidRPr="00FC173E">
        <w:rPr>
          <w:rFonts w:cstheme="minorHAnsi"/>
          <w:shd w:val="clear" w:color="auto" w:fill="FFFFFF"/>
        </w:rPr>
        <w:t>Police officers receive little or no training to conduct interviews with cooperative witnesses, and as a result they conduct interviews poorly, eliciting less information than is available and providing little support to assist victims overcome psychological problems that may have arisen from the crime.’</w:t>
      </w:r>
      <w:r>
        <w:rPr>
          <w:rFonts w:cstheme="minorHAnsi"/>
          <w:shd w:val="clear" w:color="auto" w:fill="FFFFFF"/>
        </w:rPr>
        <w:t xml:space="preserve"> (</w:t>
      </w:r>
      <w:r w:rsidRPr="00520DB0">
        <w:rPr>
          <w:rFonts w:cstheme="minorHAnsi"/>
          <w:shd w:val="clear" w:color="auto" w:fill="FFFFFF"/>
        </w:rPr>
        <w:t>Fisher et al</w:t>
      </w:r>
      <w:r>
        <w:rPr>
          <w:rFonts w:cstheme="minorHAnsi"/>
          <w:shd w:val="clear" w:color="auto" w:fill="FFFFFF"/>
        </w:rPr>
        <w:t xml:space="preserve">, </w:t>
      </w:r>
      <w:r w:rsidRPr="00520DB0">
        <w:rPr>
          <w:rFonts w:cstheme="minorHAnsi"/>
          <w:shd w:val="clear" w:color="auto" w:fill="FFFFFF"/>
        </w:rPr>
        <w:t>1989)</w:t>
      </w:r>
    </w:p>
    <w:p w14:paraId="1CE3A1C1" w14:textId="77777777" w:rsidR="00555396" w:rsidRDefault="00555396" w:rsidP="00555396">
      <w:pPr>
        <w:spacing w:before="120" w:after="120" w:line="480" w:lineRule="auto"/>
        <w:rPr>
          <w:rFonts w:cstheme="minorHAnsi"/>
          <w:shd w:val="clear" w:color="auto" w:fill="FFFFFF"/>
        </w:rPr>
      </w:pPr>
      <w:r>
        <w:rPr>
          <w:rFonts w:cstheme="minorHAnsi"/>
          <w:shd w:val="clear" w:color="auto" w:fill="FFFFFF"/>
        </w:rPr>
        <w:t>The cognitive interview is designed to ‘promote better witness recollection and also help to assist victims’ psychological health’. (</w:t>
      </w:r>
      <w:r w:rsidRPr="00520DB0">
        <w:rPr>
          <w:rFonts w:cstheme="minorHAnsi"/>
          <w:shd w:val="clear" w:color="auto" w:fill="FFFFFF"/>
        </w:rPr>
        <w:t>Fisher et al</w:t>
      </w:r>
      <w:r>
        <w:rPr>
          <w:rFonts w:cstheme="minorHAnsi"/>
          <w:shd w:val="clear" w:color="auto" w:fill="FFFFFF"/>
        </w:rPr>
        <w:t xml:space="preserve">, </w:t>
      </w:r>
      <w:r w:rsidRPr="00520DB0">
        <w:rPr>
          <w:rFonts w:cstheme="minorHAnsi"/>
          <w:shd w:val="clear" w:color="auto" w:fill="FFFFFF"/>
        </w:rPr>
        <w:t>1989)</w:t>
      </w:r>
      <w:r>
        <w:rPr>
          <w:rFonts w:cstheme="minorHAnsi"/>
          <w:shd w:val="clear" w:color="auto" w:fill="FFFFFF"/>
        </w:rPr>
        <w:t xml:space="preserve"> According to the same study by Ronald R P Fisher, this was tested in the field and was based on laboratory-tested principes. The overall evaluation showed a 94% success rate as it was believed that this process had enhanced the memory of the persons who were interviewed. (</w:t>
      </w:r>
      <w:r w:rsidRPr="00520DB0">
        <w:rPr>
          <w:rFonts w:cstheme="minorHAnsi"/>
          <w:shd w:val="clear" w:color="auto" w:fill="FFFFFF"/>
        </w:rPr>
        <w:t>Fisher et al</w:t>
      </w:r>
      <w:r>
        <w:rPr>
          <w:rFonts w:cstheme="minorHAnsi"/>
          <w:shd w:val="clear" w:color="auto" w:fill="FFFFFF"/>
        </w:rPr>
        <w:t xml:space="preserve">, </w:t>
      </w:r>
      <w:r w:rsidRPr="00520DB0">
        <w:rPr>
          <w:rFonts w:cstheme="minorHAnsi"/>
          <w:shd w:val="clear" w:color="auto" w:fill="FFFFFF"/>
        </w:rPr>
        <w:t>1989)</w:t>
      </w:r>
    </w:p>
    <w:p w14:paraId="63C131B8" w14:textId="77777777" w:rsidR="00555396" w:rsidRPr="00213E62" w:rsidRDefault="00555396" w:rsidP="00555396">
      <w:pPr>
        <w:spacing w:line="480" w:lineRule="auto"/>
      </w:pPr>
      <w:r>
        <w:t xml:space="preserve">According to Simply Psychology, the downside of the cognitive interview is that it can be time consuming and takes a lot longer than a standard police interview, as it requires specific training. A survey by Kebbell and Wagstaff in 1999 found that officers did not have the time to perform such an interview due to the time they would take which would also mean that the ‘proper’ version of the interview was used. </w:t>
      </w:r>
    </w:p>
    <w:p w14:paraId="059D3A10" w14:textId="77777777" w:rsidR="00555396" w:rsidRDefault="00555396" w:rsidP="00555396">
      <w:pPr>
        <w:spacing w:line="480" w:lineRule="auto"/>
      </w:pPr>
      <w:r>
        <w:t xml:space="preserve">This was then broken down into a process of 5 stages which police forces now known as the mnemonic PEACE. These are: </w:t>
      </w:r>
      <w:r w:rsidRPr="00554530">
        <w:t xml:space="preserve">Preparation and planning, Engage and explain, </w:t>
      </w:r>
      <w:r>
        <w:t>A</w:t>
      </w:r>
      <w:r w:rsidRPr="00554530">
        <w:t xml:space="preserve">ccount, </w:t>
      </w:r>
      <w:r>
        <w:t>C</w:t>
      </w:r>
      <w:r w:rsidRPr="00554530">
        <w:t>losure and Evaluation</w:t>
      </w:r>
      <w:r>
        <w:t>.</w:t>
      </w:r>
    </w:p>
    <w:p w14:paraId="7BC91F99" w14:textId="77777777" w:rsidR="00555396" w:rsidRDefault="00555396" w:rsidP="00555396">
      <w:pPr>
        <w:spacing w:line="480" w:lineRule="auto"/>
      </w:pPr>
      <w:r>
        <w:t xml:space="preserve">Each of these stages plays an important role in ensuring a free narrative throughout the interview process. Planning is important to ensure that the person interviewing is fully prepped before the interview, making sure that they have acquired all the information needed and structured appropriate questions. This then moves on to the Engage and explain stage, where it is important to </w:t>
      </w:r>
      <w:r>
        <w:lastRenderedPageBreak/>
        <w:t>build a rapport with the victim/witness to make them feel as though they can speak to you with confidence. (Georgina Heydon, 2023)</w:t>
      </w:r>
    </w:p>
    <w:p w14:paraId="6DCE1BBA" w14:textId="77777777" w:rsidR="00555396" w:rsidRDefault="00555396" w:rsidP="00555396">
      <w:pPr>
        <w:spacing w:line="480" w:lineRule="auto"/>
      </w:pPr>
      <w:r>
        <w:t>The college of policing explains that at the initial stage, officers and staff would need to gain as much information as possible to progress the investigation. Using words like ‘</w:t>
      </w:r>
      <w:r w:rsidRPr="00F624F5">
        <w:rPr>
          <w:b/>
          <w:bCs/>
        </w:rPr>
        <w:t>Explain</w:t>
      </w:r>
      <w:r>
        <w:rPr>
          <w:b/>
          <w:bCs/>
        </w:rPr>
        <w:t>’</w:t>
      </w:r>
      <w:r>
        <w:t xml:space="preserve"> to me, ‘</w:t>
      </w:r>
      <w:r w:rsidRPr="005E323E">
        <w:rPr>
          <w:b/>
          <w:bCs/>
        </w:rPr>
        <w:t>Tell</w:t>
      </w:r>
      <w:r>
        <w:rPr>
          <w:b/>
          <w:bCs/>
        </w:rPr>
        <w:t>’</w:t>
      </w:r>
      <w:r>
        <w:t xml:space="preserve"> me why and ‘</w:t>
      </w:r>
      <w:r w:rsidRPr="005E323E">
        <w:rPr>
          <w:b/>
          <w:bCs/>
        </w:rPr>
        <w:t>What</w:t>
      </w:r>
      <w:r>
        <w:rPr>
          <w:b/>
          <w:bCs/>
        </w:rPr>
        <w:t>’</w:t>
      </w:r>
      <w:r>
        <w:t xml:space="preserve"> has happened gives the interviewee the opportunity to freely narrate what has happened without being defined to a single closed question. </w:t>
      </w:r>
    </w:p>
    <w:p w14:paraId="170AA52F" w14:textId="77777777" w:rsidR="00555396" w:rsidRDefault="00555396" w:rsidP="00555396">
      <w:pPr>
        <w:spacing w:line="480" w:lineRule="auto"/>
      </w:pPr>
      <w:r>
        <w:t xml:space="preserve">The college of policing explains factors give hints and tips from the front line, staging that officers and staff believe that its helpful to ‘be yourself, not to be robotic, be open, professional and non-judgemental and to be polite, empathetic and culturally aware.’ (College of Policing, </w:t>
      </w:r>
      <w:r>
        <w:rPr>
          <w:i/>
          <w:iCs/>
        </w:rPr>
        <w:t>Rapport building</w:t>
      </w:r>
      <w:r>
        <w:t xml:space="preserve"> 2024) It’s also helpful to have an officer or staff member to attend who has particular experience with the needs of the victim or witness, for example, officers and staff are able to do different courses where they can learn how to do different stage of interview training, meaning that particular officers would have more experience and knowledge to deal with more complex needs. This can be for younger children, adults who need assistance to understand what is going on and for anyone else who may struggle speaking to someone freely. </w:t>
      </w:r>
    </w:p>
    <w:p w14:paraId="0E6FC43C" w14:textId="77777777" w:rsidR="00555396" w:rsidRDefault="00555396" w:rsidP="00555396">
      <w:pPr>
        <w:spacing w:line="480" w:lineRule="auto"/>
      </w:pPr>
      <w:r>
        <w:t xml:space="preserve">Existing guidance from The College of Policing says that the interviewer should ensure to introduce themselves, so that the victim or witness feels that they are speaking to an individual rather than a police officer. They also state that </w:t>
      </w:r>
      <w:proofErr w:type="spellStart"/>
      <w:r>
        <w:t>its</w:t>
      </w:r>
      <w:proofErr w:type="spellEnd"/>
      <w:r>
        <w:t xml:space="preserve"> important to help them feel safe and to interact with them meaningfully to make them feel like they are having a conversation instead of a formal interview. It’s also important to give them space and to be as calm and relaxed as possible so they feel at ease. (College of Policing, </w:t>
      </w:r>
      <w:r>
        <w:rPr>
          <w:i/>
          <w:iCs/>
        </w:rPr>
        <w:t>Rapport building</w:t>
      </w:r>
      <w:r>
        <w:t xml:space="preserve"> 2024)</w:t>
      </w:r>
    </w:p>
    <w:p w14:paraId="70C7E233" w14:textId="77777777" w:rsidR="00555396" w:rsidRDefault="00555396" w:rsidP="00555396">
      <w:pPr>
        <w:spacing w:line="480" w:lineRule="auto"/>
      </w:pPr>
      <w:r>
        <w:t xml:space="preserve">The interviewing person will then explain why the interview is necessary and what will happen during the interview. The next stage is the account. This is where the person being interviewed can freely give their account and gives the interviewer the opportunity to ask further questions to ensure that they’ve been able to gather as much information as possible. </w:t>
      </w:r>
    </w:p>
    <w:p w14:paraId="3F3DA567" w14:textId="77777777" w:rsidR="00555396" w:rsidRDefault="00555396" w:rsidP="00555396">
      <w:pPr>
        <w:spacing w:line="480" w:lineRule="auto"/>
      </w:pPr>
      <w:r>
        <w:lastRenderedPageBreak/>
        <w:t xml:space="preserve">The interview then moves on to the closure stage, where the interviewer would ensure that the victim/witness has said all they wish to say and at this point, further support and information can be provided to help the victim/witness as the investigation moves forward. This also gives them the opportunity to give any further information that they think might be relevant to the case, and to also give them the opportunity to ask questions about what will happen next. </w:t>
      </w:r>
    </w:p>
    <w:p w14:paraId="3AFF4965" w14:textId="77777777" w:rsidR="00555396" w:rsidRDefault="00555396" w:rsidP="00555396">
      <w:pPr>
        <w:spacing w:line="480" w:lineRule="auto"/>
      </w:pPr>
      <w:r>
        <w:t>Finally, the Evaluation stage. This is where the interviewer would assess all the information taken and decide on the steps that would be taken going forward. This would then include keeping the victim/witness updated as to what will happen going forward and ensuring that they maintain confidence in the officers who are dealing with the investigation, knowing that they care about them. The idea behind the PEACE technique is to obtain the best possible evidence from children and adults by emphasising the use of open questions (Georgina Heydon, 2023)</w:t>
      </w:r>
    </w:p>
    <w:p w14:paraId="6EAF6D86" w14:textId="77777777" w:rsidR="00555396" w:rsidRDefault="00555396" w:rsidP="00555396">
      <w:pPr>
        <w:spacing w:line="480" w:lineRule="auto"/>
      </w:pPr>
      <w:r>
        <w:t xml:space="preserve">To summarise this essay, the different steps of a cognitive interview have been explained and analysed to explain why this type of interview is effective for the different individuals that may need to be spoken to. This style of approach ensures that the victims and witnesses are feeling comfortable and ensuring that they trust the person they are confiding in. We have analysed the concerns surrounding how time effective it is and have explained that after testing, it was proven to be a successful way of effectively interviewing. </w:t>
      </w:r>
    </w:p>
    <w:p w14:paraId="5B09929B" w14:textId="77777777" w:rsidR="00555396" w:rsidRDefault="00555396" w:rsidP="00555396">
      <w:pPr>
        <w:spacing w:line="480" w:lineRule="auto"/>
      </w:pPr>
    </w:p>
    <w:p w14:paraId="194A37ED" w14:textId="77777777" w:rsidR="00555396" w:rsidRPr="00213E62" w:rsidRDefault="00555396" w:rsidP="00555396">
      <w:pPr>
        <w:spacing w:line="480" w:lineRule="auto"/>
        <w:rPr>
          <w:b/>
          <w:bCs/>
        </w:rPr>
      </w:pPr>
      <w:r w:rsidRPr="00213E62">
        <w:rPr>
          <w:b/>
          <w:bCs/>
        </w:rPr>
        <w:t>Word Count - 1003</w:t>
      </w:r>
    </w:p>
    <w:p w14:paraId="49919DE4" w14:textId="77777777" w:rsidR="00555396" w:rsidRDefault="00555396" w:rsidP="00555396">
      <w:pPr>
        <w:spacing w:line="480" w:lineRule="auto"/>
      </w:pPr>
    </w:p>
    <w:p w14:paraId="2867BBE7" w14:textId="77777777" w:rsidR="00555396" w:rsidRDefault="00555396" w:rsidP="00555396">
      <w:pPr>
        <w:spacing w:line="480" w:lineRule="auto"/>
      </w:pPr>
    </w:p>
    <w:p w14:paraId="6B801858" w14:textId="77777777" w:rsidR="00A54552" w:rsidRDefault="00A54552" w:rsidP="00555396">
      <w:pPr>
        <w:spacing w:line="480" w:lineRule="auto"/>
      </w:pPr>
    </w:p>
    <w:p w14:paraId="34641B60" w14:textId="77777777" w:rsidR="00A54552" w:rsidRDefault="00A54552" w:rsidP="00555396">
      <w:pPr>
        <w:spacing w:line="480" w:lineRule="auto"/>
      </w:pPr>
    </w:p>
    <w:p w14:paraId="04CC103B" w14:textId="33013010" w:rsidR="00555396" w:rsidRPr="0048115B" w:rsidRDefault="00A54552" w:rsidP="00555396">
      <w:pPr>
        <w:spacing w:line="480" w:lineRule="auto"/>
        <w:jc w:val="center"/>
        <w:rPr>
          <w:b/>
          <w:bCs/>
          <w:u w:val="single"/>
        </w:rPr>
      </w:pPr>
      <w:r>
        <w:rPr>
          <w:b/>
          <w:bCs/>
          <w:u w:val="single"/>
        </w:rPr>
        <w:lastRenderedPageBreak/>
        <w:t xml:space="preserve">Essay Five: </w:t>
      </w:r>
      <w:r w:rsidR="00555396" w:rsidRPr="0048115B">
        <w:rPr>
          <w:b/>
          <w:bCs/>
          <w:u w:val="single"/>
        </w:rPr>
        <w:t xml:space="preserve">Critically assess the effectiveness of options available to reduce re-offending. You may choose a specific type of offence for this answer e.g. domestic violence, anti-social behaviour, knife crime. Your answer must be based on academic research, but you may make reference to relevant case </w:t>
      </w:r>
      <w:proofErr w:type="gramStart"/>
      <w:r w:rsidR="00555396" w:rsidRPr="0048115B">
        <w:rPr>
          <w:b/>
          <w:bCs/>
          <w:u w:val="single"/>
        </w:rPr>
        <w:t>studies</w:t>
      </w:r>
      <w:proofErr w:type="gramEnd"/>
    </w:p>
    <w:p w14:paraId="239748DB" w14:textId="77777777" w:rsidR="00555396" w:rsidRDefault="00555396" w:rsidP="00555396">
      <w:pPr>
        <w:spacing w:line="480" w:lineRule="auto"/>
      </w:pPr>
      <w:r>
        <w:t xml:space="preserve">This essay will focus on what Antisocial behaviour is, how it affects communities in the United Kingdom and what options are available to help reduce re-offending. It will also critically assess the options available to find out if this is helping to improve the country wide problem. </w:t>
      </w:r>
    </w:p>
    <w:p w14:paraId="7DD2AD7B" w14:textId="77777777" w:rsidR="00555396" w:rsidRDefault="00555396" w:rsidP="00555396">
      <w:pPr>
        <w:spacing w:line="480" w:lineRule="auto"/>
      </w:pPr>
      <w:r>
        <w:t>Anti-social behaviour is an ongoing problem throughout the UK and sees communities struggle with various types of issues, such as youth annoyance, gang culture, street drinking and more. There are three main categories of anti-social behaviour, and these are determined by who is affected. These categories are Personal antisocial behaviour, which means an individual is being targeted or a specific group. Nuisance antisocial behaviour is when a person is causing trouble, annoyance or suffering to the community. Finally, environmental anti-social behaviour is when a person’s actions affect the wider environment. (Metropolitan Police, 2003)</w:t>
      </w:r>
    </w:p>
    <w:p w14:paraId="1656432B" w14:textId="77777777" w:rsidR="00555396" w:rsidRDefault="00555396" w:rsidP="00555396">
      <w:pPr>
        <w:spacing w:line="480" w:lineRule="auto"/>
      </w:pPr>
      <w:r>
        <w:t xml:space="preserve">Neighbourhood policing teams were implemented in the UK and the first Police Community Support Officers (PCSO’s) were introduced in 2002, with the Metropolitan Police being the first to recruit. These teams have evolved over the years and now have PCSO’s placed in every neighbourhood in the UK. Officers and staff who are based on these teams mainly deal with ASB and use the Police and Criminal Evidence Act 1984, to be able to stop and search persons who are suspected of being involved in ASB. This gives the officers powers to search individuals if the officer has reasonable grounds to suspect that they will find stolen or prohibited articles using Section 1 PACE or Section 24 Misuse of drugs act if suspected to being involved in any sort of drug use or dealing. Police Community Support Officers also have the power to take the names of the persons who are being stopped in relation to anti-social behaviour and if they refuse to provide to PCSO’s, persons involved may be liable to arrest. This can be a deterrent in some cases, especially if individuals are young and </w:t>
      </w:r>
      <w:r>
        <w:lastRenderedPageBreak/>
        <w:t xml:space="preserve">if they have never been involved with police before as they would feel like they do not want to experience this again. In some cases, the threat of their parents knowing they have had any involvement with police can be enough to ensure they don’t offend again. </w:t>
      </w:r>
    </w:p>
    <w:p w14:paraId="065B894A" w14:textId="77777777" w:rsidR="00555396" w:rsidRDefault="00555396" w:rsidP="00555396">
      <w:pPr>
        <w:spacing w:line="480" w:lineRule="auto"/>
      </w:pPr>
      <w:r>
        <w:t xml:space="preserve">PCSO’s also spend a lot of time in ASB hotspot areas, which does build relationships with the communities within the neighbourhoods that they work. The PCSO’s generally have vast local knowledge and get to know people in the area, especially the young people as they can also become involved in school and community events. This can make an impact on young people growing up who could potentially become involved in crime, however due to having a positive police presence in their lives growing up, can deter them off the wrong path. </w:t>
      </w:r>
    </w:p>
    <w:p w14:paraId="00AE85FF" w14:textId="77777777" w:rsidR="00555396" w:rsidRDefault="00555396" w:rsidP="00555396">
      <w:pPr>
        <w:spacing w:line="480" w:lineRule="auto"/>
      </w:pPr>
      <w:r>
        <w:t xml:space="preserve">Early Help was introduced in Wales in the Merthyr Tydfil and Rhondda Cynon Taff councils to put in place options for families to support them especially where parents are struggling with behaviours of their children. Merthyr Tydfil County Borough Council put youth services in place and provides a youth worker for anyone between the ages of 11 and 25 years that want to join. Permission from the parents must be sought for referrals to be put in place. Youth workers who support the young people decide on what activities to do and accreditations and qualifications are offered for most activities which help the long-term future development for those involved which can have an impact on their future employability. (MTCBC, </w:t>
      </w:r>
      <w:r>
        <w:rPr>
          <w:i/>
          <w:iCs/>
        </w:rPr>
        <w:t>Early Help Hub</w:t>
      </w:r>
      <w:r>
        <w:t xml:space="preserve"> 2024) Police Community Support Officers play a huge part in running the Early Help Hub and help support families and offer early intervention. ‘Team Around the Family’ is an early intervention and prevention service and offer individual goals by offering advice, guidance, and support. The police presence in this initiative plays a huge role in the young people and families lives as it opens trust in the police to families who may not have previously been supportive of police, especially in certain areas of Merthyr and RCT. (MTCBC, </w:t>
      </w:r>
      <w:r>
        <w:rPr>
          <w:i/>
          <w:iCs/>
        </w:rPr>
        <w:t>Early help hub</w:t>
      </w:r>
      <w:r>
        <w:t xml:space="preserve"> 2024) These hubs are also available in the Welsh cities of Swansea and Cardiff. </w:t>
      </w:r>
    </w:p>
    <w:p w14:paraId="42573E42" w14:textId="77777777" w:rsidR="00555396" w:rsidRDefault="00555396" w:rsidP="00555396">
      <w:pPr>
        <w:spacing w:line="480" w:lineRule="auto"/>
      </w:pPr>
      <w:r>
        <w:t xml:space="preserve">Another option for dealing with Anti-Social Behaviour is the Restorative Justice approach. The ‘RJ’ gives the opportunity for people harmed by a crime and the people responsible for the harm to </w:t>
      </w:r>
      <w:r>
        <w:lastRenderedPageBreak/>
        <w:t xml:space="preserve">share how it has affected them, allowing the person responsible to try to repair the harm in a positive way. This can be done face-to-face or in a letter format but must be done on a voluntary basis and can only be offered to offenders once. This does not result in a criminal record for the offender, and this can help deter them from re-offending. (CPS, </w:t>
      </w:r>
      <w:r>
        <w:rPr>
          <w:i/>
          <w:iCs/>
        </w:rPr>
        <w:t>Restorative justice</w:t>
      </w:r>
      <w:r>
        <w:t xml:space="preserve"> 2023)</w:t>
      </w:r>
    </w:p>
    <w:p w14:paraId="27FC53C7" w14:textId="77777777" w:rsidR="00555396" w:rsidRDefault="00555396" w:rsidP="00555396">
      <w:pPr>
        <w:spacing w:line="480" w:lineRule="auto"/>
      </w:pPr>
      <w:r>
        <w:t xml:space="preserve">In a press release in March 2023, it states that the prime minister had pledged to clamp down on these neighbourhood crimes and called it the Anti-Social Behaviour action plan. This aims to provide 16 areas in England and Wales will be funded to support hot spot police and enforcement patrol areas which will start to roll out in 2024. (GOV.UK, </w:t>
      </w:r>
      <w:r>
        <w:rPr>
          <w:i/>
          <w:iCs/>
        </w:rPr>
        <w:t>Action plan to crack down on anti-social behaviour</w:t>
      </w:r>
      <w:r>
        <w:t xml:space="preserve"> 2023)</w:t>
      </w:r>
    </w:p>
    <w:p w14:paraId="1626CA85" w14:textId="77777777" w:rsidR="00555396" w:rsidRDefault="00555396" w:rsidP="00555396">
      <w:pPr>
        <w:spacing w:line="480" w:lineRule="auto"/>
      </w:pPr>
      <w:r>
        <w:t xml:space="preserve">To summarise this essay, we have discussed what Anti-Social Behaviour is and what problems the UK face and what has been implemented in the UK to help challenge the behaviours and offenders of ASB and what has been put in place to reduce re-offending. It has focused on two major councils who have put extra support in while working alongside the police to put early intervention in place and how to police have options in place to deal with incidents using out of court disposals to give the offender a chance to not have a criminal record and to make better decisions. The biggest challenge policing will face tackling ASB is to maintain public trust and keep officers and staff in neighbourhood positions to ensure that the best people stay in their roles and continue to have the local knowledge to help assist the communities they work with.  </w:t>
      </w:r>
    </w:p>
    <w:p w14:paraId="6933FFE5" w14:textId="77777777" w:rsidR="00555396" w:rsidRDefault="00555396" w:rsidP="00555396">
      <w:pPr>
        <w:spacing w:line="480" w:lineRule="auto"/>
      </w:pPr>
    </w:p>
    <w:p w14:paraId="0AECDB25" w14:textId="77777777" w:rsidR="00555396" w:rsidRPr="00720744" w:rsidRDefault="00555396" w:rsidP="00555396">
      <w:pPr>
        <w:spacing w:line="480" w:lineRule="auto"/>
        <w:rPr>
          <w:b/>
          <w:bCs/>
          <w:u w:val="single"/>
        </w:rPr>
      </w:pPr>
      <w:r>
        <w:rPr>
          <w:b/>
          <w:bCs/>
          <w:u w:val="single"/>
        </w:rPr>
        <w:t>Word Count - 1009</w:t>
      </w:r>
    </w:p>
    <w:p w14:paraId="5A4DF540" w14:textId="77777777" w:rsidR="00555396" w:rsidRDefault="00555396"/>
    <w:p w14:paraId="678F383A" w14:textId="77777777" w:rsidR="00E34D76" w:rsidRDefault="00E34D76"/>
    <w:p w14:paraId="133ADD1B" w14:textId="77777777" w:rsidR="00E82BFB" w:rsidRDefault="00E82BFB"/>
    <w:p w14:paraId="68F0E155" w14:textId="77777777" w:rsidR="00176E0C" w:rsidRDefault="00176E0C"/>
    <w:p w14:paraId="52BA04FE" w14:textId="77777777" w:rsidR="00A54552" w:rsidRDefault="00A54552"/>
    <w:p w14:paraId="227AF8BF" w14:textId="77777777" w:rsidR="00A54552" w:rsidRPr="00A54552" w:rsidRDefault="00A54552" w:rsidP="00A54552">
      <w:pPr>
        <w:spacing w:before="100" w:beforeAutospacing="1" w:after="100" w:afterAutospacing="1" w:line="480" w:lineRule="auto"/>
        <w:ind w:left="567" w:hanging="567"/>
        <w:rPr>
          <w:rFonts w:eastAsia="Times New Roman" w:cstheme="minorHAnsi"/>
          <w:b/>
          <w:bCs/>
          <w:u w:val="single"/>
          <w:lang w:eastAsia="en-GB"/>
        </w:rPr>
      </w:pPr>
      <w:r w:rsidRPr="00A54552">
        <w:rPr>
          <w:rFonts w:eastAsia="Times New Roman" w:cstheme="minorHAnsi"/>
          <w:b/>
          <w:bCs/>
          <w:u w:val="single"/>
          <w:lang w:eastAsia="en-GB"/>
        </w:rPr>
        <w:lastRenderedPageBreak/>
        <w:t>Reference List</w:t>
      </w:r>
    </w:p>
    <w:p w14:paraId="62A58443" w14:textId="77777777" w:rsidR="00A54552" w:rsidRPr="00A54552" w:rsidRDefault="00A54552" w:rsidP="00A54552">
      <w:pPr>
        <w:spacing w:line="480" w:lineRule="auto"/>
        <w:rPr>
          <w:rFonts w:cstheme="minorHAnsi"/>
          <w:b/>
          <w:bCs/>
          <w:u w:val="single"/>
        </w:rPr>
      </w:pPr>
      <w:bookmarkStart w:id="0" w:name="_Hlk167732739"/>
      <w:r w:rsidRPr="00A54552">
        <w:rPr>
          <w:rFonts w:cstheme="minorHAnsi"/>
          <w:b/>
          <w:bCs/>
          <w:u w:val="single"/>
        </w:rPr>
        <w:t>HMIFRCS Reference List</w:t>
      </w:r>
    </w:p>
    <w:p w14:paraId="02CFE61F"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i/>
          <w:iCs/>
          <w:lang w:eastAsia="en-GB"/>
        </w:rPr>
        <w:t>Guidance for ethical and professional behaviour in policing</w:t>
      </w:r>
      <w:r w:rsidRPr="00A54552">
        <w:rPr>
          <w:rFonts w:eastAsia="Times New Roman" w:cstheme="minorHAnsi"/>
          <w:lang w:eastAsia="en-GB"/>
        </w:rPr>
        <w:t xml:space="preserve"> (2024) </w:t>
      </w:r>
      <w:r w:rsidRPr="00A54552">
        <w:rPr>
          <w:rFonts w:eastAsia="Times New Roman" w:cstheme="minorHAnsi"/>
          <w:i/>
          <w:iCs/>
          <w:lang w:eastAsia="en-GB"/>
        </w:rPr>
        <w:t>College of Policing</w:t>
      </w:r>
      <w:r w:rsidRPr="00A54552">
        <w:rPr>
          <w:rFonts w:eastAsia="Times New Roman" w:cstheme="minorHAnsi"/>
          <w:lang w:eastAsia="en-GB"/>
        </w:rPr>
        <w:t xml:space="preserve">. Available at: https://www.college.police.uk/ethics/code-of-ethics/guidance (Accessed: 24 April 2024). </w:t>
      </w:r>
    </w:p>
    <w:p w14:paraId="7CBBD653" w14:textId="77777777" w:rsidR="00A54552" w:rsidRPr="00A54552" w:rsidRDefault="00A54552" w:rsidP="00A54552">
      <w:pPr>
        <w:spacing w:before="100" w:beforeAutospacing="1" w:after="100" w:afterAutospacing="1" w:line="480" w:lineRule="auto"/>
        <w:ind w:left="567"/>
        <w:rPr>
          <w:rFonts w:eastAsia="Calibri" w:cstheme="minorHAnsi"/>
          <w:lang w:eastAsia="en-GB"/>
        </w:rPr>
      </w:pPr>
      <w:r w:rsidRPr="00A54552">
        <w:rPr>
          <w:rFonts w:eastAsia="Calibri" w:cstheme="minorHAnsi"/>
          <w:i/>
          <w:iCs/>
          <w:lang w:eastAsia="en-GB"/>
        </w:rPr>
        <w:t>Public perceptions of policing: A review of Research and Literature</w:t>
      </w:r>
      <w:r w:rsidRPr="00A54552">
        <w:rPr>
          <w:rFonts w:eastAsia="Calibri" w:cstheme="minorHAnsi"/>
          <w:lang w:eastAsia="en-GB"/>
        </w:rPr>
        <w:t> (2023) </w:t>
      </w:r>
      <w:hyperlink r:id="rId4" w:history="1">
        <w:r w:rsidRPr="00A54552">
          <w:rPr>
            <w:rFonts w:eastAsia="Calibri" w:cstheme="minorHAnsi"/>
            <w:i/>
            <w:iCs/>
            <w:lang w:eastAsia="en-GB"/>
          </w:rPr>
          <w:t>GOV.UK</w:t>
        </w:r>
      </w:hyperlink>
      <w:r w:rsidRPr="00A54552">
        <w:rPr>
          <w:rFonts w:eastAsia="Calibri" w:cstheme="minorHAnsi"/>
          <w:lang w:eastAsia="en-GB"/>
        </w:rPr>
        <w:t xml:space="preserve">. Available at: </w:t>
      </w:r>
      <w:hyperlink r:id="rId5" w:history="1">
        <w:r w:rsidRPr="00A54552">
          <w:rPr>
            <w:rFonts w:eastAsia="Calibri" w:cstheme="minorHAnsi"/>
            <w:lang w:eastAsia="en-GB"/>
          </w:rPr>
          <w:t>https://www.gov.uk/government/publications/public-perceptions-of-policing-a-review-of-research-and-literature/public-perceptions-of-policing-a-review-of-research-and-literature</w:t>
        </w:r>
      </w:hyperlink>
      <w:r w:rsidRPr="00A54552">
        <w:rPr>
          <w:rFonts w:eastAsia="Calibri" w:cstheme="minorHAnsi"/>
          <w:lang w:eastAsia="en-GB"/>
        </w:rPr>
        <w:t xml:space="preserve"> (Accessed: 27 May 2024). </w:t>
      </w:r>
    </w:p>
    <w:p w14:paraId="4D1A2EA8"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r w:rsidRPr="00A54552">
        <w:rPr>
          <w:rFonts w:eastAsia="Times New Roman" w:cstheme="minorHAnsi"/>
          <w:i/>
          <w:iCs/>
          <w:lang w:eastAsia="en-GB"/>
        </w:rPr>
        <w:t>Professional standards</w:t>
      </w:r>
      <w:r w:rsidRPr="00A54552">
        <w:rPr>
          <w:rFonts w:eastAsia="Times New Roman" w:cstheme="minorHAnsi"/>
          <w:lang w:eastAsia="en-GB"/>
        </w:rPr>
        <w:t> (2024) </w:t>
      </w:r>
      <w:r w:rsidRPr="00A54552">
        <w:rPr>
          <w:rFonts w:eastAsia="Times New Roman" w:cstheme="minorHAnsi"/>
          <w:i/>
          <w:iCs/>
          <w:lang w:eastAsia="en-GB"/>
        </w:rPr>
        <w:t>College of Policing</w:t>
      </w:r>
      <w:r w:rsidRPr="00A54552">
        <w:rPr>
          <w:rFonts w:eastAsia="Times New Roman" w:cstheme="minorHAnsi"/>
          <w:lang w:eastAsia="en-GB"/>
        </w:rPr>
        <w:t xml:space="preserve">. Available at: </w:t>
      </w:r>
      <w:hyperlink r:id="rId6" w:history="1">
        <w:r w:rsidRPr="00A54552">
          <w:rPr>
            <w:rFonts w:eastAsia="Times New Roman" w:cstheme="minorHAnsi"/>
            <w:lang w:eastAsia="en-GB"/>
          </w:rPr>
          <w:t>https://www.college.police.uk/app/professional-standards</w:t>
        </w:r>
      </w:hyperlink>
      <w:r w:rsidRPr="00A54552">
        <w:rPr>
          <w:rFonts w:eastAsia="Times New Roman" w:cstheme="minorHAnsi"/>
          <w:lang w:eastAsia="en-GB"/>
        </w:rPr>
        <w:t xml:space="preserve"> (Accessed: 27 April 2024) </w:t>
      </w:r>
    </w:p>
    <w:p w14:paraId="007CC138"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r w:rsidRPr="00A54552">
        <w:rPr>
          <w:rFonts w:eastAsia="Times New Roman" w:cstheme="minorHAnsi"/>
          <w:i/>
          <w:iCs/>
          <w:lang w:eastAsia="en-GB"/>
        </w:rPr>
        <w:t>We are the Independent Office for Police conduct</w:t>
      </w:r>
      <w:r w:rsidRPr="00A54552">
        <w:rPr>
          <w:rFonts w:eastAsia="Times New Roman" w:cstheme="minorHAnsi"/>
          <w:lang w:eastAsia="en-GB"/>
        </w:rPr>
        <w:t> (2024) </w:t>
      </w:r>
      <w:r w:rsidRPr="00A54552">
        <w:rPr>
          <w:rFonts w:eastAsia="Times New Roman" w:cstheme="minorHAnsi"/>
          <w:i/>
          <w:iCs/>
          <w:lang w:eastAsia="en-GB"/>
        </w:rPr>
        <w:t>We are the Independent Office for Police Conduct | Independent Office for Police Conduct (IOPC)</w:t>
      </w:r>
      <w:r w:rsidRPr="00A54552">
        <w:rPr>
          <w:rFonts w:eastAsia="Times New Roman" w:cstheme="minorHAnsi"/>
          <w:lang w:eastAsia="en-GB"/>
        </w:rPr>
        <w:t xml:space="preserve">. Available at: </w:t>
      </w:r>
      <w:hyperlink r:id="rId7" w:history="1">
        <w:r w:rsidRPr="00A54552">
          <w:rPr>
            <w:rFonts w:eastAsia="Times New Roman" w:cstheme="minorHAnsi"/>
            <w:lang w:eastAsia="en-GB"/>
          </w:rPr>
          <w:t>https://www.policeconduct.gov.uk/</w:t>
        </w:r>
      </w:hyperlink>
      <w:r w:rsidRPr="00A54552">
        <w:rPr>
          <w:rFonts w:eastAsia="Times New Roman" w:cstheme="minorHAnsi"/>
          <w:lang w:eastAsia="en-GB"/>
        </w:rPr>
        <w:t xml:space="preserve"> (Accessed: 27 May 2024)</w:t>
      </w:r>
    </w:p>
    <w:bookmarkEnd w:id="0"/>
    <w:p w14:paraId="4D0D412F"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p>
    <w:p w14:paraId="108A78A0" w14:textId="77777777" w:rsidR="00A54552" w:rsidRPr="00A54552" w:rsidRDefault="00A54552" w:rsidP="00A54552">
      <w:pPr>
        <w:spacing w:before="100" w:beforeAutospacing="1" w:after="100" w:afterAutospacing="1" w:line="480" w:lineRule="auto"/>
        <w:ind w:left="567"/>
        <w:rPr>
          <w:rFonts w:eastAsia="Times New Roman" w:cstheme="minorHAnsi"/>
          <w:b/>
          <w:bCs/>
          <w:u w:val="single"/>
          <w:lang w:eastAsia="en-GB"/>
        </w:rPr>
      </w:pPr>
      <w:r w:rsidRPr="00A54552">
        <w:rPr>
          <w:rFonts w:eastAsia="Times New Roman" w:cstheme="minorHAnsi"/>
          <w:b/>
          <w:bCs/>
          <w:u w:val="single"/>
          <w:lang w:eastAsia="en-GB"/>
        </w:rPr>
        <w:t>Community Policing Reference List</w:t>
      </w:r>
    </w:p>
    <w:p w14:paraId="2B425B2F"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r w:rsidRPr="00A54552">
        <w:rPr>
          <w:rFonts w:eastAsia="Times New Roman" w:cstheme="minorHAnsi"/>
          <w:lang w:eastAsia="en-GB"/>
        </w:rPr>
        <w:t>Office, H. (2012) </w:t>
      </w:r>
      <w:r w:rsidRPr="00A54552">
        <w:rPr>
          <w:rFonts w:eastAsia="Times New Roman" w:cstheme="minorHAnsi"/>
          <w:i/>
          <w:iCs/>
          <w:lang w:eastAsia="en-GB"/>
        </w:rPr>
        <w:t>Delivering neighbourhood policing in partnership</w:t>
      </w:r>
      <w:r w:rsidRPr="00A54552">
        <w:rPr>
          <w:rFonts w:eastAsia="Times New Roman" w:cstheme="minorHAnsi"/>
          <w:lang w:eastAsia="en-GB"/>
        </w:rPr>
        <w:t>, </w:t>
      </w:r>
      <w:hyperlink r:id="rId8" w:history="1">
        <w:r w:rsidRPr="00A54552">
          <w:rPr>
            <w:rFonts w:eastAsia="Times New Roman" w:cstheme="minorHAnsi"/>
            <w:i/>
            <w:iCs/>
            <w:lang w:eastAsia="en-GB"/>
          </w:rPr>
          <w:t>GOV.UK</w:t>
        </w:r>
      </w:hyperlink>
      <w:r w:rsidRPr="00A54552">
        <w:rPr>
          <w:rFonts w:eastAsia="Times New Roman" w:cstheme="minorHAnsi"/>
          <w:lang w:eastAsia="en-GB"/>
        </w:rPr>
        <w:t xml:space="preserve">. Available at: </w:t>
      </w:r>
      <w:hyperlink r:id="rId9" w:history="1">
        <w:r w:rsidRPr="00A54552">
          <w:rPr>
            <w:rFonts w:eastAsia="Times New Roman" w:cstheme="minorHAnsi"/>
            <w:lang w:eastAsia="en-GB"/>
          </w:rPr>
          <w:t>https://www.gov.uk/government/publications/delivering-neighbourhood-policing-in-partnership</w:t>
        </w:r>
      </w:hyperlink>
      <w:r w:rsidRPr="00A54552">
        <w:rPr>
          <w:rFonts w:eastAsia="Times New Roman" w:cstheme="minorHAnsi"/>
          <w:lang w:eastAsia="en-GB"/>
        </w:rPr>
        <w:t xml:space="preserve"> (Accessed: 27 April 2024)</w:t>
      </w:r>
    </w:p>
    <w:p w14:paraId="2BB0D15F"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proofErr w:type="spellStart"/>
      <w:r w:rsidRPr="00A54552">
        <w:rPr>
          <w:rFonts w:eastAsia="Times New Roman" w:cstheme="minorHAnsi"/>
          <w:i/>
          <w:iCs/>
          <w:lang w:eastAsia="en-GB"/>
        </w:rPr>
        <w:t>Neighborhood</w:t>
      </w:r>
      <w:proofErr w:type="spellEnd"/>
      <w:r w:rsidRPr="00A54552">
        <w:rPr>
          <w:rFonts w:eastAsia="Times New Roman" w:cstheme="minorHAnsi"/>
          <w:i/>
          <w:iCs/>
          <w:lang w:eastAsia="en-GB"/>
        </w:rPr>
        <w:t xml:space="preserve"> – </w:t>
      </w:r>
      <w:proofErr w:type="spellStart"/>
      <w:r w:rsidRPr="00A54552">
        <w:rPr>
          <w:rFonts w:eastAsia="Times New Roman" w:cstheme="minorHAnsi"/>
          <w:i/>
          <w:iCs/>
          <w:lang w:eastAsia="en-GB"/>
        </w:rPr>
        <w:t>tuffin</w:t>
      </w:r>
      <w:proofErr w:type="spellEnd"/>
      <w:r w:rsidRPr="00A54552">
        <w:rPr>
          <w:rFonts w:eastAsia="Times New Roman" w:cstheme="minorHAnsi"/>
          <w:i/>
          <w:iCs/>
          <w:lang w:eastAsia="en-GB"/>
        </w:rPr>
        <w:t xml:space="preserve"> et al. (2006)</w:t>
      </w:r>
      <w:r w:rsidRPr="00A54552">
        <w:rPr>
          <w:rFonts w:eastAsia="Times New Roman" w:cstheme="minorHAnsi"/>
          <w:lang w:eastAsia="en-GB"/>
        </w:rPr>
        <w:t> (2023) </w:t>
      </w:r>
      <w:r w:rsidRPr="00A54552">
        <w:rPr>
          <w:rFonts w:eastAsia="Times New Roman" w:cstheme="minorHAnsi"/>
          <w:i/>
          <w:iCs/>
          <w:lang w:eastAsia="en-GB"/>
        </w:rPr>
        <w:t xml:space="preserve">The </w:t>
      </w:r>
      <w:proofErr w:type="spellStart"/>
      <w:r w:rsidRPr="00A54552">
        <w:rPr>
          <w:rFonts w:eastAsia="Times New Roman" w:cstheme="minorHAnsi"/>
          <w:i/>
          <w:iCs/>
          <w:lang w:eastAsia="en-GB"/>
        </w:rPr>
        <w:t>Center</w:t>
      </w:r>
      <w:proofErr w:type="spellEnd"/>
      <w:r w:rsidRPr="00A54552">
        <w:rPr>
          <w:rFonts w:eastAsia="Times New Roman" w:cstheme="minorHAnsi"/>
          <w:i/>
          <w:iCs/>
          <w:lang w:eastAsia="en-GB"/>
        </w:rPr>
        <w:t xml:space="preserve"> for Evidence-Based Crime Policy (CEBCP)</w:t>
      </w:r>
      <w:r w:rsidRPr="00A54552">
        <w:rPr>
          <w:rFonts w:eastAsia="Times New Roman" w:cstheme="minorHAnsi"/>
          <w:lang w:eastAsia="en-GB"/>
        </w:rPr>
        <w:t xml:space="preserve">. Available at: </w:t>
      </w:r>
      <w:hyperlink r:id="rId10" w:history="1">
        <w:r w:rsidRPr="00A54552">
          <w:rPr>
            <w:rFonts w:eastAsia="Times New Roman" w:cstheme="minorHAnsi"/>
            <w:lang w:eastAsia="en-GB"/>
          </w:rPr>
          <w:t>https://cebcp.org/evidence-based-policing/the-matrix/neighborhood/neighborhood-tuffin-et-al-2006/</w:t>
        </w:r>
      </w:hyperlink>
      <w:r w:rsidRPr="00A54552">
        <w:rPr>
          <w:rFonts w:eastAsia="Times New Roman" w:cstheme="minorHAnsi"/>
          <w:lang w:eastAsia="en-GB"/>
        </w:rPr>
        <w:t xml:space="preserve"> (Accessed: 27 April 2024)</w:t>
      </w:r>
    </w:p>
    <w:p w14:paraId="395D054D"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r w:rsidRPr="00A54552">
        <w:rPr>
          <w:rFonts w:eastAsia="Times New Roman" w:cstheme="minorHAnsi"/>
          <w:i/>
          <w:iCs/>
          <w:lang w:eastAsia="en-GB"/>
        </w:rPr>
        <w:lastRenderedPageBreak/>
        <w:t>Problem-oriented policing (POP) guidelines</w:t>
      </w:r>
      <w:r w:rsidRPr="00A54552">
        <w:rPr>
          <w:rFonts w:eastAsia="Times New Roman" w:cstheme="minorHAnsi"/>
          <w:lang w:eastAsia="en-GB"/>
        </w:rPr>
        <w:t> (2023) </w:t>
      </w:r>
      <w:r w:rsidRPr="00A54552">
        <w:rPr>
          <w:rFonts w:eastAsia="Times New Roman" w:cstheme="minorHAnsi"/>
          <w:i/>
          <w:iCs/>
          <w:lang w:eastAsia="en-GB"/>
        </w:rPr>
        <w:t>College of Policing</w:t>
      </w:r>
      <w:r w:rsidRPr="00A54552">
        <w:rPr>
          <w:rFonts w:eastAsia="Times New Roman" w:cstheme="minorHAnsi"/>
          <w:lang w:eastAsia="en-GB"/>
        </w:rPr>
        <w:t xml:space="preserve">. Available at: </w:t>
      </w:r>
      <w:hyperlink r:id="rId11" w:history="1">
        <w:r w:rsidRPr="00A54552">
          <w:rPr>
            <w:rFonts w:eastAsia="Times New Roman" w:cstheme="minorHAnsi"/>
            <w:lang w:eastAsia="en-GB"/>
          </w:rPr>
          <w:t>https://www.college.police.uk/article/problem-oriented-policing-pop-guidelines</w:t>
        </w:r>
      </w:hyperlink>
      <w:r w:rsidRPr="00A54552">
        <w:rPr>
          <w:rFonts w:eastAsia="Times New Roman" w:cstheme="minorHAnsi"/>
          <w:lang w:eastAsia="en-GB"/>
        </w:rPr>
        <w:t xml:space="preserve"> (Accessed: 27 March 2024)</w:t>
      </w:r>
    </w:p>
    <w:p w14:paraId="40A12201"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r w:rsidRPr="00A54552">
        <w:rPr>
          <w:rFonts w:eastAsia="Times New Roman" w:cstheme="minorHAnsi"/>
          <w:lang w:eastAsia="en-GB"/>
        </w:rPr>
        <w:t>Farrell, C. (2024) </w:t>
      </w:r>
      <w:r w:rsidRPr="00A54552">
        <w:rPr>
          <w:rFonts w:eastAsia="Times New Roman" w:cstheme="minorHAnsi"/>
          <w:i/>
          <w:iCs/>
          <w:lang w:eastAsia="en-GB"/>
        </w:rPr>
        <w:t xml:space="preserve">Policing &amp; Partnership Working – why is this </w:t>
      </w:r>
      <w:proofErr w:type="gramStart"/>
      <w:r w:rsidRPr="00A54552">
        <w:rPr>
          <w:rFonts w:eastAsia="Times New Roman" w:cstheme="minorHAnsi"/>
          <w:i/>
          <w:iCs/>
          <w:lang w:eastAsia="en-GB"/>
        </w:rPr>
        <w:t>important  </w:t>
      </w:r>
      <w:r w:rsidRPr="00A54552">
        <w:rPr>
          <w:rFonts w:eastAsia="Times New Roman" w:cstheme="minorHAnsi"/>
          <w:lang w:eastAsia="en-GB"/>
        </w:rPr>
        <w:t>,</w:t>
      </w:r>
      <w:proofErr w:type="gramEnd"/>
      <w:r w:rsidRPr="00A54552">
        <w:rPr>
          <w:rFonts w:eastAsia="Times New Roman" w:cstheme="minorHAnsi"/>
          <w:lang w:eastAsia="en-GB"/>
        </w:rPr>
        <w:t> </w:t>
      </w:r>
      <w:r w:rsidRPr="00A54552">
        <w:rPr>
          <w:rFonts w:eastAsia="Times New Roman" w:cstheme="minorHAnsi"/>
          <w:i/>
          <w:iCs/>
          <w:lang w:eastAsia="en-GB"/>
        </w:rPr>
        <w:t>Careers in Blue</w:t>
      </w:r>
      <w:r w:rsidRPr="00A54552">
        <w:rPr>
          <w:rFonts w:eastAsia="Times New Roman" w:cstheme="minorHAnsi"/>
          <w:lang w:eastAsia="en-GB"/>
        </w:rPr>
        <w:t xml:space="preserve">. Available at: </w:t>
      </w:r>
      <w:hyperlink r:id="rId12" w:history="1">
        <w:r w:rsidRPr="00A54552">
          <w:rPr>
            <w:rFonts w:eastAsia="Times New Roman" w:cstheme="minorHAnsi"/>
            <w:lang w:eastAsia="en-GB"/>
          </w:rPr>
          <w:t>https://careersinblue.co.uk/partnership-working-why-is-this-important/</w:t>
        </w:r>
      </w:hyperlink>
      <w:r w:rsidRPr="00A54552">
        <w:rPr>
          <w:rFonts w:eastAsia="Times New Roman" w:cstheme="minorHAnsi"/>
          <w:lang w:eastAsia="en-GB"/>
        </w:rPr>
        <w:t xml:space="preserve"> (Accessed: 27 April 2024).   (</w:t>
      </w:r>
      <w:proofErr w:type="spellStart"/>
      <w:r w:rsidRPr="00A54552">
        <w:rPr>
          <w:rFonts w:eastAsia="Times New Roman" w:cstheme="minorHAnsi"/>
          <w:lang w:eastAsia="en-GB"/>
        </w:rPr>
        <w:t>Farrell.C</w:t>
      </w:r>
      <w:proofErr w:type="spellEnd"/>
      <w:r w:rsidRPr="00A54552">
        <w:rPr>
          <w:rFonts w:eastAsia="Times New Roman" w:cstheme="minorHAnsi"/>
          <w:lang w:eastAsia="en-GB"/>
        </w:rPr>
        <w:t>, 2024)</w:t>
      </w:r>
    </w:p>
    <w:p w14:paraId="00A261B3" w14:textId="77777777" w:rsidR="00A54552" w:rsidRPr="00A54552" w:rsidRDefault="00A54552" w:rsidP="00A54552">
      <w:pPr>
        <w:spacing w:before="100" w:beforeAutospacing="1" w:after="100" w:afterAutospacing="1" w:line="480" w:lineRule="auto"/>
        <w:ind w:left="567"/>
        <w:rPr>
          <w:rFonts w:eastAsia="Times New Roman" w:cstheme="minorHAnsi"/>
          <w:lang w:eastAsia="en-GB"/>
        </w:rPr>
      </w:pPr>
      <w:r w:rsidRPr="00A54552">
        <w:rPr>
          <w:rFonts w:eastAsia="Times New Roman" w:cstheme="minorHAnsi"/>
          <w:lang w:eastAsia="en-GB"/>
        </w:rPr>
        <w:t>Office, H. (2012a) </w:t>
      </w:r>
      <w:r w:rsidRPr="00A54552">
        <w:rPr>
          <w:rFonts w:eastAsia="Times New Roman" w:cstheme="minorHAnsi"/>
          <w:i/>
          <w:iCs/>
          <w:lang w:eastAsia="en-GB"/>
        </w:rPr>
        <w:t>Delivering neighbourhood policing in partnership</w:t>
      </w:r>
      <w:r w:rsidRPr="00A54552">
        <w:rPr>
          <w:rFonts w:eastAsia="Times New Roman" w:cstheme="minorHAnsi"/>
          <w:lang w:eastAsia="en-GB"/>
        </w:rPr>
        <w:t>, </w:t>
      </w:r>
      <w:hyperlink r:id="rId13" w:history="1">
        <w:r w:rsidRPr="00A54552">
          <w:rPr>
            <w:rFonts w:eastAsia="Times New Roman" w:cstheme="minorHAnsi"/>
            <w:i/>
            <w:iCs/>
            <w:lang w:eastAsia="en-GB"/>
          </w:rPr>
          <w:t>GOV.UK</w:t>
        </w:r>
      </w:hyperlink>
      <w:r w:rsidRPr="00A54552">
        <w:rPr>
          <w:rFonts w:eastAsia="Times New Roman" w:cstheme="minorHAnsi"/>
          <w:lang w:eastAsia="en-GB"/>
        </w:rPr>
        <w:t xml:space="preserve">. Available at: </w:t>
      </w:r>
      <w:hyperlink r:id="rId14" w:history="1">
        <w:r w:rsidRPr="00A54552">
          <w:rPr>
            <w:rFonts w:eastAsia="Times New Roman" w:cstheme="minorHAnsi"/>
            <w:lang w:eastAsia="en-GB"/>
          </w:rPr>
          <w:t>https://www.gov.uk/government/publications/delivering-neighbourhood-policing-in-partnership</w:t>
        </w:r>
      </w:hyperlink>
      <w:r w:rsidRPr="00A54552">
        <w:rPr>
          <w:rFonts w:eastAsia="Times New Roman" w:cstheme="minorHAnsi"/>
          <w:lang w:eastAsia="en-GB"/>
        </w:rPr>
        <w:t xml:space="preserve"> (Accessed: 27 April 2024)</w:t>
      </w:r>
    </w:p>
    <w:p w14:paraId="708AC1A1" w14:textId="77777777" w:rsidR="00A54552" w:rsidRPr="00A54552" w:rsidRDefault="00A54552" w:rsidP="00A54552">
      <w:pPr>
        <w:spacing w:before="100" w:beforeAutospacing="1" w:after="100" w:afterAutospacing="1" w:line="480" w:lineRule="auto"/>
        <w:ind w:left="567" w:hanging="567"/>
        <w:rPr>
          <w:rFonts w:eastAsia="Times New Roman" w:cstheme="minorHAnsi"/>
          <w:b/>
          <w:bCs/>
          <w:u w:val="single"/>
          <w:lang w:eastAsia="en-GB"/>
        </w:rPr>
      </w:pPr>
    </w:p>
    <w:p w14:paraId="163320C6" w14:textId="77777777" w:rsidR="00A54552" w:rsidRPr="00A54552" w:rsidRDefault="00A54552" w:rsidP="00A54552">
      <w:pPr>
        <w:spacing w:before="100" w:beforeAutospacing="1" w:after="100" w:afterAutospacing="1" w:line="480" w:lineRule="auto"/>
        <w:ind w:left="567" w:hanging="567"/>
        <w:rPr>
          <w:rFonts w:eastAsia="Times New Roman" w:cstheme="minorHAnsi"/>
          <w:b/>
          <w:bCs/>
          <w:u w:val="single"/>
          <w:lang w:eastAsia="en-GB"/>
        </w:rPr>
      </w:pPr>
      <w:r w:rsidRPr="00A54552">
        <w:rPr>
          <w:rFonts w:eastAsia="Times New Roman" w:cstheme="minorHAnsi"/>
          <w:b/>
          <w:bCs/>
          <w:u w:val="single"/>
          <w:lang w:eastAsia="en-GB"/>
        </w:rPr>
        <w:t>Interviewing Reference List</w:t>
      </w:r>
    </w:p>
    <w:p w14:paraId="427CFE82"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lang w:eastAsia="en-GB"/>
        </w:rPr>
        <w:t xml:space="preserve">Georgina Heydon                          Associate professor in Criminology and Justice Studies (2023) </w:t>
      </w:r>
      <w:r w:rsidRPr="00A54552">
        <w:rPr>
          <w:rFonts w:eastAsia="Times New Roman" w:cstheme="minorHAnsi"/>
          <w:i/>
          <w:iCs/>
          <w:lang w:eastAsia="en-GB"/>
        </w:rPr>
        <w:t>Cleo Smith Case: How ‘cognitive interviewing’ can help police compile the most reliable evidence</w:t>
      </w:r>
      <w:r w:rsidRPr="00A54552">
        <w:rPr>
          <w:rFonts w:eastAsia="Times New Roman" w:cstheme="minorHAnsi"/>
          <w:lang w:eastAsia="en-GB"/>
        </w:rPr>
        <w:t xml:space="preserve">, </w:t>
      </w:r>
      <w:r w:rsidRPr="00A54552">
        <w:rPr>
          <w:rFonts w:eastAsia="Times New Roman" w:cstheme="minorHAnsi"/>
          <w:i/>
          <w:iCs/>
          <w:lang w:eastAsia="en-GB"/>
        </w:rPr>
        <w:t>The Conversation</w:t>
      </w:r>
      <w:r w:rsidRPr="00A54552">
        <w:rPr>
          <w:rFonts w:eastAsia="Times New Roman" w:cstheme="minorHAnsi"/>
          <w:lang w:eastAsia="en-GB"/>
        </w:rPr>
        <w:t xml:space="preserve">. Available at: https://theconversation.com/cleo-smith-case-how-cognitive-interviewing-can-help-police-compile-the-most-reliable-evidence-171294 (Accessed: 22 April 2024). </w:t>
      </w:r>
    </w:p>
    <w:p w14:paraId="503C8C01"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lang w:eastAsia="en-GB"/>
        </w:rPr>
        <w:t xml:space="preserve">Morin, D.A., B.Sc., V.S. and Ashfield, C. (2022) </w:t>
      </w:r>
      <w:r w:rsidRPr="00A54552">
        <w:rPr>
          <w:rFonts w:eastAsia="Times New Roman" w:cstheme="minorHAnsi"/>
          <w:i/>
          <w:iCs/>
          <w:lang w:eastAsia="en-GB"/>
        </w:rPr>
        <w:t>183 examples of open-ended vs closed-ended questions</w:t>
      </w:r>
      <w:r w:rsidRPr="00A54552">
        <w:rPr>
          <w:rFonts w:eastAsia="Times New Roman" w:cstheme="minorHAnsi"/>
          <w:lang w:eastAsia="en-GB"/>
        </w:rPr>
        <w:t xml:space="preserve">, </w:t>
      </w:r>
      <w:proofErr w:type="spellStart"/>
      <w:r w:rsidRPr="00A54552">
        <w:rPr>
          <w:rFonts w:eastAsia="Times New Roman" w:cstheme="minorHAnsi"/>
          <w:i/>
          <w:iCs/>
          <w:lang w:eastAsia="en-GB"/>
        </w:rPr>
        <w:t>SocialSelf</w:t>
      </w:r>
      <w:proofErr w:type="spellEnd"/>
      <w:r w:rsidRPr="00A54552">
        <w:rPr>
          <w:rFonts w:eastAsia="Times New Roman" w:cstheme="minorHAnsi"/>
          <w:lang w:eastAsia="en-GB"/>
        </w:rPr>
        <w:t xml:space="preserve">. Available at: https://socialself.com/blog/open-ended-questions/ (Accessed: 22 April 2024). </w:t>
      </w:r>
    </w:p>
    <w:p w14:paraId="3DD3E6D8"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i/>
          <w:iCs/>
          <w:lang w:eastAsia="en-GB"/>
        </w:rPr>
        <w:t>Rapport building</w:t>
      </w:r>
      <w:r w:rsidRPr="00A54552">
        <w:rPr>
          <w:rFonts w:eastAsia="Times New Roman" w:cstheme="minorHAnsi"/>
          <w:lang w:eastAsia="en-GB"/>
        </w:rPr>
        <w:t xml:space="preserve"> (no date) </w:t>
      </w:r>
      <w:r w:rsidRPr="00A54552">
        <w:rPr>
          <w:rFonts w:eastAsia="Times New Roman" w:cstheme="minorHAnsi"/>
          <w:i/>
          <w:iCs/>
          <w:lang w:eastAsia="en-GB"/>
        </w:rPr>
        <w:t>College of Policing</w:t>
      </w:r>
      <w:r w:rsidRPr="00A54552">
        <w:rPr>
          <w:rFonts w:eastAsia="Times New Roman" w:cstheme="minorHAnsi"/>
          <w:lang w:eastAsia="en-GB"/>
        </w:rPr>
        <w:t xml:space="preserve">. Available at: https://www.college.police.uk/guidance/obtaining-initial-accounts/rapport-building (Accessed: 22 April 2024). </w:t>
      </w:r>
    </w:p>
    <w:p w14:paraId="054BB634"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proofErr w:type="spellStart"/>
      <w:r w:rsidRPr="00A54552">
        <w:rPr>
          <w:rFonts w:eastAsia="Times New Roman" w:cstheme="minorHAnsi"/>
          <w:lang w:eastAsia="en-GB"/>
        </w:rPr>
        <w:lastRenderedPageBreak/>
        <w:t>Psychdout</w:t>
      </w:r>
      <w:proofErr w:type="spellEnd"/>
      <w:r w:rsidRPr="00A54552">
        <w:rPr>
          <w:rFonts w:eastAsia="Times New Roman" w:cstheme="minorHAnsi"/>
          <w:lang w:eastAsia="en-GB"/>
        </w:rPr>
        <w:t xml:space="preserve"> (2012) </w:t>
      </w:r>
      <w:r w:rsidRPr="00A54552">
        <w:rPr>
          <w:rFonts w:eastAsia="Times New Roman" w:cstheme="minorHAnsi"/>
          <w:i/>
          <w:iCs/>
          <w:lang w:eastAsia="en-GB"/>
        </w:rPr>
        <w:t>The effectiveness of the cognitive interview</w:t>
      </w:r>
      <w:r w:rsidRPr="00A54552">
        <w:rPr>
          <w:rFonts w:eastAsia="Times New Roman" w:cstheme="minorHAnsi"/>
          <w:lang w:eastAsia="en-GB"/>
        </w:rPr>
        <w:t xml:space="preserve">, </w:t>
      </w:r>
      <w:proofErr w:type="spellStart"/>
      <w:r w:rsidRPr="00A54552">
        <w:rPr>
          <w:rFonts w:eastAsia="Times New Roman" w:cstheme="minorHAnsi"/>
          <w:i/>
          <w:iCs/>
          <w:lang w:eastAsia="en-GB"/>
        </w:rPr>
        <w:t>psychdout</w:t>
      </w:r>
      <w:proofErr w:type="spellEnd"/>
      <w:r w:rsidRPr="00A54552">
        <w:rPr>
          <w:rFonts w:eastAsia="Times New Roman" w:cstheme="minorHAnsi"/>
          <w:lang w:eastAsia="en-GB"/>
        </w:rPr>
        <w:t xml:space="preserve">. Available at: https://psychdout.wordpress.com/2012/03/07/the-effectiveness-of-the-cognitive-interview/ (Accessed: 22 April 2024). </w:t>
      </w:r>
    </w:p>
    <w:p w14:paraId="4499922D"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shd w:val="clear" w:color="auto" w:fill="FFFFFF"/>
          <w:lang w:eastAsia="en-GB"/>
        </w:rPr>
        <w:t>Fisher, R.P., Geiselman, R.E., &amp; Amador, M. (1989). Field test of the cognitive interview: Enhancing the recollection of the actual victims and witnesses of crime. </w:t>
      </w:r>
      <w:r w:rsidRPr="00A54552">
        <w:rPr>
          <w:rFonts w:eastAsia="Times New Roman" w:cstheme="minorHAnsi"/>
          <w:i/>
          <w:iCs/>
          <w:bdr w:val="none" w:sz="0" w:space="0" w:color="auto" w:frame="1"/>
          <w:shd w:val="clear" w:color="auto" w:fill="FFFFFF"/>
          <w:lang w:eastAsia="en-GB"/>
        </w:rPr>
        <w:t>Journal of Applied Psychology,74(5</w:t>
      </w:r>
      <w:proofErr w:type="gramStart"/>
      <w:r w:rsidRPr="00A54552">
        <w:rPr>
          <w:rFonts w:eastAsia="Times New Roman" w:cstheme="minorHAnsi"/>
          <w:i/>
          <w:iCs/>
          <w:bdr w:val="none" w:sz="0" w:space="0" w:color="auto" w:frame="1"/>
          <w:shd w:val="clear" w:color="auto" w:fill="FFFFFF"/>
          <w:lang w:eastAsia="en-GB"/>
        </w:rPr>
        <w:t>),</w:t>
      </w:r>
      <w:r w:rsidRPr="00A54552">
        <w:rPr>
          <w:rFonts w:eastAsia="Times New Roman" w:cstheme="minorHAnsi"/>
          <w:shd w:val="clear" w:color="auto" w:fill="FFFFFF"/>
          <w:lang w:eastAsia="en-GB"/>
        </w:rPr>
        <w:t>722-727.doi</w:t>
      </w:r>
      <w:proofErr w:type="gramEnd"/>
      <w:r w:rsidRPr="00A54552">
        <w:rPr>
          <w:rFonts w:eastAsia="Times New Roman" w:cstheme="minorHAnsi"/>
          <w:shd w:val="clear" w:color="auto" w:fill="FFFFFF"/>
          <w:lang w:eastAsia="en-GB"/>
        </w:rPr>
        <w:t>: 10.1037/0021-9010.74.5.722</w:t>
      </w:r>
    </w:p>
    <w:p w14:paraId="5289A568" w14:textId="77777777" w:rsidR="00A54552" w:rsidRPr="00A54552" w:rsidRDefault="00A54552" w:rsidP="00A54552">
      <w:pPr>
        <w:spacing w:line="480" w:lineRule="auto"/>
        <w:rPr>
          <w:rFonts w:cstheme="minorHAnsi"/>
        </w:rPr>
      </w:pPr>
    </w:p>
    <w:p w14:paraId="059B778D" w14:textId="77777777" w:rsidR="00A54552" w:rsidRPr="00A54552" w:rsidRDefault="00A54552" w:rsidP="00A54552">
      <w:pPr>
        <w:spacing w:line="480" w:lineRule="auto"/>
        <w:rPr>
          <w:rFonts w:cstheme="minorHAnsi"/>
        </w:rPr>
      </w:pPr>
    </w:p>
    <w:p w14:paraId="38461DDC" w14:textId="77777777" w:rsidR="00A54552" w:rsidRPr="00A54552" w:rsidRDefault="00A54552" w:rsidP="00A54552">
      <w:pPr>
        <w:spacing w:line="480" w:lineRule="auto"/>
        <w:rPr>
          <w:rFonts w:cstheme="minorHAnsi"/>
          <w:b/>
          <w:bCs/>
          <w:u w:val="single"/>
        </w:rPr>
      </w:pPr>
      <w:proofErr w:type="spellStart"/>
      <w:r w:rsidRPr="00A54552">
        <w:rPr>
          <w:rFonts w:cstheme="minorHAnsi"/>
          <w:b/>
          <w:bCs/>
          <w:u w:val="single"/>
        </w:rPr>
        <w:t>Anti Social</w:t>
      </w:r>
      <w:proofErr w:type="spellEnd"/>
      <w:r w:rsidRPr="00A54552">
        <w:rPr>
          <w:rFonts w:cstheme="minorHAnsi"/>
          <w:b/>
          <w:bCs/>
          <w:u w:val="single"/>
        </w:rPr>
        <w:t xml:space="preserve"> Behaviour Referencing List</w:t>
      </w:r>
    </w:p>
    <w:p w14:paraId="74F45F41" w14:textId="77777777" w:rsidR="00A54552" w:rsidRPr="00A54552" w:rsidRDefault="00A54552" w:rsidP="00A54552">
      <w:pPr>
        <w:spacing w:line="480" w:lineRule="auto"/>
        <w:rPr>
          <w:rFonts w:cstheme="minorHAnsi"/>
        </w:rPr>
      </w:pPr>
    </w:p>
    <w:p w14:paraId="5DF734C0"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i/>
          <w:iCs/>
          <w:lang w:eastAsia="en-GB"/>
        </w:rPr>
        <w:t>Restorative justice</w:t>
      </w:r>
      <w:r w:rsidRPr="00A54552">
        <w:rPr>
          <w:rFonts w:eastAsia="Times New Roman" w:cstheme="minorHAnsi"/>
          <w:lang w:eastAsia="en-GB"/>
        </w:rPr>
        <w:t xml:space="preserve"> (no date) </w:t>
      </w:r>
      <w:r w:rsidRPr="00A54552">
        <w:rPr>
          <w:rFonts w:eastAsia="Times New Roman" w:cstheme="minorHAnsi"/>
          <w:i/>
          <w:iCs/>
          <w:lang w:eastAsia="en-GB"/>
        </w:rPr>
        <w:t>Restorative Justice | The Crown Prosecution Service</w:t>
      </w:r>
      <w:r w:rsidRPr="00A54552">
        <w:rPr>
          <w:rFonts w:eastAsia="Times New Roman" w:cstheme="minorHAnsi"/>
          <w:lang w:eastAsia="en-GB"/>
        </w:rPr>
        <w:t xml:space="preserve">. Available at: https://www.cps.gov.uk/legal-guidance/restorative-justice (Accessed: 24 April 2024). </w:t>
      </w:r>
    </w:p>
    <w:p w14:paraId="6FAF9891"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i/>
          <w:iCs/>
          <w:lang w:eastAsia="en-GB"/>
        </w:rPr>
        <w:t>Early Help Hub</w:t>
      </w:r>
      <w:r w:rsidRPr="00A54552">
        <w:rPr>
          <w:rFonts w:eastAsia="Times New Roman" w:cstheme="minorHAnsi"/>
          <w:lang w:eastAsia="en-GB"/>
        </w:rPr>
        <w:t xml:space="preserve"> (no date) </w:t>
      </w:r>
      <w:r w:rsidRPr="00A54552">
        <w:rPr>
          <w:rFonts w:eastAsia="Times New Roman" w:cstheme="minorHAnsi"/>
          <w:i/>
          <w:iCs/>
          <w:lang w:eastAsia="en-GB"/>
        </w:rPr>
        <w:t>Home</w:t>
      </w:r>
      <w:r w:rsidRPr="00A54552">
        <w:rPr>
          <w:rFonts w:eastAsia="Times New Roman" w:cstheme="minorHAnsi"/>
          <w:lang w:eastAsia="en-GB"/>
        </w:rPr>
        <w:t xml:space="preserve">. Available at: https://www.merthyrfis.org/family-support/youth-service/mtcbc-youth-service/ (Accessed: 10 April 2024). </w:t>
      </w:r>
    </w:p>
    <w:p w14:paraId="3E7CE551"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i/>
          <w:iCs/>
          <w:lang w:eastAsia="en-GB"/>
        </w:rPr>
        <w:t>Early help hub</w:t>
      </w:r>
      <w:r w:rsidRPr="00A54552">
        <w:rPr>
          <w:rFonts w:eastAsia="Times New Roman" w:cstheme="minorHAnsi"/>
          <w:lang w:eastAsia="en-GB"/>
        </w:rPr>
        <w:t xml:space="preserve"> (no date) </w:t>
      </w:r>
      <w:r w:rsidRPr="00A54552">
        <w:rPr>
          <w:rFonts w:eastAsia="Times New Roman" w:cstheme="minorHAnsi"/>
          <w:i/>
          <w:iCs/>
          <w:lang w:eastAsia="en-GB"/>
        </w:rPr>
        <w:t>Early Help Hub Merthyr</w:t>
      </w:r>
      <w:r w:rsidRPr="00A54552">
        <w:rPr>
          <w:rFonts w:eastAsia="Times New Roman" w:cstheme="minorHAnsi"/>
          <w:lang w:eastAsia="en-GB"/>
        </w:rPr>
        <w:t xml:space="preserve">. Available at: https://www.merthyrfis.org/family-support/early-help-hub/ (Accessed: 24 April 2024). </w:t>
      </w:r>
    </w:p>
    <w:p w14:paraId="58762AF7"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lang w:eastAsia="en-GB"/>
        </w:rPr>
        <w:t xml:space="preserve">(No date) </w:t>
      </w:r>
      <w:r w:rsidRPr="00A54552">
        <w:rPr>
          <w:rFonts w:eastAsia="Times New Roman" w:cstheme="minorHAnsi"/>
          <w:i/>
          <w:iCs/>
          <w:lang w:eastAsia="en-GB"/>
        </w:rPr>
        <w:t>What is antisocial behaviour? | metropolitan police</w:t>
      </w:r>
      <w:r w:rsidRPr="00A54552">
        <w:rPr>
          <w:rFonts w:eastAsia="Times New Roman" w:cstheme="minorHAnsi"/>
          <w:lang w:eastAsia="en-GB"/>
        </w:rPr>
        <w:t xml:space="preserve">. Available at: https://www.met.police.uk/advice/advice-and-information/asb/asb/antisocial-behaviour/what-is-antisocial-behaviour/ (Accessed: 23 April 2024). </w:t>
      </w:r>
    </w:p>
    <w:p w14:paraId="485B3E11" w14:textId="77777777" w:rsidR="00A54552" w:rsidRPr="00A54552" w:rsidRDefault="00A54552" w:rsidP="00A54552">
      <w:pPr>
        <w:spacing w:before="100" w:beforeAutospacing="1" w:after="100" w:afterAutospacing="1" w:line="480" w:lineRule="auto"/>
        <w:ind w:left="567" w:hanging="567"/>
        <w:rPr>
          <w:rFonts w:eastAsia="Times New Roman" w:cstheme="minorHAnsi"/>
          <w:lang w:eastAsia="en-GB"/>
        </w:rPr>
      </w:pPr>
      <w:r w:rsidRPr="00A54552">
        <w:rPr>
          <w:rFonts w:eastAsia="Times New Roman" w:cstheme="minorHAnsi"/>
          <w:i/>
          <w:iCs/>
          <w:lang w:eastAsia="en-GB"/>
        </w:rPr>
        <w:lastRenderedPageBreak/>
        <w:t>Action plan to crack down on anti-social behaviour</w:t>
      </w:r>
      <w:r w:rsidRPr="00A54552">
        <w:rPr>
          <w:rFonts w:eastAsia="Times New Roman" w:cstheme="minorHAnsi"/>
          <w:lang w:eastAsia="en-GB"/>
        </w:rPr>
        <w:t xml:space="preserve"> (2023) </w:t>
      </w:r>
      <w:r w:rsidRPr="00A54552">
        <w:rPr>
          <w:rFonts w:eastAsia="Times New Roman" w:cstheme="minorHAnsi"/>
          <w:i/>
          <w:iCs/>
          <w:lang w:eastAsia="en-GB"/>
        </w:rPr>
        <w:t>GOV.UK</w:t>
      </w:r>
      <w:r w:rsidRPr="00A54552">
        <w:rPr>
          <w:rFonts w:eastAsia="Times New Roman" w:cstheme="minorHAnsi"/>
          <w:lang w:eastAsia="en-GB"/>
        </w:rPr>
        <w:t xml:space="preserve">. Available at: https://www.gov.uk/government/news/action-plan-to-crack-down-on-anti-social-behaviour (Accessed: 24 April 2024). </w:t>
      </w:r>
    </w:p>
    <w:p w14:paraId="6F68E113" w14:textId="77777777" w:rsidR="00A54552" w:rsidRPr="00A54552" w:rsidRDefault="00A54552" w:rsidP="00A54552">
      <w:pPr>
        <w:spacing w:line="480" w:lineRule="auto"/>
      </w:pPr>
    </w:p>
    <w:p w14:paraId="258F7A02" w14:textId="77777777" w:rsidR="00A54552" w:rsidRPr="00A54552" w:rsidRDefault="00A54552" w:rsidP="00A54552">
      <w:pPr>
        <w:spacing w:line="480" w:lineRule="auto"/>
      </w:pPr>
    </w:p>
    <w:p w14:paraId="5269B7E5" w14:textId="77777777" w:rsidR="00A54552" w:rsidRDefault="00A54552" w:rsidP="00A54552">
      <w:pPr>
        <w:spacing w:line="480" w:lineRule="auto"/>
      </w:pPr>
    </w:p>
    <w:sectPr w:rsidR="00A54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E0C"/>
    <w:rsid w:val="0015788E"/>
    <w:rsid w:val="00173E62"/>
    <w:rsid w:val="00176E0C"/>
    <w:rsid w:val="001A0C26"/>
    <w:rsid w:val="001D2D4F"/>
    <w:rsid w:val="002860D9"/>
    <w:rsid w:val="00441628"/>
    <w:rsid w:val="00487043"/>
    <w:rsid w:val="004B4363"/>
    <w:rsid w:val="004C5014"/>
    <w:rsid w:val="00525A05"/>
    <w:rsid w:val="00555396"/>
    <w:rsid w:val="00607298"/>
    <w:rsid w:val="006D4A17"/>
    <w:rsid w:val="00905A1E"/>
    <w:rsid w:val="009F332E"/>
    <w:rsid w:val="00A4456F"/>
    <w:rsid w:val="00A54552"/>
    <w:rsid w:val="00B77C99"/>
    <w:rsid w:val="00BB17AF"/>
    <w:rsid w:val="00CA3C57"/>
    <w:rsid w:val="00E34D76"/>
    <w:rsid w:val="00E82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40A75"/>
  <w15:chartTrackingRefBased/>
  <w15:docId w15:val="{CB049624-2FA9-4388-A616-EC5107945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41628"/>
    <w:rPr>
      <w:color w:val="0000FF"/>
      <w:u w:val="single"/>
    </w:rPr>
  </w:style>
  <w:style w:type="paragraph" w:styleId="NormalWeb">
    <w:name w:val="Normal (Web)"/>
    <w:basedOn w:val="Normal"/>
    <w:uiPriority w:val="99"/>
    <w:unhideWhenUsed/>
    <w:rsid w:val="00555396"/>
    <w:pPr>
      <w:spacing w:before="100" w:beforeAutospacing="1" w:after="100" w:afterAutospacing="1" w:line="240" w:lineRule="auto"/>
    </w:pPr>
    <w:rPr>
      <w:rFonts w:ascii="Calibri" w:hAnsi="Calibri" w:cs="Calibri"/>
      <w:lang w:eastAsia="en-GB"/>
    </w:rPr>
  </w:style>
  <w:style w:type="character" w:customStyle="1" w:styleId="gmail-apple-converted-space">
    <w:name w:val="gmail-apple-converted-space"/>
    <w:basedOn w:val="DefaultParagraphFont"/>
    <w:rsid w:val="00555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701338">
      <w:bodyDiv w:val="1"/>
      <w:marLeft w:val="0"/>
      <w:marRight w:val="0"/>
      <w:marTop w:val="0"/>
      <w:marBottom w:val="0"/>
      <w:divBdr>
        <w:top w:val="none" w:sz="0" w:space="0" w:color="auto"/>
        <w:left w:val="none" w:sz="0" w:space="0" w:color="auto"/>
        <w:bottom w:val="none" w:sz="0" w:space="0" w:color="auto"/>
        <w:right w:val="none" w:sz="0" w:space="0" w:color="auto"/>
      </w:divBdr>
    </w:div>
    <w:div w:id="1216702133">
      <w:bodyDiv w:val="1"/>
      <w:marLeft w:val="0"/>
      <w:marRight w:val="0"/>
      <w:marTop w:val="0"/>
      <w:marBottom w:val="0"/>
      <w:divBdr>
        <w:top w:val="none" w:sz="0" w:space="0" w:color="auto"/>
        <w:left w:val="none" w:sz="0" w:space="0" w:color="auto"/>
        <w:bottom w:val="none" w:sz="0" w:space="0" w:color="auto"/>
        <w:right w:val="none" w:sz="0" w:space="0" w:color="auto"/>
      </w:divBdr>
    </w:div>
    <w:div w:id="213020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3A%2F%2Fgov.uk%2F&amp;data=05%7C02%7Ccarla.morris1%40south-wales.police.uk%7C30ff72e43b1044501d6708dc7e7e404b%7C270c2f4dfd0c4f0892a9e5bdd8a87e09%7C0%7C0%7C638524327952331067%7CUnknown%7CTWFpbGZsb3d8eyJWIjoiMC4wLjAwMDAiLCJQIjoiV2luMzIiLCJBTiI6Ik1haWwiLCJXVCI6Mn0%3D%7C0%7C%7C%7C&amp;sdata=UspFr91CMc7c2hUzSVE2e9MUzH7wMILJk76bWBXJQnA%3D&amp;reserved=0" TargetMode="External"/><Relationship Id="rId13" Type="http://schemas.openxmlformats.org/officeDocument/2006/relationships/hyperlink" Target="https://gbr01.safelinks.protection.outlook.com/?url=http%3A%2F%2Fgov.uk%2F&amp;data=05%7C02%7Ccarla.morris1%40south-wales.police.uk%7C30ff72e43b1044501d6708dc7e7e404b%7C270c2f4dfd0c4f0892a9e5bdd8a87e09%7C0%7C0%7C638524327952372443%7CUnknown%7CTWFpbGZsb3d8eyJWIjoiMC4wLjAwMDAiLCJQIjoiV2luMzIiLCJBTiI6Ik1haWwiLCJXVCI6Mn0%3D%7C0%7C%7C%7C&amp;sdata=qGzCBM1Nv%2FKDsBlPzUYNVWr12zGnw%2Fo88YbSvXzOkmU%3D&amp;reserved=0" TargetMode="External"/><Relationship Id="rId3" Type="http://schemas.openxmlformats.org/officeDocument/2006/relationships/webSettings" Target="webSettings.xml"/><Relationship Id="rId7" Type="http://schemas.openxmlformats.org/officeDocument/2006/relationships/hyperlink" Target="https://gbr01.safelinks.protection.outlook.com/?url=https%3A%2F%2Fwww.policeconduct.gov.uk%2F&amp;data=05%7C02%7CCarla.Morris1%40south-wales.police.uk%7Cad43a1d67f59434879dc08dc7e7c7bef%7C270c2f4dfd0c4f0892a9e5bdd8a87e09%7C0%7C0%7C638524320322396534%7CUnknown%7CTWFpbGZsb3d8eyJWIjoiMC4wLjAwMDAiLCJQIjoiV2luMzIiLCJBTiI6Ik1haWwiLCJXVCI6Mn0%3D%7C0%7C%7C%7C&amp;sdata=ujt6CGGlEZ%2BzfUWHDv2xH1nskmnyJXEmA0%2B33Uv0TJ8%3D&amp;reserved=0" TargetMode="External"/><Relationship Id="rId12" Type="http://schemas.openxmlformats.org/officeDocument/2006/relationships/hyperlink" Target="https://gbr01.safelinks.protection.outlook.com/?url=https%3A%2F%2Fcareersinblue.co.uk%2Fpartnership-working-why-is-this-important%2F&amp;data=05%7C02%7Ccarla.morris1%40south-wales.police.uk%7C30ff72e43b1044501d6708dc7e7e404b%7C270c2f4dfd0c4f0892a9e5bdd8a87e09%7C0%7C0%7C638524327952365639%7CUnknown%7CTWFpbGZsb3d8eyJWIjoiMC4wLjAwMDAiLCJQIjoiV2luMzIiLCJBTiI6Ik1haWwiLCJXVCI6Mn0%3D%7C0%7C%7C%7C&amp;sdata=wGHbjycy0E9Y8SWoMjePXfNrdXy7YECMh2%2B3fJwNp2I%3D&amp;reserved=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br01.safelinks.protection.outlook.com/?url=https%3A%2F%2Fwww.college.police.uk%2Fapp%2Fprofessional-standards&amp;data=05%7C02%7CCarla.Morris1%40south-wales.police.uk%7Cad43a1d67f59434879dc08dc7e7c7bef%7C270c2f4dfd0c4f0892a9e5bdd8a87e09%7C0%7C0%7C638524320322390779%7CUnknown%7CTWFpbGZsb3d8eyJWIjoiMC4wLjAwMDAiLCJQIjoiV2luMzIiLCJBTiI6Ik1haWwiLCJXVCI6Mn0%3D%7C0%7C%7C%7C&amp;sdata=a5rA4vTKN52fhg6eXJO4WGmrl5ImBjpnmqV66FBg618%3D&amp;reserved=0" TargetMode="External"/><Relationship Id="rId11" Type="http://schemas.openxmlformats.org/officeDocument/2006/relationships/hyperlink" Target="https://gbr01.safelinks.protection.outlook.com/?url=https%3A%2F%2Fwww.college.police.uk%2Farticle%2Fproblem-oriented-policing-pop-guidelines&amp;data=05%7C02%7Ccarla.morris1%40south-wales.police.uk%7C30ff72e43b1044501d6708dc7e7e404b%7C270c2f4dfd0c4f0892a9e5bdd8a87e09%7C0%7C0%7C638524327952358979%7CUnknown%7CTWFpbGZsb3d8eyJWIjoiMC4wLjAwMDAiLCJQIjoiV2luMzIiLCJBTiI6Ik1haWwiLCJXVCI6Mn0%3D%7C0%7C%7C%7C&amp;sdata=unzbYBJPJv4YdPzyBNdKsxPSZiJuO875NjmwjbMym7k%3D&amp;reserved=0" TargetMode="External"/><Relationship Id="rId5" Type="http://schemas.openxmlformats.org/officeDocument/2006/relationships/hyperlink" Target="https://gbr01.safelinks.protection.outlook.com/?url=https%3A%2F%2Fwww.gov.uk%2Fgovernment%2Fpublications%2Fpublic-perceptions-of-policing-a-review-of-research-and-literature%2Fpublic-perceptions-of-policing-a-review-of-research-and-literature&amp;data=05%7C02%7CCarla.Morris1%40south-wales.police.uk%7Cad43a1d67f59434879dc08dc7e7c7bef%7C270c2f4dfd0c4f0892a9e5bdd8a87e09%7C0%7C0%7C638524320322382956%7CUnknown%7CTWFpbGZsb3d8eyJWIjoiMC4wLjAwMDAiLCJQIjoiV2luMzIiLCJBTiI6Ik1haWwiLCJXVCI6Mn0%3D%7C0%7C%7C%7C&amp;sdata=oJC4BL850jJ44WMcgsDJzccPxTfQVs371BqA3uCcyHM%3D&amp;reserved=0" TargetMode="External"/><Relationship Id="rId15" Type="http://schemas.openxmlformats.org/officeDocument/2006/relationships/fontTable" Target="fontTable.xml"/><Relationship Id="rId10" Type="http://schemas.openxmlformats.org/officeDocument/2006/relationships/hyperlink" Target="https://gbr01.safelinks.protection.outlook.com/?url=https%3A%2F%2Fcebcp.org%2Fevidence-based-policing%2Fthe-matrix%2Fneighborhood%2Fneighborhood-tuffin-et-al-2006%2F&amp;data=05%7C02%7Ccarla.morris1%40south-wales.police.uk%7C30ff72e43b1044501d6708dc7e7e404b%7C270c2f4dfd0c4f0892a9e5bdd8a87e09%7C0%7C0%7C638524327952351762%7CUnknown%7CTWFpbGZsb3d8eyJWIjoiMC4wLjAwMDAiLCJQIjoiV2luMzIiLCJBTiI6Ik1haWwiLCJXVCI6Mn0%3D%7C0%7C%7C%7C&amp;sdata=%2BD0HgihA1YTDyQ8GVNVuaV1okYS0Xi1R7Im02e8oWpA%3D&amp;reserved=0" TargetMode="External"/><Relationship Id="rId4" Type="http://schemas.openxmlformats.org/officeDocument/2006/relationships/hyperlink" Target="https://gbr01.safelinks.protection.outlook.com/?url=http%3A%2F%2Fgov.uk%2F&amp;data=05%7C02%7CCarla.Morris1%40south-wales.police.uk%7Cad43a1d67f59434879dc08dc7e7c7bef%7C270c2f4dfd0c4f0892a9e5bdd8a87e09%7C0%7C0%7C638524320322370404%7CUnknown%7CTWFpbGZsb3d8eyJWIjoiMC4wLjAwMDAiLCJQIjoiV2luMzIiLCJBTiI6Ik1haWwiLCJXVCI6Mn0%3D%7C0%7C%7C%7C&amp;sdata=IUH6oiYuV9PDAiXbKDb2jSFmaxmCVylCCu9EtfKLYyo%3D&amp;reserved=0" TargetMode="External"/><Relationship Id="rId9" Type="http://schemas.openxmlformats.org/officeDocument/2006/relationships/hyperlink" Target="https://gbr01.safelinks.protection.outlook.com/?url=https%3A%2F%2Fwww.gov.uk%2Fgovernment%2Fpublications%2Fdelivering-neighbourhood-policing-in-partnership&amp;data=05%7C02%7Ccarla.morris1%40south-wales.police.uk%7C30ff72e43b1044501d6708dc7e7e404b%7C270c2f4dfd0c4f0892a9e5bdd8a87e09%7C0%7C0%7C638524327952343094%7CUnknown%7CTWFpbGZsb3d8eyJWIjoiMC4wLjAwMDAiLCJQIjoiV2luMzIiLCJBTiI6Ik1haWwiLCJXVCI6Mn0%3D%7C0%7C%7C%7C&amp;sdata=CZ76JB4oGM49%2F7RrEHIb%2FmFiXJIEOS8D7NZNPuY2Ko4%3D&amp;reserved=0" TargetMode="External"/><Relationship Id="rId14" Type="http://schemas.openxmlformats.org/officeDocument/2006/relationships/hyperlink" Target="https://gbr01.safelinks.protection.outlook.com/?url=https%3A%2F%2Fwww.gov.uk%2Fgovernment%2Fpublications%2Fdelivering-neighbourhood-policing-in-partnership&amp;data=05%7C02%7Ccarla.morris1%40south-wales.police.uk%7C30ff72e43b1044501d6708dc7e7e404b%7C270c2f4dfd0c4f0892a9e5bdd8a87e09%7C0%7C0%7C638524327952378897%7CUnknown%7CTWFpbGZsb3d8eyJWIjoiMC4wLjAwMDAiLCJQIjoiV2luMzIiLCJBTiI6Ik1haWwiLCJXVCI6Mn0%3D%7C0%7C%7C%7C&amp;sdata=EmJXXpuYpR5zH9XSJez65r1iWKY1U8ej9YPWQNLDQdg%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5279</Words>
  <Characters>30093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Morris,Carla swp8398</dc:creator>
  <cp:keywords/>
  <dc:description/>
  <cp:lastModifiedBy>Morris,Carla swp8398</cp:lastModifiedBy>
  <cp:revision>2</cp:revision>
  <dcterms:created xsi:type="dcterms:W3CDTF">2024-05-27T19:09:00Z</dcterms:created>
  <dcterms:modified xsi:type="dcterms:W3CDTF">2024-05-27T19:09:00Z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2024-05-24T14:40:15Z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235158c5-550b-4801-a039-f4a2d223cd85</vt:lpwstr>
  </property>
  <property fmtid="{D5CDD505-2E9C-101B-9397-08002B2CF9AE}" pid="8" name="MSIP_Label_66cf8fe5-b7b7-4df7-b38d-1c61ac2f6639_ContentBits">
    <vt:lpwstr>0</vt:lpwstr>
  </property>
</Properties>
</file>