
<file path=[Content_Types].xml><?xml version="1.0" encoding="utf-8"?>
<Types xmlns="http://schemas.openxmlformats.org/package/2006/content-types">
  <Override PartName="/_rels/.rels" ContentType="application/vnd.openxmlformats-package.relationships+xml"/>
  <Override PartName="/docProps/app.xml" ContentType="application/vnd.openxmlformats-officedocument.extended-properties+xml"/>
  <Override PartName="/docProps/core.xml" ContentType="application/vnd.openxmlformats-package.core-properties+xml"/>
  <Override PartName="/word/_rels/footnotes.xml.rels" ContentType="application/vnd.openxmlformats-package.relationships+xml"/>
  <Override PartName="/word/_rels/document.xml.rels" ContentType="application/vnd.openxmlformats-package.relationship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pPr>
      <w:r>
        <w:rPr/>
      </w:r>
    </w:p>
    <w:p>
      <w:pPr>
        <w:pStyle w:val="Subtitle"/>
        <w:rPr/>
      </w:pPr>
      <w:r>
        <w:rPr/>
        <w:t>Parliamentary scout reports of Royalist forces at Rycote during the first English Civil War</w:t>
      </w:r>
    </w:p>
    <w:p>
      <w:pPr>
        <w:pStyle w:val="Normal"/>
        <w:rPr/>
      </w:pPr>
      <w:r>
        <w:rPr/>
      </w:r>
    </w:p>
    <w:p>
      <w:pPr>
        <w:pStyle w:val="Normal"/>
        <w:rPr/>
      </w:pPr>
      <w:hyperlink r:id="rId2">
        <w:r>
          <w:rPr>
            <w:rStyle w:val="InternetLink"/>
          </w:rPr>
          <w:t>https://digital.bodleian.ox.ac.uk/objects/e63dbc71-a20b-468d-bb2f-b9c1e12d66ff/</w:t>
        </w:r>
      </w:hyperlink>
    </w:p>
    <w:p>
      <w:pPr>
        <w:pStyle w:val="Normal"/>
        <w:rPr/>
      </w:pPr>
      <w:r>
        <w:rPr/>
      </w:r>
    </w:p>
    <w:p>
      <w:pPr>
        <w:pStyle w:val="Normal"/>
        <w:rPr/>
      </w:pPr>
      <w:r>
        <w:rPr/>
      </w:r>
    </w:p>
    <w:p>
      <w:pPr>
        <w:pStyle w:val="Normal"/>
        <w:rPr/>
      </w:pPr>
      <w:r>
        <w:rPr/>
        <w:t>[</w:t>
      </w:r>
      <w:r>
        <w:rPr/>
        <w:t>46r</w:t>
      </w:r>
      <w:r>
        <w:rPr/>
        <w:t>]</w:t>
      </w:r>
    </w:p>
    <w:p>
      <w:pPr>
        <w:pStyle w:val="Normal"/>
        <w:rPr/>
      </w:pPr>
      <w:r>
        <w:rPr/>
      </w:r>
    </w:p>
    <w:p>
      <w:pPr>
        <w:pStyle w:val="Normal"/>
        <w:rPr/>
      </w:pPr>
      <w:r>
        <w:rPr/>
        <w:t>Robert Cox went out this day.</w:t>
      </w:r>
    </w:p>
    <w:p>
      <w:pPr>
        <w:pStyle w:val="Normal"/>
        <w:rPr/>
      </w:pPr>
      <w:r>
        <w:rPr/>
        <w:t>Wi</w:t>
      </w:r>
      <w:r>
        <w:rPr/>
        <w:t>[</w:t>
      </w:r>
      <w:r>
        <w:rPr/>
        <w:t>llia</w:t>
      </w:r>
      <w:r>
        <w:rPr/>
        <w:t>]</w:t>
      </w:r>
      <w:r>
        <w:rPr/>
        <w:t>m Lowgrove went this day.</w:t>
      </w:r>
    </w:p>
    <w:p>
      <w:pPr>
        <w:pStyle w:val="Normal"/>
        <w:rPr/>
      </w:pPr>
      <w:r>
        <w:rPr/>
        <w:t xml:space="preserve">Edward Sherwyn returned this day and saith. That the Kings forces stood </w:t>
      </w:r>
      <w:r>
        <w:rPr>
          <w:strike/>
        </w:rPr>
        <w:t xml:space="preserve">all </w:t>
      </w:r>
      <w:r>
        <w:rPr/>
        <w:t xml:space="preserve">the last night at </w:t>
      </w:r>
      <w:r>
        <w:rPr/>
        <w:t>6</w:t>
      </w:r>
      <w:r>
        <w:rPr/>
        <w:t xml:space="preserve">  a clocke </w:t>
      </w:r>
      <w:r>
        <w:rPr/>
        <w:t xml:space="preserve">[the a in a clocke has been written as an a and I decided to transcribe it as an a but logic tells me it could be an o as medieval usage was ‘of the clock’] </w:t>
      </w:r>
      <w:r>
        <w:rPr/>
        <w:t>in a full body bet</w:t>
      </w:r>
      <w:r>
        <w:rPr/>
        <w:t>w</w:t>
      </w:r>
      <w:r>
        <w:rPr/>
        <w:t xml:space="preserve">ixt Heddington and Oxford expecting </w:t>
      </w:r>
      <w:r>
        <w:rPr/>
        <w:t xml:space="preserve">our forces and hath eate upp all the corn in the feilds thereabouts. That </w:t>
      </w:r>
      <w:r>
        <w:rPr>
          <w:strike/>
        </w:rPr>
        <w:t>divers</w:t>
      </w:r>
      <w:r>
        <w:rPr/>
        <w:t xml:space="preserve"> about  fr {four?]</w:t>
      </w:r>
      <w:r>
        <w:rPr>
          <w:strike w:val="false"/>
          <w:dstrike w:val="false"/>
        </w:rPr>
        <w:t xml:space="preserve"> </w:t>
      </w:r>
      <w:r>
        <w:rPr/>
        <w:t>or 800 of the Kings men have been ^wer^</w:t>
      </w:r>
      <w:r>
        <w:rPr>
          <w:i/>
          <w:iCs/>
        </w:rPr>
        <w:t xml:space="preserve"> </w:t>
      </w:r>
      <w:r>
        <w:rPr/>
        <w:t>in ployed yesterday in cutting downe trees in the Sh[o]ttover wood to make way for their ordnance to play ag[ains]t our forces when they come that way. That we pursue of their forces hath been di[s]</w:t>
      </w:r>
      <w:r>
        <w:rPr>
          <w:b w:val="false"/>
          <w:bCs w:val="false"/>
          <w:i w:val="false"/>
          <w:iCs w:val="false"/>
        </w:rPr>
        <w:t>covered</w:t>
      </w:r>
      <w:r>
        <w:rPr/>
        <w:t xml:space="preserve"> to come further this way than Jslipp [I and J are interchangeable, Islipp, is the modern spelling] except . 2 or 3 of their scouts w[i]th ride about their quarters.</w:t>
      </w:r>
    </w:p>
    <w:p>
      <w:pPr>
        <w:pStyle w:val="Normal"/>
        <w:rPr/>
      </w:pPr>
      <w:r>
        <w:rPr/>
        <w:t>Robert Atkins returned this day and saith that Prince Robort i</w:t>
      </w:r>
      <w:r>
        <w:rPr/>
        <w:t>s</w:t>
      </w:r>
      <w:r>
        <w:rPr/>
        <w:t xml:space="preserve"> now at </w:t>
      </w:r>
      <w:r>
        <w:rPr/>
        <w:t>Jslipp</w:t>
      </w:r>
      <w:r>
        <w:rPr/>
        <w:t xml:space="preserve"> w</w:t>
      </w:r>
      <w:r>
        <w:rPr/>
        <w:t>[i]</w:t>
      </w:r>
      <w:r>
        <w:rPr/>
        <w:t xml:space="preserve">th 5000 men and 5000 </w:t>
      </w:r>
      <w:r>
        <w:rPr/>
        <w:t>more are drawn out of Abbington. Culham hill and other places thereabouts to Gosland bridge neere Woodstoocke to prevent the coming of the Lord Wharton and Coll[onel]: Goodwyn, that they drove in at least 100 head of cattle from  Wornall and thereabouts the last night into Oxford and threaten to pillage all the Contry before his Excellency come thither. and when this day being Markett day to take all the Contry mens corne and other provision from them and that they report they are provided for halfe a yeare and intend to fetch in all the horse thereabouts. to make all their soldiers horsemen and to fetch downe our foote and that they have made themselves very strong in Shottover wood. having planted there at least 30 pieces of ordnance / that the kings  20000 strong./</w:t>
      </w:r>
    </w:p>
    <w:p>
      <w:pPr>
        <w:pStyle w:val="Normal"/>
        <w:rPr/>
      </w:pPr>
      <w:r>
        <w:rPr/>
        <w:t xml:space="preserve">William Lowgrove saith. that there were 2 of </w:t>
      </w:r>
      <w:r>
        <w:rPr>
          <w:i w:val="false"/>
          <w:iCs w:val="false"/>
        </w:rPr>
        <w:t>^</w:t>
      </w:r>
      <w:r>
        <w:rPr>
          <w:i w:val="false"/>
          <w:iCs w:val="false"/>
        </w:rPr>
        <w:t>troopes</w:t>
      </w:r>
      <w:r>
        <w:rPr>
          <w:i w:val="false"/>
          <w:iCs w:val="false"/>
        </w:rPr>
        <w:t>^</w:t>
      </w:r>
      <w:r>
        <w:rPr/>
        <w:t xml:space="preserve">of horse of the Kings force at Rycott 3 miles from Tame and that about 10 of them were at Shabbnton </w:t>
      </w:r>
      <w:r>
        <w:rPr>
          <w:strike/>
        </w:rPr>
        <w:t>and</w:t>
      </w:r>
      <w:r>
        <w:rPr>
          <w:strike w:val="false"/>
          <w:dstrike w:val="false"/>
        </w:rPr>
        <w:t xml:space="preserve"> </w:t>
      </w:r>
      <w:r>
        <w:rPr/>
        <w:t>the other night and all the last night and are expected this night and lye scouting all thereabouts to make a prey of our forces./</w:t>
      </w:r>
    </w:p>
    <w:p>
      <w:pPr>
        <w:pStyle w:val="Normal"/>
        <w:rPr/>
      </w:pPr>
      <w:r>
        <w:rPr/>
        <w:t>Ralph Norton saith that Prince Rob</w:t>
      </w:r>
      <w:r>
        <w:rPr/>
        <w:t>o</w:t>
      </w:r>
      <w:r>
        <w:rPr/>
        <w:t>rt is nowe at Bicester w</w:t>
      </w:r>
      <w:r>
        <w:rPr/>
        <w:t>[</w:t>
      </w:r>
      <w:r>
        <w:rPr/>
        <w:t>i</w:t>
      </w:r>
      <w:r>
        <w:rPr/>
        <w:t>]</w:t>
      </w:r>
      <w:r>
        <w:rPr/>
        <w:t xml:space="preserve">th 1,000 horse. </w:t>
      </w:r>
      <w:r>
        <w:rPr/>
        <w:t>a</w:t>
      </w:r>
      <w:r>
        <w:rPr/>
        <w:t>nd betwixt Oxford and that place lye most of the kings forces and expect his Excell</w:t>
      </w:r>
      <w:r>
        <w:rPr/>
        <w:t>[ency]</w:t>
      </w:r>
      <w:r>
        <w:rPr/>
        <w:t xml:space="preserve"> coming that way. That they still cause the Contry to bring in victuall </w:t>
      </w:r>
      <w:r>
        <w:rPr>
          <w:strike/>
        </w:rPr>
        <w:t>and</w:t>
      </w:r>
      <w:r>
        <w:rPr/>
        <w:t xml:space="preserve">  </w:t>
      </w:r>
      <w:r>
        <w:rPr/>
        <w:t>other provision dayly unto them and he heares  marching from Bullington  and[?  abbreviation] were  200 of their soldiers runne away.</w:t>
      </w:r>
    </w:p>
    <w:p>
      <w:pPr>
        <w:pStyle w:val="Normal"/>
        <w:rPr/>
      </w:pPr>
      <w:r>
        <w:rPr/>
      </w:r>
    </w:p>
    <w:p>
      <w:pPr>
        <w:pStyle w:val="Normal"/>
        <w:ind w:left="-735" w:right="0" w:hanging="0"/>
        <w:rPr/>
      </w:pPr>
      <w:r>
        <w:rPr/>
        <w:t>Thursday the 15 June</w:t>
      </w:r>
    </w:p>
    <w:p>
      <w:pPr>
        <w:pStyle w:val="Normal"/>
        <w:rPr/>
      </w:pPr>
      <w:r>
        <w:rPr/>
        <w:t>William Richards went forth</w:t>
      </w:r>
    </w:p>
    <w:p>
      <w:pPr>
        <w:pStyle w:val="Normal"/>
        <w:rPr/>
      </w:pPr>
      <w:r>
        <w:rPr/>
        <w:t>Edward Sherwyn</w:t>
      </w:r>
    </w:p>
    <w:p>
      <w:pPr>
        <w:pStyle w:val="Normal"/>
        <w:rPr/>
      </w:pPr>
      <w:r>
        <w:rPr/>
        <w:t>Ralph Norton went out this day towards Oxford</w:t>
      </w:r>
    </w:p>
    <w:p>
      <w:pPr>
        <w:pStyle w:val="Normal"/>
        <w:rPr/>
      </w:pPr>
      <w:r>
        <w:rPr/>
        <w:t xml:space="preserve">Edward Sherwyn returned this day and saith that the last night there were three score </w:t>
      </w:r>
      <w:r>
        <w:rPr/>
        <w:t xml:space="preserve">columns </w:t>
      </w:r>
      <w:r>
        <w:rPr/>
        <w:t xml:space="preserve">of foot on the </w:t>
      </w:r>
      <w:r>
        <w:rPr/>
        <w:t xml:space="preserve">further side of Oxford in the fields. and as many horse at Heddington a mile from theme upon the hill; where lye quartered before the towne and they give out in speeches that his Excellency dares not advance thither. That a great party also of the Kings pr[inc]es at Sanford about 3 miles </w:t>
      </w:r>
    </w:p>
    <w:p>
      <w:pPr>
        <w:pStyle w:val="Normal"/>
        <w:rPr/>
      </w:pPr>
      <w:r>
        <w:rPr/>
        <w:t>from [ this word is on the bottom corner of the page linking it to the next page, which has not been digitised]</w:t>
      </w:r>
    </w:p>
    <w:p>
      <w:pPr>
        <w:pStyle w:val="Normal"/>
        <w:rPr/>
      </w:pPr>
      <w:r>
        <w:rPr/>
      </w:r>
      <w:r>
        <w:br w:type="page"/>
      </w:r>
    </w:p>
    <w:p>
      <w:pPr>
        <w:pStyle w:val="Normal"/>
        <w:rPr/>
      </w:pPr>
      <w:r>
        <w:rPr/>
      </w:r>
    </w:p>
    <w:p>
      <w:pPr>
        <w:pStyle w:val="Normal"/>
        <w:rPr>
          <w:i/>
          <w:i/>
          <w:iCs/>
        </w:rPr>
      </w:pPr>
      <w:r>
        <w:rPr>
          <w:i/>
          <w:iCs/>
        </w:rPr>
        <w:t xml:space="preserve">[new page </w:t>
      </w:r>
      <w:r>
        <w:rPr>
          <w:i/>
          <w:iCs/>
        </w:rPr>
        <w:t>47r</w:t>
      </w:r>
      <w:r>
        <w:rPr>
          <w:i/>
          <w:iCs/>
        </w:rPr>
        <w:t>]</w:t>
      </w:r>
    </w:p>
    <w:p>
      <w:pPr>
        <w:pStyle w:val="Normal"/>
        <w:rPr/>
      </w:pPr>
      <w:r>
        <w:rPr/>
      </w:r>
    </w:p>
    <w:p>
      <w:pPr>
        <w:pStyle w:val="Normal"/>
        <w:rPr/>
      </w:pPr>
      <w:r>
        <w:rPr/>
        <w:t xml:space="preserve">William Lowgrove saith that the </w:t>
      </w:r>
      <w:r>
        <w:rPr/>
        <w:t>^</w:t>
      </w:r>
      <w:r>
        <w:rPr/>
        <w:t xml:space="preserve"> Kings forces</w:t>
      </w:r>
      <w:r>
        <w:rPr/>
        <w:t>^</w:t>
      </w:r>
      <w:r>
        <w:rPr/>
        <w:t xml:space="preserve"> are all drawne out of Shottover </w:t>
      </w:r>
      <w:r>
        <w:rPr/>
        <w:t xml:space="preserve">Staunton and Heddington into Shottover wood </w:t>
      </w:r>
      <w:r>
        <w:rPr>
          <w:strike/>
        </w:rPr>
        <w:t xml:space="preserve">and other </w:t>
      </w:r>
      <w:r>
        <w:rPr>
          <w:strike/>
        </w:rPr>
        <w:t>Uffenden</w:t>
      </w:r>
      <w:r>
        <w:rPr/>
        <w:t xml:space="preserve"> woods and Rycott being in all about 3000 </w:t>
      </w:r>
      <w:r>
        <w:rPr>
          <w:i/>
          <w:iCs/>
        </w:rPr>
        <w:t>^</w:t>
      </w:r>
      <w:r>
        <w:rPr>
          <w:i/>
          <w:iCs/>
        </w:rPr>
        <w:t xml:space="preserve"> </w:t>
      </w:r>
      <w:r>
        <w:rPr>
          <w:i w:val="false"/>
          <w:iCs w:val="false"/>
        </w:rPr>
        <w:t>and have continued in the woods all this day</w:t>
      </w:r>
      <w:r>
        <w:rPr>
          <w:i/>
          <w:iCs/>
        </w:rPr>
        <w:t>^</w:t>
      </w:r>
      <w:r>
        <w:rPr/>
        <w:t xml:space="preserve"> and as ride finds fifty miles they may shortly to fall upon 60 at Tame and that most of them are also ^ if we prevent them not^ drawne both out of Oxford and Woodstocke and the strife raides [ I was not sure of the word raides, due to the first letter but have transcribed it as an r] ours is at Jslipp and Bicester where Prince Robort now is but the King is ^still^ in Oxford. /./.</w:t>
      </w:r>
    </w:p>
    <w:p>
      <w:pPr>
        <w:pStyle w:val="Normal"/>
        <w:rPr/>
      </w:pPr>
      <w:r>
        <w:rPr/>
      </w:r>
    </w:p>
    <w:p>
      <w:pPr>
        <w:pStyle w:val="Normal"/>
        <w:ind w:left="-630" w:right="0" w:hanging="0"/>
        <w:rPr/>
      </w:pPr>
      <w:r>
        <w:rPr/>
        <w:t>Saturday ye 17</w:t>
      </w:r>
      <w:r>
        <w:rPr>
          <w:vertAlign w:val="superscript"/>
        </w:rPr>
        <w:t>th</w:t>
      </w:r>
      <w:r>
        <w:rPr/>
        <w:t xml:space="preserve">  of June</w:t>
      </w:r>
    </w:p>
    <w:p>
      <w:pPr>
        <w:pStyle w:val="Normal"/>
        <w:rPr/>
      </w:pPr>
      <w:r>
        <w:rPr/>
        <w:t>Edward Sherwyn went forth this day</w:t>
      </w:r>
    </w:p>
    <w:p>
      <w:pPr>
        <w:pStyle w:val="Normal"/>
        <w:rPr/>
      </w:pPr>
      <w:r>
        <w:rPr/>
        <w:t>W</w:t>
      </w:r>
      <w:r>
        <w:rPr/>
        <w:t>[illia]</w:t>
      </w:r>
      <w:r>
        <w:rPr/>
        <w:t>m Lowgrove went with him</w:t>
      </w:r>
    </w:p>
    <w:p>
      <w:pPr>
        <w:pStyle w:val="Normal"/>
        <w:rPr/>
      </w:pPr>
      <w:r>
        <w:rPr/>
        <w:t xml:space="preserve">Robert Atkins went to Woodstoocke </w:t>
      </w:r>
    </w:p>
    <w:p>
      <w:pPr>
        <w:pStyle w:val="Normal"/>
        <w:rPr/>
      </w:pPr>
      <w:r>
        <w:rPr/>
        <w:t xml:space="preserve">Ralph Norton towards Oxford </w:t>
      </w:r>
      <w:r>
        <w:rPr/>
        <w:t xml:space="preserve">returned and saith that he came from Bicester therefore he heares that a great number of the Kings forces came this day out of Oxford to meet the Earl of Essex </w:t>
      </w:r>
      <w:r>
        <w:rPr>
          <w:strike w:val="false"/>
          <w:dstrike w:val="false"/>
        </w:rPr>
        <w:t xml:space="preserve">whose </w:t>
      </w:r>
      <w:r>
        <w:rPr>
          <w:strike/>
        </w:rPr>
        <w:t xml:space="preserve">was </w:t>
      </w:r>
      <w:r>
        <w:rPr/>
        <w:t xml:space="preserve">advancing was </w:t>
      </w:r>
      <w:r>
        <w:rPr>
          <w:strike w:val="false"/>
          <w:dstrike w:val="false"/>
        </w:rPr>
        <w:t xml:space="preserve">there </w:t>
      </w:r>
      <w:r>
        <w:rPr/>
        <w:t>t</w:t>
      </w:r>
      <w:r>
        <w:rPr>
          <w:strike/>
        </w:rPr>
        <w:t>his</w:t>
      </w:r>
      <w:r>
        <w:rPr/>
        <w:t xml:space="preserve"> day expected and that Prince Robert went towards Newbury with 8 [ the number is either 8 or 5 and I think it is 8] troopes of horse and is turnd to Oxford./.</w:t>
      </w:r>
    </w:p>
    <w:tbl>
      <w:tblPr>
        <w:tblW w:w="4875" w:type="dxa"/>
        <w:jc w:val="left"/>
        <w:tblInd w:w="0" w:type="dxa"/>
        <w:tblBorders/>
        <w:tblCellMar>
          <w:top w:w="55" w:type="dxa"/>
          <w:left w:w="55" w:type="dxa"/>
          <w:bottom w:w="55" w:type="dxa"/>
          <w:right w:w="55" w:type="dxa"/>
        </w:tblCellMar>
      </w:tblPr>
      <w:tblGrid>
        <w:gridCol w:w="2325"/>
        <w:gridCol w:w="510"/>
        <w:gridCol w:w="2040"/>
      </w:tblGrid>
      <w:tr>
        <w:trPr/>
        <w:tc>
          <w:tcPr>
            <w:tcW w:w="2325" w:type="dxa"/>
            <w:tcBorders/>
            <w:shd w:fill="auto" w:val="clear"/>
            <w:vAlign w:val="center"/>
          </w:tcPr>
          <w:p>
            <w:pPr>
              <w:pStyle w:val="Normal"/>
              <w:rPr/>
            </w:pPr>
            <w:r>
              <w:rPr/>
              <w:t>Edward Sherwyn</w:t>
            </w:r>
          </w:p>
        </w:tc>
        <w:tc>
          <w:tcPr>
            <w:tcW w:w="510" w:type="dxa"/>
            <w:vMerge w:val="restart"/>
            <w:tcBorders/>
            <w:shd w:fill="auto" w:val="clear"/>
            <w:vAlign w:val="center"/>
          </w:tcPr>
          <w:p>
            <w:pPr>
              <w:pStyle w:val="TableContents"/>
              <w:rPr>
                <w:sz w:val="56"/>
                <w:szCs w:val="56"/>
              </w:rPr>
            </w:pPr>
            <w:r>
              <w:rPr>
                <w:sz w:val="56"/>
                <w:szCs w:val="56"/>
              </w:rPr>
              <w:t>}</w:t>
            </w:r>
          </w:p>
        </w:tc>
        <w:tc>
          <w:tcPr>
            <w:tcW w:w="2040" w:type="dxa"/>
            <w:vMerge w:val="restart"/>
            <w:tcBorders/>
            <w:shd w:fill="auto" w:val="clear"/>
            <w:vAlign w:val="center"/>
          </w:tcPr>
          <w:p>
            <w:pPr>
              <w:pStyle w:val="Normal"/>
              <w:rPr/>
            </w:pPr>
            <w:r>
              <w:rPr/>
              <w:t>returned this day. /.</w:t>
            </w:r>
          </w:p>
        </w:tc>
      </w:tr>
      <w:tr>
        <w:trPr/>
        <w:tc>
          <w:tcPr>
            <w:tcW w:w="2325" w:type="dxa"/>
            <w:tcBorders/>
            <w:shd w:fill="auto" w:val="clear"/>
            <w:vAlign w:val="center"/>
          </w:tcPr>
          <w:p>
            <w:pPr>
              <w:pStyle w:val="Normal"/>
              <w:rPr/>
            </w:pPr>
            <w:r>
              <w:rPr/>
              <w:t>William Lowgrove</w:t>
            </w:r>
          </w:p>
        </w:tc>
        <w:tc>
          <w:tcPr>
            <w:tcW w:w="510" w:type="dxa"/>
            <w:vMerge w:val="continue"/>
            <w:tcBorders/>
            <w:shd w:fill="auto" w:val="clear"/>
            <w:vAlign w:val="center"/>
          </w:tcPr>
          <w:p>
            <w:pPr>
              <w:pStyle w:val="Normal"/>
              <w:rPr/>
            </w:pPr>
            <w:r>
              <w:rPr/>
            </w:r>
          </w:p>
        </w:tc>
        <w:tc>
          <w:tcPr>
            <w:tcW w:w="2040" w:type="dxa"/>
            <w:vMerge w:val="continue"/>
            <w:tcBorders/>
            <w:shd w:fill="auto" w:val="clear"/>
            <w:vAlign w:val="center"/>
          </w:tcPr>
          <w:p>
            <w:pPr>
              <w:pStyle w:val="Normal"/>
              <w:rPr/>
            </w:pPr>
            <w:r>
              <w:rPr/>
            </w:r>
          </w:p>
        </w:tc>
      </w:tr>
    </w:tbl>
    <w:p>
      <w:pPr>
        <w:pStyle w:val="Normal"/>
        <w:rPr/>
      </w:pPr>
      <w:r>
        <w:rPr/>
        <w:t>William Richards saith that aboutt 2 of the clocke this afternoon</w:t>
      </w:r>
      <w:r>
        <w:rPr/>
        <w:t>e</w:t>
      </w:r>
      <w:r>
        <w:rPr/>
        <w:t xml:space="preserve"> </w:t>
      </w:r>
      <w:r>
        <w:rPr>
          <w:strike/>
        </w:rPr>
        <w:t xml:space="preserve">about  </w:t>
      </w:r>
      <w:r>
        <w:rPr/>
        <w:t xml:space="preserve">a mile on this side Oxford a partye of of our horse </w:t>
      </w:r>
      <w:r>
        <w:rPr/>
        <w:t xml:space="preserve">mett with a troope of theirs coming from Wh[e]atley to Oxford. who upon syht of our forces fled away. and our horse pursued them almost to Wheatley townes end and tooke 10 of them prisoners. with the[i]r horse and armies and kild 2 of their horse. and the rest gott away and fledd to Oxford. and in this skirmish 2 of our men were onely hurt  That there were also 7 troopes of their horse betwixt Ricott  and Oxford  </w:t>
      </w:r>
      <w:r>
        <w:rPr>
          <w:strike/>
        </w:rPr>
        <w:t>who were</w:t>
      </w:r>
      <w:r>
        <w:rPr/>
        <w:t xml:space="preserve"> within 2 miles of our forces. but they only faced us and wer[e] stood upon a hill. and viewed our forces </w:t>
      </w:r>
      <w:r>
        <w:rPr>
          <w:strike/>
        </w:rPr>
        <w:t xml:space="preserve">and retreated </w:t>
      </w:r>
      <w:r>
        <w:rPr/>
        <w:t>until wee marched away. /. That our forces tooke away 60 horse as they came along the contry. /</w:t>
      </w:r>
    </w:p>
    <w:p>
      <w:pPr>
        <w:pStyle w:val="Normal"/>
        <w:rPr/>
      </w:pPr>
      <w:r>
        <w:rPr/>
        <w:t xml:space="preserve">John Lane returned this day and saith </w:t>
      </w:r>
      <w:r>
        <w:rPr/>
        <w:t>that the King drew out all his foote this day out of Oxford into the fields adioyning where they expected his Excellency coming with all his forces. That Prince Robert came forth</w:t>
      </w:r>
      <w:r>
        <w:rPr>
          <w:i/>
          <w:iCs/>
        </w:rPr>
        <w:t xml:space="preserve">  </w:t>
      </w:r>
      <w:r>
        <w:rPr>
          <w:i w:val="false"/>
          <w:iCs w:val="false"/>
        </w:rPr>
        <w:t>^</w:t>
      </w:r>
      <w:r>
        <w:rPr>
          <w:i w:val="false"/>
          <w:iCs w:val="false"/>
        </w:rPr>
        <w:t xml:space="preserve">upon </w:t>
      </w:r>
      <w:r>
        <w:rPr>
          <w:i w:val="false"/>
          <w:iCs w:val="false"/>
        </w:rPr>
        <w:t>the allarmes</w:t>
      </w:r>
      <w:r>
        <w:rPr>
          <w:i w:val="false"/>
          <w:iCs w:val="false"/>
        </w:rPr>
        <w:t>^</w:t>
      </w:r>
      <w:r>
        <w:rPr>
          <w:i w:val="false"/>
          <w:iCs w:val="false"/>
        </w:rPr>
        <w:t xml:space="preserve"> </w:t>
      </w:r>
      <w:r>
        <w:rPr/>
        <w:t xml:space="preserve">and gave orders for all the horse to march out of their severall Quarters: who came accordingly. That s[o]me of their scouts and ours mett </w:t>
      </w:r>
      <w:r>
        <w:rPr>
          <w:strike/>
        </w:rPr>
        <w:t xml:space="preserve">within </w:t>
      </w:r>
      <w:r>
        <w:rPr>
          <w:strike w:val="false"/>
          <w:dstrike w:val="false"/>
        </w:rPr>
        <w:t xml:space="preserve"> </w:t>
      </w:r>
      <w:r>
        <w:rPr>
          <w:strike w:val="false"/>
          <w:dstrike w:val="false"/>
        </w:rPr>
        <w:t>nere</w:t>
      </w:r>
      <w:r>
        <w:rPr>
          <w:strike w:val="false"/>
          <w:dstrike w:val="false"/>
        </w:rPr>
        <w:t xml:space="preserve"> Shotover hill; and </w:t>
      </w:r>
      <w:r>
        <w:rPr>
          <w:strike w:val="false"/>
          <w:dstrike w:val="false"/>
        </w:rPr>
        <w:t>gave</w:t>
      </w:r>
      <w:r>
        <w:rPr>
          <w:strike w:val="false"/>
          <w:dstrike w:val="false"/>
        </w:rPr>
        <w:t xml:space="preserve"> </w:t>
      </w:r>
      <w:r>
        <w:rPr>
          <w:strike w:val="false"/>
          <w:dstrike w:val="false"/>
        </w:rPr>
        <w:t>since</w:t>
      </w:r>
      <w:r>
        <w:rPr>
          <w:strike w:val="false"/>
          <w:dstrike w:val="false"/>
        </w:rPr>
        <w:t xml:space="preserve"> </w:t>
      </w:r>
      <w:r>
        <w:rPr>
          <w:strike w:val="false"/>
          <w:dstrike w:val="false"/>
        </w:rPr>
        <w:t xml:space="preserve">over at another </w:t>
      </w:r>
      <w:r>
        <w:rPr>
          <w:strike w:val="false"/>
          <w:dstrike w:val="false"/>
        </w:rPr>
        <w:t>and</w:t>
      </w:r>
      <w:r>
        <w:rPr/>
        <w:t xml:space="preserve"> retreated. That before all the Kings could horse could be gott ready news came to the King that the Parliaments forces were gone backe whereupon they followed them about 2 miles: and after Coll[onel] Peircy. S[i]r John Byron the Earle of Lindsey and the Lord Wentworth with their forces </w:t>
      </w:r>
      <w:r>
        <w:rPr>
          <w:i/>
          <w:iCs/>
        </w:rPr>
        <w:t xml:space="preserve">[badly crossed out possibly </w:t>
      </w:r>
      <w:r>
        <w:rPr>
          <w:i/>
          <w:iCs/>
          <w:strike/>
        </w:rPr>
        <w:t>returned</w:t>
      </w:r>
      <w:r>
        <w:rPr>
          <w:i/>
          <w:iCs/>
        </w:rPr>
        <w:t>]</w:t>
      </w:r>
      <w:r>
        <w:rPr/>
        <w:t xml:space="preserve">  </w:t>
      </w:r>
      <w:r>
        <w:rPr>
          <w:i/>
          <w:iCs/>
        </w:rPr>
        <w:t>[crossed out and barely legible]</w:t>
      </w:r>
      <w:r>
        <w:rPr/>
        <w:t xml:space="preserve"> repayred to their quarters: and Pr[ince]</w:t>
      </w:r>
      <w:r>
        <w:rPr>
          <w:i/>
          <w:iCs/>
        </w:rPr>
        <w:t xml:space="preserve"> </w:t>
      </w:r>
      <w:r>
        <w:rPr/>
        <w:t>Robert with about 3000 marched  towards Wheatley expecting his own forces from Abbington; but what because of them afterwords  hee knows not . That the Queene is expected in Oxford the next weeke that there was great ​reyocing  the last night in Oxford for the happie success of Pr[ince]</w:t>
      </w:r>
      <w:r>
        <w:rPr>
          <w:i/>
          <w:iCs/>
        </w:rPr>
        <w:t xml:space="preserve"> </w:t>
      </w:r>
      <w:r>
        <w:rPr/>
        <w:t xml:space="preserve">Maurice in </w:t>
      </w:r>
    </w:p>
    <w:p>
      <w:pPr>
        <w:pStyle w:val="Normal"/>
        <w:rPr/>
      </w:pPr>
      <w:r>
        <w:rPr/>
        <w:t xml:space="preserve">the west [ next line </w:t>
      </w:r>
      <w:r>
        <w:rPr/>
        <w:t>l</w:t>
      </w:r>
      <w:r>
        <w:rPr/>
        <w:t>inkling to the next page which is not digitised]</w:t>
      </w:r>
    </w:p>
    <w:p>
      <w:pPr>
        <w:pStyle w:val="Normal"/>
        <w:rPr/>
      </w:pPr>
      <w:r>
        <w:rPr/>
      </w:r>
    </w:p>
    <w:p>
      <w:pPr>
        <w:pStyle w:val="Normal"/>
        <w:rPr/>
      </w:pPr>
      <w:r>
        <w:rPr/>
      </w:r>
    </w:p>
    <w:p>
      <w:pPr>
        <w:pStyle w:val="Normal"/>
        <w:rPr>
          <w:u w:val="single"/>
        </w:rPr>
      </w:pPr>
      <w:r>
        <w:rPr>
          <w:u w:val="single"/>
        </w:rPr>
      </w:r>
    </w:p>
    <w:p>
      <w:pPr>
        <w:pStyle w:val="Normal"/>
        <w:rPr>
          <w:u w:val="single"/>
        </w:rPr>
      </w:pPr>
      <w:r>
        <w:rPr>
          <w:u w:val="single"/>
        </w:rPr>
      </w:r>
    </w:p>
    <w:p>
      <w:pPr>
        <w:pStyle w:val="Normal"/>
        <w:rPr>
          <w:u w:val="single"/>
        </w:rPr>
      </w:pPr>
      <w:r>
        <w:rPr>
          <w:u w:val="single"/>
        </w:rPr>
      </w:r>
    </w:p>
    <w:p>
      <w:pPr>
        <w:pStyle w:val="Normal"/>
        <w:rPr>
          <w:u w:val="single"/>
        </w:rPr>
      </w:pPr>
      <w:r>
        <w:rPr>
          <w:u w:val="single"/>
        </w:rPr>
      </w:r>
    </w:p>
    <w:p>
      <w:pPr>
        <w:pStyle w:val="Normal"/>
        <w:rPr>
          <w:u w:val="single"/>
        </w:rPr>
      </w:pPr>
      <w:r>
        <w:rPr>
          <w:u w:val="single"/>
        </w:rPr>
      </w:r>
    </w:p>
    <w:p>
      <w:pPr>
        <w:pStyle w:val="Normal"/>
        <w:rPr>
          <w:u w:val="single"/>
        </w:rPr>
      </w:pPr>
      <w:r>
        <w:rPr>
          <w:u w:val="single"/>
        </w:rPr>
        <w:t>Commentary</w:t>
      </w:r>
    </w:p>
    <w:p>
      <w:pPr>
        <w:pStyle w:val="Normal"/>
        <w:rPr>
          <w:u w:val="single"/>
        </w:rPr>
      </w:pPr>
      <w:r>
        <w:rPr>
          <w:u w:val="single"/>
        </w:rPr>
      </w:r>
    </w:p>
    <w:p>
      <w:pPr>
        <w:pStyle w:val="Normal"/>
        <w:rPr>
          <w:u w:val="none"/>
        </w:rPr>
      </w:pPr>
      <w:r>
        <w:rPr>
          <w:u w:val="none"/>
        </w:rPr>
        <w:tab/>
        <w:t xml:space="preserve">The document comprises </w:t>
      </w:r>
      <w:r>
        <w:rPr>
          <w:u w:val="none"/>
        </w:rPr>
        <w:t>two</w:t>
      </w:r>
      <w:r>
        <w:rPr>
          <w:u w:val="none"/>
        </w:rPr>
        <w:t xml:space="preserve"> </w:t>
      </w:r>
      <w:r>
        <w:rPr>
          <w:u w:val="none"/>
        </w:rPr>
        <w:t xml:space="preserve">non consecutive </w:t>
      </w:r>
      <w:r>
        <w:rPr>
          <w:u w:val="none"/>
        </w:rPr>
        <w:t xml:space="preserve">pages of </w:t>
      </w:r>
      <w:r>
        <w:rPr>
          <w:u w:val="none"/>
        </w:rPr>
        <w:t xml:space="preserve">Parliamentarian </w:t>
      </w:r>
      <w:r>
        <w:rPr>
          <w:u w:val="none"/>
        </w:rPr>
        <w:t>scouts reports</w:t>
      </w:r>
      <w:r>
        <w:rPr>
          <w:u w:val="none"/>
        </w:rPr>
        <w:t xml:space="preserve"> of  Royalists movements in</w:t>
      </w:r>
      <w:r>
        <w:rPr>
          <w:u w:val="none"/>
        </w:rPr>
        <w:t xml:space="preserve"> Oxfordshire and the surrounding counties during the English Civil Wars. </w:t>
      </w:r>
      <w:r>
        <w:rPr>
          <w:u w:val="none"/>
        </w:rPr>
        <w:t>These reports written in English, are from the journal of the Parliamentarian Officer Sir Samuel Luke , dated 14-16</w:t>
      </w:r>
      <w:r>
        <w:rPr>
          <w:u w:val="none"/>
          <w:vertAlign w:val="superscript"/>
        </w:rPr>
        <w:t>th</w:t>
      </w:r>
      <w:r>
        <w:rPr>
          <w:u w:val="none"/>
        </w:rPr>
        <w:t xml:space="preserve"> June 1643. According to the Bodleian catalogue record they were “posted in the book at short intervals and are in several handwritings”. </w:t>
      </w:r>
      <w:r>
        <w:rPr>
          <w:rStyle w:val="FootnoteAnchor"/>
          <w:u w:val="none"/>
        </w:rPr>
        <w:footnoteReference w:id="2"/>
      </w:r>
      <w:r>
        <w:rPr>
          <w:u w:val="none"/>
        </w:rPr>
        <w:t xml:space="preserve"> The provenance as noted in the catalogue record states it was part of the collections of the Recorder of Woodstock and were given to the library in 1905. These 2 pages are the only ones that are digitised. </w:t>
      </w:r>
    </w:p>
    <w:p>
      <w:pPr>
        <w:pStyle w:val="Normal"/>
        <w:rPr>
          <w:u w:val="none"/>
        </w:rPr>
      </w:pPr>
      <w:r>
        <w:rPr>
          <w:u w:val="none"/>
        </w:rPr>
        <w:tab/>
      </w:r>
      <w:r>
        <w:rPr>
          <w:u w:val="none"/>
        </w:rPr>
        <w:t xml:space="preserve">The documents were written in ink on paper and appear to be in the same seventeenth century hand. It is hard to know whether it is written in Sir Samuel Luke’s or a scribe’s hand. The documents include the date of the report, the names of the scouts and in some instances where they had returned from. This suggests that the accounts were either written from notes made while the scout was reporting or at a later time. The page numbers have been added in pencil at a later date.  The scribe uses full stops and slanted lines to mark the end of sentences although this usage is not always consistent. Both pages of the document have ink blots and a few words show when the quill was  either full  or running lowof ink. Both pages have a word at the bottom of the page which is possibly the first word of the next page . However, the versos are not digitised so I could not confirm it. </w:t>
      </w:r>
    </w:p>
    <w:p>
      <w:pPr>
        <w:pStyle w:val="Normal"/>
        <w:rPr>
          <w:u w:val="none"/>
        </w:rPr>
      </w:pPr>
      <w:r>
        <w:rPr>
          <w:u w:val="none"/>
        </w:rPr>
        <w:tab/>
      </w:r>
      <w:r>
        <w:rPr>
          <w:u w:val="none"/>
        </w:rPr>
        <w:t xml:space="preserve">The handwriting is inconsistent across the two pages because the scribe did not always use the same forms of the letters. For example st is sometimes very close together and tightly written but in some places there is a space between the s and the t even though they are joined up. Lower case fs are often variable. I have indicated where I could not decipher a letter or word. Some of the descenders and ascenders join a letter below or above them making that letter harder to read. There are several words that have been crossed out, some badly and other faintly. Presumably the scribe did not want any readers to decipher the badly scored words. </w:t>
      </w:r>
    </w:p>
    <w:p>
      <w:pPr>
        <w:pStyle w:val="Normal"/>
        <w:rPr>
          <w:u w:val="none"/>
        </w:rPr>
      </w:pPr>
      <w:r>
        <w:rPr>
          <w:u w:val="none"/>
        </w:rPr>
        <w:t xml:space="preserve">   </w:t>
      </w:r>
      <w:r>
        <w:rPr>
          <w:u w:val="none"/>
        </w:rPr>
        <w:t>I compared letters and used alphabets from Mark Forrest’s</w:t>
      </w:r>
      <w:r>
        <w:rPr>
          <w:rStyle w:val="FootnoteAnchor"/>
          <w:u w:val="none"/>
        </w:rPr>
        <w:footnoteReference w:id="3"/>
      </w:r>
      <w:r>
        <w:rPr>
          <w:u w:val="none"/>
        </w:rPr>
        <w:t xml:space="preserve"> and P.M Hoskins‘s books.</w:t>
      </w:r>
      <w:r>
        <w:rPr>
          <w:rStyle w:val="FootnoteAnchor"/>
          <w:u w:val="none"/>
        </w:rPr>
        <w:footnoteReference w:id="4"/>
      </w:r>
      <w:r>
        <w:rPr>
          <w:u w:val="none"/>
        </w:rPr>
        <w:t xml:space="preserve"> I made some decisions based on context, for example eate. I could not find another e at the beginning of the word and although the letter looked more like a v so I decided that it only made sense if it was an e. I also tried to write the letters myself as it gave me a better understanding of the scribe’s letter formations.</w:t>
      </w:r>
    </w:p>
    <w:p>
      <w:pPr>
        <w:pStyle w:val="Normal"/>
        <w:rPr>
          <w:u w:val="none"/>
        </w:rPr>
      </w:pPr>
      <w:r>
        <w:rPr>
          <w:u w:val="none"/>
        </w:rPr>
        <w:t xml:space="preserve">I have used marks to indicate where inserted text begins and ends. The scribe uses abbreviations and omits some letters from words. He is not always consistent with his use of numbers, sometimes the numbers are joined up, sometimes separate digits and thousands are often separated by a comma, There are also cases where the numbers are written as arabic numerals. </w:t>
      </w:r>
    </w:p>
    <w:p>
      <w:pPr>
        <w:pStyle w:val="Normal"/>
        <w:rPr>
          <w:u w:val="none"/>
        </w:rPr>
      </w:pPr>
      <w:r>
        <w:rPr>
          <w:u w:val="none"/>
        </w:rPr>
        <w:tab/>
      </w:r>
      <w:r>
        <w:rPr>
          <w:u w:val="none"/>
        </w:rPr>
        <w:t>I used secondary sources to check the Parliamentarian and Royalist officers names. I thought that Prince Robort had to be Rupert, as the Prince was a very active Royalist commander during the English Civil Wars.  The spelling of his name was either not consistent in seventeenth century scripts or the scribe did not know how to spell it.  I checked the Earl of Lindsey</w:t>
      </w:r>
      <w:r>
        <w:rPr>
          <w:rStyle w:val="FootnoteAnchor"/>
          <w:u w:val="none"/>
        </w:rPr>
        <w:footnoteReference w:id="5"/>
      </w:r>
      <w:r>
        <w:rPr>
          <w:u w:val="none"/>
        </w:rPr>
        <w:t xml:space="preserve"> and Sir John Byron</w:t>
      </w:r>
      <w:r>
        <w:rPr>
          <w:rStyle w:val="FootnoteAnchor"/>
          <w:u w:val="none"/>
        </w:rPr>
        <w:footnoteReference w:id="6"/>
      </w:r>
      <w:r>
        <w:rPr>
          <w:u w:val="none"/>
        </w:rPr>
        <w:t>. I  tried to check Colonel Pierc and think he could be Algernon Percy, the 10</w:t>
      </w:r>
      <w:r>
        <w:rPr>
          <w:u w:val="none"/>
          <w:vertAlign w:val="superscript"/>
        </w:rPr>
        <w:t>th</w:t>
      </w:r>
      <w:r>
        <w:rPr>
          <w:u w:val="none"/>
        </w:rPr>
        <w:t xml:space="preserve"> Earl of Northumberland but the the spelling is different .</w:t>
      </w:r>
      <w:r>
        <w:rPr>
          <w:rStyle w:val="FootnoteAnchor"/>
          <w:u w:val="none"/>
        </w:rPr>
        <w:footnoteReference w:id="7"/>
      </w:r>
      <w:r>
        <w:rPr>
          <w:u w:val="none"/>
        </w:rPr>
        <w:t xml:space="preserve"> This could be due to the nature of seventeenth century spellings. The Earl of Northumberland was a Colonel in the Parliamentarian army but I was unable to establish that he was in Oxfordshire in June 1643. I had prior knowledge of the other officers.</w:t>
      </w:r>
    </w:p>
    <w:p>
      <w:pPr>
        <w:pStyle w:val="Normal"/>
        <w:rPr>
          <w:u w:val="none"/>
        </w:rPr>
      </w:pPr>
      <w:r>
        <w:rPr>
          <w:u w:val="none"/>
        </w:rPr>
        <w:tab/>
        <w:t xml:space="preserve"> I was able to quickly transcribe most of the place names, despite seventeenth century spelling. However, I had to use maps and the internet to track a couple of place names like Shabbnton and Wornall as the scribe had used a shortened and a different version of the </w:t>
      </w:r>
      <w:r>
        <w:rPr>
          <w:u w:val="none"/>
        </w:rPr>
        <w:t xml:space="preserve">place names </w:t>
      </w:r>
      <w:r>
        <w:rPr>
          <w:u w:val="none"/>
        </w:rPr>
        <w:t xml:space="preserve">. </w:t>
      </w:r>
      <w:r>
        <w:rPr>
          <w:u w:val="none"/>
        </w:rPr>
        <w:t xml:space="preserve">Is and Js were interchangeable in secretary hand so I recognised Jslipp, although the  modern spelling is Islipp. </w:t>
      </w:r>
    </w:p>
    <w:p>
      <w:pPr>
        <w:pStyle w:val="Normal"/>
        <w:rPr>
          <w:u w:val="none"/>
        </w:rPr>
      </w:pPr>
      <w:r>
        <w:rPr>
          <w:u w:val="none"/>
        </w:rPr>
      </w:r>
    </w:p>
    <w:p>
      <w:pPr>
        <w:pStyle w:val="Normal"/>
        <w:rPr>
          <w:u w:val="none"/>
        </w:rPr>
      </w:pPr>
      <w:r>
        <w:rPr>
          <w:u w:val="none"/>
        </w:rPr>
        <w:tab/>
      </w:r>
    </w:p>
    <w:sectPr>
      <w:footerReference w:type="default" r:id="rId3"/>
      <w:footnotePr>
        <w:numFmt w:val="decimal"/>
      </w:footnotePr>
      <w:type w:val="nextPage"/>
      <w:pgSz w:w="11906" w:h="16838"/>
      <w:pgMar w:left="1134" w:right="1134" w:header="0" w:top="1134" w:footer="1134" w:bottom="1693"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w:altName w:val="Arial"/>
    <w:charset w:val="01"/>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rPr/>
    </w:pPr>
    <w:r>
      <w:rPr/>
    </w:r>
  </w:p>
</w:ftr>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r>
        <w:separator/>
      </w:r>
    </w:p>
  </w:footnote>
  <w:footnote w:id="1" w:type="continuationSeparator">
    <w:p>
      <w:r>
        <w:continuationSeparator/>
      </w:r>
    </w:p>
  </w:footnote>
  <w:footnote w:id="2">
    <w:p>
      <w:pPr>
        <w:pStyle w:val="Footnote"/>
        <w:rPr/>
      </w:pPr>
      <w:r>
        <w:rPr>
          <w:rStyle w:val="FootnoteCharacters"/>
        </w:rPr>
        <w:footnoteRef/>
      </w:r>
      <w:r>
        <w:rPr/>
        <w:tab/>
        <w:t>Oxford,</w:t>
        <w:br/>
        <w:t>Bodleian Libraries,</w:t>
        <w:br/>
        <w:t>MS. Eng. Hist c. 53 fols 1-2.</w:t>
      </w:r>
    </w:p>
  </w:footnote>
  <w:footnote w:id="3">
    <w:p>
      <w:pPr>
        <w:pStyle w:val="Footnote"/>
        <w:rPr/>
      </w:pPr>
      <w:r>
        <w:rPr>
          <w:rStyle w:val="FootnoteCharacters"/>
        </w:rPr>
        <w:footnoteRef/>
      </w:r>
      <w:r>
        <w:rPr/>
        <w:tab/>
        <w:t xml:space="preserve"> </w:t>
      </w:r>
      <w:r>
        <w:rPr/>
        <w:t>Mark</w:t>
      </w:r>
      <w:r>
        <w:rPr/>
        <w:t xml:space="preserve"> </w:t>
      </w:r>
      <w:r>
        <w:rPr/>
        <w:t xml:space="preserve">Forrest, </w:t>
      </w:r>
      <w:r>
        <w:rPr>
          <w:i/>
          <w:iCs/>
        </w:rPr>
        <w:t xml:space="preserve">Reading Early English Handwriting 1500-1700, </w:t>
      </w:r>
      <w:r>
        <w:rPr>
          <w:i w:val="false"/>
          <w:iCs w:val="false"/>
        </w:rPr>
        <w:t xml:space="preserve"> </w:t>
      </w:r>
      <w:r>
        <w:rPr>
          <w:i w:val="false"/>
          <w:iCs w:val="false"/>
        </w:rPr>
        <w:t>(</w:t>
      </w:r>
      <w:r>
        <w:rPr>
          <w:i w:val="false"/>
          <w:iCs w:val="false"/>
        </w:rPr>
        <w:t xml:space="preserve">Macclesfield: British Association for Local History, </w:t>
      </w:r>
      <w:r>
        <w:rPr>
          <w:i w:val="false"/>
          <w:iCs w:val="false"/>
        </w:rPr>
        <w:t>2019)</w:t>
      </w:r>
      <w:r>
        <w:rPr>
          <w:i w:val="false"/>
          <w:iCs w:val="false"/>
        </w:rPr>
        <w:t xml:space="preserve">  </w:t>
      </w:r>
      <w:r>
        <w:rPr>
          <w:i w:val="false"/>
          <w:iCs w:val="false"/>
        </w:rPr>
        <w:t>pp. 11-13.</w:t>
      </w:r>
    </w:p>
  </w:footnote>
  <w:footnote w:id="4">
    <w:p>
      <w:pPr>
        <w:pStyle w:val="Footnote"/>
        <w:rPr/>
      </w:pPr>
      <w:r>
        <w:rPr>
          <w:rStyle w:val="FootnoteCharacters"/>
        </w:rPr>
        <w:footnoteRef/>
      </w:r>
      <w:r>
        <w:rPr/>
        <w:tab/>
        <w:t xml:space="preserve"> </w:t>
      </w:r>
      <w:r>
        <w:rPr>
          <w:i w:val="false"/>
          <w:iCs w:val="false"/>
        </w:rPr>
        <w:t>P. M. Hoskin, S.L.Slinn and C.C.Webb, Reading T</w:t>
      </w:r>
      <w:r>
        <w:rPr>
          <w:i/>
          <w:iCs/>
        </w:rPr>
        <w:t xml:space="preserve">he Past: Sixteenth and Seventeenth Century English Handwriting : </w:t>
      </w:r>
      <w:r>
        <w:rPr>
          <w:i/>
          <w:iCs/>
        </w:rPr>
        <w:t>Facsimilies, transcripts and reading notes,</w:t>
      </w:r>
      <w:r>
        <w:rPr>
          <w:i w:val="false"/>
          <w:iCs w:val="false"/>
        </w:rPr>
        <w:t xml:space="preserve"> </w:t>
      </w:r>
      <w:r>
        <w:rPr>
          <w:i w:val="false"/>
          <w:iCs w:val="false"/>
        </w:rPr>
        <w:t>( York:</w:t>
      </w:r>
      <w:r>
        <w:rPr>
          <w:i w:val="false"/>
          <w:iCs w:val="false"/>
        </w:rPr>
        <w:t xml:space="preserve">The University of York, </w:t>
      </w:r>
      <w:r>
        <w:rPr>
          <w:i w:val="false"/>
          <w:iCs w:val="false"/>
        </w:rPr>
        <w:t>2001)</w:t>
      </w:r>
      <w:r>
        <w:rPr>
          <w:i w:val="false"/>
          <w:iCs w:val="false"/>
        </w:rPr>
        <w:t xml:space="preserve"> </w:t>
      </w:r>
      <w:r>
        <w:rPr>
          <w:i w:val="false"/>
          <w:iCs w:val="false"/>
        </w:rPr>
        <w:t>&lt;</w:t>
      </w:r>
      <w:hyperlink r:id="rId1">
        <w:r>
          <w:rPr>
            <w:rStyle w:val="VisitedInternetLink"/>
            <w:i w:val="false"/>
            <w:iCs w:val="false"/>
          </w:rPr>
          <w:t>https://www.york.ac.uk/media/borthwick/documents/publications/Reading%20the%20Past%20Sixteenth%20and%20Seventeenth%20Century%20English%20Handwriting.pdf</w:t>
        </w:r>
      </w:hyperlink>
      <w:r>
        <w:rPr>
          <w:i w:val="false"/>
          <w:iCs w:val="false"/>
        </w:rPr>
        <w:t xml:space="preserve"> </w:t>
      </w:r>
      <w:r>
        <w:rPr>
          <w:i w:val="false"/>
          <w:iCs w:val="false"/>
        </w:rPr>
        <w:t>&gt;</w:t>
      </w:r>
      <w:r>
        <w:rPr>
          <w:i w:val="false"/>
          <w:iCs w:val="false"/>
        </w:rPr>
        <w:t>[accessed 30 December 2023].</w:t>
      </w:r>
    </w:p>
  </w:footnote>
  <w:footnote w:id="5">
    <w:p>
      <w:pPr>
        <w:pStyle w:val="Footnote"/>
        <w:rPr/>
      </w:pPr>
      <w:r>
        <w:rPr>
          <w:rStyle w:val="FootnoteCharacters"/>
        </w:rPr>
        <w:footnoteRef/>
      </w:r>
      <w:r>
        <w:rPr/>
        <w:tab/>
        <w:t xml:space="preserve">Oxford Dictionary of National Biography, </w:t>
      </w:r>
      <w:r>
        <w:rPr/>
        <w:t xml:space="preserve">David Smith, </w:t>
      </w:r>
      <w:r>
        <w:rPr>
          <w:i/>
          <w:iCs/>
        </w:rPr>
        <w:t>Ber</w:t>
      </w:r>
      <w:r>
        <w:rPr>
          <w:i/>
          <w:iCs/>
        </w:rPr>
        <w:t>ti</w:t>
      </w:r>
      <w:r>
        <w:rPr>
          <w:i/>
          <w:iCs/>
        </w:rPr>
        <w:t>e Montague, second Earl of Lindsey</w:t>
      </w:r>
      <w:r>
        <w:rPr/>
        <w:t xml:space="preserve">, </w:t>
      </w:r>
      <w:r>
        <w:rPr/>
        <w:t xml:space="preserve">(Oxford: Oxford University Press, 2023) </w:t>
      </w:r>
      <w:r>
        <w:rPr/>
        <w:t xml:space="preserve"> </w:t>
      </w:r>
      <w:r>
        <w:rPr/>
        <w:t>&lt;</w:t>
      </w:r>
      <w:hyperlink r:id="rId2">
        <w:r>
          <w:rPr>
            <w:rStyle w:val="VisitedInternetLink"/>
          </w:rPr>
          <w:t>https://doi.org/10.1093/ref:odnb/2274</w:t>
        </w:r>
      </w:hyperlink>
      <w:r>
        <w:rPr/>
        <w:t xml:space="preserve"> </w:t>
      </w:r>
      <w:r>
        <w:rPr/>
        <w:t>&gt;</w:t>
      </w:r>
      <w:r>
        <w:rPr/>
        <w:t xml:space="preserve"> [accessed 30 December 2023].</w:t>
      </w:r>
    </w:p>
  </w:footnote>
  <w:footnote w:id="6">
    <w:p>
      <w:pPr>
        <w:pStyle w:val="Footnote"/>
        <w:rPr/>
      </w:pPr>
      <w:r>
        <w:rPr>
          <w:rStyle w:val="FootnoteCharacters"/>
        </w:rPr>
        <w:footnoteRef/>
      </w:r>
      <w:r>
        <w:rPr/>
        <w:tab/>
        <w:t xml:space="preserve">Oxford Dictionary of National Biography, </w:t>
      </w:r>
      <w:r>
        <w:rPr/>
        <w:t>Ronald</w:t>
      </w:r>
      <w:r>
        <w:rPr/>
        <w:t xml:space="preserve"> </w:t>
      </w:r>
      <w:r>
        <w:rPr/>
        <w:t xml:space="preserve">Hutton, </w:t>
      </w:r>
      <w:r>
        <w:rPr>
          <w:i/>
          <w:iCs/>
        </w:rPr>
        <w:t>1598-1652</w:t>
      </w:r>
      <w:r>
        <w:rPr/>
        <w:t xml:space="preserve"> </w:t>
      </w:r>
      <w:r>
        <w:rPr/>
        <w:t>&lt;</w:t>
      </w:r>
      <w:hyperlink r:id="rId3">
        <w:r>
          <w:rPr>
            <w:rStyle w:val="VisitedInternetLink"/>
          </w:rPr>
          <w:t>https://doi.org/10.1093/ref:odnb/4281</w:t>
        </w:r>
      </w:hyperlink>
      <w:r>
        <w:rPr/>
        <w:t>&gt; [accessed 30 December 2023].</w:t>
      </w:r>
    </w:p>
  </w:footnote>
  <w:footnote w:id="7">
    <w:p>
      <w:pPr>
        <w:pStyle w:val="Footnote"/>
        <w:rPr/>
      </w:pPr>
      <w:r>
        <w:rPr>
          <w:rStyle w:val="FootnoteCharacters"/>
        </w:rPr>
        <w:footnoteRef/>
      </w:r>
      <w:r>
        <w:rPr/>
        <w:tab/>
        <w:t xml:space="preserve">Oxford Dictionary of National Biography, George A, Drake, </w:t>
      </w:r>
      <w:r>
        <w:rPr>
          <w:i/>
          <w:iCs/>
        </w:rPr>
        <w:t>Percy, Algernon, tenth earl of Northumberland 1602-1688</w:t>
      </w:r>
      <w:r>
        <w:rPr/>
        <w:t xml:space="preserve"> </w:t>
      </w:r>
      <w:r>
        <w:rPr/>
        <w:t>&lt;</w:t>
      </w:r>
      <w:hyperlink r:id="rId4">
        <w:r>
          <w:rPr>
            <w:rStyle w:val="InternetLink"/>
          </w:rPr>
          <w:t>https://</w:t>
        </w:r>
        <w:r>
          <w:rPr>
            <w:rStyle w:val="InternetLink"/>
          </w:rPr>
          <w:t>d</w:t>
        </w:r>
        <w:r>
          <w:rPr>
            <w:rStyle w:val="InternetLink"/>
          </w:rPr>
          <w:t>oi.org/10.1093/ref:odnb/21923</w:t>
        </w:r>
      </w:hyperlink>
      <w:r>
        <w:rPr/>
        <w:t>&gt;</w:t>
      </w:r>
      <w:r>
        <w:rPr/>
        <w:t xml:space="preserve"> [accessed 1 January 2024]</w:t>
      </w:r>
    </w:p>
  </w:footnote>
</w:footnotes>
</file>

<file path=word/settings.xml><?xml version="1.0" encoding="utf-8"?>
<w:settings xmlns:w="http://schemas.openxmlformats.org/wordprocessingml/2006/main">
  <w:zoom w:percent="100"/>
  <w:defaultTabStop w:val="420"/>
  <w:footnotePr>
    <w:numFmt w:val="decimal"/>
    <w:footnote w:id="0"/>
    <w:footnote w:id="1"/>
  </w:footnotePr>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oto Sans CJK SC" w:cs="Lohit Devanagari"/>
        <w:kern w:val="2"/>
        <w:sz w:val="24"/>
        <w:szCs w:val="24"/>
        <w:lang w:val="en-GB" w:eastAsia="zh-CN" w:bidi="hi-IN"/>
      </w:rPr>
    </w:rPrDefault>
    <w:pPrDefault>
      <w:pPr>
        <w:widowControl/>
      </w:pPr>
    </w:pPrDefault>
  </w:docDefaults>
  <w:style w:type="paragraph" w:styleId="Normal">
    <w:name w:val="Normal"/>
    <w:qFormat/>
    <w:pPr>
      <w:widowControl/>
      <w:kinsoku w:val="true"/>
      <w:overflowPunct w:val="true"/>
      <w:autoSpaceDE w:val="true"/>
      <w:bidi w:val="0"/>
    </w:pPr>
    <w:rPr>
      <w:rFonts w:ascii="Liberation Serif" w:hAnsi="Liberation Serif" w:eastAsia="Noto Sans CJK SC" w:cs="Lohit Devanagari"/>
      <w:color w:val="auto"/>
      <w:kern w:val="2"/>
      <w:sz w:val="24"/>
      <w:szCs w:val="24"/>
      <w:lang w:val="en-GB" w:eastAsia="zh-CN" w:bidi="hi-IN"/>
    </w:rPr>
  </w:style>
  <w:style w:type="character" w:styleId="FootnoteCharacters">
    <w:name w:val="Footnote Characters"/>
    <w:qFormat/>
    <w:rPr/>
  </w:style>
  <w:style w:type="character" w:styleId="FootnoteAnchor">
    <w:name w:val="Footnote Anchor"/>
    <w:rPr>
      <w:vertAlign w:val="superscript"/>
    </w:rPr>
  </w:style>
  <w:style w:type="character" w:styleId="InternetLink">
    <w:name w:val="Internet Link"/>
    <w:rPr>
      <w:color w:val="000080"/>
      <w:u w:val="single"/>
      <w:lang w:val="zxx" w:eastAsia="zxx" w:bidi="zxx"/>
    </w:rPr>
  </w:style>
  <w:style w:type="character" w:styleId="VisitedInternetLink">
    <w:name w:val="Visited Internet Link"/>
    <w:rPr>
      <w:color w:val="800000"/>
      <w:u w:val="single"/>
      <w:lang w:val="zxx" w:eastAsia="zxx" w:bidi="zxx"/>
    </w:rPr>
  </w:style>
  <w:style w:type="character" w:styleId="EndnoteCharacters">
    <w:name w:val="Endnote Characters"/>
    <w:qFormat/>
    <w:rPr/>
  </w:style>
  <w:style w:type="character" w:styleId="EndnoteAnchor">
    <w:name w:val="Endnote Anchor"/>
    <w:rPr>
      <w:vertAlign w:val="superscript"/>
    </w:rPr>
  </w:style>
  <w:style w:type="paragraph" w:styleId="Heading">
    <w:name w:val="Heading"/>
    <w:basedOn w:val="Normal"/>
    <w:next w:val="TextBody"/>
    <w:qFormat/>
    <w:pPr>
      <w:keepNext w:val="true"/>
      <w:spacing w:before="240" w:after="120"/>
    </w:pPr>
    <w:rPr>
      <w:rFonts w:ascii="Liberation Sans" w:hAnsi="Liberation Sans" w:eastAsia="Noto Sans CJK SC" w:cs="Lohit Devanagari"/>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styleId="Index">
    <w:name w:val="Index"/>
    <w:basedOn w:val="Normal"/>
    <w:qFormat/>
    <w:pPr>
      <w:suppressLineNumbers/>
    </w:pPr>
    <w:rPr>
      <w:rFonts w:cs="Lohit Devanagari"/>
    </w:rPr>
  </w:style>
  <w:style w:type="paragraph" w:styleId="TableContents">
    <w:name w:val="Table Contents"/>
    <w:basedOn w:val="Normal"/>
    <w:qFormat/>
    <w:pPr>
      <w:suppressLineNumbers/>
    </w:pPr>
    <w:rPr/>
  </w:style>
  <w:style w:type="paragraph" w:styleId="Footnote">
    <w:name w:val="Footnote Text"/>
    <w:basedOn w:val="Normal"/>
    <w:pPr>
      <w:suppressLineNumbers/>
      <w:ind w:left="339" w:right="0" w:hanging="339"/>
    </w:pPr>
    <w:rPr>
      <w:sz w:val="20"/>
      <w:szCs w:val="20"/>
    </w:rPr>
  </w:style>
  <w:style w:type="paragraph" w:styleId="Footer">
    <w:name w:val="Footer"/>
    <w:basedOn w:val="Normal"/>
    <w:pPr>
      <w:suppressLineNumbers/>
      <w:tabs>
        <w:tab w:val="center" w:pos="4819" w:leader="none"/>
        <w:tab w:val="right" w:pos="9638" w:leader="none"/>
      </w:tabs>
    </w:pPr>
    <w:rPr/>
  </w:style>
  <w:style w:type="paragraph" w:styleId="Title">
    <w:name w:val="Title"/>
    <w:basedOn w:val="Heading"/>
    <w:next w:val="TextBody"/>
    <w:qFormat/>
    <w:pPr>
      <w:jc w:val="center"/>
    </w:pPr>
    <w:rPr>
      <w:b/>
      <w:bCs/>
      <w:sz w:val="56"/>
      <w:szCs w:val="56"/>
    </w:rPr>
  </w:style>
  <w:style w:type="paragraph" w:styleId="Subtitle">
    <w:name w:val="Subtitle"/>
    <w:basedOn w:val="Heading"/>
    <w:next w:val="TextBody"/>
    <w:qFormat/>
    <w:pPr>
      <w:spacing w:before="60" w:after="120"/>
      <w:jc w:val="center"/>
    </w:pPr>
    <w:rPr>
      <w:sz w:val="36"/>
      <w:szCs w:val="36"/>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digital.bodleian.ox.ac.uk/objects/e63dbc71-a20b-468d-bb2f-b9c1e12d66ff/" TargetMode="External"/><Relationship Id="rId3" Type="http://schemas.openxmlformats.org/officeDocument/2006/relationships/footer" Target="footer1.xml"/><Relationship Id="rId4" Type="http://schemas.openxmlformats.org/officeDocument/2006/relationships/footnotes" Target="footnotes.xml"/><Relationship Id="rId5" Type="http://schemas.openxmlformats.org/officeDocument/2006/relationships/fontTable" Target="fontTable.xml"/><Relationship Id="rId6" Type="http://schemas.openxmlformats.org/officeDocument/2006/relationships/settings" Target="settings.xml"/>
</Relationships>
</file>

<file path=word/_rels/footnotes.xml.rels><?xml version="1.0" encoding="UTF-8"?>
<Relationships xmlns="http://schemas.openxmlformats.org/package/2006/relationships"><Relationship Id="rId1" Type="http://schemas.openxmlformats.org/officeDocument/2006/relationships/hyperlink" Target="https://www.york.ac.uk/media/borthwick/documents/publications/Reading the Past Sixteenth and Seventeenth Century English Handwriting.pdf" TargetMode="External"/><Relationship Id="rId2" Type="http://schemas.openxmlformats.org/officeDocument/2006/relationships/hyperlink" Target="https://doi.org/10.1093/ref:odnb/2274" TargetMode="External"/><Relationship Id="rId3" Type="http://schemas.openxmlformats.org/officeDocument/2006/relationships/hyperlink" Target="https://doi.org/10.1093/ref:odnb/4281" TargetMode="External"/><Relationship Id="rId4" Type="http://schemas.openxmlformats.org/officeDocument/2006/relationships/hyperlink" Target="https://doi.org/10.1093/ref:odnb/21923" TargetMode="External"/>
</Relationships>
</file>

<file path=docProps/app.xml><?xml version="1.0" encoding="utf-8"?>
<Properties xmlns="http://schemas.openxmlformats.org/officeDocument/2006/extended-properties" xmlns:vt="http://schemas.openxmlformats.org/officeDocument/2006/docPropsVTypes">
  <Template/>
  <TotalTime>3395</TotalTime>
  <Application>LibreOffice/6.0.7.3$Linux_X86_64 LibreOffice_project/00m0$Build-3</Application>
  <Pages>4</Pages>
  <Words>2004</Words>
  <Characters>9606</Characters>
  <CharactersWithSpaces>11619</CharactersWithSpaces>
  <Paragraphs>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2023-12-21T18:15:02Z</dcterms:created>
  <dc:creator/>
  <dc:description/>
  <dc:language>en-GB</dc:language>
  <cp:lastModifiedBy/>
  <cp:lastPrinted>2023-12-27T15:38:53Z</cp:lastPrinted>
  <dcterms:modified xsi:type="dcterms:W3CDTF">2024-01-08T13:19:46Z</dcterms:modified>
  <cp:revision>46</cp:revision>
  <dc:subject/>
  <dc:title/>
</cp:coreProperties>
</file>