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E91FE" w14:textId="77777777" w:rsidR="00347517" w:rsidRDefault="00347517" w:rsidP="00347517">
      <w:pPr>
        <w:jc w:val="center"/>
        <w:rPr>
          <w:rFonts w:ascii="Times New Roman" w:hAnsi="Times New Roman" w:cs="Times New Roman"/>
          <w:sz w:val="24"/>
          <w:szCs w:val="24"/>
        </w:rPr>
      </w:pPr>
    </w:p>
    <w:p w14:paraId="3DB132EB" w14:textId="77777777" w:rsidR="00347517" w:rsidRDefault="00347517" w:rsidP="00347517">
      <w:pPr>
        <w:jc w:val="center"/>
        <w:rPr>
          <w:rFonts w:ascii="Times New Roman" w:hAnsi="Times New Roman" w:cs="Times New Roman"/>
          <w:sz w:val="24"/>
          <w:szCs w:val="24"/>
        </w:rPr>
      </w:pPr>
    </w:p>
    <w:p w14:paraId="2D9FBDDA" w14:textId="3ACB3214" w:rsidR="00347517" w:rsidRDefault="00174878" w:rsidP="00347517">
      <w:pPr>
        <w:jc w:val="center"/>
        <w:rPr>
          <w:rFonts w:ascii="Times New Roman" w:hAnsi="Times New Roman" w:cs="Times New Roman"/>
          <w:b/>
          <w:sz w:val="32"/>
          <w:szCs w:val="32"/>
          <w:u w:val="single"/>
        </w:rPr>
      </w:pPr>
      <w:r w:rsidRPr="00174878">
        <w:rPr>
          <w:rFonts w:ascii="Times New Roman" w:hAnsi="Times New Roman" w:cs="Times New Roman"/>
          <w:b/>
          <w:sz w:val="32"/>
          <w:szCs w:val="32"/>
          <w:u w:val="single"/>
        </w:rPr>
        <w:t>COVER PAGE</w:t>
      </w:r>
    </w:p>
    <w:p w14:paraId="06FA7FFC" w14:textId="77777777" w:rsidR="00F368A7" w:rsidRDefault="00F368A7" w:rsidP="00347517">
      <w:pPr>
        <w:jc w:val="center"/>
        <w:rPr>
          <w:rFonts w:ascii="Times New Roman" w:hAnsi="Times New Roman" w:cs="Times New Roman"/>
          <w:b/>
          <w:sz w:val="32"/>
          <w:szCs w:val="32"/>
          <w:u w:val="single"/>
        </w:rPr>
      </w:pPr>
    </w:p>
    <w:p w14:paraId="530C9680" w14:textId="29307873" w:rsidR="00F368A7" w:rsidRDefault="00F368A7" w:rsidP="00347517">
      <w:pPr>
        <w:jc w:val="center"/>
        <w:rPr>
          <w:rFonts w:ascii="Times New Roman" w:hAnsi="Times New Roman" w:cs="Times New Roman"/>
          <w:b/>
          <w:sz w:val="32"/>
          <w:szCs w:val="32"/>
          <w:u w:val="single"/>
        </w:rPr>
      </w:pPr>
      <w:r>
        <w:rPr>
          <w:rFonts w:ascii="Times New Roman" w:hAnsi="Times New Roman" w:cs="Times New Roman"/>
          <w:b/>
          <w:sz w:val="32"/>
          <w:szCs w:val="32"/>
          <w:u w:val="single"/>
        </w:rPr>
        <w:t>Assignment Title</w:t>
      </w:r>
    </w:p>
    <w:p w14:paraId="2B82CC25" w14:textId="18115505" w:rsidR="008A71F1" w:rsidRPr="00F368A7" w:rsidRDefault="00F368A7" w:rsidP="00F368A7">
      <w:pPr>
        <w:jc w:val="center"/>
        <w:rPr>
          <w:rFonts w:ascii="Times New Roman" w:hAnsi="Times New Roman" w:cs="Times New Roman"/>
          <w:sz w:val="32"/>
          <w:szCs w:val="32"/>
        </w:rPr>
      </w:pPr>
      <w:r w:rsidRPr="00F368A7">
        <w:rPr>
          <w:rFonts w:ascii="Times New Roman" w:hAnsi="Times New Roman" w:cs="Times New Roman"/>
          <w:sz w:val="32"/>
          <w:szCs w:val="32"/>
        </w:rPr>
        <w:t>Developing a Leadership Strategy</w:t>
      </w:r>
    </w:p>
    <w:p w14:paraId="03E2BFF7" w14:textId="7D32ED94" w:rsidR="00FB6262" w:rsidRDefault="00FB6262" w:rsidP="00347517">
      <w:pPr>
        <w:jc w:val="center"/>
        <w:rPr>
          <w:rFonts w:ascii="Times New Roman" w:hAnsi="Times New Roman" w:cs="Times New Roman"/>
          <w:b/>
          <w:sz w:val="32"/>
          <w:szCs w:val="32"/>
          <w:u w:val="single"/>
        </w:rPr>
      </w:pPr>
      <w:r>
        <w:rPr>
          <w:rFonts w:ascii="Times New Roman" w:hAnsi="Times New Roman" w:cs="Times New Roman"/>
          <w:b/>
          <w:sz w:val="32"/>
          <w:szCs w:val="32"/>
          <w:u w:val="single"/>
        </w:rPr>
        <w:t>Course</w:t>
      </w:r>
      <w:r w:rsidR="008A71F1">
        <w:rPr>
          <w:rFonts w:ascii="Times New Roman" w:hAnsi="Times New Roman" w:cs="Times New Roman"/>
          <w:b/>
          <w:sz w:val="32"/>
          <w:szCs w:val="32"/>
          <w:u w:val="single"/>
        </w:rPr>
        <w:t xml:space="preserve"> Name</w:t>
      </w:r>
    </w:p>
    <w:p w14:paraId="28631005" w14:textId="01934FA8" w:rsidR="00F368A7" w:rsidRPr="00F368A7" w:rsidRDefault="00F368A7" w:rsidP="00347517">
      <w:pPr>
        <w:jc w:val="center"/>
        <w:rPr>
          <w:rFonts w:ascii="Times New Roman" w:hAnsi="Times New Roman" w:cs="Times New Roman"/>
          <w:sz w:val="32"/>
          <w:szCs w:val="32"/>
        </w:rPr>
      </w:pPr>
      <w:r w:rsidRPr="00F368A7">
        <w:rPr>
          <w:rFonts w:ascii="Times New Roman" w:hAnsi="Times New Roman" w:cs="Times New Roman"/>
          <w:sz w:val="32"/>
          <w:szCs w:val="32"/>
        </w:rPr>
        <w:t>MA Leadership</w:t>
      </w:r>
    </w:p>
    <w:p w14:paraId="0B639682" w14:textId="359AFAC0" w:rsidR="00F368A7" w:rsidRDefault="00F368A7" w:rsidP="00347517">
      <w:pPr>
        <w:jc w:val="center"/>
        <w:rPr>
          <w:rFonts w:ascii="Times New Roman" w:hAnsi="Times New Roman" w:cs="Times New Roman"/>
          <w:b/>
          <w:sz w:val="32"/>
          <w:szCs w:val="32"/>
          <w:u w:val="single"/>
        </w:rPr>
      </w:pPr>
      <w:r>
        <w:rPr>
          <w:rFonts w:ascii="Times New Roman" w:hAnsi="Times New Roman" w:cs="Times New Roman"/>
          <w:b/>
          <w:sz w:val="32"/>
          <w:szCs w:val="32"/>
          <w:u w:val="single"/>
        </w:rPr>
        <w:t>Module Code</w:t>
      </w:r>
    </w:p>
    <w:p w14:paraId="15927A82" w14:textId="28A96E55" w:rsidR="00F368A7" w:rsidRPr="00F368A7" w:rsidRDefault="00F368A7" w:rsidP="00347517">
      <w:pPr>
        <w:jc w:val="center"/>
        <w:rPr>
          <w:rFonts w:ascii="Times New Roman" w:hAnsi="Times New Roman" w:cs="Times New Roman"/>
          <w:sz w:val="32"/>
          <w:szCs w:val="32"/>
        </w:rPr>
      </w:pPr>
      <w:r w:rsidRPr="00F368A7">
        <w:rPr>
          <w:rFonts w:ascii="Times New Roman" w:hAnsi="Times New Roman" w:cs="Times New Roman"/>
          <w:sz w:val="32"/>
          <w:szCs w:val="32"/>
        </w:rPr>
        <w:t>BMMB7000</w:t>
      </w:r>
    </w:p>
    <w:p w14:paraId="204CF253" w14:textId="09EB189D" w:rsidR="00174878" w:rsidRPr="00F368A7" w:rsidRDefault="00F368A7" w:rsidP="00F368A7">
      <w:pPr>
        <w:rPr>
          <w:rFonts w:ascii="Times New Roman" w:hAnsi="Times New Roman" w:cs="Times New Roman"/>
          <w:sz w:val="32"/>
          <w:szCs w:val="32"/>
        </w:rPr>
      </w:pPr>
      <w:r>
        <w:rPr>
          <w:rFonts w:ascii="Times New Roman" w:hAnsi="Times New Roman" w:cs="Times New Roman"/>
          <w:sz w:val="32"/>
          <w:szCs w:val="32"/>
        </w:rPr>
        <w:t xml:space="preserve">           </w:t>
      </w:r>
    </w:p>
    <w:p w14:paraId="42F91173" w14:textId="57A2928E" w:rsidR="00174878" w:rsidRDefault="00F368A7" w:rsidP="00347517">
      <w:pPr>
        <w:jc w:val="center"/>
        <w:rPr>
          <w:rFonts w:ascii="Times New Roman" w:hAnsi="Times New Roman" w:cs="Times New Roman"/>
          <w:b/>
          <w:sz w:val="32"/>
          <w:szCs w:val="32"/>
          <w:u w:val="single"/>
        </w:rPr>
      </w:pPr>
      <w:r>
        <w:rPr>
          <w:rFonts w:ascii="Times New Roman" w:hAnsi="Times New Roman" w:cs="Times New Roman"/>
          <w:b/>
          <w:sz w:val="32"/>
          <w:szCs w:val="32"/>
          <w:u w:val="single"/>
        </w:rPr>
        <w:t>Student Name</w:t>
      </w:r>
      <w:bookmarkStart w:id="0" w:name="_GoBack"/>
      <w:bookmarkEnd w:id="0"/>
    </w:p>
    <w:p w14:paraId="7532EEE6" w14:textId="62AE100C" w:rsidR="00972160" w:rsidRPr="00972160" w:rsidRDefault="00972160" w:rsidP="00347517">
      <w:pPr>
        <w:jc w:val="center"/>
        <w:rPr>
          <w:rFonts w:ascii="Times New Roman" w:hAnsi="Times New Roman" w:cs="Times New Roman"/>
          <w:sz w:val="32"/>
          <w:szCs w:val="32"/>
        </w:rPr>
      </w:pPr>
      <w:r w:rsidRPr="00972160">
        <w:rPr>
          <w:rFonts w:ascii="Times New Roman" w:hAnsi="Times New Roman" w:cs="Times New Roman"/>
          <w:sz w:val="32"/>
          <w:szCs w:val="32"/>
        </w:rPr>
        <w:t>Lakshya Sharma</w:t>
      </w:r>
    </w:p>
    <w:p w14:paraId="18E6F932" w14:textId="3CD1FF92" w:rsidR="00972160" w:rsidRDefault="00972160" w:rsidP="00347517">
      <w:pPr>
        <w:jc w:val="center"/>
        <w:rPr>
          <w:rFonts w:ascii="Times New Roman" w:hAnsi="Times New Roman" w:cs="Times New Roman"/>
          <w:b/>
          <w:sz w:val="32"/>
          <w:szCs w:val="32"/>
          <w:u w:val="single"/>
        </w:rPr>
      </w:pPr>
      <w:r>
        <w:rPr>
          <w:rFonts w:ascii="Times New Roman" w:hAnsi="Times New Roman" w:cs="Times New Roman"/>
          <w:b/>
          <w:sz w:val="32"/>
          <w:szCs w:val="32"/>
          <w:u w:val="single"/>
        </w:rPr>
        <w:t>Student ID</w:t>
      </w:r>
    </w:p>
    <w:p w14:paraId="0ACD8C89" w14:textId="29CEA13C" w:rsidR="008A71F1" w:rsidRDefault="008A71F1" w:rsidP="00347517">
      <w:pPr>
        <w:jc w:val="center"/>
        <w:rPr>
          <w:rFonts w:ascii="Times New Roman" w:hAnsi="Times New Roman" w:cs="Times New Roman"/>
          <w:sz w:val="32"/>
          <w:szCs w:val="32"/>
        </w:rPr>
      </w:pPr>
      <w:r w:rsidRPr="008A71F1">
        <w:rPr>
          <w:rFonts w:ascii="Times New Roman" w:hAnsi="Times New Roman" w:cs="Times New Roman"/>
          <w:sz w:val="32"/>
          <w:szCs w:val="32"/>
        </w:rPr>
        <w:t>2232627</w:t>
      </w:r>
    </w:p>
    <w:p w14:paraId="25D15189" w14:textId="77777777" w:rsidR="008A71F1" w:rsidRDefault="008A71F1" w:rsidP="00347517">
      <w:pPr>
        <w:jc w:val="center"/>
        <w:rPr>
          <w:rFonts w:ascii="Times New Roman" w:hAnsi="Times New Roman" w:cs="Times New Roman"/>
          <w:sz w:val="32"/>
          <w:szCs w:val="32"/>
        </w:rPr>
      </w:pPr>
    </w:p>
    <w:p w14:paraId="770C3CBB" w14:textId="77777777" w:rsidR="008A71F1" w:rsidRPr="008A71F1" w:rsidRDefault="008A71F1" w:rsidP="00347517">
      <w:pPr>
        <w:jc w:val="center"/>
        <w:rPr>
          <w:rFonts w:ascii="Times New Roman" w:hAnsi="Times New Roman" w:cs="Times New Roman"/>
          <w:sz w:val="32"/>
          <w:szCs w:val="32"/>
        </w:rPr>
      </w:pPr>
    </w:p>
    <w:p w14:paraId="4AAA8868" w14:textId="77777777" w:rsidR="00972160" w:rsidRDefault="00972160" w:rsidP="00347517">
      <w:pPr>
        <w:jc w:val="center"/>
        <w:rPr>
          <w:rFonts w:ascii="Times New Roman" w:hAnsi="Times New Roman" w:cs="Times New Roman"/>
          <w:b/>
          <w:sz w:val="32"/>
          <w:szCs w:val="32"/>
          <w:u w:val="single"/>
        </w:rPr>
      </w:pPr>
    </w:p>
    <w:p w14:paraId="5F46533D" w14:textId="1FB1DF27" w:rsidR="00972160" w:rsidRPr="00174878" w:rsidRDefault="00972160" w:rsidP="00590EA1">
      <w:pPr>
        <w:rPr>
          <w:rFonts w:ascii="Times New Roman" w:hAnsi="Times New Roman" w:cs="Times New Roman"/>
          <w:b/>
          <w:sz w:val="32"/>
          <w:szCs w:val="32"/>
          <w:u w:val="single"/>
        </w:rPr>
      </w:pPr>
    </w:p>
    <w:p w14:paraId="7E081AEF" w14:textId="77777777" w:rsidR="00347517" w:rsidRDefault="00347517" w:rsidP="00347517">
      <w:pPr>
        <w:jc w:val="center"/>
        <w:rPr>
          <w:rFonts w:ascii="Times New Roman" w:hAnsi="Times New Roman" w:cs="Times New Roman"/>
          <w:sz w:val="24"/>
          <w:szCs w:val="24"/>
        </w:rPr>
      </w:pPr>
    </w:p>
    <w:p w14:paraId="0DF43106" w14:textId="77777777" w:rsidR="00347517" w:rsidRDefault="00347517" w:rsidP="00347517">
      <w:pPr>
        <w:jc w:val="center"/>
        <w:rPr>
          <w:rFonts w:ascii="Times New Roman" w:hAnsi="Times New Roman" w:cs="Times New Roman"/>
          <w:sz w:val="24"/>
          <w:szCs w:val="24"/>
        </w:rPr>
      </w:pPr>
    </w:p>
    <w:p w14:paraId="402FA724" w14:textId="77777777" w:rsidR="00347517" w:rsidRDefault="00347517" w:rsidP="00347517">
      <w:pPr>
        <w:jc w:val="center"/>
        <w:rPr>
          <w:rFonts w:ascii="Times New Roman" w:hAnsi="Times New Roman" w:cs="Times New Roman"/>
          <w:sz w:val="24"/>
          <w:szCs w:val="24"/>
        </w:rPr>
      </w:pPr>
    </w:p>
    <w:p w14:paraId="54DBD578" w14:textId="77777777" w:rsidR="00347517" w:rsidRDefault="00347517" w:rsidP="00347517">
      <w:pPr>
        <w:jc w:val="center"/>
        <w:rPr>
          <w:rFonts w:ascii="Times New Roman" w:hAnsi="Times New Roman" w:cs="Times New Roman"/>
          <w:sz w:val="24"/>
          <w:szCs w:val="24"/>
        </w:rPr>
      </w:pPr>
    </w:p>
    <w:p w14:paraId="7E71EC60" w14:textId="77777777" w:rsidR="00CE3622" w:rsidRDefault="00CE3622" w:rsidP="00347517">
      <w:pPr>
        <w:jc w:val="center"/>
        <w:rPr>
          <w:rFonts w:ascii="Times New Roman" w:hAnsi="Times New Roman" w:cs="Times New Roman"/>
          <w:sz w:val="24"/>
          <w:szCs w:val="24"/>
        </w:rPr>
      </w:pPr>
    </w:p>
    <w:p w14:paraId="73860B12" w14:textId="77777777" w:rsidR="00CE3622" w:rsidRDefault="00CE3622" w:rsidP="00347517">
      <w:pPr>
        <w:jc w:val="center"/>
        <w:rPr>
          <w:rFonts w:ascii="Times New Roman" w:hAnsi="Times New Roman" w:cs="Times New Roman"/>
          <w:sz w:val="24"/>
          <w:szCs w:val="24"/>
        </w:rPr>
      </w:pPr>
    </w:p>
    <w:p w14:paraId="78639677" w14:textId="77777777" w:rsidR="00CE3622" w:rsidRDefault="00CE3622" w:rsidP="00347517">
      <w:pPr>
        <w:jc w:val="center"/>
        <w:rPr>
          <w:rFonts w:ascii="Times New Roman" w:hAnsi="Times New Roman" w:cs="Times New Roman"/>
          <w:sz w:val="24"/>
          <w:szCs w:val="24"/>
        </w:rPr>
      </w:pPr>
    </w:p>
    <w:p w14:paraId="1F9046D9" w14:textId="77777777" w:rsidR="00CE3622" w:rsidRDefault="00CE3622" w:rsidP="00347517">
      <w:pPr>
        <w:jc w:val="center"/>
        <w:rPr>
          <w:rFonts w:ascii="Times New Roman" w:hAnsi="Times New Roman" w:cs="Times New Roman"/>
          <w:sz w:val="24"/>
          <w:szCs w:val="24"/>
        </w:rPr>
      </w:pPr>
    </w:p>
    <w:p w14:paraId="7CFAB0CB" w14:textId="77777777" w:rsidR="00CE3622" w:rsidRDefault="00CE3622" w:rsidP="00347517">
      <w:pPr>
        <w:jc w:val="center"/>
        <w:rPr>
          <w:rFonts w:ascii="Times New Roman" w:hAnsi="Times New Roman" w:cs="Times New Roman"/>
          <w:sz w:val="24"/>
          <w:szCs w:val="24"/>
        </w:rPr>
      </w:pPr>
    </w:p>
    <w:p w14:paraId="385D6444" w14:textId="77777777" w:rsidR="00CE3622" w:rsidRDefault="00CE3622" w:rsidP="00347517">
      <w:pPr>
        <w:jc w:val="center"/>
        <w:rPr>
          <w:rFonts w:ascii="Times New Roman" w:hAnsi="Times New Roman" w:cs="Times New Roman"/>
          <w:sz w:val="24"/>
          <w:szCs w:val="24"/>
        </w:rPr>
      </w:pPr>
    </w:p>
    <w:p w14:paraId="71DC5C97" w14:textId="77777777" w:rsidR="00CE3622" w:rsidRDefault="00CE3622" w:rsidP="00347517">
      <w:pPr>
        <w:jc w:val="center"/>
        <w:rPr>
          <w:rFonts w:ascii="Times New Roman" w:hAnsi="Times New Roman" w:cs="Times New Roman"/>
          <w:sz w:val="24"/>
          <w:szCs w:val="24"/>
        </w:rPr>
      </w:pPr>
    </w:p>
    <w:p w14:paraId="2DD90F88" w14:textId="77777777" w:rsidR="00CE3622" w:rsidRDefault="00CE3622" w:rsidP="00347517">
      <w:pPr>
        <w:jc w:val="center"/>
        <w:rPr>
          <w:rFonts w:ascii="Times New Roman" w:hAnsi="Times New Roman" w:cs="Times New Roman"/>
          <w:sz w:val="24"/>
          <w:szCs w:val="24"/>
        </w:rPr>
      </w:pPr>
    </w:p>
    <w:p w14:paraId="1DC95E40" w14:textId="4CBBF5CC" w:rsidR="001E18EE" w:rsidRDefault="0026282A" w:rsidP="00347517">
      <w:pPr>
        <w:pStyle w:val="Heading1"/>
        <w:spacing w:line="480" w:lineRule="auto"/>
        <w:jc w:val="both"/>
        <w:rPr>
          <w:rFonts w:ascii="Times New Roman" w:hAnsi="Times New Roman" w:cs="Times New Roman"/>
          <w:b/>
          <w:bCs/>
          <w:color w:val="auto"/>
        </w:rPr>
      </w:pPr>
      <w:bookmarkStart w:id="1" w:name="_Toc133437911"/>
      <w:r>
        <w:rPr>
          <w:rFonts w:ascii="Times New Roman" w:eastAsiaTheme="minorHAnsi" w:hAnsi="Times New Roman" w:cs="Times New Roman"/>
          <w:color w:val="auto"/>
          <w:sz w:val="24"/>
          <w:szCs w:val="24"/>
        </w:rPr>
        <w:t xml:space="preserve">                                               </w:t>
      </w:r>
      <w:r w:rsidR="0087752A">
        <w:rPr>
          <w:rFonts w:ascii="Times New Roman" w:hAnsi="Times New Roman" w:cs="Times New Roman"/>
          <w:b/>
          <w:bCs/>
          <w:color w:val="auto"/>
        </w:rPr>
        <w:t xml:space="preserve">   </w:t>
      </w:r>
      <w:r w:rsidR="001E18EE" w:rsidRPr="0087752A">
        <w:rPr>
          <w:rFonts w:ascii="Times New Roman" w:hAnsi="Times New Roman" w:cs="Times New Roman"/>
          <w:b/>
          <w:bCs/>
          <w:color w:val="auto"/>
        </w:rPr>
        <w:t>Executive summary</w:t>
      </w:r>
      <w:bookmarkEnd w:id="1"/>
      <w:r w:rsidR="0087752A">
        <w:rPr>
          <w:rFonts w:ascii="Times New Roman" w:hAnsi="Times New Roman" w:cs="Times New Roman"/>
          <w:b/>
          <w:bCs/>
          <w:color w:val="auto"/>
        </w:rPr>
        <w:t xml:space="preserve">   </w:t>
      </w:r>
    </w:p>
    <w:p w14:paraId="2D0CCA61" w14:textId="77777777" w:rsidR="0087752A" w:rsidRPr="0087752A" w:rsidRDefault="0087752A" w:rsidP="0087752A"/>
    <w:p w14:paraId="7D37A4C8" w14:textId="6119EEE3" w:rsidR="001E18EE" w:rsidRPr="000727B1" w:rsidRDefault="00CA4304" w:rsidP="0087752A">
      <w:pPr>
        <w:spacing w:line="600" w:lineRule="auto"/>
        <w:ind w:firstLine="720"/>
        <w:jc w:val="both"/>
        <w:rPr>
          <w:rFonts w:ascii="Times New Roman" w:hAnsi="Times New Roman" w:cs="Times New Roman"/>
          <w:sz w:val="24"/>
          <w:szCs w:val="24"/>
        </w:rPr>
      </w:pPr>
      <w:r w:rsidRPr="00CA4304">
        <w:rPr>
          <w:rFonts w:ascii="Times New Roman" w:hAnsi="Times New Roman" w:cs="Times New Roman"/>
          <w:sz w:val="24"/>
          <w:szCs w:val="24"/>
        </w:rPr>
        <w:t xml:space="preserve">The </w:t>
      </w:r>
      <w:bookmarkStart w:id="2" w:name="_Hlk133434790"/>
      <w:r w:rsidRPr="00CA4304">
        <w:rPr>
          <w:rFonts w:ascii="Times New Roman" w:hAnsi="Times New Roman" w:cs="Times New Roman"/>
          <w:sz w:val="24"/>
          <w:szCs w:val="24"/>
        </w:rPr>
        <w:t xml:space="preserve">Pembrokeshire Beach Food Company </w:t>
      </w:r>
      <w:bookmarkEnd w:id="2"/>
      <w:r w:rsidRPr="00CA4304">
        <w:rPr>
          <w:rFonts w:ascii="Times New Roman" w:hAnsi="Times New Roman" w:cs="Times New Roman"/>
          <w:sz w:val="24"/>
          <w:szCs w:val="24"/>
        </w:rPr>
        <w:t>is a family-run company that specialises in handcrafted, sustainable, and ethical seaweed products. To achieve long-term success and stay ahead of competitors, the organisation must cultivate an innovative culture that encourages experimentation, collaboration, rewards creative thinking, and views failure as a learning opportunity. This study provides a leadership strategy for building an atmosphere at the Pembrokeshire Beach Food Company that fosters creativity. The strategy entails creating a clear vision and mission statement, encouraging experimentation and risk-taking, promoting collaboration and knowledge sharing, fostering and rewarding creative thinking, viewing failure as a learning opportunity, providing resources and support, and establishing metrics and evaluation processes to assess the strategy's success.</w:t>
      </w:r>
      <w:r w:rsidR="001E18EE">
        <w:br w:type="page"/>
      </w:r>
    </w:p>
    <w:sdt>
      <w:sdtPr>
        <w:rPr>
          <w:rFonts w:asciiTheme="minorHAnsi" w:eastAsiaTheme="minorHAnsi" w:hAnsiTheme="minorHAnsi" w:cstheme="minorBidi"/>
          <w:color w:val="auto"/>
          <w:sz w:val="22"/>
          <w:szCs w:val="22"/>
          <w:lang w:val="en-GB"/>
        </w:rPr>
        <w:id w:val="1047802799"/>
        <w:docPartObj>
          <w:docPartGallery w:val="Table of Contents"/>
          <w:docPartUnique/>
        </w:docPartObj>
      </w:sdtPr>
      <w:sdtEndPr>
        <w:rPr>
          <w:b/>
          <w:bCs/>
          <w:noProof/>
        </w:rPr>
      </w:sdtEndPr>
      <w:sdtContent>
        <w:p w14:paraId="1D88186D" w14:textId="57E3F561" w:rsidR="00347517" w:rsidRDefault="0087752A" w:rsidP="00347517">
          <w:pPr>
            <w:pStyle w:val="TOCHeading"/>
            <w:spacing w:line="480" w:lineRule="auto"/>
            <w:rPr>
              <w:rFonts w:ascii="Times New Roman" w:hAnsi="Times New Roman" w:cs="Times New Roman"/>
              <w:b/>
              <w:bCs/>
              <w:color w:val="auto"/>
            </w:rPr>
          </w:pPr>
          <w:r>
            <w:rPr>
              <w:rFonts w:asciiTheme="minorHAnsi" w:eastAsiaTheme="minorHAnsi" w:hAnsiTheme="minorHAnsi" w:cstheme="minorBidi"/>
              <w:color w:val="auto"/>
              <w:sz w:val="22"/>
              <w:szCs w:val="22"/>
              <w:lang w:val="en-GB"/>
            </w:rPr>
            <w:t xml:space="preserve">                                                                             </w:t>
          </w:r>
          <w:r w:rsidR="00347517" w:rsidRPr="00347517">
            <w:rPr>
              <w:rFonts w:ascii="Times New Roman" w:hAnsi="Times New Roman" w:cs="Times New Roman"/>
              <w:b/>
              <w:bCs/>
              <w:color w:val="auto"/>
            </w:rPr>
            <w:t>Contents</w:t>
          </w:r>
        </w:p>
        <w:p w14:paraId="709B3D0B" w14:textId="77777777" w:rsidR="0087752A" w:rsidRPr="0087752A" w:rsidRDefault="0087752A" w:rsidP="0087752A">
          <w:pPr>
            <w:rPr>
              <w:lang w:val="en-US"/>
            </w:rPr>
          </w:pPr>
        </w:p>
        <w:p w14:paraId="40D0FB78" w14:textId="1660853B" w:rsidR="000F1CE9" w:rsidRPr="000F1CE9" w:rsidRDefault="00347517" w:rsidP="0087752A">
          <w:pPr>
            <w:pStyle w:val="TOC1"/>
            <w:tabs>
              <w:tab w:val="right" w:leader="dot" w:pos="9016"/>
            </w:tabs>
            <w:spacing w:line="480" w:lineRule="auto"/>
            <w:rPr>
              <w:rFonts w:eastAsiaTheme="minorEastAsia"/>
              <w:noProof/>
              <w:sz w:val="24"/>
              <w:szCs w:val="24"/>
              <w:lang w:val="en-US"/>
            </w:rPr>
          </w:pPr>
          <w:r w:rsidRPr="001247BC">
            <w:rPr>
              <w:rFonts w:ascii="Times New Roman" w:hAnsi="Times New Roman" w:cs="Times New Roman"/>
              <w:sz w:val="24"/>
              <w:szCs w:val="24"/>
            </w:rPr>
            <w:fldChar w:fldCharType="begin"/>
          </w:r>
          <w:r w:rsidRPr="001247BC">
            <w:rPr>
              <w:rFonts w:ascii="Times New Roman" w:hAnsi="Times New Roman" w:cs="Times New Roman"/>
              <w:sz w:val="24"/>
              <w:szCs w:val="24"/>
            </w:rPr>
            <w:instrText xml:space="preserve"> TOC \o "1-3" \h \z \u </w:instrText>
          </w:r>
          <w:r w:rsidRPr="001247BC">
            <w:rPr>
              <w:rFonts w:ascii="Times New Roman" w:hAnsi="Times New Roman" w:cs="Times New Roman"/>
              <w:sz w:val="24"/>
              <w:szCs w:val="24"/>
            </w:rPr>
            <w:fldChar w:fldCharType="separate"/>
          </w:r>
          <w:hyperlink w:anchor="_Toc133437911" w:history="1">
            <w:r w:rsidR="000F1CE9" w:rsidRPr="000F1CE9">
              <w:rPr>
                <w:rStyle w:val="Hyperlink"/>
                <w:rFonts w:ascii="Times New Roman" w:hAnsi="Times New Roman" w:cs="Times New Roman"/>
                <w:noProof/>
                <w:sz w:val="24"/>
                <w:szCs w:val="24"/>
              </w:rPr>
              <w:t>Executive summary</w:t>
            </w:r>
            <w:r w:rsidR="000F1CE9" w:rsidRPr="000F1CE9">
              <w:rPr>
                <w:noProof/>
                <w:webHidden/>
                <w:sz w:val="24"/>
                <w:szCs w:val="24"/>
              </w:rPr>
              <w:tab/>
            </w:r>
            <w:r w:rsidR="000F1CE9" w:rsidRPr="000F1CE9">
              <w:rPr>
                <w:noProof/>
                <w:webHidden/>
                <w:sz w:val="24"/>
                <w:szCs w:val="24"/>
              </w:rPr>
              <w:fldChar w:fldCharType="begin"/>
            </w:r>
            <w:r w:rsidR="000F1CE9" w:rsidRPr="000F1CE9">
              <w:rPr>
                <w:noProof/>
                <w:webHidden/>
                <w:sz w:val="24"/>
                <w:szCs w:val="24"/>
              </w:rPr>
              <w:instrText xml:space="preserve"> PAGEREF _Toc133437911 \h </w:instrText>
            </w:r>
            <w:r w:rsidR="000F1CE9" w:rsidRPr="000F1CE9">
              <w:rPr>
                <w:noProof/>
                <w:webHidden/>
                <w:sz w:val="24"/>
                <w:szCs w:val="24"/>
              </w:rPr>
            </w:r>
            <w:r w:rsidR="000F1CE9" w:rsidRPr="000F1CE9">
              <w:rPr>
                <w:noProof/>
                <w:webHidden/>
                <w:sz w:val="24"/>
                <w:szCs w:val="24"/>
              </w:rPr>
              <w:fldChar w:fldCharType="separate"/>
            </w:r>
            <w:r w:rsidR="000F1CE9" w:rsidRPr="000F1CE9">
              <w:rPr>
                <w:noProof/>
                <w:webHidden/>
                <w:sz w:val="24"/>
                <w:szCs w:val="24"/>
              </w:rPr>
              <w:t>2</w:t>
            </w:r>
            <w:r w:rsidR="000F1CE9" w:rsidRPr="000F1CE9">
              <w:rPr>
                <w:noProof/>
                <w:webHidden/>
                <w:sz w:val="24"/>
                <w:szCs w:val="24"/>
              </w:rPr>
              <w:fldChar w:fldCharType="end"/>
            </w:r>
          </w:hyperlink>
        </w:p>
        <w:p w14:paraId="2C4BF9F2" w14:textId="1AC4339F" w:rsidR="000F1CE9" w:rsidRPr="000F1CE9" w:rsidRDefault="00CC0847" w:rsidP="0087752A">
          <w:pPr>
            <w:pStyle w:val="TOC1"/>
            <w:tabs>
              <w:tab w:val="right" w:leader="dot" w:pos="9016"/>
            </w:tabs>
            <w:spacing w:line="480" w:lineRule="auto"/>
            <w:rPr>
              <w:rFonts w:eastAsiaTheme="minorEastAsia"/>
              <w:noProof/>
              <w:sz w:val="24"/>
              <w:szCs w:val="24"/>
              <w:lang w:val="en-US"/>
            </w:rPr>
          </w:pPr>
          <w:hyperlink w:anchor="_Toc133437912" w:history="1">
            <w:r w:rsidR="000F1CE9" w:rsidRPr="000F1CE9">
              <w:rPr>
                <w:rStyle w:val="Hyperlink"/>
                <w:rFonts w:ascii="Times New Roman" w:hAnsi="Times New Roman" w:cs="Times New Roman"/>
                <w:noProof/>
                <w:sz w:val="24"/>
                <w:szCs w:val="24"/>
              </w:rPr>
              <w:t>Introduction</w:t>
            </w:r>
            <w:r w:rsidR="000F1CE9" w:rsidRPr="000F1CE9">
              <w:rPr>
                <w:noProof/>
                <w:webHidden/>
                <w:sz w:val="24"/>
                <w:szCs w:val="24"/>
              </w:rPr>
              <w:tab/>
            </w:r>
            <w:r w:rsidR="000F1CE9" w:rsidRPr="000F1CE9">
              <w:rPr>
                <w:noProof/>
                <w:webHidden/>
                <w:sz w:val="24"/>
                <w:szCs w:val="24"/>
              </w:rPr>
              <w:fldChar w:fldCharType="begin"/>
            </w:r>
            <w:r w:rsidR="000F1CE9" w:rsidRPr="000F1CE9">
              <w:rPr>
                <w:noProof/>
                <w:webHidden/>
                <w:sz w:val="24"/>
                <w:szCs w:val="24"/>
              </w:rPr>
              <w:instrText xml:space="preserve"> PAGEREF _Toc133437912 \h </w:instrText>
            </w:r>
            <w:r w:rsidR="000F1CE9" w:rsidRPr="000F1CE9">
              <w:rPr>
                <w:noProof/>
                <w:webHidden/>
                <w:sz w:val="24"/>
                <w:szCs w:val="24"/>
              </w:rPr>
            </w:r>
            <w:r w:rsidR="000F1CE9" w:rsidRPr="000F1CE9">
              <w:rPr>
                <w:noProof/>
                <w:webHidden/>
                <w:sz w:val="24"/>
                <w:szCs w:val="24"/>
              </w:rPr>
              <w:fldChar w:fldCharType="separate"/>
            </w:r>
            <w:r w:rsidR="000F1CE9" w:rsidRPr="000F1CE9">
              <w:rPr>
                <w:noProof/>
                <w:webHidden/>
                <w:sz w:val="24"/>
                <w:szCs w:val="24"/>
              </w:rPr>
              <w:t>4</w:t>
            </w:r>
            <w:r w:rsidR="000F1CE9" w:rsidRPr="000F1CE9">
              <w:rPr>
                <w:noProof/>
                <w:webHidden/>
                <w:sz w:val="24"/>
                <w:szCs w:val="24"/>
              </w:rPr>
              <w:fldChar w:fldCharType="end"/>
            </w:r>
          </w:hyperlink>
        </w:p>
        <w:p w14:paraId="79C07A19" w14:textId="7342B5DE" w:rsidR="000F1CE9" w:rsidRPr="000F1CE9" w:rsidRDefault="00CC0847" w:rsidP="0087752A">
          <w:pPr>
            <w:pStyle w:val="TOC1"/>
            <w:tabs>
              <w:tab w:val="right" w:leader="dot" w:pos="9016"/>
            </w:tabs>
            <w:spacing w:line="480" w:lineRule="auto"/>
            <w:rPr>
              <w:rFonts w:eastAsiaTheme="minorEastAsia"/>
              <w:noProof/>
              <w:sz w:val="24"/>
              <w:szCs w:val="24"/>
              <w:lang w:val="en-US"/>
            </w:rPr>
          </w:pPr>
          <w:hyperlink w:anchor="_Toc133437913" w:history="1">
            <w:r w:rsidR="000F1CE9" w:rsidRPr="000F1CE9">
              <w:rPr>
                <w:rStyle w:val="Hyperlink"/>
                <w:rFonts w:ascii="Times New Roman" w:hAnsi="Times New Roman" w:cs="Times New Roman"/>
                <w:noProof/>
                <w:sz w:val="24"/>
                <w:szCs w:val="24"/>
              </w:rPr>
              <w:t>Analysis</w:t>
            </w:r>
            <w:r w:rsidR="000F1CE9" w:rsidRPr="000F1CE9">
              <w:rPr>
                <w:noProof/>
                <w:webHidden/>
                <w:sz w:val="24"/>
                <w:szCs w:val="24"/>
              </w:rPr>
              <w:tab/>
            </w:r>
            <w:r w:rsidR="000F1CE9" w:rsidRPr="000F1CE9">
              <w:rPr>
                <w:noProof/>
                <w:webHidden/>
                <w:sz w:val="24"/>
                <w:szCs w:val="24"/>
              </w:rPr>
              <w:fldChar w:fldCharType="begin"/>
            </w:r>
            <w:r w:rsidR="000F1CE9" w:rsidRPr="000F1CE9">
              <w:rPr>
                <w:noProof/>
                <w:webHidden/>
                <w:sz w:val="24"/>
                <w:szCs w:val="24"/>
              </w:rPr>
              <w:instrText xml:space="preserve"> PAGEREF _Toc133437913 \h </w:instrText>
            </w:r>
            <w:r w:rsidR="000F1CE9" w:rsidRPr="000F1CE9">
              <w:rPr>
                <w:noProof/>
                <w:webHidden/>
                <w:sz w:val="24"/>
                <w:szCs w:val="24"/>
              </w:rPr>
            </w:r>
            <w:r w:rsidR="000F1CE9" w:rsidRPr="000F1CE9">
              <w:rPr>
                <w:noProof/>
                <w:webHidden/>
                <w:sz w:val="24"/>
                <w:szCs w:val="24"/>
              </w:rPr>
              <w:fldChar w:fldCharType="separate"/>
            </w:r>
            <w:r w:rsidR="000F1CE9" w:rsidRPr="000F1CE9">
              <w:rPr>
                <w:noProof/>
                <w:webHidden/>
                <w:sz w:val="24"/>
                <w:szCs w:val="24"/>
              </w:rPr>
              <w:t>4</w:t>
            </w:r>
            <w:r w:rsidR="000F1CE9" w:rsidRPr="000F1CE9">
              <w:rPr>
                <w:noProof/>
                <w:webHidden/>
                <w:sz w:val="24"/>
                <w:szCs w:val="24"/>
              </w:rPr>
              <w:fldChar w:fldCharType="end"/>
            </w:r>
          </w:hyperlink>
        </w:p>
        <w:p w14:paraId="68191255" w14:textId="312E4311" w:rsidR="000F1CE9" w:rsidRPr="000F1CE9" w:rsidRDefault="00CC0847" w:rsidP="0087752A">
          <w:pPr>
            <w:pStyle w:val="TOC2"/>
            <w:tabs>
              <w:tab w:val="right" w:leader="dot" w:pos="9016"/>
            </w:tabs>
            <w:spacing w:line="480" w:lineRule="auto"/>
            <w:ind w:left="0"/>
            <w:rPr>
              <w:noProof/>
              <w:sz w:val="24"/>
              <w:szCs w:val="24"/>
            </w:rPr>
          </w:pPr>
          <w:hyperlink w:anchor="_Toc133437914" w:history="1">
            <w:r w:rsidR="000F1CE9" w:rsidRPr="000F1CE9">
              <w:rPr>
                <w:rStyle w:val="Hyperlink"/>
                <w:rFonts w:ascii="Times New Roman" w:hAnsi="Times New Roman" w:cs="Times New Roman"/>
                <w:noProof/>
                <w:sz w:val="24"/>
                <w:szCs w:val="24"/>
              </w:rPr>
              <w:t>Key Elements of a Leadership Strategy</w:t>
            </w:r>
            <w:r w:rsidR="000F1CE9" w:rsidRPr="000F1CE9">
              <w:rPr>
                <w:noProof/>
                <w:webHidden/>
                <w:sz w:val="24"/>
                <w:szCs w:val="24"/>
              </w:rPr>
              <w:tab/>
            </w:r>
            <w:r w:rsidR="000F1CE9" w:rsidRPr="000F1CE9">
              <w:rPr>
                <w:noProof/>
                <w:webHidden/>
                <w:sz w:val="24"/>
                <w:szCs w:val="24"/>
              </w:rPr>
              <w:fldChar w:fldCharType="begin"/>
            </w:r>
            <w:r w:rsidR="000F1CE9" w:rsidRPr="000F1CE9">
              <w:rPr>
                <w:noProof/>
                <w:webHidden/>
                <w:sz w:val="24"/>
                <w:szCs w:val="24"/>
              </w:rPr>
              <w:instrText xml:space="preserve"> PAGEREF _Toc133437914 \h </w:instrText>
            </w:r>
            <w:r w:rsidR="000F1CE9" w:rsidRPr="000F1CE9">
              <w:rPr>
                <w:noProof/>
                <w:webHidden/>
                <w:sz w:val="24"/>
                <w:szCs w:val="24"/>
              </w:rPr>
            </w:r>
            <w:r w:rsidR="000F1CE9" w:rsidRPr="000F1CE9">
              <w:rPr>
                <w:noProof/>
                <w:webHidden/>
                <w:sz w:val="24"/>
                <w:szCs w:val="24"/>
              </w:rPr>
              <w:fldChar w:fldCharType="separate"/>
            </w:r>
            <w:r w:rsidR="000F1CE9" w:rsidRPr="000F1CE9">
              <w:rPr>
                <w:noProof/>
                <w:webHidden/>
                <w:sz w:val="24"/>
                <w:szCs w:val="24"/>
              </w:rPr>
              <w:t>5</w:t>
            </w:r>
            <w:r w:rsidR="000F1CE9" w:rsidRPr="000F1CE9">
              <w:rPr>
                <w:noProof/>
                <w:webHidden/>
                <w:sz w:val="24"/>
                <w:szCs w:val="24"/>
              </w:rPr>
              <w:fldChar w:fldCharType="end"/>
            </w:r>
          </w:hyperlink>
        </w:p>
        <w:p w14:paraId="24E12D75" w14:textId="5C1CC17A" w:rsidR="000F1CE9" w:rsidRPr="000F1CE9" w:rsidRDefault="00CC0847" w:rsidP="0087752A">
          <w:pPr>
            <w:pStyle w:val="TOC1"/>
            <w:tabs>
              <w:tab w:val="right" w:leader="dot" w:pos="9016"/>
            </w:tabs>
            <w:spacing w:line="480" w:lineRule="auto"/>
            <w:rPr>
              <w:rFonts w:eastAsiaTheme="minorEastAsia"/>
              <w:noProof/>
              <w:sz w:val="24"/>
              <w:szCs w:val="24"/>
              <w:lang w:val="en-US"/>
            </w:rPr>
          </w:pPr>
          <w:hyperlink w:anchor="_Toc133437915" w:history="1">
            <w:r w:rsidR="000F1CE9" w:rsidRPr="000F1CE9">
              <w:rPr>
                <w:rStyle w:val="Hyperlink"/>
                <w:rFonts w:ascii="Times New Roman" w:hAnsi="Times New Roman" w:cs="Times New Roman"/>
                <w:noProof/>
                <w:sz w:val="24"/>
                <w:szCs w:val="24"/>
              </w:rPr>
              <w:t>Recommendations</w:t>
            </w:r>
            <w:r w:rsidR="000F1CE9" w:rsidRPr="000F1CE9">
              <w:rPr>
                <w:noProof/>
                <w:webHidden/>
                <w:sz w:val="24"/>
                <w:szCs w:val="24"/>
              </w:rPr>
              <w:tab/>
            </w:r>
            <w:r w:rsidR="000F1CE9" w:rsidRPr="000F1CE9">
              <w:rPr>
                <w:noProof/>
                <w:webHidden/>
                <w:sz w:val="24"/>
                <w:szCs w:val="24"/>
              </w:rPr>
              <w:fldChar w:fldCharType="begin"/>
            </w:r>
            <w:r w:rsidR="000F1CE9" w:rsidRPr="000F1CE9">
              <w:rPr>
                <w:noProof/>
                <w:webHidden/>
                <w:sz w:val="24"/>
                <w:szCs w:val="24"/>
              </w:rPr>
              <w:instrText xml:space="preserve"> PAGEREF _Toc133437915 \h </w:instrText>
            </w:r>
            <w:r w:rsidR="000F1CE9" w:rsidRPr="000F1CE9">
              <w:rPr>
                <w:noProof/>
                <w:webHidden/>
                <w:sz w:val="24"/>
                <w:szCs w:val="24"/>
              </w:rPr>
            </w:r>
            <w:r w:rsidR="000F1CE9" w:rsidRPr="000F1CE9">
              <w:rPr>
                <w:noProof/>
                <w:webHidden/>
                <w:sz w:val="24"/>
                <w:szCs w:val="24"/>
              </w:rPr>
              <w:fldChar w:fldCharType="separate"/>
            </w:r>
            <w:r w:rsidR="000F1CE9" w:rsidRPr="000F1CE9">
              <w:rPr>
                <w:noProof/>
                <w:webHidden/>
                <w:sz w:val="24"/>
                <w:szCs w:val="24"/>
              </w:rPr>
              <w:t>10</w:t>
            </w:r>
            <w:r w:rsidR="000F1CE9" w:rsidRPr="000F1CE9">
              <w:rPr>
                <w:noProof/>
                <w:webHidden/>
                <w:sz w:val="24"/>
                <w:szCs w:val="24"/>
              </w:rPr>
              <w:fldChar w:fldCharType="end"/>
            </w:r>
          </w:hyperlink>
        </w:p>
        <w:p w14:paraId="6D99AE87" w14:textId="77F18043" w:rsidR="000F1CE9" w:rsidRPr="000F1CE9" w:rsidRDefault="00CC0847" w:rsidP="0087752A">
          <w:pPr>
            <w:pStyle w:val="TOC1"/>
            <w:tabs>
              <w:tab w:val="right" w:leader="dot" w:pos="9016"/>
            </w:tabs>
            <w:spacing w:line="480" w:lineRule="auto"/>
            <w:rPr>
              <w:rFonts w:eastAsiaTheme="minorEastAsia"/>
              <w:noProof/>
              <w:sz w:val="24"/>
              <w:szCs w:val="24"/>
              <w:lang w:val="en-US"/>
            </w:rPr>
          </w:pPr>
          <w:hyperlink w:anchor="_Toc133437916" w:history="1">
            <w:r w:rsidR="000F1CE9" w:rsidRPr="000F1CE9">
              <w:rPr>
                <w:rStyle w:val="Hyperlink"/>
                <w:rFonts w:ascii="Times New Roman" w:hAnsi="Times New Roman" w:cs="Times New Roman"/>
                <w:noProof/>
                <w:sz w:val="24"/>
                <w:szCs w:val="24"/>
              </w:rPr>
              <w:t>Conclusion</w:t>
            </w:r>
            <w:r w:rsidR="000F1CE9" w:rsidRPr="000F1CE9">
              <w:rPr>
                <w:noProof/>
                <w:webHidden/>
                <w:sz w:val="24"/>
                <w:szCs w:val="24"/>
              </w:rPr>
              <w:tab/>
            </w:r>
            <w:r w:rsidR="000F1CE9" w:rsidRPr="000F1CE9">
              <w:rPr>
                <w:noProof/>
                <w:webHidden/>
                <w:sz w:val="24"/>
                <w:szCs w:val="24"/>
              </w:rPr>
              <w:fldChar w:fldCharType="begin"/>
            </w:r>
            <w:r w:rsidR="000F1CE9" w:rsidRPr="000F1CE9">
              <w:rPr>
                <w:noProof/>
                <w:webHidden/>
                <w:sz w:val="24"/>
                <w:szCs w:val="24"/>
              </w:rPr>
              <w:instrText xml:space="preserve"> PAGEREF _Toc133437916 \h </w:instrText>
            </w:r>
            <w:r w:rsidR="000F1CE9" w:rsidRPr="000F1CE9">
              <w:rPr>
                <w:noProof/>
                <w:webHidden/>
                <w:sz w:val="24"/>
                <w:szCs w:val="24"/>
              </w:rPr>
            </w:r>
            <w:r w:rsidR="000F1CE9" w:rsidRPr="000F1CE9">
              <w:rPr>
                <w:noProof/>
                <w:webHidden/>
                <w:sz w:val="24"/>
                <w:szCs w:val="24"/>
              </w:rPr>
              <w:fldChar w:fldCharType="separate"/>
            </w:r>
            <w:r w:rsidR="000F1CE9" w:rsidRPr="000F1CE9">
              <w:rPr>
                <w:noProof/>
                <w:webHidden/>
                <w:sz w:val="24"/>
                <w:szCs w:val="24"/>
              </w:rPr>
              <w:t>13</w:t>
            </w:r>
            <w:r w:rsidR="000F1CE9" w:rsidRPr="000F1CE9">
              <w:rPr>
                <w:noProof/>
                <w:webHidden/>
                <w:sz w:val="24"/>
                <w:szCs w:val="24"/>
              </w:rPr>
              <w:fldChar w:fldCharType="end"/>
            </w:r>
          </w:hyperlink>
        </w:p>
        <w:p w14:paraId="3BC966C2" w14:textId="6F97F1E4" w:rsidR="000F1CE9" w:rsidRPr="000F1CE9" w:rsidRDefault="00CC0847" w:rsidP="0087752A">
          <w:pPr>
            <w:pStyle w:val="TOC1"/>
            <w:tabs>
              <w:tab w:val="right" w:leader="dot" w:pos="9016"/>
            </w:tabs>
            <w:spacing w:line="480" w:lineRule="auto"/>
            <w:rPr>
              <w:rFonts w:eastAsiaTheme="minorEastAsia"/>
              <w:noProof/>
              <w:sz w:val="24"/>
              <w:szCs w:val="24"/>
              <w:lang w:val="en-US"/>
            </w:rPr>
          </w:pPr>
          <w:hyperlink w:anchor="_Toc133437917" w:history="1">
            <w:r w:rsidR="000F1CE9" w:rsidRPr="000F1CE9">
              <w:rPr>
                <w:rStyle w:val="Hyperlink"/>
                <w:rFonts w:ascii="Times New Roman" w:hAnsi="Times New Roman" w:cs="Times New Roman"/>
                <w:noProof/>
                <w:sz w:val="24"/>
                <w:szCs w:val="24"/>
              </w:rPr>
              <w:t>References</w:t>
            </w:r>
            <w:r w:rsidR="000F1CE9" w:rsidRPr="000F1CE9">
              <w:rPr>
                <w:noProof/>
                <w:webHidden/>
                <w:sz w:val="24"/>
                <w:szCs w:val="24"/>
              </w:rPr>
              <w:tab/>
            </w:r>
            <w:r w:rsidR="000F1CE9" w:rsidRPr="000F1CE9">
              <w:rPr>
                <w:noProof/>
                <w:webHidden/>
                <w:sz w:val="24"/>
                <w:szCs w:val="24"/>
              </w:rPr>
              <w:fldChar w:fldCharType="begin"/>
            </w:r>
            <w:r w:rsidR="000F1CE9" w:rsidRPr="000F1CE9">
              <w:rPr>
                <w:noProof/>
                <w:webHidden/>
                <w:sz w:val="24"/>
                <w:szCs w:val="24"/>
              </w:rPr>
              <w:instrText xml:space="preserve"> PAGEREF _Toc133437917 \h </w:instrText>
            </w:r>
            <w:r w:rsidR="000F1CE9" w:rsidRPr="000F1CE9">
              <w:rPr>
                <w:noProof/>
                <w:webHidden/>
                <w:sz w:val="24"/>
                <w:szCs w:val="24"/>
              </w:rPr>
            </w:r>
            <w:r w:rsidR="000F1CE9" w:rsidRPr="000F1CE9">
              <w:rPr>
                <w:noProof/>
                <w:webHidden/>
                <w:sz w:val="24"/>
                <w:szCs w:val="24"/>
              </w:rPr>
              <w:fldChar w:fldCharType="separate"/>
            </w:r>
            <w:r w:rsidR="000F1CE9" w:rsidRPr="000F1CE9">
              <w:rPr>
                <w:noProof/>
                <w:webHidden/>
                <w:sz w:val="24"/>
                <w:szCs w:val="24"/>
              </w:rPr>
              <w:t>15</w:t>
            </w:r>
            <w:r w:rsidR="000F1CE9" w:rsidRPr="000F1CE9">
              <w:rPr>
                <w:noProof/>
                <w:webHidden/>
                <w:sz w:val="24"/>
                <w:szCs w:val="24"/>
              </w:rPr>
              <w:fldChar w:fldCharType="end"/>
            </w:r>
          </w:hyperlink>
        </w:p>
        <w:p w14:paraId="091DC4C0" w14:textId="3877E1BD" w:rsidR="00347517" w:rsidRDefault="00347517" w:rsidP="0087752A">
          <w:pPr>
            <w:spacing w:line="480" w:lineRule="auto"/>
          </w:pPr>
          <w:r w:rsidRPr="001247BC">
            <w:rPr>
              <w:rFonts w:ascii="Times New Roman" w:hAnsi="Times New Roman" w:cs="Times New Roman"/>
              <w:noProof/>
              <w:sz w:val="24"/>
              <w:szCs w:val="24"/>
            </w:rPr>
            <w:fldChar w:fldCharType="end"/>
          </w:r>
        </w:p>
      </w:sdtContent>
    </w:sdt>
    <w:p w14:paraId="17F98CBA" w14:textId="73F45058" w:rsidR="001E18EE" w:rsidRDefault="001E18EE" w:rsidP="45C090F3">
      <w:pPr>
        <w:rPr>
          <w:color w:val="000000" w:themeColor="text1"/>
          <w:sz w:val="28"/>
          <w:szCs w:val="28"/>
          <w:lang w:val="en-US"/>
        </w:rPr>
      </w:pPr>
    </w:p>
    <w:p w14:paraId="5E9C1DFD" w14:textId="263760D5" w:rsidR="001E18EE" w:rsidRDefault="001E18EE">
      <w:pPr>
        <w:rPr>
          <w:color w:val="000000" w:themeColor="text1"/>
          <w:sz w:val="28"/>
          <w:szCs w:val="28"/>
          <w:lang w:val="en-US"/>
        </w:rPr>
      </w:pPr>
      <w:r>
        <w:rPr>
          <w:color w:val="000000" w:themeColor="text1"/>
          <w:sz w:val="28"/>
          <w:szCs w:val="28"/>
          <w:lang w:val="en-US"/>
        </w:rPr>
        <w:br w:type="page"/>
      </w:r>
    </w:p>
    <w:p w14:paraId="08EFAC30" w14:textId="5D20EAEA" w:rsidR="001E18EE" w:rsidRPr="00347517" w:rsidRDefault="001E18EE" w:rsidP="00AB02BB">
      <w:pPr>
        <w:spacing w:line="480" w:lineRule="auto"/>
        <w:jc w:val="both"/>
        <w:rPr>
          <w:rFonts w:ascii="Times New Roman" w:hAnsi="Times New Roman" w:cs="Times New Roman"/>
          <w:b/>
          <w:bCs/>
          <w:sz w:val="28"/>
          <w:szCs w:val="28"/>
        </w:rPr>
      </w:pPr>
      <w:bookmarkStart w:id="3" w:name="_Toc133437912"/>
      <w:r w:rsidRPr="00347517">
        <w:rPr>
          <w:rStyle w:val="Heading1Char"/>
          <w:rFonts w:ascii="Times New Roman" w:hAnsi="Times New Roman" w:cs="Times New Roman"/>
          <w:b/>
          <w:bCs/>
          <w:color w:val="auto"/>
          <w:sz w:val="28"/>
          <w:szCs w:val="28"/>
        </w:rPr>
        <w:lastRenderedPageBreak/>
        <w:t>Introduction</w:t>
      </w:r>
      <w:bookmarkEnd w:id="3"/>
      <w:r w:rsidRPr="00347517">
        <w:rPr>
          <w:rFonts w:ascii="Times New Roman" w:hAnsi="Times New Roman" w:cs="Times New Roman"/>
          <w:b/>
          <w:bCs/>
          <w:sz w:val="28"/>
          <w:szCs w:val="28"/>
        </w:rPr>
        <w:t xml:space="preserve"> </w:t>
      </w:r>
    </w:p>
    <w:p w14:paraId="767FA035" w14:textId="19F77A6D" w:rsidR="00CA4304" w:rsidRPr="00CA4304" w:rsidRDefault="00CA4304" w:rsidP="00AB02BB">
      <w:pPr>
        <w:spacing w:line="480" w:lineRule="auto"/>
        <w:ind w:firstLine="720"/>
        <w:jc w:val="both"/>
        <w:rPr>
          <w:rFonts w:ascii="Times New Roman" w:hAnsi="Times New Roman" w:cs="Times New Roman"/>
          <w:sz w:val="24"/>
          <w:szCs w:val="24"/>
        </w:rPr>
      </w:pPr>
      <w:r w:rsidRPr="00CA4304">
        <w:rPr>
          <w:rFonts w:ascii="Times New Roman" w:hAnsi="Times New Roman" w:cs="Times New Roman"/>
          <w:sz w:val="24"/>
          <w:szCs w:val="24"/>
        </w:rPr>
        <w:t>Innovation is a key part of growth of companies, especially in the fast-changing business world of today. Companies that can foster an environment supportive to innovation are more likely to achieve long-term success and stay ahead of their competitors. The Pembrokeshire Beach Food Company understands the value of innovation in accomplishing its business goals and has committed to cultivating an innovative culture throughout the organisation. The Pembrokeshire Beach Food Company is a family-run business in Wales, specialising in handmade, ecological, and ethical seaweed products</w:t>
      </w:r>
      <w:r w:rsidR="004C2072">
        <w:rPr>
          <w:rFonts w:ascii="Times New Roman" w:hAnsi="Times New Roman" w:cs="Times New Roman"/>
          <w:sz w:val="24"/>
          <w:szCs w:val="24"/>
        </w:rPr>
        <w:t xml:space="preserve"> </w:t>
      </w:r>
      <w:r w:rsidR="004C2072" w:rsidRPr="004C2072">
        <w:rPr>
          <w:rFonts w:ascii="Times New Roman" w:hAnsi="Times New Roman" w:cs="Times New Roman"/>
          <w:sz w:val="24"/>
          <w:szCs w:val="24"/>
        </w:rPr>
        <w:t>(The Pembrokeshire Beach Food Company - Seaweed &amp; Laverbread)</w:t>
      </w:r>
      <w:r w:rsidRPr="00CA4304">
        <w:rPr>
          <w:rFonts w:ascii="Times New Roman" w:hAnsi="Times New Roman" w:cs="Times New Roman"/>
          <w:sz w:val="24"/>
          <w:szCs w:val="24"/>
        </w:rPr>
        <w:t>. The objective of the company is to create high-quality, creative seaweed products that promote health and sustainability while safeguarding the environment. Individuals, restaurants, and hotels in the nearby area and beyond are among the company's clientele.</w:t>
      </w:r>
    </w:p>
    <w:p w14:paraId="2F9CA07C" w14:textId="64792CF3" w:rsidR="001E18EE" w:rsidRPr="00347517" w:rsidRDefault="00CA4304" w:rsidP="00AB02BB">
      <w:pPr>
        <w:spacing w:line="480" w:lineRule="auto"/>
        <w:ind w:firstLine="720"/>
        <w:jc w:val="both"/>
        <w:rPr>
          <w:rFonts w:ascii="Times New Roman" w:hAnsi="Times New Roman" w:cs="Times New Roman"/>
          <w:sz w:val="24"/>
          <w:szCs w:val="24"/>
        </w:rPr>
      </w:pPr>
      <w:r w:rsidRPr="00CA4304">
        <w:rPr>
          <w:rFonts w:ascii="Times New Roman" w:hAnsi="Times New Roman" w:cs="Times New Roman"/>
          <w:sz w:val="24"/>
          <w:szCs w:val="24"/>
        </w:rPr>
        <w:t>The Pembrokeshire Beach Food Company operates in a very competitive business environment, with many other small and major firms offering similar products and services. The company must set itself apart from its competition by offering high-quality items and exceptional customer service</w:t>
      </w:r>
      <w:r w:rsidR="004C2072">
        <w:rPr>
          <w:rFonts w:ascii="Times New Roman" w:hAnsi="Times New Roman" w:cs="Times New Roman"/>
          <w:sz w:val="24"/>
          <w:szCs w:val="24"/>
        </w:rPr>
        <w:t xml:space="preserve"> </w:t>
      </w:r>
      <w:r w:rsidR="004C2072" w:rsidRPr="004C2072">
        <w:rPr>
          <w:rFonts w:ascii="Times New Roman" w:hAnsi="Times New Roman" w:cs="Times New Roman"/>
          <w:sz w:val="24"/>
          <w:szCs w:val="24"/>
        </w:rPr>
        <w:t>(Rees, 2019)</w:t>
      </w:r>
      <w:r w:rsidR="0087752A">
        <w:rPr>
          <w:rFonts w:ascii="Times New Roman" w:hAnsi="Times New Roman" w:cs="Times New Roman"/>
          <w:sz w:val="24"/>
          <w:szCs w:val="24"/>
        </w:rPr>
        <w:t xml:space="preserve">. </w:t>
      </w:r>
      <w:r w:rsidRPr="00CA4304">
        <w:rPr>
          <w:rFonts w:ascii="Times New Roman" w:hAnsi="Times New Roman" w:cs="Times New Roman"/>
          <w:sz w:val="24"/>
          <w:szCs w:val="24"/>
        </w:rPr>
        <w:t>Furthermore, the corporation operates in an increasingly varied and multicultural society, with consumers and workers representing a wide range of cultural origins, nationalities, and religions. As a result, it is critical that the organisation foster an inclusive workplace culture that values innovation</w:t>
      </w:r>
      <w:r w:rsidR="00601139" w:rsidRPr="00601139">
        <w:rPr>
          <w:rFonts w:ascii="Times New Roman" w:hAnsi="Times New Roman" w:cs="Times New Roman"/>
          <w:sz w:val="24"/>
          <w:szCs w:val="24"/>
        </w:rPr>
        <w:t>.</w:t>
      </w:r>
    </w:p>
    <w:p w14:paraId="7F39237C" w14:textId="7E2DE456" w:rsidR="001E18EE" w:rsidRPr="00347517" w:rsidRDefault="00601139" w:rsidP="00AB02BB">
      <w:pPr>
        <w:spacing w:line="480" w:lineRule="auto"/>
        <w:jc w:val="both"/>
        <w:rPr>
          <w:rStyle w:val="Heading1Char"/>
          <w:rFonts w:ascii="Times New Roman" w:hAnsi="Times New Roman" w:cs="Times New Roman"/>
          <w:b/>
          <w:bCs/>
          <w:color w:val="auto"/>
          <w:sz w:val="28"/>
          <w:szCs w:val="28"/>
        </w:rPr>
      </w:pPr>
      <w:bookmarkStart w:id="4" w:name="_Toc133437913"/>
      <w:r>
        <w:rPr>
          <w:rStyle w:val="Heading1Char"/>
          <w:rFonts w:ascii="Times New Roman" w:hAnsi="Times New Roman" w:cs="Times New Roman"/>
          <w:b/>
          <w:bCs/>
          <w:color w:val="auto"/>
          <w:sz w:val="28"/>
          <w:szCs w:val="28"/>
        </w:rPr>
        <w:t>Analysis</w:t>
      </w:r>
      <w:bookmarkEnd w:id="4"/>
      <w:r w:rsidR="001E18EE" w:rsidRPr="00347517">
        <w:rPr>
          <w:rStyle w:val="Heading1Char"/>
          <w:rFonts w:ascii="Times New Roman" w:hAnsi="Times New Roman" w:cs="Times New Roman"/>
          <w:b/>
          <w:bCs/>
          <w:color w:val="auto"/>
          <w:sz w:val="28"/>
          <w:szCs w:val="28"/>
        </w:rPr>
        <w:t xml:space="preserve"> </w:t>
      </w:r>
    </w:p>
    <w:p w14:paraId="5F2DC1DD" w14:textId="17BE6343" w:rsidR="00C13F96" w:rsidRDefault="00F73371" w:rsidP="00AB02BB">
      <w:pPr>
        <w:spacing w:line="480" w:lineRule="auto"/>
        <w:ind w:firstLine="720"/>
        <w:jc w:val="both"/>
        <w:rPr>
          <w:rFonts w:ascii="Times New Roman" w:hAnsi="Times New Roman" w:cs="Times New Roman"/>
          <w:sz w:val="24"/>
          <w:szCs w:val="24"/>
        </w:rPr>
      </w:pPr>
      <w:r w:rsidRPr="00F73371">
        <w:rPr>
          <w:rFonts w:ascii="Times New Roman" w:hAnsi="Times New Roman" w:cs="Times New Roman"/>
          <w:sz w:val="24"/>
          <w:szCs w:val="24"/>
        </w:rPr>
        <w:t>The Pembrokeshire Beach Food Company is well-known for its high-quality and unique seaweed products. However, the corporation acknowledges that there is space for growth in terms of developing a mindset of innovation throughout the organisation</w:t>
      </w:r>
      <w:r w:rsidR="00C13F96">
        <w:rPr>
          <w:rFonts w:ascii="Times New Roman" w:hAnsi="Times New Roman" w:cs="Times New Roman"/>
          <w:sz w:val="24"/>
          <w:szCs w:val="24"/>
        </w:rPr>
        <w:t xml:space="preserve"> </w:t>
      </w:r>
      <w:r w:rsidR="00C13F96" w:rsidRPr="00C13F96">
        <w:rPr>
          <w:rFonts w:ascii="Times New Roman" w:hAnsi="Times New Roman" w:cs="Times New Roman"/>
          <w:sz w:val="24"/>
          <w:szCs w:val="24"/>
        </w:rPr>
        <w:t>(Kahn, 2018)</w:t>
      </w:r>
      <w:r w:rsidRPr="00F73371">
        <w:rPr>
          <w:rFonts w:ascii="Times New Roman" w:hAnsi="Times New Roman" w:cs="Times New Roman"/>
          <w:sz w:val="24"/>
          <w:szCs w:val="24"/>
        </w:rPr>
        <w:t xml:space="preserve">. Currently, the founder and a small group of employees drive innovation, and there is a </w:t>
      </w:r>
      <w:r w:rsidRPr="00F73371">
        <w:rPr>
          <w:rFonts w:ascii="Times New Roman" w:hAnsi="Times New Roman" w:cs="Times New Roman"/>
          <w:sz w:val="24"/>
          <w:szCs w:val="24"/>
        </w:rPr>
        <w:lastRenderedPageBreak/>
        <w:t>lack of systematic processes and frameworks for producing and implementing new ideas. Furthermore, improved communication and collaboration throughout departments and teams are required to guarantee that everyone has a voice in the innovation process.</w:t>
      </w:r>
      <w:r w:rsidR="00C13F96" w:rsidRPr="00C13F96">
        <w:t xml:space="preserve"> </w:t>
      </w:r>
      <w:r w:rsidR="00C13F96" w:rsidRPr="00C13F96">
        <w:rPr>
          <w:rFonts w:ascii="Times New Roman" w:hAnsi="Times New Roman" w:cs="Times New Roman"/>
          <w:sz w:val="24"/>
          <w:szCs w:val="24"/>
        </w:rPr>
        <w:t>The growth of Pembrokeshire Beach Food Company's innovative spirit is crucial to the company's future</w:t>
      </w:r>
      <w:r w:rsidR="00C13F96">
        <w:rPr>
          <w:rFonts w:ascii="Times New Roman" w:hAnsi="Times New Roman" w:cs="Times New Roman"/>
          <w:sz w:val="24"/>
          <w:szCs w:val="24"/>
        </w:rPr>
        <w:t xml:space="preserve"> </w:t>
      </w:r>
      <w:r w:rsidR="00C13F96" w:rsidRPr="00C13F96">
        <w:rPr>
          <w:rFonts w:ascii="Times New Roman" w:hAnsi="Times New Roman" w:cs="Times New Roman"/>
          <w:sz w:val="24"/>
          <w:szCs w:val="24"/>
        </w:rPr>
        <w:t>(Pijl, Lokitz and Solomon, 2016). The Contingency Theory proposes that management strategies should vary depending on the context. To stay ahead of the curve in the face of intense competition and constant change, Pembrokeshire Beach Food Company will have to encourage an inventive culture</w:t>
      </w:r>
      <w:r w:rsidR="00C13F96">
        <w:rPr>
          <w:rFonts w:ascii="Times New Roman" w:hAnsi="Times New Roman" w:cs="Times New Roman"/>
          <w:sz w:val="24"/>
          <w:szCs w:val="24"/>
        </w:rPr>
        <w:t xml:space="preserve"> </w:t>
      </w:r>
      <w:r w:rsidR="00C13F96" w:rsidRPr="00C13F96">
        <w:rPr>
          <w:rFonts w:ascii="Times New Roman" w:hAnsi="Times New Roman" w:cs="Times New Roman"/>
          <w:sz w:val="24"/>
          <w:szCs w:val="24"/>
        </w:rPr>
        <w:t>(Araral, 2020). Similarly, the Innovation Theory highlights the value of innovation as a strategic advantage. Pembrokeshire Beach Food Company could set itself apart from rivals and provide superior products to clients by cultivating an innovative culture</w:t>
      </w:r>
      <w:r w:rsidR="00C13F96">
        <w:rPr>
          <w:rFonts w:ascii="Times New Roman" w:hAnsi="Times New Roman" w:cs="Times New Roman"/>
          <w:sz w:val="24"/>
          <w:szCs w:val="24"/>
        </w:rPr>
        <w:t xml:space="preserve"> </w:t>
      </w:r>
      <w:r w:rsidR="00C13F96" w:rsidRPr="00C13F96">
        <w:rPr>
          <w:rFonts w:ascii="Times New Roman" w:hAnsi="Times New Roman" w:cs="Times New Roman"/>
          <w:sz w:val="24"/>
          <w:szCs w:val="24"/>
        </w:rPr>
        <w:t>(Acton and Clohessy, 2019). In addition, according to the Resource-Based View Theory, an organization's human resources are among its most valuable assets</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(Barney, Ketchen and Wright, 2021)</w:t>
      </w:r>
      <w:r w:rsidR="00C13F96" w:rsidRPr="00C13F96">
        <w:rPr>
          <w:rFonts w:ascii="Times New Roman" w:hAnsi="Times New Roman" w:cs="Times New Roman"/>
          <w:sz w:val="24"/>
          <w:szCs w:val="24"/>
        </w:rPr>
        <w:t>. Pembrokeshire Beach Food Company can attract and retain top-tier workers who can aid in the company's quest to innovate by fostering an environment that encourages original thought and encourages risk-taking. Finally, social learning theory posits that individuals pick up new skills by watching and then mimicking the actions of those around them</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(Rumjaun and Narod, 2020)</w:t>
      </w:r>
      <w:r w:rsidR="00C13F96" w:rsidRPr="00C13F96">
        <w:rPr>
          <w:rFonts w:ascii="Times New Roman" w:hAnsi="Times New Roman" w:cs="Times New Roman"/>
          <w:sz w:val="24"/>
          <w:szCs w:val="24"/>
        </w:rPr>
        <w:t xml:space="preserve">. </w:t>
      </w:r>
    </w:p>
    <w:p w14:paraId="080587FB" w14:textId="7DF2B3EA" w:rsidR="00283E32" w:rsidRPr="00283E32" w:rsidRDefault="00F73371" w:rsidP="00AB02BB">
      <w:pPr>
        <w:spacing w:line="480" w:lineRule="auto"/>
        <w:ind w:firstLine="720"/>
        <w:jc w:val="both"/>
        <w:rPr>
          <w:rFonts w:ascii="Times New Roman" w:hAnsi="Times New Roman" w:cs="Times New Roman"/>
          <w:sz w:val="24"/>
          <w:szCs w:val="24"/>
        </w:rPr>
      </w:pPr>
      <w:r w:rsidRPr="00F73371">
        <w:rPr>
          <w:rFonts w:ascii="Times New Roman" w:hAnsi="Times New Roman" w:cs="Times New Roman"/>
          <w:sz w:val="24"/>
          <w:szCs w:val="24"/>
        </w:rPr>
        <w:t>To foster an environment conducive to innovation, the Pembrokeshire Beach Food Company must overcome various problems and seize significant opportunities. One of the most difficult difficulties is to foster a culture of experimentation and risk-taking. The organisation must foster an environment in which people feel safe taking chances and experimenting with new ideas, even if they are not guaranteed to succeed</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(Ringberg, Reihlen and Rydén, 2019)</w:t>
      </w:r>
      <w:r w:rsidRPr="00F73371">
        <w:rPr>
          <w:rFonts w:ascii="Times New Roman" w:hAnsi="Times New Roman" w:cs="Times New Roman"/>
          <w:sz w:val="24"/>
          <w:szCs w:val="24"/>
        </w:rPr>
        <w:t>. This necessitates a shift in mindset away from a focus on short-term results and towards a long-term perspective of innovation as a crucial factor in the company's success.</w:t>
      </w:r>
      <w:r w:rsidR="00C13F96">
        <w:rPr>
          <w:rFonts w:ascii="Times New Roman" w:hAnsi="Times New Roman" w:cs="Times New Roman"/>
          <w:sz w:val="24"/>
          <w:szCs w:val="24"/>
        </w:rPr>
        <w:t xml:space="preserve"> </w:t>
      </w:r>
      <w:r w:rsidRPr="00F73371">
        <w:rPr>
          <w:rFonts w:ascii="Times New Roman" w:hAnsi="Times New Roman" w:cs="Times New Roman"/>
          <w:sz w:val="24"/>
          <w:szCs w:val="24"/>
        </w:rPr>
        <w:t xml:space="preserve">Another significant difficulty is to encourage collaboration and knowledge exchange </w:t>
      </w:r>
      <w:r w:rsidRPr="00F73371">
        <w:rPr>
          <w:rFonts w:ascii="Times New Roman" w:hAnsi="Times New Roman" w:cs="Times New Roman"/>
          <w:sz w:val="24"/>
          <w:szCs w:val="24"/>
        </w:rPr>
        <w:lastRenderedPageBreak/>
        <w:t>among various departments and teams. This necessitates the dismantling of barriers and the creation of chances for employees to collaborate on projects while exchanging their knowledge and experience. The organisation must promote open communication and develop a culture of learning and ongoing growth</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(Rees, 2019</w:t>
      </w:r>
      <w:r w:rsidRPr="00F73371">
        <w:rPr>
          <w:rFonts w:ascii="Times New Roman" w:hAnsi="Times New Roman" w:cs="Times New Roman"/>
          <w:sz w:val="24"/>
          <w:szCs w:val="24"/>
        </w:rPr>
        <w:t>This necessitates the establishment of a supportive environment that encourages and rewards innovation and innovative thinking</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(Maziriri, Nyagadza and Chuchu, 2022)</w:t>
      </w:r>
      <w:r w:rsidRPr="00F73371">
        <w:rPr>
          <w:rFonts w:ascii="Times New Roman" w:hAnsi="Times New Roman" w:cs="Times New Roman"/>
          <w:sz w:val="24"/>
          <w:szCs w:val="24"/>
        </w:rPr>
        <w:t>. Finally, the organisation must see failure as a learning opportunity and foster a culture of learning from failures. This necessitates the establishment of a secure workplace in which employees can take chances and experiment with new ideas without fear of unwanted consequences.</w:t>
      </w:r>
    </w:p>
    <w:p w14:paraId="03596769" w14:textId="44B094D3" w:rsidR="00601139" w:rsidRDefault="00601139" w:rsidP="00AB02BB">
      <w:pPr>
        <w:pStyle w:val="Heading2"/>
        <w:spacing w:line="480" w:lineRule="auto"/>
        <w:rPr>
          <w:rFonts w:ascii="Times New Roman" w:hAnsi="Times New Roman" w:cs="Times New Roman"/>
          <w:b/>
          <w:bCs/>
          <w:color w:val="auto"/>
          <w:sz w:val="24"/>
          <w:szCs w:val="24"/>
        </w:rPr>
      </w:pPr>
      <w:bookmarkStart w:id="5" w:name="_Toc133437914"/>
      <w:r w:rsidRPr="00283E32">
        <w:rPr>
          <w:rFonts w:ascii="Times New Roman" w:hAnsi="Times New Roman" w:cs="Times New Roman"/>
          <w:b/>
          <w:bCs/>
          <w:color w:val="auto"/>
          <w:sz w:val="24"/>
          <w:szCs w:val="24"/>
        </w:rPr>
        <w:t>Key Elements of a Leadership Strategy</w:t>
      </w:r>
      <w:bookmarkEnd w:id="5"/>
    </w:p>
    <w:p w14:paraId="12158F7C" w14:textId="689D1620" w:rsidR="00AB02BB" w:rsidRPr="00AB02BB" w:rsidRDefault="00AB02BB" w:rsidP="00AB02BB">
      <w:r>
        <w:rPr>
          <w:noProof/>
          <w:lang w:val="en-IN" w:eastAsia="en-IN"/>
        </w:rPr>
        <w:drawing>
          <wp:inline distT="0" distB="0" distL="0" distR="0" wp14:anchorId="6D66BBBD" wp14:editId="7A2D18F6">
            <wp:extent cx="5911215" cy="4321249"/>
            <wp:effectExtent l="0" t="38100" r="0" b="41275"/>
            <wp:docPr id="10067097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2ED0926" w14:textId="77777777" w:rsidR="0087752A" w:rsidRDefault="0087752A" w:rsidP="00AB02BB">
      <w:pPr>
        <w:spacing w:line="480" w:lineRule="auto"/>
        <w:jc w:val="both"/>
        <w:rPr>
          <w:rFonts w:ascii="Times New Roman" w:hAnsi="Times New Roman" w:cs="Times New Roman"/>
          <w:b/>
          <w:bCs/>
          <w:sz w:val="24"/>
          <w:szCs w:val="24"/>
        </w:rPr>
      </w:pPr>
    </w:p>
    <w:p w14:paraId="3A84DB49" w14:textId="77777777" w:rsidR="0087752A" w:rsidRDefault="0087752A" w:rsidP="00AB02BB">
      <w:pPr>
        <w:spacing w:line="480" w:lineRule="auto"/>
        <w:jc w:val="both"/>
        <w:rPr>
          <w:rFonts w:ascii="Times New Roman" w:hAnsi="Times New Roman" w:cs="Times New Roman"/>
          <w:b/>
          <w:bCs/>
          <w:sz w:val="24"/>
          <w:szCs w:val="24"/>
        </w:rPr>
      </w:pPr>
    </w:p>
    <w:p w14:paraId="22EFC1EA" w14:textId="77777777" w:rsidR="00F15E77" w:rsidRPr="00F15E77" w:rsidRDefault="00F15E77" w:rsidP="00AB02BB">
      <w:pPr>
        <w:spacing w:line="480" w:lineRule="auto"/>
        <w:jc w:val="both"/>
        <w:rPr>
          <w:rFonts w:ascii="Times New Roman" w:hAnsi="Times New Roman" w:cs="Times New Roman"/>
          <w:b/>
          <w:bCs/>
          <w:sz w:val="24"/>
          <w:szCs w:val="24"/>
        </w:rPr>
      </w:pPr>
      <w:r w:rsidRPr="00F15E77">
        <w:rPr>
          <w:rFonts w:ascii="Times New Roman" w:hAnsi="Times New Roman" w:cs="Times New Roman"/>
          <w:b/>
          <w:bCs/>
          <w:sz w:val="24"/>
          <w:szCs w:val="24"/>
        </w:rPr>
        <w:lastRenderedPageBreak/>
        <w:t>I. Vision &amp; Mission Statement</w:t>
      </w:r>
    </w:p>
    <w:p w14:paraId="62EF0094" w14:textId="2238C546"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Leadership at Pembrokeshire Beach Food Company centres on fostering an environment conducive to innovation, and articulating the company's vision and mission is a crucial part of this process. The vision statement expresses the company's long-term goals and aspirations for the future</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(Taiwo, Akeem A, Lawal, Fatai Alani and Agwu, Prof Edwin, 2016)</w:t>
      </w:r>
      <w:r w:rsidRPr="00F15E77">
        <w:rPr>
          <w:rFonts w:ascii="Times New Roman" w:hAnsi="Times New Roman" w:cs="Times New Roman"/>
          <w:sz w:val="24"/>
          <w:szCs w:val="24"/>
        </w:rPr>
        <w:t>. The mission statement, on the other hand, describes the company's purpose, what it does, and how it runs. It serves as a basis for making choices and a map for the company's actions and strategies. For instance, the mission statement of the Pembrokeshire Beach Food Company could be "to produce top-notch environmentally friendly, and upright seaweed products that promote health and wellness, safeguard the ecosystem, and create value for our clients and stakeholders."</w:t>
      </w:r>
    </w:p>
    <w:p w14:paraId="05F60E0D" w14:textId="0DF52C53"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Creating an environment in which innovation can flourish requires a clear vision and mission statement that emphasises the value of innovation. The vision and mission statement should explain to all employees and stakeholders the company's dedication to innovation as well as how it corresponds with the company's broader aims and values</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(Calder, 2014)</w:t>
      </w:r>
      <w:r w:rsidRPr="00F15E77">
        <w:rPr>
          <w:rFonts w:ascii="Times New Roman" w:hAnsi="Times New Roman" w:cs="Times New Roman"/>
          <w:sz w:val="24"/>
          <w:szCs w:val="24"/>
        </w:rPr>
        <w:t>. This gives a sense of purpose and direction, as it contributes to the development of a culture that values and promotes creativity.</w:t>
      </w:r>
    </w:p>
    <w:p w14:paraId="4B85CBDC" w14:textId="77777777" w:rsidR="00F15E77" w:rsidRPr="00F15E77" w:rsidRDefault="00F15E77" w:rsidP="00AB02BB">
      <w:pPr>
        <w:spacing w:line="480" w:lineRule="auto"/>
        <w:jc w:val="both"/>
        <w:rPr>
          <w:rFonts w:ascii="Times New Roman" w:hAnsi="Times New Roman" w:cs="Times New Roman"/>
          <w:b/>
          <w:bCs/>
          <w:sz w:val="24"/>
          <w:szCs w:val="24"/>
        </w:rPr>
      </w:pPr>
      <w:r w:rsidRPr="00F15E77">
        <w:rPr>
          <w:rFonts w:ascii="Times New Roman" w:hAnsi="Times New Roman" w:cs="Times New Roman"/>
          <w:b/>
          <w:bCs/>
          <w:sz w:val="24"/>
          <w:szCs w:val="24"/>
        </w:rPr>
        <w:t>II. Promote Experimentation and Risk-Taking</w:t>
      </w:r>
    </w:p>
    <w:p w14:paraId="66EA872B" w14:textId="15DD4940"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Encouragement of experimentation and risk-taking is an important component of the Pembrokeshire Beach Food Company's leadership strategy for cultivating an environment receptive to innovation. To encourage experimentation and risk-taking, the organisation should foster a culture that encourages employees to try new ideas and techniques, even if they are unlikely to succeed</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(Chen et al., 2023)</w:t>
      </w:r>
      <w:r w:rsidRPr="00F15E77">
        <w:rPr>
          <w:rFonts w:ascii="Times New Roman" w:hAnsi="Times New Roman" w:cs="Times New Roman"/>
          <w:sz w:val="24"/>
          <w:szCs w:val="24"/>
        </w:rPr>
        <w:t xml:space="preserve">. This can be accomplished by giving employees with tools and time to explore new ideas and approaches, as well as by celebrating </w:t>
      </w:r>
      <w:r w:rsidRPr="00F15E77">
        <w:rPr>
          <w:rFonts w:ascii="Times New Roman" w:hAnsi="Times New Roman" w:cs="Times New Roman"/>
          <w:sz w:val="24"/>
          <w:szCs w:val="24"/>
        </w:rPr>
        <w:lastRenderedPageBreak/>
        <w:t>and rewarding successful experiments to inspire employees continue taking chances and trying new things. This can be accomplished by holding investigations or reviews following failed trials in order to identify lessons learned and opportunities for development</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(To et al., 2018)</w:t>
      </w:r>
      <w:r w:rsidRPr="00F15E77">
        <w:rPr>
          <w:rFonts w:ascii="Times New Roman" w:hAnsi="Times New Roman" w:cs="Times New Roman"/>
          <w:sz w:val="24"/>
          <w:szCs w:val="24"/>
        </w:rPr>
        <w:t>. Finally, the organisation should offer staff with the necessary tools and assistance to test new ideas and approaches. This can involve providing staff with access to technology and financing for innovation efforts to explore unique solutions to the problems being faced company.</w:t>
      </w:r>
    </w:p>
    <w:p w14:paraId="4E506B11" w14:textId="77777777" w:rsidR="00F15E77" w:rsidRPr="00F15E77" w:rsidRDefault="00F15E77" w:rsidP="00AB02BB">
      <w:pPr>
        <w:spacing w:line="480" w:lineRule="auto"/>
        <w:jc w:val="both"/>
        <w:rPr>
          <w:rFonts w:ascii="Times New Roman" w:hAnsi="Times New Roman" w:cs="Times New Roman"/>
          <w:b/>
          <w:bCs/>
          <w:sz w:val="24"/>
          <w:szCs w:val="24"/>
        </w:rPr>
      </w:pPr>
      <w:r w:rsidRPr="00F15E77">
        <w:rPr>
          <w:rFonts w:ascii="Times New Roman" w:hAnsi="Times New Roman" w:cs="Times New Roman"/>
          <w:b/>
          <w:bCs/>
          <w:sz w:val="24"/>
          <w:szCs w:val="24"/>
        </w:rPr>
        <w:t>III. Fostering Collaboration and Knowledge Exchange</w:t>
      </w:r>
    </w:p>
    <w:p w14:paraId="30A01FDC" w14:textId="654FEBE6" w:rsid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Promoting collaboration and knowledge sharing is a vital component of the Pembrokeshire Beach Food Company's leadership approach for cultivating an atmosphere favourable for innovation. To encourage collaboration and knowledge exchange, the company can form cross-functional teams that can bring personnel from several departments or divisions of the business together to collaborate on specific projects or objectives</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(Sitas et al., 2016)</w:t>
      </w:r>
      <w:r w:rsidRPr="00F15E77">
        <w:rPr>
          <w:rFonts w:ascii="Times New Roman" w:hAnsi="Times New Roman" w:cs="Times New Roman"/>
          <w:sz w:val="24"/>
          <w:szCs w:val="24"/>
        </w:rPr>
        <w:t>. Cross-functional teams can stimulate the sharing of knowledge to assist development of new solutions by elevating collaboration. This can be accomplished by conducting frequent meetings where staff can exchange information and ask questions. Furthermore, encouraging employees to think creatively by giving opportunities for idea sharing could potentially produce new ideas</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(van den Driessen Mareeuw et al., 2015)</w:t>
      </w:r>
      <w:r w:rsidRPr="00F15E77">
        <w:rPr>
          <w:rFonts w:ascii="Times New Roman" w:hAnsi="Times New Roman" w:cs="Times New Roman"/>
          <w:sz w:val="24"/>
          <w:szCs w:val="24"/>
        </w:rPr>
        <w:t xml:space="preserve">. This can be accomplished through brainstorming sessions or idea creation workshops. </w:t>
      </w:r>
    </w:p>
    <w:p w14:paraId="7E283AF9" w14:textId="2DCCE10D"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Furthermore, businesses can set up online platforms or forums where employees can express their ideas and receive feedback. Similarly, fostering teamwork and knowledge sharing requires a culture of constant learning. Administrators can promote continual learning by offering opportunities for training and development on the job as well as through external courses or seminars</w:t>
      </w:r>
      <w:r w:rsidR="00F646AB">
        <w:rPr>
          <w:rFonts w:ascii="Times New Roman" w:hAnsi="Times New Roman" w:cs="Times New Roman"/>
          <w:sz w:val="24"/>
          <w:szCs w:val="24"/>
        </w:rPr>
        <w:t xml:space="preserve"> </w:t>
      </w:r>
      <w:r w:rsidR="00F646AB" w:rsidRPr="00F646AB">
        <w:rPr>
          <w:rFonts w:ascii="Times New Roman" w:hAnsi="Times New Roman" w:cs="Times New Roman"/>
          <w:sz w:val="24"/>
          <w:szCs w:val="24"/>
        </w:rPr>
        <w:t>(Cabrera and Cabrera, 2005)</w:t>
      </w:r>
      <w:r w:rsidRPr="00F15E77">
        <w:rPr>
          <w:rFonts w:ascii="Times New Roman" w:hAnsi="Times New Roman" w:cs="Times New Roman"/>
          <w:sz w:val="24"/>
          <w:szCs w:val="24"/>
        </w:rPr>
        <w:t xml:space="preserve">. Managers can also foster a culture in which </w:t>
      </w:r>
      <w:r w:rsidRPr="00F15E77">
        <w:rPr>
          <w:rFonts w:ascii="Times New Roman" w:hAnsi="Times New Roman" w:cs="Times New Roman"/>
          <w:sz w:val="24"/>
          <w:szCs w:val="24"/>
        </w:rPr>
        <w:lastRenderedPageBreak/>
        <w:t xml:space="preserve">employees are encouraged to learn from their mistakes and share their knowledge with others. Finally, recognising and rewarding collaboration and information sharing can serve to reaffirm the relevance of these activities and encourage employees to share their expertise and ideas in the future. This can be accomplished by developing incentive or recognition programmes that acknowledge teamwork and knowledge sharing. </w:t>
      </w:r>
    </w:p>
    <w:p w14:paraId="686B4D74" w14:textId="77777777" w:rsidR="00F15E77" w:rsidRPr="00F15E77" w:rsidRDefault="00F15E77" w:rsidP="00AB02BB">
      <w:pPr>
        <w:spacing w:line="480" w:lineRule="auto"/>
        <w:jc w:val="both"/>
        <w:rPr>
          <w:rFonts w:ascii="Times New Roman" w:hAnsi="Times New Roman" w:cs="Times New Roman"/>
          <w:b/>
          <w:bCs/>
          <w:sz w:val="24"/>
          <w:szCs w:val="24"/>
        </w:rPr>
      </w:pPr>
      <w:r w:rsidRPr="00F15E77">
        <w:rPr>
          <w:rFonts w:ascii="Times New Roman" w:hAnsi="Times New Roman" w:cs="Times New Roman"/>
          <w:b/>
          <w:bCs/>
          <w:sz w:val="24"/>
          <w:szCs w:val="24"/>
        </w:rPr>
        <w:t>IV. Promoting and Rewarding Creativity</w:t>
      </w:r>
    </w:p>
    <w:p w14:paraId="778743AA" w14:textId="57995E15"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At the Pembrokeshire Beach Food Company, encouraging and rewarding creative thinking is a critical component of a leadership strategy for cultivating an atmosphere conducive to innovation. The Pembrokeshire Beach Food Company should design a procedure for choosing the most promising suggestions to encourage creative thinking among its employees</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(Yoon, Sung and Choi, 2015)</w:t>
      </w:r>
      <w:r w:rsidRPr="00F15E77">
        <w:rPr>
          <w:rFonts w:ascii="Times New Roman" w:hAnsi="Times New Roman" w:cs="Times New Roman"/>
          <w:sz w:val="24"/>
          <w:szCs w:val="24"/>
        </w:rPr>
        <w:t>. A team of specialists might evaluate each concept based on a set of criteria such as feasibility, market potential, and compatibility with the company's aims. Employees should be given the resources they need to develop creative ideas, such as financing, access to technology or equipment, and mentorship or assistance from subject matter experts.</w:t>
      </w:r>
    </w:p>
    <w:p w14:paraId="1B3BB983" w14:textId="4619B39E"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When staff successfully implement an original idea, the Pembrokeshire Beach Food Company should recognise and praise their efforts. Bonuses, promotions, or public acknowledgment could be given as rewards</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(Yoon et al., 2015)</w:t>
      </w:r>
      <w:r w:rsidRPr="00F15E77">
        <w:rPr>
          <w:rFonts w:ascii="Times New Roman" w:hAnsi="Times New Roman" w:cs="Times New Roman"/>
          <w:sz w:val="24"/>
          <w:szCs w:val="24"/>
        </w:rPr>
        <w:t xml:space="preserve">. The Pembrokeshire Beach Food Company could foster a culture that appreciates innovation by encouraging and acknowledging creative thinking. </w:t>
      </w:r>
    </w:p>
    <w:p w14:paraId="5D4887AB" w14:textId="77777777" w:rsidR="00F15E77" w:rsidRPr="00F15E77" w:rsidRDefault="00F15E77" w:rsidP="00AB02BB">
      <w:pPr>
        <w:spacing w:line="480" w:lineRule="auto"/>
        <w:jc w:val="both"/>
        <w:rPr>
          <w:rFonts w:ascii="Times New Roman" w:hAnsi="Times New Roman" w:cs="Times New Roman"/>
          <w:b/>
          <w:bCs/>
          <w:sz w:val="24"/>
          <w:szCs w:val="24"/>
        </w:rPr>
      </w:pPr>
      <w:r w:rsidRPr="00F15E77">
        <w:rPr>
          <w:rFonts w:ascii="Times New Roman" w:hAnsi="Times New Roman" w:cs="Times New Roman"/>
          <w:b/>
          <w:bCs/>
          <w:sz w:val="24"/>
          <w:szCs w:val="24"/>
        </w:rPr>
        <w:t>V. Accepting Failure as a Learning Experience</w:t>
      </w:r>
    </w:p>
    <w:p w14:paraId="428983FC" w14:textId="3016F2B5"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 xml:space="preserve">Accepting failure as a learning opportunity is critical to the Pembrokeshire Beach Food Company's success. To build an innovative culture, the organisation must create an environment that encourages experimentation and risk-taking. To accomplish this, the </w:t>
      </w:r>
      <w:r w:rsidRPr="00F15E77">
        <w:rPr>
          <w:rFonts w:ascii="Times New Roman" w:hAnsi="Times New Roman" w:cs="Times New Roman"/>
          <w:sz w:val="24"/>
          <w:szCs w:val="24"/>
        </w:rPr>
        <w:lastRenderedPageBreak/>
        <w:t>organisation should encourage people to take chances and attempt new ideas, even if they are unlikely to succeed</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(Zaharee et al., 2021)</w:t>
      </w:r>
      <w:r w:rsidRPr="00F15E77">
        <w:rPr>
          <w:rFonts w:ascii="Times New Roman" w:hAnsi="Times New Roman" w:cs="Times New Roman"/>
          <w:sz w:val="24"/>
          <w:szCs w:val="24"/>
        </w:rPr>
        <w:t>. In addition, the organisation should build a strategy for learning from failures, which includes analysing the causes of the failure, identifying what can be learnt from the failure, and adopting adjustments to avoid similar failures in the future. The organisation can promote innovation and achieve long-term success by fostering a safe and supportive environment that encourages experimentation and risk-taking</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(Ucbasaran et al., 2012)</w:t>
      </w:r>
      <w:r w:rsidRPr="00F15E77">
        <w:rPr>
          <w:rFonts w:ascii="Times New Roman" w:hAnsi="Times New Roman" w:cs="Times New Roman"/>
          <w:sz w:val="24"/>
          <w:szCs w:val="24"/>
        </w:rPr>
        <w:t>.</w:t>
      </w:r>
    </w:p>
    <w:p w14:paraId="309944B9" w14:textId="3DFBBAC3"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The company should also provide additional training, resources, and guidance to help employees learn from their mistakes and try again after a failed attempt</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(Zaharee et al., 2021)</w:t>
      </w:r>
      <w:r w:rsidRPr="00F15E77">
        <w:rPr>
          <w:rFonts w:ascii="Times New Roman" w:hAnsi="Times New Roman" w:cs="Times New Roman"/>
          <w:sz w:val="24"/>
          <w:szCs w:val="24"/>
        </w:rPr>
        <w:t>. By encouraging an open and honest culture in which employees are open to expressing their mistakes and shortcomings without fear of unforeseen repercussions the company can create an atmosphere of security and encouragement that fosters innovation and long-term success.</w:t>
      </w:r>
    </w:p>
    <w:p w14:paraId="02EE2F73" w14:textId="77777777" w:rsidR="00F15E77" w:rsidRPr="00F15E77" w:rsidRDefault="00F15E77" w:rsidP="00AB02BB">
      <w:pPr>
        <w:spacing w:line="480" w:lineRule="auto"/>
        <w:jc w:val="both"/>
        <w:rPr>
          <w:rFonts w:ascii="Times New Roman" w:hAnsi="Times New Roman" w:cs="Times New Roman"/>
          <w:b/>
          <w:bCs/>
          <w:sz w:val="24"/>
          <w:szCs w:val="24"/>
        </w:rPr>
      </w:pPr>
      <w:r w:rsidRPr="00F15E77">
        <w:rPr>
          <w:rFonts w:ascii="Times New Roman" w:hAnsi="Times New Roman" w:cs="Times New Roman"/>
          <w:b/>
          <w:bCs/>
          <w:sz w:val="24"/>
          <w:szCs w:val="24"/>
        </w:rPr>
        <w:t>VI. Providing Resources and Assistance</w:t>
      </w:r>
    </w:p>
    <w:p w14:paraId="069EF1C6" w14:textId="1C8CCBB7" w:rsidR="00F15E77" w:rsidRPr="00F15E77"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It is critical to provide resources and support in order to foster an environment suitable for innovation. Employees must have access to the resources and tools needed to originate and implement innovative ideas. This comprises resources such as money, time, technology, and equipment. Employees may not feel empowered to innovate if the appropriate resources and support are not available, and the organisation could lose a number of attainable chances to succeed</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(Lemmon et al., 2016)</w:t>
      </w:r>
      <w:r w:rsidRPr="00F15E77">
        <w:rPr>
          <w:rFonts w:ascii="Times New Roman" w:hAnsi="Times New Roman" w:cs="Times New Roman"/>
          <w:sz w:val="24"/>
          <w:szCs w:val="24"/>
        </w:rPr>
        <w:t xml:space="preserve">. Regardless of their function or department, the organisation should guarantee that all employees have access to the appropriate tools and technology to enable innovation. This could comprise different types of software, hardware, equipment, and even facilities. To foster innovation, the corporation should also form partnerships and collaborations with other organisations such as universities </w:t>
      </w:r>
      <w:r w:rsidRPr="00F15E77">
        <w:rPr>
          <w:rFonts w:ascii="Times New Roman" w:hAnsi="Times New Roman" w:cs="Times New Roman"/>
          <w:sz w:val="24"/>
          <w:szCs w:val="24"/>
        </w:rPr>
        <w:lastRenderedPageBreak/>
        <w:t>or research institutions to gain access to new technology</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(Acton and Clohessy, 2019)</w:t>
      </w:r>
      <w:r w:rsidRPr="00F15E77">
        <w:rPr>
          <w:rFonts w:ascii="Times New Roman" w:hAnsi="Times New Roman" w:cs="Times New Roman"/>
          <w:sz w:val="24"/>
          <w:szCs w:val="24"/>
        </w:rPr>
        <w:t>. The corporation might also form alliances with other food-related industries to share knowledge and expertise.</w:t>
      </w:r>
    </w:p>
    <w:p w14:paraId="1AADE5BE" w14:textId="77777777" w:rsidR="00F15E77" w:rsidRPr="00F15E77" w:rsidRDefault="00F15E77" w:rsidP="00AB02BB">
      <w:pPr>
        <w:spacing w:line="480" w:lineRule="auto"/>
        <w:jc w:val="both"/>
        <w:rPr>
          <w:rFonts w:ascii="Times New Roman" w:hAnsi="Times New Roman" w:cs="Times New Roman"/>
          <w:b/>
          <w:bCs/>
          <w:sz w:val="24"/>
          <w:szCs w:val="24"/>
        </w:rPr>
      </w:pPr>
      <w:r w:rsidRPr="00F15E77">
        <w:rPr>
          <w:rFonts w:ascii="Times New Roman" w:hAnsi="Times New Roman" w:cs="Times New Roman"/>
          <w:b/>
          <w:bCs/>
          <w:sz w:val="24"/>
          <w:szCs w:val="24"/>
        </w:rPr>
        <w:t>VII. Metrics and Evaluation</w:t>
      </w:r>
    </w:p>
    <w:p w14:paraId="42D13AC8" w14:textId="630C7ECD" w:rsidR="009B209B" w:rsidRPr="009B209B" w:rsidRDefault="00F15E77" w:rsidP="00AB02BB">
      <w:pPr>
        <w:spacing w:line="480" w:lineRule="auto"/>
        <w:ind w:firstLine="720"/>
        <w:jc w:val="both"/>
        <w:rPr>
          <w:rFonts w:ascii="Times New Roman" w:hAnsi="Times New Roman" w:cs="Times New Roman"/>
          <w:sz w:val="24"/>
          <w:szCs w:val="24"/>
        </w:rPr>
      </w:pPr>
      <w:r w:rsidRPr="00F15E77">
        <w:rPr>
          <w:rFonts w:ascii="Times New Roman" w:hAnsi="Times New Roman" w:cs="Times New Roman"/>
          <w:sz w:val="24"/>
          <w:szCs w:val="24"/>
        </w:rPr>
        <w:t>The final critical component of the leadership strategy is to set metrics and evaluation methods to measure the success of strategy. To begin, the organisation should keep track of how many employees participate in innovation programmes such as brainstorming sessions, idea generation activities, and cross-functional teams</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(Kavadias and Sommer, 2009)</w:t>
      </w:r>
      <w:r w:rsidRPr="00F15E77">
        <w:rPr>
          <w:rFonts w:ascii="Times New Roman" w:hAnsi="Times New Roman" w:cs="Times New Roman"/>
          <w:sz w:val="24"/>
          <w:szCs w:val="24"/>
        </w:rPr>
        <w:t>. This statistic will aid in assessing employee involvement in the innovation process and identifying areas for improvement. Similarly, companies must assess the efficacy of the innovation process by measuring the success rate of experiments and innovation projects</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(Thrusfield and Brown, 2018)</w:t>
      </w:r>
      <w:r w:rsidRPr="00F15E77">
        <w:rPr>
          <w:rFonts w:ascii="Times New Roman" w:hAnsi="Times New Roman" w:cs="Times New Roman"/>
          <w:sz w:val="24"/>
          <w:szCs w:val="24"/>
        </w:rPr>
        <w:t>. Financial outcomes, consumer satisfaction, and other related measures can be used to assess performance. Similarly, the organisation should solicit regular feedback from employees on their experiences with the innovation process. Surveys, focus groups, and one-on-one interviews can all be used to get this information</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(Kamberelis and Dimitriadis, 2013)</w:t>
      </w:r>
      <w:r w:rsidRPr="00F15E77">
        <w:rPr>
          <w:rFonts w:ascii="Times New Roman" w:hAnsi="Times New Roman" w:cs="Times New Roman"/>
          <w:sz w:val="24"/>
          <w:szCs w:val="24"/>
        </w:rPr>
        <w:t>. This information could be used to make changes to the innovation process and better serve the needs of employees. Furthermore, the corporation must conduct regular assessments of the influence of the innovation process on the organisation. This assessment could include an examination of financial performance, consumer contentment, and employee engagement</w:t>
      </w:r>
      <w:r w:rsidR="004527F3">
        <w:rPr>
          <w:rFonts w:ascii="Times New Roman" w:hAnsi="Times New Roman" w:cs="Times New Roman"/>
          <w:sz w:val="24"/>
          <w:szCs w:val="24"/>
        </w:rPr>
        <w:t xml:space="preserve"> </w:t>
      </w:r>
      <w:r w:rsidR="004527F3" w:rsidRPr="004527F3">
        <w:rPr>
          <w:rFonts w:ascii="Times New Roman" w:hAnsi="Times New Roman" w:cs="Times New Roman"/>
          <w:sz w:val="24"/>
          <w:szCs w:val="24"/>
        </w:rPr>
        <w:t>(Maziriri, Nyagadza and Chuchu, 2022)</w:t>
      </w:r>
      <w:r w:rsidRPr="00F15E77">
        <w:rPr>
          <w:rFonts w:ascii="Times New Roman" w:hAnsi="Times New Roman" w:cs="Times New Roman"/>
          <w:sz w:val="24"/>
          <w:szCs w:val="24"/>
        </w:rPr>
        <w:t xml:space="preserve">. </w:t>
      </w:r>
    </w:p>
    <w:p w14:paraId="089D6730" w14:textId="3B6F3F43" w:rsidR="0093769C" w:rsidRPr="00347517" w:rsidRDefault="00E61173" w:rsidP="00AB02BB">
      <w:pPr>
        <w:spacing w:line="480" w:lineRule="auto"/>
        <w:jc w:val="both"/>
        <w:rPr>
          <w:rStyle w:val="Heading1Char"/>
          <w:rFonts w:ascii="Times New Roman" w:hAnsi="Times New Roman" w:cs="Times New Roman"/>
          <w:b/>
          <w:bCs/>
          <w:color w:val="auto"/>
          <w:sz w:val="28"/>
          <w:szCs w:val="28"/>
        </w:rPr>
      </w:pPr>
      <w:bookmarkStart w:id="6" w:name="_Toc133437915"/>
      <w:r>
        <w:rPr>
          <w:rStyle w:val="Heading1Char"/>
          <w:rFonts w:ascii="Times New Roman" w:hAnsi="Times New Roman" w:cs="Times New Roman"/>
          <w:b/>
          <w:bCs/>
          <w:color w:val="auto"/>
          <w:sz w:val="28"/>
          <w:szCs w:val="28"/>
        </w:rPr>
        <w:t>Recommendations</w:t>
      </w:r>
      <w:bookmarkEnd w:id="6"/>
      <w:r w:rsidR="0093769C" w:rsidRPr="00347517">
        <w:rPr>
          <w:rStyle w:val="Heading1Char"/>
          <w:rFonts w:ascii="Times New Roman" w:hAnsi="Times New Roman" w:cs="Times New Roman"/>
          <w:b/>
          <w:bCs/>
          <w:color w:val="auto"/>
          <w:sz w:val="28"/>
          <w:szCs w:val="28"/>
        </w:rPr>
        <w:t xml:space="preserve"> </w:t>
      </w:r>
    </w:p>
    <w:p w14:paraId="7238C024" w14:textId="77777777" w:rsidR="000F1CE9" w:rsidRPr="000F1CE9" w:rsidRDefault="000F1CE9" w:rsidP="00AB02BB">
      <w:pPr>
        <w:spacing w:line="480" w:lineRule="auto"/>
        <w:ind w:firstLine="720"/>
        <w:jc w:val="both"/>
        <w:rPr>
          <w:rFonts w:ascii="Times New Roman" w:hAnsi="Times New Roman" w:cs="Times New Roman"/>
          <w:sz w:val="24"/>
          <w:szCs w:val="24"/>
        </w:rPr>
      </w:pPr>
      <w:r w:rsidRPr="000F1CE9">
        <w:rPr>
          <w:rFonts w:ascii="Times New Roman" w:hAnsi="Times New Roman" w:cs="Times New Roman"/>
          <w:sz w:val="24"/>
          <w:szCs w:val="24"/>
        </w:rPr>
        <w:t>The Pembrokeshire Beach Food Company could benefit from the following suggestions for putting the leadership plan in place that would foster an environment that contributes to innovation.</w:t>
      </w:r>
    </w:p>
    <w:p w14:paraId="06302788" w14:textId="77777777" w:rsidR="000F1CE9" w:rsidRPr="000F1CE9" w:rsidRDefault="000F1CE9" w:rsidP="00AB02BB">
      <w:pPr>
        <w:pStyle w:val="ListParagraph"/>
        <w:numPr>
          <w:ilvl w:val="0"/>
          <w:numId w:val="5"/>
        </w:numPr>
        <w:spacing w:line="480" w:lineRule="auto"/>
        <w:jc w:val="both"/>
        <w:rPr>
          <w:rFonts w:ascii="Times New Roman" w:hAnsi="Times New Roman" w:cs="Times New Roman"/>
          <w:sz w:val="24"/>
          <w:szCs w:val="24"/>
        </w:rPr>
      </w:pPr>
      <w:r w:rsidRPr="000F1CE9">
        <w:rPr>
          <w:rFonts w:ascii="Times New Roman" w:hAnsi="Times New Roman" w:cs="Times New Roman"/>
          <w:sz w:val="24"/>
          <w:szCs w:val="24"/>
        </w:rPr>
        <w:lastRenderedPageBreak/>
        <w:t xml:space="preserve">Create a </w:t>
      </w:r>
      <w:r w:rsidRPr="000F1CE9">
        <w:rPr>
          <w:rFonts w:ascii="Times New Roman" w:hAnsi="Times New Roman" w:cs="Times New Roman"/>
          <w:b/>
          <w:bCs/>
          <w:sz w:val="24"/>
          <w:szCs w:val="24"/>
        </w:rPr>
        <w:t>clear vision and purpose statement</w:t>
      </w:r>
      <w:r w:rsidRPr="000F1CE9">
        <w:rPr>
          <w:rFonts w:ascii="Times New Roman" w:hAnsi="Times New Roman" w:cs="Times New Roman"/>
          <w:sz w:val="24"/>
          <w:szCs w:val="24"/>
        </w:rPr>
        <w:t>: By doing a facilitated workshop or consulting with employees, customers, and other stakeholders, The Pembrokeshire Beach Food Company could create an environment in which innovation flourishes. This recommendation is anticipated to cost around £1,500.</w:t>
      </w:r>
    </w:p>
    <w:p w14:paraId="00694907" w14:textId="0B597609" w:rsidR="000F1CE9" w:rsidRPr="000F1CE9" w:rsidRDefault="000F1CE9" w:rsidP="00AB02BB">
      <w:pPr>
        <w:pStyle w:val="ListParagraph"/>
        <w:numPr>
          <w:ilvl w:val="0"/>
          <w:numId w:val="5"/>
        </w:numPr>
        <w:spacing w:line="480" w:lineRule="auto"/>
        <w:jc w:val="both"/>
        <w:rPr>
          <w:rFonts w:ascii="Times New Roman" w:hAnsi="Times New Roman" w:cs="Times New Roman"/>
          <w:sz w:val="24"/>
          <w:szCs w:val="24"/>
        </w:rPr>
      </w:pPr>
      <w:r w:rsidRPr="000F1CE9">
        <w:rPr>
          <w:rFonts w:ascii="Times New Roman" w:hAnsi="Times New Roman" w:cs="Times New Roman"/>
          <w:sz w:val="24"/>
          <w:szCs w:val="24"/>
        </w:rPr>
        <w:t xml:space="preserve">Create a </w:t>
      </w:r>
      <w:r w:rsidRPr="000F1CE9">
        <w:rPr>
          <w:rFonts w:ascii="Times New Roman" w:hAnsi="Times New Roman" w:cs="Times New Roman"/>
          <w:b/>
          <w:bCs/>
          <w:sz w:val="24"/>
          <w:szCs w:val="24"/>
        </w:rPr>
        <w:t>Cross-functional team</w:t>
      </w:r>
      <w:r w:rsidRPr="000F1CE9">
        <w:rPr>
          <w:rFonts w:ascii="Times New Roman" w:hAnsi="Times New Roman" w:cs="Times New Roman"/>
          <w:sz w:val="24"/>
          <w:szCs w:val="24"/>
        </w:rPr>
        <w:t xml:space="preserve"> to guide the innovation pursuit. The team should include representatives from all departments and be in charge of designing and implementing the innovation strategy. This recommendation is expected to cost around £3,000 to implement.</w:t>
      </w:r>
    </w:p>
    <w:p w14:paraId="622342FE" w14:textId="77777777" w:rsidR="000F1CE9" w:rsidRPr="000F1CE9" w:rsidRDefault="000F1CE9" w:rsidP="00AB02BB">
      <w:pPr>
        <w:pStyle w:val="ListParagraph"/>
        <w:numPr>
          <w:ilvl w:val="0"/>
          <w:numId w:val="5"/>
        </w:numPr>
        <w:spacing w:line="480" w:lineRule="auto"/>
        <w:jc w:val="both"/>
        <w:rPr>
          <w:rFonts w:ascii="Times New Roman" w:hAnsi="Times New Roman" w:cs="Times New Roman"/>
          <w:sz w:val="24"/>
          <w:szCs w:val="24"/>
        </w:rPr>
      </w:pPr>
      <w:r w:rsidRPr="000F1CE9">
        <w:rPr>
          <w:rFonts w:ascii="Times New Roman" w:hAnsi="Times New Roman" w:cs="Times New Roman"/>
          <w:sz w:val="24"/>
          <w:szCs w:val="24"/>
        </w:rPr>
        <w:t xml:space="preserve">To get an accurate picture of the present status of innovation, </w:t>
      </w:r>
      <w:r w:rsidRPr="000F1CE9">
        <w:rPr>
          <w:rFonts w:ascii="Times New Roman" w:hAnsi="Times New Roman" w:cs="Times New Roman"/>
          <w:b/>
          <w:bCs/>
          <w:sz w:val="24"/>
          <w:szCs w:val="24"/>
        </w:rPr>
        <w:t>conduct a survey or a focus group</w:t>
      </w:r>
      <w:r w:rsidRPr="000F1CE9">
        <w:rPr>
          <w:rFonts w:ascii="Times New Roman" w:hAnsi="Times New Roman" w:cs="Times New Roman"/>
          <w:sz w:val="24"/>
          <w:szCs w:val="24"/>
        </w:rPr>
        <w:t>. This will aid in identifying areas for improvement and ensuring that the company's innovation strategy is adapted to its needs. This recommendation is expected to cost around £2,000 to implement.</w:t>
      </w:r>
    </w:p>
    <w:p w14:paraId="7DCE05FA" w14:textId="77777777" w:rsidR="000F1CE9" w:rsidRPr="000F1CE9" w:rsidRDefault="000F1CE9" w:rsidP="00AB02BB">
      <w:pPr>
        <w:pStyle w:val="ListParagraph"/>
        <w:numPr>
          <w:ilvl w:val="0"/>
          <w:numId w:val="5"/>
        </w:numPr>
        <w:spacing w:line="480" w:lineRule="auto"/>
        <w:jc w:val="both"/>
        <w:rPr>
          <w:rFonts w:ascii="Times New Roman" w:hAnsi="Times New Roman" w:cs="Times New Roman"/>
          <w:sz w:val="24"/>
          <w:szCs w:val="24"/>
        </w:rPr>
      </w:pPr>
      <w:r w:rsidRPr="000F1CE9">
        <w:rPr>
          <w:rFonts w:ascii="Times New Roman" w:hAnsi="Times New Roman" w:cs="Times New Roman"/>
          <w:sz w:val="24"/>
          <w:szCs w:val="24"/>
        </w:rPr>
        <w:t xml:space="preserve">Create </w:t>
      </w:r>
      <w:r w:rsidRPr="000F1CE9">
        <w:rPr>
          <w:rFonts w:ascii="Times New Roman" w:hAnsi="Times New Roman" w:cs="Times New Roman"/>
          <w:b/>
          <w:bCs/>
          <w:sz w:val="24"/>
          <w:szCs w:val="24"/>
        </w:rPr>
        <w:t>training and development programmes</w:t>
      </w:r>
      <w:r w:rsidRPr="000F1CE9">
        <w:rPr>
          <w:rFonts w:ascii="Times New Roman" w:hAnsi="Times New Roman" w:cs="Times New Roman"/>
          <w:sz w:val="24"/>
          <w:szCs w:val="24"/>
        </w:rPr>
        <w:t>: The organisation should invest in training and development programmes that provide employees the skills and information they need to innovate. This can be accomplished by combining internal and external training programmes. This recommendation is expected to cost around £5,000 to implement.</w:t>
      </w:r>
    </w:p>
    <w:p w14:paraId="63C85223" w14:textId="77777777" w:rsidR="000F1CE9" w:rsidRPr="000F1CE9" w:rsidRDefault="000F1CE9" w:rsidP="00AB02BB">
      <w:pPr>
        <w:pStyle w:val="ListParagraph"/>
        <w:numPr>
          <w:ilvl w:val="0"/>
          <w:numId w:val="5"/>
        </w:numPr>
        <w:spacing w:line="480" w:lineRule="auto"/>
        <w:jc w:val="both"/>
        <w:rPr>
          <w:rFonts w:ascii="Times New Roman" w:hAnsi="Times New Roman" w:cs="Times New Roman"/>
          <w:sz w:val="24"/>
          <w:szCs w:val="24"/>
        </w:rPr>
      </w:pPr>
      <w:r w:rsidRPr="000F1CE9">
        <w:rPr>
          <w:rFonts w:ascii="Times New Roman" w:hAnsi="Times New Roman" w:cs="Times New Roman"/>
          <w:sz w:val="24"/>
          <w:szCs w:val="24"/>
        </w:rPr>
        <w:t xml:space="preserve">Create </w:t>
      </w:r>
      <w:r w:rsidRPr="000F1CE9">
        <w:rPr>
          <w:rFonts w:ascii="Times New Roman" w:hAnsi="Times New Roman" w:cs="Times New Roman"/>
          <w:b/>
          <w:bCs/>
          <w:sz w:val="24"/>
          <w:szCs w:val="24"/>
        </w:rPr>
        <w:t>a rewards and recognition programme</w:t>
      </w:r>
      <w:r w:rsidRPr="000F1CE9">
        <w:rPr>
          <w:rFonts w:ascii="Times New Roman" w:hAnsi="Times New Roman" w:cs="Times New Roman"/>
          <w:sz w:val="24"/>
          <w:szCs w:val="24"/>
        </w:rPr>
        <w:t>: The organisation should create a rewards and recognition programme to acknowledge and honour employees for their innovative ideas and successful experiments. This can be accomplished through a combination of monetary incentives, public recognition, and other advantages. This recommendation is expected to cost around £2,500.</w:t>
      </w:r>
    </w:p>
    <w:p w14:paraId="1703EE8C" w14:textId="77777777" w:rsidR="000F1CE9" w:rsidRPr="000F1CE9" w:rsidRDefault="000F1CE9" w:rsidP="00AB02BB">
      <w:pPr>
        <w:pStyle w:val="ListParagraph"/>
        <w:numPr>
          <w:ilvl w:val="0"/>
          <w:numId w:val="5"/>
        </w:numPr>
        <w:spacing w:line="480" w:lineRule="auto"/>
        <w:jc w:val="both"/>
        <w:rPr>
          <w:rFonts w:ascii="Times New Roman" w:hAnsi="Times New Roman" w:cs="Times New Roman"/>
          <w:sz w:val="24"/>
          <w:szCs w:val="24"/>
        </w:rPr>
      </w:pPr>
      <w:r w:rsidRPr="000F1CE9">
        <w:rPr>
          <w:rFonts w:ascii="Times New Roman" w:hAnsi="Times New Roman" w:cs="Times New Roman"/>
          <w:sz w:val="24"/>
          <w:szCs w:val="24"/>
        </w:rPr>
        <w:t xml:space="preserve">Granting </w:t>
      </w:r>
      <w:r w:rsidRPr="000F1CE9">
        <w:rPr>
          <w:rFonts w:ascii="Times New Roman" w:hAnsi="Times New Roman" w:cs="Times New Roman"/>
          <w:b/>
          <w:bCs/>
          <w:sz w:val="24"/>
          <w:szCs w:val="24"/>
        </w:rPr>
        <w:t>resources and support</w:t>
      </w:r>
      <w:r w:rsidRPr="000F1CE9">
        <w:rPr>
          <w:rFonts w:ascii="Times New Roman" w:hAnsi="Times New Roman" w:cs="Times New Roman"/>
          <w:sz w:val="24"/>
          <w:szCs w:val="24"/>
        </w:rPr>
        <w:t xml:space="preserve">: The organisation should allocate resources and financing for innovation efforts, as well as providing access to training and development opportunities while ensuring that all employees have access to the tools </w:t>
      </w:r>
      <w:r w:rsidRPr="000F1CE9">
        <w:rPr>
          <w:rFonts w:ascii="Times New Roman" w:hAnsi="Times New Roman" w:cs="Times New Roman"/>
          <w:sz w:val="24"/>
          <w:szCs w:val="24"/>
        </w:rPr>
        <w:lastRenderedPageBreak/>
        <w:t>and technology required to support innovation. This recommendation is anticipated to cost around £10,000.</w:t>
      </w:r>
    </w:p>
    <w:p w14:paraId="0CE31E92" w14:textId="77777777" w:rsidR="000F1CE9" w:rsidRPr="000F1CE9" w:rsidRDefault="000F1CE9" w:rsidP="00AB02BB">
      <w:pPr>
        <w:pStyle w:val="ListParagraph"/>
        <w:numPr>
          <w:ilvl w:val="0"/>
          <w:numId w:val="5"/>
        </w:numPr>
        <w:spacing w:line="480" w:lineRule="auto"/>
        <w:jc w:val="both"/>
        <w:rPr>
          <w:rFonts w:ascii="Times New Roman" w:hAnsi="Times New Roman" w:cs="Times New Roman"/>
          <w:sz w:val="24"/>
          <w:szCs w:val="24"/>
        </w:rPr>
      </w:pPr>
      <w:r w:rsidRPr="000F1CE9">
        <w:rPr>
          <w:rFonts w:ascii="Times New Roman" w:hAnsi="Times New Roman" w:cs="Times New Roman"/>
          <w:sz w:val="24"/>
          <w:szCs w:val="24"/>
        </w:rPr>
        <w:t xml:space="preserve">Establish </w:t>
      </w:r>
      <w:r w:rsidRPr="000F1CE9">
        <w:rPr>
          <w:rFonts w:ascii="Times New Roman" w:hAnsi="Times New Roman" w:cs="Times New Roman"/>
          <w:b/>
          <w:bCs/>
          <w:sz w:val="24"/>
          <w:szCs w:val="24"/>
        </w:rPr>
        <w:t>measurements and evaluation processes</w:t>
      </w:r>
      <w:r w:rsidRPr="000F1CE9">
        <w:rPr>
          <w:rFonts w:ascii="Times New Roman" w:hAnsi="Times New Roman" w:cs="Times New Roman"/>
          <w:sz w:val="24"/>
          <w:szCs w:val="24"/>
        </w:rPr>
        <w:t>: To measure the performance of the innovation plan, the organisation should establish metrics and evaluation methods. This can be accomplished by implementing a performance management system or other evaluation tools. This recommendation is expected to cost around £3,000 to implement.</w:t>
      </w:r>
    </w:p>
    <w:p w14:paraId="296847BE" w14:textId="5E10C949" w:rsidR="0057799A" w:rsidRDefault="000F1CE9" w:rsidP="00AB02BB">
      <w:pPr>
        <w:spacing w:line="480" w:lineRule="auto"/>
        <w:ind w:firstLine="720"/>
        <w:jc w:val="both"/>
        <w:rPr>
          <w:rFonts w:ascii="Times New Roman" w:hAnsi="Times New Roman" w:cs="Times New Roman"/>
          <w:sz w:val="24"/>
          <w:szCs w:val="24"/>
        </w:rPr>
      </w:pPr>
      <w:r w:rsidRPr="000F1CE9">
        <w:rPr>
          <w:rFonts w:ascii="Times New Roman" w:hAnsi="Times New Roman" w:cs="Times New Roman"/>
          <w:sz w:val="24"/>
          <w:szCs w:val="24"/>
        </w:rPr>
        <w:t>The total cost of adopting the leadership strategy for fostering an atmosphere in which innovation thrives at the Pembrokeshire Beach Food Company is anticipated to be around £27,000. However, it is crucial to remember that these expenses are approximate and may vary depending on the company's individual demands. Furthermore, the long-term benefits of nurturing an innovative culture, such as higher income and customer happiness, can greatly surpass the early expenditures of executing the plan</w:t>
      </w:r>
      <w:r w:rsidR="00963EB6" w:rsidRPr="00963EB6">
        <w:rPr>
          <w:rFonts w:ascii="Times New Roman" w:hAnsi="Times New Roman" w:cs="Times New Roman"/>
          <w:sz w:val="24"/>
          <w:szCs w:val="24"/>
        </w:rPr>
        <w:t>.</w:t>
      </w:r>
    </w:p>
    <w:p w14:paraId="32CFE8AA" w14:textId="22999D42" w:rsidR="00963EB6" w:rsidRPr="00347517" w:rsidRDefault="00963EB6" w:rsidP="00AB02BB">
      <w:pPr>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anchor distT="0" distB="0" distL="114300" distR="114300" simplePos="0" relativeHeight="251658240" behindDoc="0" locked="0" layoutInCell="1" allowOverlap="1" wp14:anchorId="7A32B1D5" wp14:editId="6CF1BB07">
            <wp:simplePos x="0" y="0"/>
            <wp:positionH relativeFrom="margin">
              <wp:align>left</wp:align>
            </wp:positionH>
            <wp:positionV relativeFrom="margin">
              <wp:align>top</wp:align>
            </wp:positionV>
            <wp:extent cx="5267325" cy="5895975"/>
            <wp:effectExtent l="0" t="0" r="9525" b="9525"/>
            <wp:wrapTopAndBottom/>
            <wp:docPr id="190637002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p>
    <w:p w14:paraId="54952DAD" w14:textId="6829DB3E" w:rsidR="0057799A" w:rsidRPr="00347517" w:rsidRDefault="0057799A" w:rsidP="00AB02BB">
      <w:pPr>
        <w:pStyle w:val="Heading1"/>
        <w:spacing w:line="480" w:lineRule="auto"/>
        <w:jc w:val="both"/>
        <w:rPr>
          <w:rStyle w:val="Heading1Char"/>
          <w:rFonts w:ascii="Times New Roman" w:hAnsi="Times New Roman" w:cs="Times New Roman"/>
          <w:b/>
          <w:bCs/>
          <w:color w:val="auto"/>
          <w:sz w:val="28"/>
          <w:szCs w:val="28"/>
        </w:rPr>
      </w:pPr>
      <w:bookmarkStart w:id="7" w:name="_Toc133437916"/>
      <w:r w:rsidRPr="00347517">
        <w:rPr>
          <w:rStyle w:val="Heading1Char"/>
          <w:rFonts w:ascii="Times New Roman" w:hAnsi="Times New Roman" w:cs="Times New Roman"/>
          <w:b/>
          <w:bCs/>
          <w:color w:val="auto"/>
          <w:sz w:val="28"/>
          <w:szCs w:val="28"/>
        </w:rPr>
        <w:t>Conclusion</w:t>
      </w:r>
      <w:bookmarkEnd w:id="7"/>
    </w:p>
    <w:p w14:paraId="4F8A78E6" w14:textId="77777777" w:rsidR="000F1CE9" w:rsidRPr="000F1CE9" w:rsidRDefault="000F1CE9" w:rsidP="00AB02BB">
      <w:pPr>
        <w:spacing w:line="480" w:lineRule="auto"/>
        <w:ind w:firstLine="720"/>
        <w:jc w:val="both"/>
        <w:rPr>
          <w:rFonts w:ascii="Times New Roman" w:hAnsi="Times New Roman" w:cs="Times New Roman"/>
          <w:sz w:val="24"/>
          <w:szCs w:val="24"/>
        </w:rPr>
      </w:pPr>
      <w:r w:rsidRPr="000F1CE9">
        <w:rPr>
          <w:rFonts w:ascii="Times New Roman" w:hAnsi="Times New Roman" w:cs="Times New Roman"/>
          <w:sz w:val="24"/>
          <w:szCs w:val="24"/>
        </w:rPr>
        <w:t xml:space="preserve">In conclusion, for the Pembrokeshire Beach Food Company to be successful in the long run, it needs to foster an atmosphere that promotes innovation and new ideas. The company should develop a clear vision and mission statement, encourage experimentation and risk-taking, promote collaboration and knowledge sharing. Several suggestions have been made that could help the company accomplish this goal, including development of a vision and mission statement; forming a cross-functional team to guide the innovation initiative; </w:t>
      </w:r>
      <w:r w:rsidRPr="000F1CE9">
        <w:rPr>
          <w:rFonts w:ascii="Times New Roman" w:hAnsi="Times New Roman" w:cs="Times New Roman"/>
          <w:sz w:val="24"/>
          <w:szCs w:val="24"/>
        </w:rPr>
        <w:lastRenderedPageBreak/>
        <w:t xml:space="preserve">conducting a survey to evaluate the current state of innovation; designing training and development programmes; launching a rewards and recognition initiative; allocating adequate resources; and establishing metrics and evaluation processes. </w:t>
      </w:r>
    </w:p>
    <w:p w14:paraId="73E0B831" w14:textId="3D09F291" w:rsidR="00347517" w:rsidRDefault="000F1CE9" w:rsidP="00AB02BB">
      <w:pPr>
        <w:spacing w:line="480" w:lineRule="auto"/>
        <w:ind w:firstLine="720"/>
        <w:jc w:val="both"/>
        <w:rPr>
          <w:rFonts w:ascii="Times New Roman" w:hAnsi="Times New Roman" w:cs="Times New Roman"/>
          <w:sz w:val="24"/>
          <w:szCs w:val="24"/>
        </w:rPr>
      </w:pPr>
      <w:r w:rsidRPr="000F1CE9">
        <w:rPr>
          <w:rFonts w:ascii="Times New Roman" w:hAnsi="Times New Roman" w:cs="Times New Roman"/>
          <w:sz w:val="24"/>
          <w:szCs w:val="24"/>
        </w:rPr>
        <w:t>However, the estimated cost of executing the leadership strategy may be outweighed by the long-term benefits of nurturing a culture of innovation, which may include increased sales and more satisfied clients. The Pembrokeshire Beach Food Company can meet the demands of its customers, keep ahead of competitors, and reach its long-term goals by these suggestions</w:t>
      </w:r>
      <w:r w:rsidR="00580C4C" w:rsidRPr="00580C4C">
        <w:rPr>
          <w:rFonts w:ascii="Times New Roman" w:hAnsi="Times New Roman" w:cs="Times New Roman"/>
          <w:sz w:val="24"/>
          <w:szCs w:val="24"/>
        </w:rPr>
        <w:t>.</w:t>
      </w:r>
      <w:r w:rsidR="0057799A" w:rsidRPr="00347517">
        <w:rPr>
          <w:rFonts w:ascii="Times New Roman" w:hAnsi="Times New Roman" w:cs="Times New Roman"/>
          <w:sz w:val="24"/>
          <w:szCs w:val="24"/>
        </w:rPr>
        <w:t xml:space="preserve"> </w:t>
      </w:r>
      <w:r w:rsidR="00347517">
        <w:rPr>
          <w:rFonts w:ascii="Times New Roman" w:hAnsi="Times New Roman" w:cs="Times New Roman"/>
          <w:sz w:val="24"/>
          <w:szCs w:val="24"/>
        </w:rPr>
        <w:br w:type="page"/>
      </w:r>
    </w:p>
    <w:p w14:paraId="0F072A29" w14:textId="7EDB6C01" w:rsidR="00347517" w:rsidRPr="00347517" w:rsidRDefault="00347517" w:rsidP="00347517">
      <w:pPr>
        <w:pStyle w:val="Heading1"/>
        <w:spacing w:line="480" w:lineRule="auto"/>
        <w:jc w:val="both"/>
        <w:rPr>
          <w:rStyle w:val="Heading1Char"/>
          <w:rFonts w:ascii="Times New Roman" w:hAnsi="Times New Roman" w:cs="Times New Roman"/>
          <w:b/>
          <w:bCs/>
          <w:color w:val="auto"/>
          <w:sz w:val="28"/>
          <w:szCs w:val="28"/>
        </w:rPr>
      </w:pPr>
      <w:bookmarkStart w:id="8" w:name="_Toc133437917"/>
      <w:r>
        <w:rPr>
          <w:rStyle w:val="Heading1Char"/>
          <w:rFonts w:ascii="Times New Roman" w:hAnsi="Times New Roman" w:cs="Times New Roman"/>
          <w:b/>
          <w:bCs/>
          <w:color w:val="auto"/>
          <w:sz w:val="28"/>
          <w:szCs w:val="28"/>
        </w:rPr>
        <w:lastRenderedPageBreak/>
        <w:t>References</w:t>
      </w:r>
      <w:bookmarkEnd w:id="8"/>
    </w:p>
    <w:p w14:paraId="619C456A" w14:textId="3315C29F" w:rsidR="004527F3" w:rsidRDefault="004527F3" w:rsidP="004527F3">
      <w:pPr>
        <w:pStyle w:val="NormalWeb"/>
        <w:spacing w:before="0" w:beforeAutospacing="0" w:after="240" w:afterAutospacing="0" w:line="360" w:lineRule="auto"/>
        <w:ind w:left="720" w:hanging="720"/>
        <w:jc w:val="both"/>
      </w:pPr>
      <w:r>
        <w:t xml:space="preserve">Acton, T. and Clohessy, T. (2019) </w:t>
      </w:r>
      <w:r>
        <w:rPr>
          <w:i/>
          <w:iCs/>
        </w:rPr>
        <w:t>Investigating the influence of organizational factors on blockchain adoption: An innovation theory perspective</w:t>
      </w:r>
      <w:r>
        <w:t xml:space="preserve">. Available at: </w:t>
      </w:r>
      <w:hyperlink r:id="rId15" w:history="1">
        <w:r w:rsidRPr="007236B6">
          <w:rPr>
            <w:rStyle w:val="Hyperlink"/>
          </w:rPr>
          <w:t>https://www.emerald.com/insight/content/doi/10.1108/IMDS-08-2018-0365/full/html</w:t>
        </w:r>
      </w:hyperlink>
      <w:r>
        <w:t xml:space="preserve">. </w:t>
      </w:r>
    </w:p>
    <w:p w14:paraId="431FE5EC" w14:textId="175A5853" w:rsidR="004527F3" w:rsidRDefault="004527F3" w:rsidP="004527F3">
      <w:pPr>
        <w:pStyle w:val="NormalWeb"/>
        <w:spacing w:before="0" w:beforeAutospacing="0" w:after="240" w:afterAutospacing="0" w:line="360" w:lineRule="auto"/>
        <w:ind w:left="720" w:hanging="720"/>
        <w:jc w:val="both"/>
      </w:pPr>
      <w:r>
        <w:t xml:space="preserve">Araral, E. (2020) ‘Why do cities adopt smart technologies? Contingency theory and evidence from the United States’, </w:t>
      </w:r>
      <w:r>
        <w:rPr>
          <w:i/>
          <w:iCs/>
        </w:rPr>
        <w:t>Cities</w:t>
      </w:r>
      <w:r>
        <w:t xml:space="preserve">, 106, p. 102873. Available at: </w:t>
      </w:r>
      <w:hyperlink r:id="rId16" w:history="1">
        <w:r w:rsidRPr="007236B6">
          <w:rPr>
            <w:rStyle w:val="Hyperlink"/>
          </w:rPr>
          <w:t>https://doi.org/10.1016/j.cities.2020.102873</w:t>
        </w:r>
      </w:hyperlink>
      <w:r>
        <w:t xml:space="preserve">. </w:t>
      </w:r>
    </w:p>
    <w:p w14:paraId="39C47696" w14:textId="11FB74F4" w:rsidR="004527F3" w:rsidRDefault="004527F3" w:rsidP="004527F3">
      <w:pPr>
        <w:pStyle w:val="NormalWeb"/>
        <w:spacing w:before="0" w:beforeAutospacing="0" w:after="240" w:afterAutospacing="0" w:line="360" w:lineRule="auto"/>
        <w:ind w:left="720" w:hanging="720"/>
        <w:jc w:val="both"/>
      </w:pPr>
      <w:r>
        <w:t xml:space="preserve">Barney, J.B., Ketchen, D.J. and Wright, M. (2021) ‘Bold Voices and New Opportunities: An Expanded Research Agenda for the Resource-Based View’, </w:t>
      </w:r>
      <w:r>
        <w:rPr>
          <w:i/>
          <w:iCs/>
        </w:rPr>
        <w:t>Journal of Management</w:t>
      </w:r>
      <w:r>
        <w:t xml:space="preserve">, p. 014920632110142. Available at: </w:t>
      </w:r>
      <w:hyperlink r:id="rId17" w:history="1">
        <w:r w:rsidRPr="007236B6">
          <w:rPr>
            <w:rStyle w:val="Hyperlink"/>
          </w:rPr>
          <w:t>https://doi.org/10.1177/01492063211014276</w:t>
        </w:r>
      </w:hyperlink>
      <w:r>
        <w:t xml:space="preserve">. </w:t>
      </w:r>
    </w:p>
    <w:p w14:paraId="410628E4" w14:textId="5DD1A9AA" w:rsidR="004527F3" w:rsidRDefault="004527F3" w:rsidP="004527F3">
      <w:pPr>
        <w:pStyle w:val="NormalWeb"/>
        <w:spacing w:before="0" w:beforeAutospacing="0" w:after="240" w:afterAutospacing="0" w:line="360" w:lineRule="auto"/>
        <w:ind w:left="720" w:hanging="720"/>
        <w:jc w:val="both"/>
      </w:pPr>
      <w:r>
        <w:t xml:space="preserve">Cabrera, E.F. and Cabrera, A. (2005) ‘Fostering knowledge sharing through people management practices’, </w:t>
      </w:r>
      <w:r>
        <w:rPr>
          <w:i/>
          <w:iCs/>
        </w:rPr>
        <w:t>The International Journal of Human Resource Management</w:t>
      </w:r>
      <w:r>
        <w:t xml:space="preserve">, 16(5), pp. 720–735. Available at: </w:t>
      </w:r>
      <w:hyperlink r:id="rId18" w:history="1">
        <w:r w:rsidRPr="007236B6">
          <w:rPr>
            <w:rStyle w:val="Hyperlink"/>
          </w:rPr>
          <w:t>https://doi.org/10.1080/09585190500083020</w:t>
        </w:r>
      </w:hyperlink>
      <w:r>
        <w:t xml:space="preserve">. </w:t>
      </w:r>
    </w:p>
    <w:p w14:paraId="245B88D9" w14:textId="1798BA0C" w:rsidR="004527F3" w:rsidRDefault="004527F3" w:rsidP="004527F3">
      <w:pPr>
        <w:pStyle w:val="NormalWeb"/>
        <w:spacing w:before="0" w:beforeAutospacing="0" w:after="240" w:afterAutospacing="0" w:line="360" w:lineRule="auto"/>
        <w:ind w:left="720" w:hanging="720"/>
        <w:jc w:val="both"/>
      </w:pPr>
      <w:r>
        <w:t xml:space="preserve">Calder, W.B. (2014) ‘Achieving an Institution’s Values, Vision, and Mission’, </w:t>
      </w:r>
      <w:r>
        <w:rPr>
          <w:i/>
          <w:iCs/>
        </w:rPr>
        <w:t>College Quarterly</w:t>
      </w:r>
      <w:r>
        <w:t xml:space="preserve">, 17(2). Available at: </w:t>
      </w:r>
      <w:hyperlink r:id="rId19" w:history="1">
        <w:r w:rsidRPr="007236B6">
          <w:rPr>
            <w:rStyle w:val="Hyperlink"/>
          </w:rPr>
          <w:t>https://eric.ed.gov/?id=EJ1038728</w:t>
        </w:r>
      </w:hyperlink>
      <w:r>
        <w:t xml:space="preserve">. </w:t>
      </w:r>
    </w:p>
    <w:p w14:paraId="669DB463" w14:textId="556D309E" w:rsidR="004527F3" w:rsidRDefault="004527F3" w:rsidP="004527F3">
      <w:pPr>
        <w:pStyle w:val="NormalWeb"/>
        <w:spacing w:before="0" w:beforeAutospacing="0" w:after="240" w:afterAutospacing="0" w:line="360" w:lineRule="auto"/>
        <w:ind w:left="720" w:hanging="720"/>
        <w:jc w:val="both"/>
      </w:pPr>
      <w:r>
        <w:t xml:space="preserve">Chen, S. </w:t>
      </w:r>
      <w:r>
        <w:rPr>
          <w:i/>
          <w:iCs/>
        </w:rPr>
        <w:t>et al.</w:t>
      </w:r>
      <w:r>
        <w:t xml:space="preserve"> (2023) ‘Can minority investor activism promote corporate risk-taking? Evidence from a quasi-natural experiment in China’, </w:t>
      </w:r>
      <w:r>
        <w:rPr>
          <w:i/>
          <w:iCs/>
        </w:rPr>
        <w:t>International Review of Financial Analysis</w:t>
      </w:r>
      <w:r>
        <w:t xml:space="preserve">, 85, p. 102430. Available at: </w:t>
      </w:r>
      <w:hyperlink r:id="rId20" w:history="1">
        <w:r w:rsidRPr="007236B6">
          <w:rPr>
            <w:rStyle w:val="Hyperlink"/>
          </w:rPr>
          <w:t>https://doi.org/10.1016/j.irfa.2022.102430</w:t>
        </w:r>
      </w:hyperlink>
      <w:r>
        <w:t xml:space="preserve">. </w:t>
      </w:r>
    </w:p>
    <w:p w14:paraId="4B1E25B6" w14:textId="77777777" w:rsidR="004527F3" w:rsidRDefault="004527F3" w:rsidP="004527F3">
      <w:pPr>
        <w:pStyle w:val="NormalWeb"/>
        <w:spacing w:before="0" w:beforeAutospacing="0" w:after="240" w:afterAutospacing="0" w:line="360" w:lineRule="auto"/>
        <w:ind w:left="720" w:hanging="720"/>
        <w:jc w:val="both"/>
      </w:pPr>
      <w:r>
        <w:t xml:space="preserve">Kahn, K.B. (2018) ‘Understanding innovation’, </w:t>
      </w:r>
      <w:r>
        <w:rPr>
          <w:i/>
          <w:iCs/>
        </w:rPr>
        <w:t>Business Horizons</w:t>
      </w:r>
      <w:r>
        <w:t>, 61(3), pp. 453–460.</w:t>
      </w:r>
    </w:p>
    <w:p w14:paraId="5E999899" w14:textId="4F4667A5" w:rsidR="004527F3" w:rsidRDefault="004527F3" w:rsidP="004527F3">
      <w:pPr>
        <w:pStyle w:val="NormalWeb"/>
        <w:spacing w:before="0" w:beforeAutospacing="0" w:after="240" w:afterAutospacing="0" w:line="360" w:lineRule="auto"/>
        <w:ind w:left="720" w:hanging="720"/>
        <w:jc w:val="both"/>
      </w:pPr>
      <w:r>
        <w:t xml:space="preserve">Kamberelis, G. and Dimitriadis, G. (2013) </w:t>
      </w:r>
      <w:r>
        <w:rPr>
          <w:i/>
          <w:iCs/>
        </w:rPr>
        <w:t>Focus Groups: From Structured Interviews to Collective Conversations</w:t>
      </w:r>
      <w:r>
        <w:t xml:space="preserve">, </w:t>
      </w:r>
      <w:r>
        <w:rPr>
          <w:i/>
          <w:iCs/>
        </w:rPr>
        <w:t>Google Books</w:t>
      </w:r>
      <w:r>
        <w:t xml:space="preserve">. Routledge. Available at: </w:t>
      </w:r>
      <w:hyperlink r:id="rId21" w:history="1">
        <w:r w:rsidRPr="007236B6">
          <w:rPr>
            <w:rStyle w:val="Hyperlink"/>
          </w:rPr>
          <w:t>https://books.google.com/books?hl=en&amp;lr=&amp;id=ThoKFVWKGnwC&amp;oi=fnd&amp;pg=PP5&amp;dq=Surveys</w:t>
        </w:r>
      </w:hyperlink>
      <w:r>
        <w:t xml:space="preserve">  (Accessed: 26 April 2023).</w:t>
      </w:r>
    </w:p>
    <w:p w14:paraId="45800B7C" w14:textId="447A77FB" w:rsidR="004527F3" w:rsidRDefault="004527F3" w:rsidP="004527F3">
      <w:pPr>
        <w:pStyle w:val="NormalWeb"/>
        <w:spacing w:before="0" w:beforeAutospacing="0" w:after="240" w:afterAutospacing="0" w:line="360" w:lineRule="auto"/>
        <w:ind w:left="720" w:hanging="720"/>
        <w:jc w:val="both"/>
      </w:pPr>
      <w:r>
        <w:t xml:space="preserve">Kavadias, S. and Sommer, S.C. (2009) ‘The Effects of Problem Structure and Team Diversity on Brainstorming Effectiveness’, </w:t>
      </w:r>
      <w:r>
        <w:rPr>
          <w:i/>
          <w:iCs/>
        </w:rPr>
        <w:t>Management Science</w:t>
      </w:r>
      <w:r>
        <w:t xml:space="preserve">, 55(12), pp. 1899–1913. Available at: </w:t>
      </w:r>
      <w:hyperlink r:id="rId22" w:history="1">
        <w:r w:rsidRPr="007236B6">
          <w:rPr>
            <w:rStyle w:val="Hyperlink"/>
          </w:rPr>
          <w:t>https://doi.org/10.1287/mnsc.1090.1079</w:t>
        </w:r>
      </w:hyperlink>
      <w:r>
        <w:t xml:space="preserve">. </w:t>
      </w:r>
    </w:p>
    <w:p w14:paraId="5C456F15" w14:textId="158DF400" w:rsidR="004527F3" w:rsidRDefault="004527F3" w:rsidP="004527F3">
      <w:pPr>
        <w:pStyle w:val="NormalWeb"/>
        <w:spacing w:before="0" w:beforeAutospacing="0" w:after="240" w:afterAutospacing="0" w:line="360" w:lineRule="auto"/>
        <w:ind w:left="720" w:hanging="720"/>
        <w:jc w:val="both"/>
      </w:pPr>
      <w:r>
        <w:lastRenderedPageBreak/>
        <w:t xml:space="preserve">Lemmon, G. </w:t>
      </w:r>
      <w:r>
        <w:rPr>
          <w:i/>
          <w:iCs/>
        </w:rPr>
        <w:t>et al.</w:t>
      </w:r>
      <w:r>
        <w:t xml:space="preserve"> (2016) ‘Supervisor-Provided Resources’, </w:t>
      </w:r>
      <w:r>
        <w:rPr>
          <w:i/>
          <w:iCs/>
        </w:rPr>
        <w:t>Journal of Leadership &amp; Organizational Studies</w:t>
      </w:r>
      <w:r>
        <w:t xml:space="preserve">, 23(3), pp. 288–308. Available at: </w:t>
      </w:r>
      <w:hyperlink r:id="rId23" w:history="1">
        <w:r w:rsidRPr="007236B6">
          <w:rPr>
            <w:rStyle w:val="Hyperlink"/>
          </w:rPr>
          <w:t>https://doi.org/10.1177/1548051816630226</w:t>
        </w:r>
      </w:hyperlink>
      <w:r>
        <w:t xml:space="preserve">. </w:t>
      </w:r>
    </w:p>
    <w:p w14:paraId="6EC36D11" w14:textId="33BA1888" w:rsidR="004527F3" w:rsidRDefault="004527F3" w:rsidP="004527F3">
      <w:pPr>
        <w:pStyle w:val="NormalWeb"/>
        <w:spacing w:before="0" w:beforeAutospacing="0" w:after="240" w:afterAutospacing="0" w:line="360" w:lineRule="auto"/>
        <w:ind w:left="720" w:hanging="720"/>
        <w:jc w:val="both"/>
      </w:pPr>
      <w:r>
        <w:t xml:space="preserve">Maziriri, E., Nyagadza, B. and Chuchu, T. (2022) </w:t>
      </w:r>
      <w:r>
        <w:rPr>
          <w:i/>
          <w:iCs/>
        </w:rPr>
        <w:t>Innovation conviction, innovation mindset and innovation creed as precursors for the need for achievement and women’s entrepreneurial success in South Africa</w:t>
      </w:r>
      <w:r>
        <w:t xml:space="preserve">. Available at: </w:t>
      </w:r>
      <w:hyperlink r:id="rId24" w:history="1">
        <w:r w:rsidRPr="007236B6">
          <w:rPr>
            <w:rStyle w:val="Hyperlink"/>
          </w:rPr>
          <w:t>https://www.emerald.com/insight/content/doi/10.1108/EJIM-03-2022-0156/full/html</w:t>
        </w:r>
      </w:hyperlink>
      <w:r>
        <w:t xml:space="preserve">. </w:t>
      </w:r>
    </w:p>
    <w:p w14:paraId="5A3C095B" w14:textId="7327171E" w:rsidR="004527F3" w:rsidRDefault="004527F3" w:rsidP="004527F3">
      <w:pPr>
        <w:pStyle w:val="NormalWeb"/>
        <w:spacing w:before="0" w:beforeAutospacing="0" w:after="240" w:afterAutospacing="0" w:line="360" w:lineRule="auto"/>
        <w:ind w:left="720" w:hanging="720"/>
        <w:jc w:val="both"/>
      </w:pPr>
      <w:r>
        <w:t xml:space="preserve">Pijl, P. van der, Lokitz, J. and Solomon, L.K. (2016) </w:t>
      </w:r>
      <w:r>
        <w:rPr>
          <w:i/>
          <w:iCs/>
        </w:rPr>
        <w:t>Design a Better Business: New Tools, Skills, and Mindset for Strategy and Innovation</w:t>
      </w:r>
      <w:r>
        <w:t xml:space="preserve">, </w:t>
      </w:r>
      <w:r>
        <w:rPr>
          <w:i/>
          <w:iCs/>
        </w:rPr>
        <w:t>Google Books</w:t>
      </w:r>
      <w:r>
        <w:t xml:space="preserve">. John Wiley &amp; Sons. Available at: </w:t>
      </w:r>
      <w:hyperlink r:id="rId25" w:history="1">
        <w:r w:rsidRPr="007236B6">
          <w:rPr>
            <w:rStyle w:val="Hyperlink"/>
          </w:rPr>
          <w:t>https://books.google.com/books?hl=en&amp;lr=&amp;id=nREPDQAAQBAJ&amp;oi=fnd&amp;pg=PT8&amp;dq=mindset+of+innovation+for+businesses&amp;ots=U6VtmM5HL_&amp;sig=M_50efEFD7V2yqQ7FIrR3F2wWrY</w:t>
        </w:r>
      </w:hyperlink>
      <w:r>
        <w:t xml:space="preserve">  (Accessed: 26 April 2023).</w:t>
      </w:r>
    </w:p>
    <w:p w14:paraId="4C3FBC5A" w14:textId="5663C47B" w:rsidR="004527F3" w:rsidRDefault="004527F3" w:rsidP="004527F3">
      <w:pPr>
        <w:pStyle w:val="NormalWeb"/>
        <w:spacing w:before="0" w:beforeAutospacing="0" w:after="240" w:afterAutospacing="0" w:line="360" w:lineRule="auto"/>
        <w:ind w:left="720" w:hanging="720"/>
        <w:jc w:val="both"/>
      </w:pPr>
      <w:r>
        <w:t xml:space="preserve">Rees, R. (2019) </w:t>
      </w:r>
      <w:r>
        <w:rPr>
          <w:i/>
          <w:iCs/>
        </w:rPr>
        <w:t xml:space="preserve">Seaweed is </w:t>
      </w:r>
      <w:proofErr w:type="gramStart"/>
      <w:r>
        <w:rPr>
          <w:i/>
          <w:iCs/>
        </w:rPr>
        <w:t>Sexy :</w:t>
      </w:r>
      <w:proofErr w:type="gramEnd"/>
      <w:r>
        <w:rPr>
          <w:i/>
          <w:iCs/>
        </w:rPr>
        <w:t xml:space="preserve"> The consumption and utilisation of seaweed throughout British history and the marketing that surrounds it</w:t>
      </w:r>
      <w:r>
        <w:t xml:space="preserve">, </w:t>
      </w:r>
      <w:r>
        <w:rPr>
          <w:i/>
          <w:iCs/>
        </w:rPr>
        <w:t>www.diva-portal.org</w:t>
      </w:r>
      <w:r>
        <w:t xml:space="preserve">. Available at: </w:t>
      </w:r>
      <w:hyperlink r:id="rId26" w:history="1">
        <w:r w:rsidRPr="007236B6">
          <w:rPr>
            <w:rStyle w:val="Hyperlink"/>
          </w:rPr>
          <w:t>https://www.diva-portal.org/smash/record.jsf?pid=diva2:1333037</w:t>
        </w:r>
      </w:hyperlink>
      <w:r>
        <w:t xml:space="preserve">  (Accessed: 26 April 2023).</w:t>
      </w:r>
    </w:p>
    <w:p w14:paraId="4429AFCC" w14:textId="09799308" w:rsidR="004527F3" w:rsidRDefault="004527F3" w:rsidP="004527F3">
      <w:pPr>
        <w:pStyle w:val="NormalWeb"/>
        <w:spacing w:before="0" w:beforeAutospacing="0" w:after="240" w:afterAutospacing="0" w:line="360" w:lineRule="auto"/>
        <w:ind w:left="720" w:hanging="720"/>
        <w:jc w:val="both"/>
      </w:pPr>
      <w:r>
        <w:t xml:space="preserve">Ringberg, T., Reihlen, M. and Rydén, P. (2019) ‘The technology-mindset interactions: Leading to incremental, radical or revolutionary innovations’, </w:t>
      </w:r>
      <w:r>
        <w:rPr>
          <w:i/>
          <w:iCs/>
        </w:rPr>
        <w:t>Industrial Marketing Management</w:t>
      </w:r>
      <w:r>
        <w:t xml:space="preserve">, 79, pp. 102–113. Available at: </w:t>
      </w:r>
      <w:hyperlink r:id="rId27" w:history="1">
        <w:r w:rsidRPr="007236B6">
          <w:rPr>
            <w:rStyle w:val="Hyperlink"/>
          </w:rPr>
          <w:t>https://doi.org/10.1016/j.indmarman.2018.06.009</w:t>
        </w:r>
      </w:hyperlink>
      <w:r>
        <w:t xml:space="preserve">. </w:t>
      </w:r>
    </w:p>
    <w:p w14:paraId="0E49FC8E" w14:textId="0869D58B" w:rsidR="004527F3" w:rsidRDefault="004527F3" w:rsidP="004527F3">
      <w:pPr>
        <w:pStyle w:val="NormalWeb"/>
        <w:spacing w:before="0" w:beforeAutospacing="0" w:after="240" w:afterAutospacing="0" w:line="360" w:lineRule="auto"/>
        <w:ind w:left="720" w:hanging="720"/>
        <w:jc w:val="both"/>
      </w:pPr>
      <w:r>
        <w:t xml:space="preserve">Rumjaun, A. and Narod, F. (2020) ‘Social Learning Theory—Albert Bandura’, </w:t>
      </w:r>
      <w:r>
        <w:rPr>
          <w:i/>
          <w:iCs/>
        </w:rPr>
        <w:t>Springer Texts in Education</w:t>
      </w:r>
      <w:r>
        <w:t xml:space="preserve">, pp. 85–99. Available at: </w:t>
      </w:r>
      <w:hyperlink r:id="rId28" w:history="1">
        <w:r w:rsidRPr="007236B6">
          <w:rPr>
            <w:rStyle w:val="Hyperlink"/>
          </w:rPr>
          <w:t>https://doi.org/10.1007/978-3-030-43620-9_7</w:t>
        </w:r>
      </w:hyperlink>
      <w:r>
        <w:t xml:space="preserve">. </w:t>
      </w:r>
    </w:p>
    <w:p w14:paraId="476A8616" w14:textId="07F61EED" w:rsidR="004527F3" w:rsidRDefault="004527F3" w:rsidP="004527F3">
      <w:pPr>
        <w:pStyle w:val="NormalWeb"/>
        <w:spacing w:before="0" w:beforeAutospacing="0" w:after="240" w:afterAutospacing="0" w:line="360" w:lineRule="auto"/>
        <w:ind w:left="720" w:hanging="720"/>
        <w:jc w:val="both"/>
      </w:pPr>
      <w:r>
        <w:t xml:space="preserve">Sitas, N. </w:t>
      </w:r>
      <w:r>
        <w:rPr>
          <w:i/>
          <w:iCs/>
        </w:rPr>
        <w:t>et al.</w:t>
      </w:r>
      <w:r>
        <w:t xml:space="preserve"> (2016) ‘Fostering collaboration for knowledge and action in disaster management in South Africa’, </w:t>
      </w:r>
      <w:r>
        <w:rPr>
          <w:i/>
          <w:iCs/>
        </w:rPr>
        <w:t>Current Opinion in Environmental Sustainability</w:t>
      </w:r>
      <w:r>
        <w:t xml:space="preserve">, 19, pp. 94–102. Available at: </w:t>
      </w:r>
      <w:hyperlink r:id="rId29" w:history="1">
        <w:r w:rsidRPr="007236B6">
          <w:rPr>
            <w:rStyle w:val="Hyperlink"/>
          </w:rPr>
          <w:t>https://doi.org/10.1016/j.cosust.2015.12.007</w:t>
        </w:r>
      </w:hyperlink>
      <w:r>
        <w:t xml:space="preserve">. </w:t>
      </w:r>
    </w:p>
    <w:p w14:paraId="5CA6E42A" w14:textId="0D8C21D8" w:rsidR="004527F3" w:rsidRDefault="004527F3" w:rsidP="004527F3">
      <w:pPr>
        <w:pStyle w:val="NormalWeb"/>
        <w:spacing w:before="0" w:beforeAutospacing="0" w:after="240" w:afterAutospacing="0" w:line="360" w:lineRule="auto"/>
        <w:ind w:left="720" w:hanging="720"/>
        <w:jc w:val="both"/>
      </w:pPr>
      <w:r>
        <w:lastRenderedPageBreak/>
        <w:t xml:space="preserve">Taiwo, Akeem A, Lawal, Fatai Alani and Agwu, Prof Edwin (2016) </w:t>
      </w:r>
      <w:r>
        <w:rPr>
          <w:i/>
          <w:iCs/>
        </w:rPr>
        <w:t>Vision and Mission in Organization: Myth or Heuristic Device</w:t>
      </w:r>
      <w:proofErr w:type="gramStart"/>
      <w:r>
        <w:rPr>
          <w:i/>
          <w:iCs/>
        </w:rPr>
        <w:t>?</w:t>
      </w:r>
      <w:r>
        <w:t>,</w:t>
      </w:r>
      <w:proofErr w:type="gramEnd"/>
      <w:r>
        <w:t xml:space="preserve"> </w:t>
      </w:r>
      <w:r>
        <w:rPr>
          <w:i/>
          <w:iCs/>
        </w:rPr>
        <w:t>Ssrn.com</w:t>
      </w:r>
      <w:r>
        <w:t xml:space="preserve">. Available at: </w:t>
      </w:r>
      <w:hyperlink r:id="rId30" w:history="1">
        <w:r w:rsidRPr="007236B6">
          <w:rPr>
            <w:rStyle w:val="Hyperlink"/>
          </w:rPr>
          <w:t>https://papers.ssrn.com/sol3/papers.cfm?abstract_id=3122445</w:t>
        </w:r>
      </w:hyperlink>
      <w:r>
        <w:t xml:space="preserve">. </w:t>
      </w:r>
    </w:p>
    <w:p w14:paraId="098C07DD" w14:textId="01525606" w:rsidR="004527F3" w:rsidRDefault="004527F3" w:rsidP="004527F3">
      <w:pPr>
        <w:pStyle w:val="NormalWeb"/>
        <w:spacing w:before="0" w:beforeAutospacing="0" w:after="240" w:afterAutospacing="0" w:line="360" w:lineRule="auto"/>
        <w:ind w:left="720" w:hanging="720"/>
        <w:jc w:val="both"/>
      </w:pPr>
      <w:r>
        <w:rPr>
          <w:i/>
          <w:iCs/>
        </w:rPr>
        <w:t>The Pembrokeshire Beach Food Company - Seaweed &amp; Laverbread</w:t>
      </w:r>
      <w:r>
        <w:t xml:space="preserve"> (no date) </w:t>
      </w:r>
      <w:r>
        <w:rPr>
          <w:i/>
          <w:iCs/>
        </w:rPr>
        <w:t>The Pembrokeshire Beach Food Company</w:t>
      </w:r>
      <w:r>
        <w:t xml:space="preserve">. Available at: </w:t>
      </w:r>
      <w:hyperlink r:id="rId31" w:history="1">
        <w:r w:rsidRPr="007236B6">
          <w:rPr>
            <w:rStyle w:val="Hyperlink"/>
          </w:rPr>
          <w:t>https://beachfood.co.uk/</w:t>
        </w:r>
      </w:hyperlink>
      <w:r>
        <w:t xml:space="preserve">. </w:t>
      </w:r>
    </w:p>
    <w:p w14:paraId="5C164C46" w14:textId="2311D093" w:rsidR="004527F3" w:rsidRDefault="004527F3" w:rsidP="004527F3">
      <w:pPr>
        <w:pStyle w:val="NormalWeb"/>
        <w:spacing w:before="0" w:beforeAutospacing="0" w:after="240" w:afterAutospacing="0" w:line="360" w:lineRule="auto"/>
        <w:ind w:left="720" w:hanging="720"/>
        <w:jc w:val="both"/>
      </w:pPr>
      <w:r>
        <w:t xml:space="preserve">Thrusfield, M. and Brown, H. (2018) ‘Surveys’, </w:t>
      </w:r>
      <w:r>
        <w:rPr>
          <w:i/>
          <w:iCs/>
        </w:rPr>
        <w:t>Veterinary Epidemiology</w:t>
      </w:r>
      <w:r>
        <w:t xml:space="preserve">, pp. 270–295. Available at: </w:t>
      </w:r>
      <w:hyperlink r:id="rId32" w:history="1">
        <w:r w:rsidRPr="007236B6">
          <w:rPr>
            <w:rStyle w:val="Hyperlink"/>
          </w:rPr>
          <w:t>https://doi.org/10.1002/9781118280249.ch13</w:t>
        </w:r>
      </w:hyperlink>
      <w:r>
        <w:t xml:space="preserve">. </w:t>
      </w:r>
    </w:p>
    <w:p w14:paraId="5E7912F6" w14:textId="5863CA5C" w:rsidR="004527F3" w:rsidRDefault="004527F3" w:rsidP="004527F3">
      <w:pPr>
        <w:pStyle w:val="NormalWeb"/>
        <w:spacing w:before="0" w:beforeAutospacing="0" w:after="240" w:afterAutospacing="0" w:line="360" w:lineRule="auto"/>
        <w:ind w:left="720" w:hanging="720"/>
        <w:jc w:val="both"/>
      </w:pPr>
      <w:r>
        <w:t xml:space="preserve">To, C. </w:t>
      </w:r>
      <w:r>
        <w:rPr>
          <w:i/>
          <w:iCs/>
        </w:rPr>
        <w:t>et al.</w:t>
      </w:r>
      <w:r>
        <w:t xml:space="preserve"> (2018) ‘Going for it on Fourth Down: Rivalry Increases Risk Taking, Physiological Arousal, and Promotion Focus’, </w:t>
      </w:r>
      <w:r>
        <w:rPr>
          <w:i/>
          <w:iCs/>
        </w:rPr>
        <w:t>Academy of Management Journal</w:t>
      </w:r>
      <w:r>
        <w:t xml:space="preserve">, 61(4), pp. 1281–1306. Available at: </w:t>
      </w:r>
      <w:hyperlink r:id="rId33" w:history="1">
        <w:r w:rsidRPr="007236B6">
          <w:rPr>
            <w:rStyle w:val="Hyperlink"/>
          </w:rPr>
          <w:t>https://doi.org/10.5465/amj.2016.0850</w:t>
        </w:r>
      </w:hyperlink>
      <w:r>
        <w:t xml:space="preserve">. </w:t>
      </w:r>
    </w:p>
    <w:p w14:paraId="65D95908" w14:textId="2AB08EB6" w:rsidR="004527F3" w:rsidRDefault="004527F3" w:rsidP="004527F3">
      <w:pPr>
        <w:pStyle w:val="NormalWeb"/>
        <w:spacing w:before="0" w:beforeAutospacing="0" w:after="240" w:afterAutospacing="0" w:line="360" w:lineRule="auto"/>
        <w:ind w:left="720" w:hanging="720"/>
        <w:jc w:val="both"/>
      </w:pPr>
      <w:r>
        <w:t xml:space="preserve">Ucbasaran, D. </w:t>
      </w:r>
      <w:r>
        <w:rPr>
          <w:i/>
          <w:iCs/>
        </w:rPr>
        <w:t>et al.</w:t>
      </w:r>
      <w:r>
        <w:t xml:space="preserve"> (2012) ‘Life After Business Failure’, </w:t>
      </w:r>
      <w:r>
        <w:rPr>
          <w:i/>
          <w:iCs/>
        </w:rPr>
        <w:t>Journal of Management</w:t>
      </w:r>
      <w:r>
        <w:t xml:space="preserve">, 39(1), pp. 163–202. Available at: </w:t>
      </w:r>
      <w:hyperlink r:id="rId34" w:history="1">
        <w:r w:rsidRPr="007236B6">
          <w:rPr>
            <w:rStyle w:val="Hyperlink"/>
          </w:rPr>
          <w:t>https://doi.org/10.1177/0149206312457823</w:t>
        </w:r>
      </w:hyperlink>
      <w:r>
        <w:t xml:space="preserve">. </w:t>
      </w:r>
    </w:p>
    <w:p w14:paraId="5E3976CC" w14:textId="54D247E3" w:rsidR="004527F3" w:rsidRDefault="004527F3" w:rsidP="004527F3">
      <w:pPr>
        <w:pStyle w:val="NormalWeb"/>
        <w:spacing w:before="0" w:beforeAutospacing="0" w:after="240" w:afterAutospacing="0" w:line="360" w:lineRule="auto"/>
        <w:ind w:left="720" w:hanging="720"/>
        <w:jc w:val="both"/>
      </w:pPr>
      <w:r>
        <w:t xml:space="preserve">van den Driessen Mareeuw, F. </w:t>
      </w:r>
      <w:r>
        <w:rPr>
          <w:i/>
          <w:iCs/>
        </w:rPr>
        <w:t>et al.</w:t>
      </w:r>
      <w:r>
        <w:t xml:space="preserve"> (2015) ‘Beyond bridging the know-do gap: a qualitative study of systemic interaction to foster knowledge exchange in the public health sector in The Netherlands’, </w:t>
      </w:r>
      <w:r>
        <w:rPr>
          <w:i/>
          <w:iCs/>
        </w:rPr>
        <w:t>BMC Public Health</w:t>
      </w:r>
      <w:r>
        <w:t xml:space="preserve">, 15(1). Available at: </w:t>
      </w:r>
      <w:hyperlink r:id="rId35" w:history="1">
        <w:r w:rsidRPr="007236B6">
          <w:rPr>
            <w:rStyle w:val="Hyperlink"/>
          </w:rPr>
          <w:t>https://doi.org/10.1186/s12889-015-2271-7</w:t>
        </w:r>
      </w:hyperlink>
      <w:r>
        <w:t xml:space="preserve">. </w:t>
      </w:r>
    </w:p>
    <w:p w14:paraId="5D8F69B7" w14:textId="44FBAD81" w:rsidR="004527F3" w:rsidRDefault="004527F3" w:rsidP="004527F3">
      <w:pPr>
        <w:pStyle w:val="NormalWeb"/>
        <w:spacing w:before="0" w:beforeAutospacing="0" w:after="240" w:afterAutospacing="0" w:line="360" w:lineRule="auto"/>
        <w:ind w:left="720" w:hanging="720"/>
        <w:jc w:val="both"/>
      </w:pPr>
      <w:r>
        <w:t xml:space="preserve">Yoon, H.J. </w:t>
      </w:r>
      <w:r>
        <w:rPr>
          <w:i/>
          <w:iCs/>
        </w:rPr>
        <w:t>et al.</w:t>
      </w:r>
      <w:r>
        <w:t xml:space="preserve"> (2015) ‘Tangible and Intangible Rewards and Employee Creativity: The Mediating Role of Situational Extrinsic Motivation’, </w:t>
      </w:r>
      <w:r>
        <w:rPr>
          <w:i/>
          <w:iCs/>
        </w:rPr>
        <w:t>Creativity Research Journal</w:t>
      </w:r>
      <w:r>
        <w:t xml:space="preserve">, 27(4), pp. 383–393. Available at: </w:t>
      </w:r>
      <w:hyperlink r:id="rId36" w:history="1">
        <w:r w:rsidRPr="007236B6">
          <w:rPr>
            <w:rStyle w:val="Hyperlink"/>
          </w:rPr>
          <w:t>https://doi.org/10.1080/10400419.2015.1088283</w:t>
        </w:r>
      </w:hyperlink>
      <w:r>
        <w:t xml:space="preserve">. </w:t>
      </w:r>
    </w:p>
    <w:p w14:paraId="61D78A1D" w14:textId="126AF295" w:rsidR="004527F3" w:rsidRDefault="004527F3" w:rsidP="004527F3">
      <w:pPr>
        <w:pStyle w:val="NormalWeb"/>
        <w:spacing w:before="0" w:beforeAutospacing="0" w:after="240" w:afterAutospacing="0" w:line="360" w:lineRule="auto"/>
        <w:ind w:left="720" w:hanging="720"/>
        <w:jc w:val="both"/>
      </w:pPr>
      <w:r>
        <w:t xml:space="preserve">Yoon, H.J., Sung, S.Y. and Choi, J.N. (2015) ‘Mechanisms Underlying Creative Performance: Employee Perceptions of Intrinsic and Extrinsic Rewards for Creativity’, </w:t>
      </w:r>
      <w:r>
        <w:rPr>
          <w:i/>
          <w:iCs/>
        </w:rPr>
        <w:t>Social Behavior and Personality: an international journal</w:t>
      </w:r>
      <w:r>
        <w:t xml:space="preserve">, 43(7), pp. 1161–1179. Available at: </w:t>
      </w:r>
      <w:hyperlink r:id="rId37" w:history="1">
        <w:r w:rsidRPr="007236B6">
          <w:rPr>
            <w:rStyle w:val="Hyperlink"/>
          </w:rPr>
          <w:t>https://doi.org/10.2224/sbp.2015.43.7.1161</w:t>
        </w:r>
      </w:hyperlink>
      <w:r>
        <w:t xml:space="preserve">. </w:t>
      </w:r>
    </w:p>
    <w:p w14:paraId="24DA654F" w14:textId="58B2E27C" w:rsidR="004527F3" w:rsidRDefault="004527F3" w:rsidP="004527F3">
      <w:pPr>
        <w:pStyle w:val="NormalWeb"/>
        <w:spacing w:before="0" w:beforeAutospacing="0" w:after="240" w:afterAutospacing="0" w:line="360" w:lineRule="auto"/>
        <w:ind w:left="720" w:hanging="720"/>
        <w:jc w:val="both"/>
      </w:pPr>
      <w:r>
        <w:t xml:space="preserve">Zaharee, M. </w:t>
      </w:r>
      <w:r>
        <w:rPr>
          <w:i/>
          <w:iCs/>
        </w:rPr>
        <w:t>et al.</w:t>
      </w:r>
      <w:r>
        <w:t xml:space="preserve"> (2021) ‘How Companies Can Benefit from Brilliant Failures’, </w:t>
      </w:r>
      <w:r>
        <w:rPr>
          <w:i/>
          <w:iCs/>
        </w:rPr>
        <w:t>Research-Technology Management</w:t>
      </w:r>
      <w:r>
        <w:t xml:space="preserve">, 64(2), pp. 31–38. Available at: </w:t>
      </w:r>
      <w:hyperlink r:id="rId38" w:history="1">
        <w:r w:rsidRPr="007236B6">
          <w:rPr>
            <w:rStyle w:val="Hyperlink"/>
          </w:rPr>
          <w:t>https://doi.org/10.1080/08956308.2021.1865000</w:t>
        </w:r>
      </w:hyperlink>
      <w:r>
        <w:t xml:space="preserve">. </w:t>
      </w:r>
    </w:p>
    <w:p w14:paraId="65F59E51" w14:textId="77777777" w:rsidR="0057799A" w:rsidRPr="00347517" w:rsidRDefault="0057799A" w:rsidP="00D62CA8">
      <w:pPr>
        <w:spacing w:line="480" w:lineRule="auto"/>
        <w:ind w:left="720" w:hanging="720"/>
        <w:jc w:val="both"/>
        <w:rPr>
          <w:rFonts w:ascii="Times New Roman" w:hAnsi="Times New Roman" w:cs="Times New Roman"/>
          <w:sz w:val="24"/>
          <w:szCs w:val="24"/>
        </w:rPr>
      </w:pPr>
    </w:p>
    <w:sectPr w:rsidR="0057799A" w:rsidRPr="00347517">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6D3A7" w14:textId="77777777" w:rsidR="00CC0847" w:rsidRDefault="00CC0847" w:rsidP="00AB02BB">
      <w:pPr>
        <w:spacing w:after="0" w:line="240" w:lineRule="auto"/>
      </w:pPr>
      <w:r>
        <w:separator/>
      </w:r>
    </w:p>
  </w:endnote>
  <w:endnote w:type="continuationSeparator" w:id="0">
    <w:p w14:paraId="13C039F9" w14:textId="77777777" w:rsidR="00CC0847" w:rsidRDefault="00CC0847" w:rsidP="00AB0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CB58AC" w14:textId="77777777" w:rsidR="00CC0847" w:rsidRDefault="00CC0847" w:rsidP="00AB02BB">
      <w:pPr>
        <w:spacing w:after="0" w:line="240" w:lineRule="auto"/>
      </w:pPr>
      <w:r>
        <w:separator/>
      </w:r>
    </w:p>
  </w:footnote>
  <w:footnote w:type="continuationSeparator" w:id="0">
    <w:p w14:paraId="6A343455" w14:textId="77777777" w:rsidR="00CC0847" w:rsidRDefault="00CC0847" w:rsidP="00AB02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705406"/>
      <w:docPartObj>
        <w:docPartGallery w:val="Page Numbers (Top of Page)"/>
        <w:docPartUnique/>
      </w:docPartObj>
    </w:sdtPr>
    <w:sdtEndPr>
      <w:rPr>
        <w:noProof/>
      </w:rPr>
    </w:sdtEndPr>
    <w:sdtContent>
      <w:p w14:paraId="128D1253" w14:textId="71FB91D0" w:rsidR="00AB02BB" w:rsidRDefault="00AB02BB">
        <w:pPr>
          <w:pStyle w:val="Header"/>
          <w:jc w:val="right"/>
        </w:pPr>
        <w:r>
          <w:fldChar w:fldCharType="begin"/>
        </w:r>
        <w:r>
          <w:instrText xml:space="preserve"> PAGE   \* MERGEFORMAT </w:instrText>
        </w:r>
        <w:r>
          <w:fldChar w:fldCharType="separate"/>
        </w:r>
        <w:r w:rsidR="00F368A7">
          <w:rPr>
            <w:noProof/>
          </w:rPr>
          <w:t>1</w:t>
        </w:r>
        <w:r>
          <w:rPr>
            <w:noProof/>
          </w:rPr>
          <w:fldChar w:fldCharType="end"/>
        </w:r>
      </w:p>
    </w:sdtContent>
  </w:sdt>
  <w:p w14:paraId="7B7B55C2" w14:textId="77777777" w:rsidR="00AB02BB" w:rsidRDefault="00AB02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07294"/>
    <w:multiLevelType w:val="hybridMultilevel"/>
    <w:tmpl w:val="F2068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AD54DC2"/>
    <w:multiLevelType w:val="hybridMultilevel"/>
    <w:tmpl w:val="BF803AB2"/>
    <w:lvl w:ilvl="0" w:tplc="0B46C534">
      <w:start w:val="1"/>
      <w:numFmt w:val="decimal"/>
      <w:lvlText w:val="%1."/>
      <w:lvlJc w:val="left"/>
      <w:pPr>
        <w:ind w:left="720" w:hanging="360"/>
      </w:pPr>
    </w:lvl>
    <w:lvl w:ilvl="1" w:tplc="16589E1E">
      <w:start w:val="1"/>
      <w:numFmt w:val="lowerLetter"/>
      <w:lvlText w:val="%2."/>
      <w:lvlJc w:val="left"/>
      <w:pPr>
        <w:ind w:left="1440" w:hanging="360"/>
      </w:pPr>
    </w:lvl>
    <w:lvl w:ilvl="2" w:tplc="6F08E84A">
      <w:start w:val="1"/>
      <w:numFmt w:val="lowerRoman"/>
      <w:lvlText w:val="%3."/>
      <w:lvlJc w:val="right"/>
      <w:pPr>
        <w:ind w:left="2160" w:hanging="180"/>
      </w:pPr>
    </w:lvl>
    <w:lvl w:ilvl="3" w:tplc="03264742">
      <w:start w:val="1"/>
      <w:numFmt w:val="decimal"/>
      <w:lvlText w:val="%4."/>
      <w:lvlJc w:val="left"/>
      <w:pPr>
        <w:ind w:left="2880" w:hanging="360"/>
      </w:pPr>
    </w:lvl>
    <w:lvl w:ilvl="4" w:tplc="397CBB54">
      <w:start w:val="1"/>
      <w:numFmt w:val="lowerLetter"/>
      <w:lvlText w:val="%5."/>
      <w:lvlJc w:val="left"/>
      <w:pPr>
        <w:ind w:left="3600" w:hanging="360"/>
      </w:pPr>
    </w:lvl>
    <w:lvl w:ilvl="5" w:tplc="F8D6C9FC">
      <w:start w:val="1"/>
      <w:numFmt w:val="lowerRoman"/>
      <w:lvlText w:val="%6."/>
      <w:lvlJc w:val="right"/>
      <w:pPr>
        <w:ind w:left="4320" w:hanging="180"/>
      </w:pPr>
    </w:lvl>
    <w:lvl w:ilvl="6" w:tplc="5F8E2218">
      <w:start w:val="1"/>
      <w:numFmt w:val="decimal"/>
      <w:lvlText w:val="%7."/>
      <w:lvlJc w:val="left"/>
      <w:pPr>
        <w:ind w:left="5040" w:hanging="360"/>
      </w:pPr>
    </w:lvl>
    <w:lvl w:ilvl="7" w:tplc="7E621B7C">
      <w:start w:val="1"/>
      <w:numFmt w:val="lowerLetter"/>
      <w:lvlText w:val="%8."/>
      <w:lvlJc w:val="left"/>
      <w:pPr>
        <w:ind w:left="5760" w:hanging="360"/>
      </w:pPr>
    </w:lvl>
    <w:lvl w:ilvl="8" w:tplc="AD229C0A">
      <w:start w:val="1"/>
      <w:numFmt w:val="lowerRoman"/>
      <w:lvlText w:val="%9."/>
      <w:lvlJc w:val="right"/>
      <w:pPr>
        <w:ind w:left="6480" w:hanging="180"/>
      </w:pPr>
    </w:lvl>
  </w:abstractNum>
  <w:abstractNum w:abstractNumId="2">
    <w:nsid w:val="5A5F38CD"/>
    <w:multiLevelType w:val="hybridMultilevel"/>
    <w:tmpl w:val="BA4685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F657653"/>
    <w:multiLevelType w:val="multilevel"/>
    <w:tmpl w:val="2FD6A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FB4C6C"/>
    <w:multiLevelType w:val="hybridMultilevel"/>
    <w:tmpl w:val="193C763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7922B7D"/>
    <w:multiLevelType w:val="hybridMultilevel"/>
    <w:tmpl w:val="7B3E7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UztDA3tzA3NjewMDRT0lEKTi0uzszPAykwqgUAeT6xMCwAAAA="/>
  </w:docVars>
  <w:rsids>
    <w:rsidRoot w:val="00AF2D1D"/>
    <w:rsid w:val="000115CE"/>
    <w:rsid w:val="0006324E"/>
    <w:rsid w:val="00071061"/>
    <w:rsid w:val="000727B1"/>
    <w:rsid w:val="000E306B"/>
    <w:rsid w:val="000F1CE9"/>
    <w:rsid w:val="001247BC"/>
    <w:rsid w:val="00166BD5"/>
    <w:rsid w:val="00174878"/>
    <w:rsid w:val="001A5A1C"/>
    <w:rsid w:val="001E18EE"/>
    <w:rsid w:val="00205C83"/>
    <w:rsid w:val="0026282A"/>
    <w:rsid w:val="00266B26"/>
    <w:rsid w:val="00283E32"/>
    <w:rsid w:val="00292F2F"/>
    <w:rsid w:val="00347517"/>
    <w:rsid w:val="00443874"/>
    <w:rsid w:val="00445EA9"/>
    <w:rsid w:val="004527F3"/>
    <w:rsid w:val="00472DC2"/>
    <w:rsid w:val="00493D1B"/>
    <w:rsid w:val="004C2072"/>
    <w:rsid w:val="004C7D85"/>
    <w:rsid w:val="005064A9"/>
    <w:rsid w:val="0057799A"/>
    <w:rsid w:val="00580C4C"/>
    <w:rsid w:val="00590EA1"/>
    <w:rsid w:val="005C2161"/>
    <w:rsid w:val="005E1C52"/>
    <w:rsid w:val="00601139"/>
    <w:rsid w:val="006E35D4"/>
    <w:rsid w:val="00730AA7"/>
    <w:rsid w:val="0087752A"/>
    <w:rsid w:val="00890A0A"/>
    <w:rsid w:val="008A71F1"/>
    <w:rsid w:val="0093769C"/>
    <w:rsid w:val="00963EB6"/>
    <w:rsid w:val="00972160"/>
    <w:rsid w:val="009B209B"/>
    <w:rsid w:val="00A06119"/>
    <w:rsid w:val="00A10124"/>
    <w:rsid w:val="00A379F9"/>
    <w:rsid w:val="00AB02BB"/>
    <w:rsid w:val="00AF2D1D"/>
    <w:rsid w:val="00C13F96"/>
    <w:rsid w:val="00C84025"/>
    <w:rsid w:val="00C95683"/>
    <w:rsid w:val="00CA4304"/>
    <w:rsid w:val="00CC0847"/>
    <w:rsid w:val="00CE3622"/>
    <w:rsid w:val="00D62CA8"/>
    <w:rsid w:val="00DA63F1"/>
    <w:rsid w:val="00E61173"/>
    <w:rsid w:val="00EA7578"/>
    <w:rsid w:val="00F15E77"/>
    <w:rsid w:val="00F368A7"/>
    <w:rsid w:val="00F646AB"/>
    <w:rsid w:val="00F67651"/>
    <w:rsid w:val="00F73371"/>
    <w:rsid w:val="00F91FF0"/>
    <w:rsid w:val="00FA3024"/>
    <w:rsid w:val="00FB6262"/>
    <w:rsid w:val="0272C118"/>
    <w:rsid w:val="0B4AA07F"/>
    <w:rsid w:val="1E436235"/>
    <w:rsid w:val="210ED002"/>
    <w:rsid w:val="23BACE8C"/>
    <w:rsid w:val="27BDB7F7"/>
    <w:rsid w:val="379C22D6"/>
    <w:rsid w:val="3EDE116A"/>
    <w:rsid w:val="416BCF31"/>
    <w:rsid w:val="449614F5"/>
    <w:rsid w:val="45C090F3"/>
    <w:rsid w:val="48ADBDC5"/>
    <w:rsid w:val="49614BF1"/>
    <w:rsid w:val="49B04028"/>
    <w:rsid w:val="4B7AAB57"/>
    <w:rsid w:val="4D605259"/>
    <w:rsid w:val="5016D68C"/>
    <w:rsid w:val="54E4335F"/>
    <w:rsid w:val="556B643E"/>
    <w:rsid w:val="5606F19D"/>
    <w:rsid w:val="66FC71BA"/>
    <w:rsid w:val="7C0C2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33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75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3E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025"/>
    <w:pPr>
      <w:ind w:left="720"/>
      <w:contextualSpacing/>
    </w:pPr>
  </w:style>
  <w:style w:type="character" w:customStyle="1" w:styleId="Heading1Char">
    <w:name w:val="Heading 1 Char"/>
    <w:basedOn w:val="DefaultParagraphFont"/>
    <w:link w:val="Heading1"/>
    <w:uiPriority w:val="9"/>
    <w:rsid w:val="00EA757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47517"/>
    <w:pPr>
      <w:outlineLvl w:val="9"/>
    </w:pPr>
    <w:rPr>
      <w:lang w:val="en-US"/>
    </w:rPr>
  </w:style>
  <w:style w:type="paragraph" w:styleId="TOC1">
    <w:name w:val="toc 1"/>
    <w:basedOn w:val="Normal"/>
    <w:next w:val="Normal"/>
    <w:autoRedefine/>
    <w:uiPriority w:val="39"/>
    <w:unhideWhenUsed/>
    <w:rsid w:val="00347517"/>
    <w:pPr>
      <w:spacing w:after="100"/>
    </w:pPr>
  </w:style>
  <w:style w:type="character" w:styleId="Hyperlink">
    <w:name w:val="Hyperlink"/>
    <w:basedOn w:val="DefaultParagraphFont"/>
    <w:uiPriority w:val="99"/>
    <w:unhideWhenUsed/>
    <w:rsid w:val="00347517"/>
    <w:rPr>
      <w:color w:val="0563C1" w:themeColor="hyperlink"/>
      <w:u w:val="single"/>
    </w:rPr>
  </w:style>
  <w:style w:type="paragraph" w:styleId="NormalWeb">
    <w:name w:val="Normal (Web)"/>
    <w:basedOn w:val="Normal"/>
    <w:uiPriority w:val="99"/>
    <w:semiHidden/>
    <w:unhideWhenUsed/>
    <w:rsid w:val="003475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347517"/>
    <w:rPr>
      <w:color w:val="605E5C"/>
      <w:shd w:val="clear" w:color="auto" w:fill="E1DFDD"/>
    </w:rPr>
  </w:style>
  <w:style w:type="character" w:customStyle="1" w:styleId="Heading2Char">
    <w:name w:val="Heading 2 Char"/>
    <w:basedOn w:val="DefaultParagraphFont"/>
    <w:link w:val="Heading2"/>
    <w:uiPriority w:val="9"/>
    <w:rsid w:val="00283E32"/>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F1CE9"/>
    <w:pPr>
      <w:spacing w:after="100"/>
      <w:ind w:left="220"/>
    </w:pPr>
  </w:style>
  <w:style w:type="paragraph" w:styleId="Header">
    <w:name w:val="header"/>
    <w:basedOn w:val="Normal"/>
    <w:link w:val="HeaderChar"/>
    <w:uiPriority w:val="99"/>
    <w:unhideWhenUsed/>
    <w:rsid w:val="00AB02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2BB"/>
  </w:style>
  <w:style w:type="paragraph" w:styleId="Footer">
    <w:name w:val="footer"/>
    <w:basedOn w:val="Normal"/>
    <w:link w:val="FooterChar"/>
    <w:uiPriority w:val="99"/>
    <w:unhideWhenUsed/>
    <w:rsid w:val="00AB02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2BB"/>
  </w:style>
  <w:style w:type="paragraph" w:styleId="BalloonText">
    <w:name w:val="Balloon Text"/>
    <w:basedOn w:val="Normal"/>
    <w:link w:val="BalloonTextChar"/>
    <w:uiPriority w:val="99"/>
    <w:semiHidden/>
    <w:unhideWhenUsed/>
    <w:rsid w:val="00877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5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75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3E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025"/>
    <w:pPr>
      <w:ind w:left="720"/>
      <w:contextualSpacing/>
    </w:pPr>
  </w:style>
  <w:style w:type="character" w:customStyle="1" w:styleId="Heading1Char">
    <w:name w:val="Heading 1 Char"/>
    <w:basedOn w:val="DefaultParagraphFont"/>
    <w:link w:val="Heading1"/>
    <w:uiPriority w:val="9"/>
    <w:rsid w:val="00EA757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47517"/>
    <w:pPr>
      <w:outlineLvl w:val="9"/>
    </w:pPr>
    <w:rPr>
      <w:lang w:val="en-US"/>
    </w:rPr>
  </w:style>
  <w:style w:type="paragraph" w:styleId="TOC1">
    <w:name w:val="toc 1"/>
    <w:basedOn w:val="Normal"/>
    <w:next w:val="Normal"/>
    <w:autoRedefine/>
    <w:uiPriority w:val="39"/>
    <w:unhideWhenUsed/>
    <w:rsid w:val="00347517"/>
    <w:pPr>
      <w:spacing w:after="100"/>
    </w:pPr>
  </w:style>
  <w:style w:type="character" w:styleId="Hyperlink">
    <w:name w:val="Hyperlink"/>
    <w:basedOn w:val="DefaultParagraphFont"/>
    <w:uiPriority w:val="99"/>
    <w:unhideWhenUsed/>
    <w:rsid w:val="00347517"/>
    <w:rPr>
      <w:color w:val="0563C1" w:themeColor="hyperlink"/>
      <w:u w:val="single"/>
    </w:rPr>
  </w:style>
  <w:style w:type="paragraph" w:styleId="NormalWeb">
    <w:name w:val="Normal (Web)"/>
    <w:basedOn w:val="Normal"/>
    <w:uiPriority w:val="99"/>
    <w:semiHidden/>
    <w:unhideWhenUsed/>
    <w:rsid w:val="003475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347517"/>
    <w:rPr>
      <w:color w:val="605E5C"/>
      <w:shd w:val="clear" w:color="auto" w:fill="E1DFDD"/>
    </w:rPr>
  </w:style>
  <w:style w:type="character" w:customStyle="1" w:styleId="Heading2Char">
    <w:name w:val="Heading 2 Char"/>
    <w:basedOn w:val="DefaultParagraphFont"/>
    <w:link w:val="Heading2"/>
    <w:uiPriority w:val="9"/>
    <w:rsid w:val="00283E32"/>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F1CE9"/>
    <w:pPr>
      <w:spacing w:after="100"/>
      <w:ind w:left="220"/>
    </w:pPr>
  </w:style>
  <w:style w:type="paragraph" w:styleId="Header">
    <w:name w:val="header"/>
    <w:basedOn w:val="Normal"/>
    <w:link w:val="HeaderChar"/>
    <w:uiPriority w:val="99"/>
    <w:unhideWhenUsed/>
    <w:rsid w:val="00AB02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2BB"/>
  </w:style>
  <w:style w:type="paragraph" w:styleId="Footer">
    <w:name w:val="footer"/>
    <w:basedOn w:val="Normal"/>
    <w:link w:val="FooterChar"/>
    <w:uiPriority w:val="99"/>
    <w:unhideWhenUsed/>
    <w:rsid w:val="00AB02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2BB"/>
  </w:style>
  <w:style w:type="paragraph" w:styleId="BalloonText">
    <w:name w:val="Balloon Text"/>
    <w:basedOn w:val="Normal"/>
    <w:link w:val="BalloonTextChar"/>
    <w:uiPriority w:val="99"/>
    <w:semiHidden/>
    <w:unhideWhenUsed/>
    <w:rsid w:val="00877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5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59485">
      <w:bodyDiv w:val="1"/>
      <w:marLeft w:val="0"/>
      <w:marRight w:val="0"/>
      <w:marTop w:val="0"/>
      <w:marBottom w:val="0"/>
      <w:divBdr>
        <w:top w:val="none" w:sz="0" w:space="0" w:color="auto"/>
        <w:left w:val="none" w:sz="0" w:space="0" w:color="auto"/>
        <w:bottom w:val="none" w:sz="0" w:space="0" w:color="auto"/>
        <w:right w:val="none" w:sz="0" w:space="0" w:color="auto"/>
      </w:divBdr>
      <w:divsChild>
        <w:div w:id="1191333250">
          <w:marLeft w:val="0"/>
          <w:marRight w:val="0"/>
          <w:marTop w:val="0"/>
          <w:marBottom w:val="0"/>
          <w:divBdr>
            <w:top w:val="none" w:sz="0" w:space="0" w:color="auto"/>
            <w:left w:val="none" w:sz="0" w:space="0" w:color="auto"/>
            <w:bottom w:val="none" w:sz="0" w:space="0" w:color="auto"/>
            <w:right w:val="none" w:sz="0" w:space="0" w:color="auto"/>
          </w:divBdr>
        </w:div>
      </w:divsChild>
    </w:div>
    <w:div w:id="201134128">
      <w:bodyDiv w:val="1"/>
      <w:marLeft w:val="0"/>
      <w:marRight w:val="0"/>
      <w:marTop w:val="0"/>
      <w:marBottom w:val="0"/>
      <w:divBdr>
        <w:top w:val="none" w:sz="0" w:space="0" w:color="auto"/>
        <w:left w:val="none" w:sz="0" w:space="0" w:color="auto"/>
        <w:bottom w:val="none" w:sz="0" w:space="0" w:color="auto"/>
        <w:right w:val="none" w:sz="0" w:space="0" w:color="auto"/>
      </w:divBdr>
      <w:divsChild>
        <w:div w:id="753547221">
          <w:marLeft w:val="0"/>
          <w:marRight w:val="0"/>
          <w:marTop w:val="0"/>
          <w:marBottom w:val="0"/>
          <w:divBdr>
            <w:top w:val="none" w:sz="0" w:space="0" w:color="auto"/>
            <w:left w:val="none" w:sz="0" w:space="0" w:color="auto"/>
            <w:bottom w:val="none" w:sz="0" w:space="0" w:color="auto"/>
            <w:right w:val="none" w:sz="0" w:space="0" w:color="auto"/>
          </w:divBdr>
        </w:div>
      </w:divsChild>
    </w:div>
    <w:div w:id="672731422">
      <w:bodyDiv w:val="1"/>
      <w:marLeft w:val="0"/>
      <w:marRight w:val="0"/>
      <w:marTop w:val="0"/>
      <w:marBottom w:val="0"/>
      <w:divBdr>
        <w:top w:val="none" w:sz="0" w:space="0" w:color="auto"/>
        <w:left w:val="none" w:sz="0" w:space="0" w:color="auto"/>
        <w:bottom w:val="none" w:sz="0" w:space="0" w:color="auto"/>
        <w:right w:val="none" w:sz="0" w:space="0" w:color="auto"/>
      </w:divBdr>
      <w:divsChild>
        <w:div w:id="2077894630">
          <w:marLeft w:val="0"/>
          <w:marRight w:val="0"/>
          <w:marTop w:val="0"/>
          <w:marBottom w:val="0"/>
          <w:divBdr>
            <w:top w:val="none" w:sz="0" w:space="0" w:color="auto"/>
            <w:left w:val="none" w:sz="0" w:space="0" w:color="auto"/>
            <w:bottom w:val="none" w:sz="0" w:space="0" w:color="auto"/>
            <w:right w:val="none" w:sz="0" w:space="0" w:color="auto"/>
          </w:divBdr>
        </w:div>
      </w:divsChild>
    </w:div>
    <w:div w:id="704059316">
      <w:bodyDiv w:val="1"/>
      <w:marLeft w:val="0"/>
      <w:marRight w:val="0"/>
      <w:marTop w:val="0"/>
      <w:marBottom w:val="0"/>
      <w:divBdr>
        <w:top w:val="none" w:sz="0" w:space="0" w:color="auto"/>
        <w:left w:val="none" w:sz="0" w:space="0" w:color="auto"/>
        <w:bottom w:val="none" w:sz="0" w:space="0" w:color="auto"/>
        <w:right w:val="none" w:sz="0" w:space="0" w:color="auto"/>
      </w:divBdr>
    </w:div>
    <w:div w:id="1249314029">
      <w:bodyDiv w:val="1"/>
      <w:marLeft w:val="0"/>
      <w:marRight w:val="0"/>
      <w:marTop w:val="0"/>
      <w:marBottom w:val="0"/>
      <w:divBdr>
        <w:top w:val="none" w:sz="0" w:space="0" w:color="auto"/>
        <w:left w:val="none" w:sz="0" w:space="0" w:color="auto"/>
        <w:bottom w:val="none" w:sz="0" w:space="0" w:color="auto"/>
        <w:right w:val="none" w:sz="0" w:space="0" w:color="auto"/>
      </w:divBdr>
      <w:divsChild>
        <w:div w:id="1753768969">
          <w:marLeft w:val="0"/>
          <w:marRight w:val="0"/>
          <w:marTop w:val="0"/>
          <w:marBottom w:val="0"/>
          <w:divBdr>
            <w:top w:val="none" w:sz="0" w:space="0" w:color="auto"/>
            <w:left w:val="none" w:sz="0" w:space="0" w:color="auto"/>
            <w:bottom w:val="none" w:sz="0" w:space="0" w:color="auto"/>
            <w:right w:val="none" w:sz="0" w:space="0" w:color="auto"/>
          </w:divBdr>
        </w:div>
      </w:divsChild>
    </w:div>
    <w:div w:id="172112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yperlink" Target="https://doi.org/10.1080/09585190500083020" TargetMode="External"/><Relationship Id="rId26" Type="http://schemas.openxmlformats.org/officeDocument/2006/relationships/hyperlink" Target="https://www.diva-portal.org/smash/record.jsf?pid=diva2:1333037"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ooks.google.com/books?hl=en&amp;lr=&amp;id=ThoKFVWKGnwC&amp;oi=fnd&amp;pg=PP5&amp;dq=Surveys" TargetMode="External"/><Relationship Id="rId34" Type="http://schemas.openxmlformats.org/officeDocument/2006/relationships/hyperlink" Target="https://doi.org/10.1177/0149206312457823"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yperlink" Target="https://doi.org/10.1177/01492063211014276" TargetMode="External"/><Relationship Id="rId25" Type="http://schemas.openxmlformats.org/officeDocument/2006/relationships/hyperlink" Target="https://books.google.com/books?hl=en&amp;lr=&amp;id=nREPDQAAQBAJ&amp;oi=fnd&amp;pg=PT8&amp;dq=mindset+of+innovation+for+businesses&amp;ots=U6VtmM5HL_&amp;sig=M_50efEFD7V2yqQ7FIrR3F2wWrY" TargetMode="External"/><Relationship Id="rId33" Type="http://schemas.openxmlformats.org/officeDocument/2006/relationships/hyperlink" Target="https://doi.org/10.5465/amj.2016.0850" TargetMode="External"/><Relationship Id="rId38" Type="http://schemas.openxmlformats.org/officeDocument/2006/relationships/hyperlink" Target="https://doi.org/10.1080/08956308.2021.1865000" TargetMode="External"/><Relationship Id="rId2" Type="http://schemas.openxmlformats.org/officeDocument/2006/relationships/numbering" Target="numbering.xml"/><Relationship Id="rId16" Type="http://schemas.openxmlformats.org/officeDocument/2006/relationships/hyperlink" Target="https://doi.org/10.1016/j.cities.2020.102873" TargetMode="External"/><Relationship Id="rId20" Type="http://schemas.openxmlformats.org/officeDocument/2006/relationships/hyperlink" Target="https://doi.org/10.1016/j.irfa.2022.102430" TargetMode="External"/><Relationship Id="rId29" Type="http://schemas.openxmlformats.org/officeDocument/2006/relationships/hyperlink" Target="https://doi.org/10.1016/j.cosust.2015.12.00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s://www.emerald.com/insight/content/doi/10.1108/EJIM-03-2022-0156/full/html" TargetMode="External"/><Relationship Id="rId32" Type="http://schemas.openxmlformats.org/officeDocument/2006/relationships/hyperlink" Target="https://doi.org/10.1002/9781118280249.ch13" TargetMode="External"/><Relationship Id="rId37" Type="http://schemas.openxmlformats.org/officeDocument/2006/relationships/hyperlink" Target="https://doi.org/10.2224/sbp.2015.43.7.1161"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emerald.com/insight/content/doi/10.1108/IMDS-08-2018-0365/full/html" TargetMode="External"/><Relationship Id="rId23" Type="http://schemas.openxmlformats.org/officeDocument/2006/relationships/hyperlink" Target="https://doi.org/10.1177/1548051816630226" TargetMode="External"/><Relationship Id="rId28" Type="http://schemas.openxmlformats.org/officeDocument/2006/relationships/hyperlink" Target="https://doi.org/10.1007/978-3-030-43620-9_7" TargetMode="External"/><Relationship Id="rId36" Type="http://schemas.openxmlformats.org/officeDocument/2006/relationships/hyperlink" Target="https://doi.org/10.1080/10400419.2015.1088283" TargetMode="External"/><Relationship Id="rId10" Type="http://schemas.openxmlformats.org/officeDocument/2006/relationships/diagramLayout" Target="diagrams/layout1.xml"/><Relationship Id="rId19" Type="http://schemas.openxmlformats.org/officeDocument/2006/relationships/hyperlink" Target="https://eric.ed.gov/?id=EJ1038728" TargetMode="External"/><Relationship Id="rId31" Type="http://schemas.openxmlformats.org/officeDocument/2006/relationships/hyperlink" Target="https://beachfood.co.uk/"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hyperlink" Target="https://doi.org/10.1287/mnsc.1090.1079" TargetMode="External"/><Relationship Id="rId27" Type="http://schemas.openxmlformats.org/officeDocument/2006/relationships/hyperlink" Target="https://doi.org/10.1016/j.indmarman.2018.06.009" TargetMode="External"/><Relationship Id="rId30" Type="http://schemas.openxmlformats.org/officeDocument/2006/relationships/hyperlink" Target="https://papers.ssrn.com/sol3/papers.cfm?abstract_id=3122445" TargetMode="External"/><Relationship Id="rId35" Type="http://schemas.openxmlformats.org/officeDocument/2006/relationships/hyperlink" Target="https://doi.org/10.1186/s12889-015-2271-7"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cap="all" spc="5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Cost in GBP</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3EDA-4DD3-986A-5868D478FA8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3EDA-4DD3-986A-5868D478FA8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3EDA-4DD3-986A-5868D478FA8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3EDA-4DD3-986A-5868D478FA83}"/>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3EDA-4DD3-986A-5868D478FA83}"/>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B-3EDA-4DD3-986A-5868D478FA83}"/>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D-3EDA-4DD3-986A-5868D478FA83}"/>
              </c:ext>
            </c:extLst>
          </c:dPt>
          <c:dLbls>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Sheet1!$A$2:$A$8</c:f>
              <c:strCache>
                <c:ptCount val="7"/>
                <c:pt idx="0">
                  <c:v>Establish metrics and evaluation processes</c:v>
                </c:pt>
                <c:pt idx="1">
                  <c:v>Provide resources and support</c:v>
                </c:pt>
                <c:pt idx="2">
                  <c:v>Establish a rewards and recognition program</c:v>
                </c:pt>
                <c:pt idx="3">
                  <c:v>Develop training and development programs</c:v>
                </c:pt>
                <c:pt idx="4">
                  <c:v>Conduct survey to assess the state of innovation</c:v>
                </c:pt>
                <c:pt idx="5">
                  <c:v>Establish a cross-functional team to lead the innovation initiative</c:v>
                </c:pt>
                <c:pt idx="6">
                  <c:v>Develop a clear vision and mission statement</c:v>
                </c:pt>
              </c:strCache>
            </c:strRef>
          </c:cat>
          <c:val>
            <c:numRef>
              <c:f>Sheet1!$B$2:$B$8</c:f>
              <c:numCache>
                <c:formatCode>#,##0</c:formatCode>
                <c:ptCount val="7"/>
                <c:pt idx="0">
                  <c:v>3000</c:v>
                </c:pt>
                <c:pt idx="1">
                  <c:v>10000</c:v>
                </c:pt>
                <c:pt idx="2">
                  <c:v>2500</c:v>
                </c:pt>
                <c:pt idx="3">
                  <c:v>5000</c:v>
                </c:pt>
                <c:pt idx="4">
                  <c:v>2000</c:v>
                </c:pt>
                <c:pt idx="5">
                  <c:v>3000</c:v>
                </c:pt>
                <c:pt idx="6">
                  <c:v>1500</c:v>
                </c:pt>
              </c:numCache>
            </c:numRef>
          </c:val>
          <c:extLst xmlns:c16r2="http://schemas.microsoft.com/office/drawing/2015/06/chart">
            <c:ext xmlns:c16="http://schemas.microsoft.com/office/drawing/2014/chart" uri="{C3380CC4-5D6E-409C-BE32-E72D297353CC}">
              <c16:uniqueId val="{00000000-A41A-4D4C-A3F8-909C5A427AB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BF8A18-174E-4207-9526-E058498E4677}" type="doc">
      <dgm:prSet loTypeId="urn:microsoft.com/office/officeart/2005/8/layout/radial5" loCatId="cycle" qsTypeId="urn:microsoft.com/office/officeart/2005/8/quickstyle/3d1" qsCatId="3D" csTypeId="urn:microsoft.com/office/officeart/2005/8/colors/colorful5" csCatId="colorful" phldr="1"/>
      <dgm:spPr/>
      <dgm:t>
        <a:bodyPr/>
        <a:lstStyle/>
        <a:p>
          <a:endParaRPr lang="en-US"/>
        </a:p>
      </dgm:t>
    </dgm:pt>
    <dgm:pt modelId="{507C870B-DFFD-412B-9440-7C8F810013F2}">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Leadership Strategy</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26649A2B-69AC-4E65-93CD-821682D7F133}" type="parTrans" cxnId="{11C0A578-8CE3-47F3-B28D-728DDC0CFC5A}">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0982D2D0-F26B-4CFB-8259-C39B6D46BEE9}" type="sibTrans" cxnId="{11C0A578-8CE3-47F3-B28D-728DDC0CFC5A}">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F11D4842-5C47-4E7C-B1A7-678675DD09D4}">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Vision &amp; Mission Statement</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73944F1B-287D-46CE-9DD9-707D48B8F3C1}" type="parTrans" cxnId="{63A3229E-36D0-476D-9975-200000A38E94}">
      <dgm:prSet custT="1"/>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98116319-7B4F-4A3E-9663-C863C836EAE4}" type="sibTrans" cxnId="{63A3229E-36D0-476D-9975-200000A38E94}">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F7F6AA8C-960F-4838-AB45-635451FD55C4}">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Promote Experimentation and Risk-Taking</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75BA8381-531A-4604-89F0-54B3B7D76C59}" type="parTrans" cxnId="{3DA3BDC5-426C-4A34-B40A-27CA576D85A4}">
      <dgm:prSet custT="1"/>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4DDC73A4-A0EA-4357-81DE-50E17C688F68}" type="sibTrans" cxnId="{3DA3BDC5-426C-4A34-B40A-27CA576D85A4}">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ACA306AB-1CBE-4EDB-B78D-11F15CB4E8C6}">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Fostering Collaboration and Knowledge Exchange</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7B99EB44-2349-4563-B2FD-197D58770281}" type="parTrans" cxnId="{9B769BD8-F2A4-437A-A14D-8395643943BE}">
      <dgm:prSet custT="1"/>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76CE682E-BCC3-47A9-AE6C-53D1381D641E}" type="sibTrans" cxnId="{9B769BD8-F2A4-437A-A14D-8395643943BE}">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AAADD0A8-2935-489E-9D7F-4A2E441CCBCF}">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Metrics and Evaluation</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40F6B54F-EF7F-4FBB-99CE-C5347A4C2FA4}" type="parTrans" cxnId="{5F20925C-806A-4B9B-AE94-7A47D0DC5EE0}">
      <dgm:prSet custT="1"/>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B2FC6483-78DB-4042-9299-F8C98A2B9927}" type="sibTrans" cxnId="{5F20925C-806A-4B9B-AE94-7A47D0DC5EE0}">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0D17FC6E-AFD3-42BF-98D9-C79CD2F9130B}">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Providing Resources and Assistance</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06D6C000-24B9-4B28-BF05-E05555FA17C2}" type="parTrans" cxnId="{86C44AB1-A3BD-4425-856F-FE9622B96616}">
      <dgm:prSet custT="1"/>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6E1BC78F-D996-42EE-97EE-6ED9E3A0E0A2}" type="sibTrans" cxnId="{86C44AB1-A3BD-4425-856F-FE9622B96616}">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3C289678-4E55-4E5E-ACC2-29C3AAE1D4AA}">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Promoting and Rewarding Creativity</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9760B1AB-4040-4A8F-BA3D-A341B6B03D36}" type="parTrans" cxnId="{0C137812-7C9D-479A-8540-4F41013F7B5A}">
      <dgm:prSet custT="1"/>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95793812-7899-4187-AF0C-5890E8544F27}" type="sibTrans" cxnId="{0C137812-7C9D-479A-8540-4F41013F7B5A}">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E540D3D6-B761-4DB9-BAA6-9D6C61B31D47}">
      <dgm:prSet phldrT="[Text]" custT="1"/>
      <dgm:spPr/>
      <dgm:t>
        <a:bodyPr/>
        <a:lstStyle/>
        <a:p>
          <a:r>
            <a:rPr lang="en-GB" sz="1100" b="0">
              <a:solidFill>
                <a:sysClr val="windowText" lastClr="000000"/>
              </a:solidFill>
              <a:latin typeface="Times New Roman" panose="02020603050405020304" pitchFamily="18" charset="0"/>
              <a:cs typeface="Times New Roman" panose="02020603050405020304" pitchFamily="18" charset="0"/>
            </a:rPr>
            <a:t>Accepting Failure as a Learning Experience</a:t>
          </a:r>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CDACD6C1-CF2C-497E-9D17-13AC2CAC1809}" type="parTrans" cxnId="{41375836-3D36-4211-8A25-40F4C6A7FDF0}">
      <dgm:prSet custT="1"/>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683AAFE6-70F9-4AFB-90D1-F7F78C689CA6}" type="sibTrans" cxnId="{41375836-3D36-4211-8A25-40F4C6A7FDF0}">
      <dgm:prSet/>
      <dgm:spPr/>
      <dgm:t>
        <a:bodyPr/>
        <a:lstStyle/>
        <a:p>
          <a:endParaRPr lang="en-US" sz="1100" b="0">
            <a:solidFill>
              <a:sysClr val="windowText" lastClr="000000"/>
            </a:solidFill>
            <a:latin typeface="Times New Roman" panose="02020603050405020304" pitchFamily="18" charset="0"/>
            <a:cs typeface="Times New Roman" panose="02020603050405020304" pitchFamily="18" charset="0"/>
          </a:endParaRPr>
        </a:p>
      </dgm:t>
    </dgm:pt>
    <dgm:pt modelId="{07CE3043-74EA-49E4-B269-16FFD519FC9C}" type="pres">
      <dgm:prSet presAssocID="{89BF8A18-174E-4207-9526-E058498E4677}" presName="Name0" presStyleCnt="0">
        <dgm:presLayoutVars>
          <dgm:chMax val="1"/>
          <dgm:dir/>
          <dgm:animLvl val="ctr"/>
          <dgm:resizeHandles val="exact"/>
        </dgm:presLayoutVars>
      </dgm:prSet>
      <dgm:spPr/>
      <dgm:t>
        <a:bodyPr/>
        <a:lstStyle/>
        <a:p>
          <a:endParaRPr lang="en-IN"/>
        </a:p>
      </dgm:t>
    </dgm:pt>
    <dgm:pt modelId="{0F2AA07F-BA32-4ACD-A618-A4F5B9D14B02}" type="pres">
      <dgm:prSet presAssocID="{507C870B-DFFD-412B-9440-7C8F810013F2}" presName="centerShape" presStyleLbl="node0" presStyleIdx="0" presStyleCnt="1"/>
      <dgm:spPr/>
      <dgm:t>
        <a:bodyPr/>
        <a:lstStyle/>
        <a:p>
          <a:endParaRPr lang="en-IN"/>
        </a:p>
      </dgm:t>
    </dgm:pt>
    <dgm:pt modelId="{223EDAA7-0C26-4DAF-9987-83CB1EF0536F}" type="pres">
      <dgm:prSet presAssocID="{73944F1B-287D-46CE-9DD9-707D48B8F3C1}" presName="parTrans" presStyleLbl="sibTrans2D1" presStyleIdx="0" presStyleCnt="7"/>
      <dgm:spPr/>
      <dgm:t>
        <a:bodyPr/>
        <a:lstStyle/>
        <a:p>
          <a:endParaRPr lang="en-IN"/>
        </a:p>
      </dgm:t>
    </dgm:pt>
    <dgm:pt modelId="{F8B089EA-D429-46BD-9D8F-03763383F79B}" type="pres">
      <dgm:prSet presAssocID="{73944F1B-287D-46CE-9DD9-707D48B8F3C1}" presName="connectorText" presStyleLbl="sibTrans2D1" presStyleIdx="0" presStyleCnt="7"/>
      <dgm:spPr/>
      <dgm:t>
        <a:bodyPr/>
        <a:lstStyle/>
        <a:p>
          <a:endParaRPr lang="en-IN"/>
        </a:p>
      </dgm:t>
    </dgm:pt>
    <dgm:pt modelId="{59F50682-22F0-4169-A03D-D8F9FA9C3023}" type="pres">
      <dgm:prSet presAssocID="{F11D4842-5C47-4E7C-B1A7-678675DD09D4}" presName="node" presStyleLbl="node1" presStyleIdx="0" presStyleCnt="7">
        <dgm:presLayoutVars>
          <dgm:bulletEnabled val="1"/>
        </dgm:presLayoutVars>
      </dgm:prSet>
      <dgm:spPr/>
      <dgm:t>
        <a:bodyPr/>
        <a:lstStyle/>
        <a:p>
          <a:endParaRPr lang="en-IN"/>
        </a:p>
      </dgm:t>
    </dgm:pt>
    <dgm:pt modelId="{33920770-DF8B-4CF6-B5F9-7EE536160257}" type="pres">
      <dgm:prSet presAssocID="{75BA8381-531A-4604-89F0-54B3B7D76C59}" presName="parTrans" presStyleLbl="sibTrans2D1" presStyleIdx="1" presStyleCnt="7"/>
      <dgm:spPr/>
      <dgm:t>
        <a:bodyPr/>
        <a:lstStyle/>
        <a:p>
          <a:endParaRPr lang="en-IN"/>
        </a:p>
      </dgm:t>
    </dgm:pt>
    <dgm:pt modelId="{67935BA4-3826-4DD7-B74C-6C6DA6F510E8}" type="pres">
      <dgm:prSet presAssocID="{75BA8381-531A-4604-89F0-54B3B7D76C59}" presName="connectorText" presStyleLbl="sibTrans2D1" presStyleIdx="1" presStyleCnt="7"/>
      <dgm:spPr/>
      <dgm:t>
        <a:bodyPr/>
        <a:lstStyle/>
        <a:p>
          <a:endParaRPr lang="en-IN"/>
        </a:p>
      </dgm:t>
    </dgm:pt>
    <dgm:pt modelId="{B500EBF6-8E02-4DF5-98A2-D1C62472C5EA}" type="pres">
      <dgm:prSet presAssocID="{F7F6AA8C-960F-4838-AB45-635451FD55C4}" presName="node" presStyleLbl="node1" presStyleIdx="1" presStyleCnt="7">
        <dgm:presLayoutVars>
          <dgm:bulletEnabled val="1"/>
        </dgm:presLayoutVars>
      </dgm:prSet>
      <dgm:spPr/>
      <dgm:t>
        <a:bodyPr/>
        <a:lstStyle/>
        <a:p>
          <a:endParaRPr lang="en-IN"/>
        </a:p>
      </dgm:t>
    </dgm:pt>
    <dgm:pt modelId="{1FD9BE0A-E4EF-4647-BC5E-A01EFCF96679}" type="pres">
      <dgm:prSet presAssocID="{7B99EB44-2349-4563-B2FD-197D58770281}" presName="parTrans" presStyleLbl="sibTrans2D1" presStyleIdx="2" presStyleCnt="7"/>
      <dgm:spPr/>
      <dgm:t>
        <a:bodyPr/>
        <a:lstStyle/>
        <a:p>
          <a:endParaRPr lang="en-IN"/>
        </a:p>
      </dgm:t>
    </dgm:pt>
    <dgm:pt modelId="{CA795075-D9F2-4F3B-A509-E1BEE4C58BDB}" type="pres">
      <dgm:prSet presAssocID="{7B99EB44-2349-4563-B2FD-197D58770281}" presName="connectorText" presStyleLbl="sibTrans2D1" presStyleIdx="2" presStyleCnt="7"/>
      <dgm:spPr/>
      <dgm:t>
        <a:bodyPr/>
        <a:lstStyle/>
        <a:p>
          <a:endParaRPr lang="en-IN"/>
        </a:p>
      </dgm:t>
    </dgm:pt>
    <dgm:pt modelId="{ECEEBF87-51B9-4EB3-AFFB-09D4ED8823B1}" type="pres">
      <dgm:prSet presAssocID="{ACA306AB-1CBE-4EDB-B78D-11F15CB4E8C6}" presName="node" presStyleLbl="node1" presStyleIdx="2" presStyleCnt="7" custScaleX="109997" custScaleY="100981">
        <dgm:presLayoutVars>
          <dgm:bulletEnabled val="1"/>
        </dgm:presLayoutVars>
      </dgm:prSet>
      <dgm:spPr/>
      <dgm:t>
        <a:bodyPr/>
        <a:lstStyle/>
        <a:p>
          <a:endParaRPr lang="en-IN"/>
        </a:p>
      </dgm:t>
    </dgm:pt>
    <dgm:pt modelId="{21167EF2-D2CE-498D-8C51-5A6EABBE8E0A}" type="pres">
      <dgm:prSet presAssocID="{9760B1AB-4040-4A8F-BA3D-A341B6B03D36}" presName="parTrans" presStyleLbl="sibTrans2D1" presStyleIdx="3" presStyleCnt="7"/>
      <dgm:spPr/>
      <dgm:t>
        <a:bodyPr/>
        <a:lstStyle/>
        <a:p>
          <a:endParaRPr lang="en-IN"/>
        </a:p>
      </dgm:t>
    </dgm:pt>
    <dgm:pt modelId="{81CC7C59-1772-48FA-82AB-276096BF6CDE}" type="pres">
      <dgm:prSet presAssocID="{9760B1AB-4040-4A8F-BA3D-A341B6B03D36}" presName="connectorText" presStyleLbl="sibTrans2D1" presStyleIdx="3" presStyleCnt="7"/>
      <dgm:spPr/>
      <dgm:t>
        <a:bodyPr/>
        <a:lstStyle/>
        <a:p>
          <a:endParaRPr lang="en-IN"/>
        </a:p>
      </dgm:t>
    </dgm:pt>
    <dgm:pt modelId="{D4EE3F2C-CC1F-45F8-90CD-92FF7C119F56}" type="pres">
      <dgm:prSet presAssocID="{3C289678-4E55-4E5E-ACC2-29C3AAE1D4AA}" presName="node" presStyleLbl="node1" presStyleIdx="3" presStyleCnt="7">
        <dgm:presLayoutVars>
          <dgm:bulletEnabled val="1"/>
        </dgm:presLayoutVars>
      </dgm:prSet>
      <dgm:spPr/>
      <dgm:t>
        <a:bodyPr/>
        <a:lstStyle/>
        <a:p>
          <a:endParaRPr lang="en-IN"/>
        </a:p>
      </dgm:t>
    </dgm:pt>
    <dgm:pt modelId="{BE552DCB-31FF-4C69-B946-D41EA18F8543}" type="pres">
      <dgm:prSet presAssocID="{CDACD6C1-CF2C-497E-9D17-13AC2CAC1809}" presName="parTrans" presStyleLbl="sibTrans2D1" presStyleIdx="4" presStyleCnt="7"/>
      <dgm:spPr/>
      <dgm:t>
        <a:bodyPr/>
        <a:lstStyle/>
        <a:p>
          <a:endParaRPr lang="en-IN"/>
        </a:p>
      </dgm:t>
    </dgm:pt>
    <dgm:pt modelId="{1A643543-2868-469F-A2AB-19326C5ED5B5}" type="pres">
      <dgm:prSet presAssocID="{CDACD6C1-CF2C-497E-9D17-13AC2CAC1809}" presName="connectorText" presStyleLbl="sibTrans2D1" presStyleIdx="4" presStyleCnt="7"/>
      <dgm:spPr/>
      <dgm:t>
        <a:bodyPr/>
        <a:lstStyle/>
        <a:p>
          <a:endParaRPr lang="en-IN"/>
        </a:p>
      </dgm:t>
    </dgm:pt>
    <dgm:pt modelId="{0D3D1518-547D-4B43-B26A-ED40C49D7E18}" type="pres">
      <dgm:prSet presAssocID="{E540D3D6-B761-4DB9-BAA6-9D6C61B31D47}" presName="node" presStyleLbl="node1" presStyleIdx="4" presStyleCnt="7">
        <dgm:presLayoutVars>
          <dgm:bulletEnabled val="1"/>
        </dgm:presLayoutVars>
      </dgm:prSet>
      <dgm:spPr/>
      <dgm:t>
        <a:bodyPr/>
        <a:lstStyle/>
        <a:p>
          <a:endParaRPr lang="en-IN"/>
        </a:p>
      </dgm:t>
    </dgm:pt>
    <dgm:pt modelId="{552E5DAE-5B41-43ED-94DF-9D36DC03DCF5}" type="pres">
      <dgm:prSet presAssocID="{06D6C000-24B9-4B28-BF05-E05555FA17C2}" presName="parTrans" presStyleLbl="sibTrans2D1" presStyleIdx="5" presStyleCnt="7"/>
      <dgm:spPr/>
      <dgm:t>
        <a:bodyPr/>
        <a:lstStyle/>
        <a:p>
          <a:endParaRPr lang="en-IN"/>
        </a:p>
      </dgm:t>
    </dgm:pt>
    <dgm:pt modelId="{50A9913F-5DF3-4FBB-8B41-17B965D5C8AB}" type="pres">
      <dgm:prSet presAssocID="{06D6C000-24B9-4B28-BF05-E05555FA17C2}" presName="connectorText" presStyleLbl="sibTrans2D1" presStyleIdx="5" presStyleCnt="7"/>
      <dgm:spPr/>
      <dgm:t>
        <a:bodyPr/>
        <a:lstStyle/>
        <a:p>
          <a:endParaRPr lang="en-IN"/>
        </a:p>
      </dgm:t>
    </dgm:pt>
    <dgm:pt modelId="{596BBEBF-C4B2-4460-B427-FBD988EA13BC}" type="pres">
      <dgm:prSet presAssocID="{0D17FC6E-AFD3-42BF-98D9-C79CD2F9130B}" presName="node" presStyleLbl="node1" presStyleIdx="5" presStyleCnt="7">
        <dgm:presLayoutVars>
          <dgm:bulletEnabled val="1"/>
        </dgm:presLayoutVars>
      </dgm:prSet>
      <dgm:spPr/>
      <dgm:t>
        <a:bodyPr/>
        <a:lstStyle/>
        <a:p>
          <a:endParaRPr lang="en-IN"/>
        </a:p>
      </dgm:t>
    </dgm:pt>
    <dgm:pt modelId="{1A2A6B10-14A4-4459-9338-60D6D5F4722C}" type="pres">
      <dgm:prSet presAssocID="{40F6B54F-EF7F-4FBB-99CE-C5347A4C2FA4}" presName="parTrans" presStyleLbl="sibTrans2D1" presStyleIdx="6" presStyleCnt="7"/>
      <dgm:spPr/>
      <dgm:t>
        <a:bodyPr/>
        <a:lstStyle/>
        <a:p>
          <a:endParaRPr lang="en-IN"/>
        </a:p>
      </dgm:t>
    </dgm:pt>
    <dgm:pt modelId="{466D2023-C306-4542-82F3-4C472A6835FC}" type="pres">
      <dgm:prSet presAssocID="{40F6B54F-EF7F-4FBB-99CE-C5347A4C2FA4}" presName="connectorText" presStyleLbl="sibTrans2D1" presStyleIdx="6" presStyleCnt="7"/>
      <dgm:spPr/>
      <dgm:t>
        <a:bodyPr/>
        <a:lstStyle/>
        <a:p>
          <a:endParaRPr lang="en-IN"/>
        </a:p>
      </dgm:t>
    </dgm:pt>
    <dgm:pt modelId="{BA04379C-00C8-44A8-AAB4-628BC7EF6895}" type="pres">
      <dgm:prSet presAssocID="{AAADD0A8-2935-489E-9D7F-4A2E441CCBCF}" presName="node" presStyleLbl="node1" presStyleIdx="6" presStyleCnt="7">
        <dgm:presLayoutVars>
          <dgm:bulletEnabled val="1"/>
        </dgm:presLayoutVars>
      </dgm:prSet>
      <dgm:spPr/>
      <dgm:t>
        <a:bodyPr/>
        <a:lstStyle/>
        <a:p>
          <a:endParaRPr lang="en-IN"/>
        </a:p>
      </dgm:t>
    </dgm:pt>
  </dgm:ptLst>
  <dgm:cxnLst>
    <dgm:cxn modelId="{F42930B9-DFA5-4C1E-ACF5-F0C798501A4F}" type="presOf" srcId="{06D6C000-24B9-4B28-BF05-E05555FA17C2}" destId="{552E5DAE-5B41-43ED-94DF-9D36DC03DCF5}" srcOrd="0" destOrd="0" presId="urn:microsoft.com/office/officeart/2005/8/layout/radial5"/>
    <dgm:cxn modelId="{171A8609-3C23-4333-8341-1C80A8FEF6DA}" type="presOf" srcId="{CDACD6C1-CF2C-497E-9D17-13AC2CAC1809}" destId="{1A643543-2868-469F-A2AB-19326C5ED5B5}" srcOrd="1" destOrd="0" presId="urn:microsoft.com/office/officeart/2005/8/layout/radial5"/>
    <dgm:cxn modelId="{BAD46420-C0BE-46A6-96C1-4D6E86BF7EB4}" type="presOf" srcId="{9760B1AB-4040-4A8F-BA3D-A341B6B03D36}" destId="{21167EF2-D2CE-498D-8C51-5A6EABBE8E0A}" srcOrd="0" destOrd="0" presId="urn:microsoft.com/office/officeart/2005/8/layout/radial5"/>
    <dgm:cxn modelId="{6A505D60-FFE8-4B5B-95B7-A89EC7A0718B}" type="presOf" srcId="{73944F1B-287D-46CE-9DD9-707D48B8F3C1}" destId="{F8B089EA-D429-46BD-9D8F-03763383F79B}" srcOrd="1" destOrd="0" presId="urn:microsoft.com/office/officeart/2005/8/layout/radial5"/>
    <dgm:cxn modelId="{2F209AC0-E070-47B8-AC78-EABDE7B77932}" type="presOf" srcId="{ACA306AB-1CBE-4EDB-B78D-11F15CB4E8C6}" destId="{ECEEBF87-51B9-4EB3-AFFB-09D4ED8823B1}" srcOrd="0" destOrd="0" presId="urn:microsoft.com/office/officeart/2005/8/layout/radial5"/>
    <dgm:cxn modelId="{2846284E-5687-46E3-8F87-19F91A188945}" type="presOf" srcId="{3C289678-4E55-4E5E-ACC2-29C3AAE1D4AA}" destId="{D4EE3F2C-CC1F-45F8-90CD-92FF7C119F56}" srcOrd="0" destOrd="0" presId="urn:microsoft.com/office/officeart/2005/8/layout/radial5"/>
    <dgm:cxn modelId="{3325A4E8-85D4-499F-9027-D1386829A25E}" type="presOf" srcId="{507C870B-DFFD-412B-9440-7C8F810013F2}" destId="{0F2AA07F-BA32-4ACD-A618-A4F5B9D14B02}" srcOrd="0" destOrd="0" presId="urn:microsoft.com/office/officeart/2005/8/layout/radial5"/>
    <dgm:cxn modelId="{A9D6D1FF-308F-44FF-9994-BAB8695EBF38}" type="presOf" srcId="{F11D4842-5C47-4E7C-B1A7-678675DD09D4}" destId="{59F50682-22F0-4169-A03D-D8F9FA9C3023}" srcOrd="0" destOrd="0" presId="urn:microsoft.com/office/officeart/2005/8/layout/radial5"/>
    <dgm:cxn modelId="{6A647F3A-C0EB-4EF4-8BE0-F453C9A154CC}" type="presOf" srcId="{CDACD6C1-CF2C-497E-9D17-13AC2CAC1809}" destId="{BE552DCB-31FF-4C69-B946-D41EA18F8543}" srcOrd="0" destOrd="0" presId="urn:microsoft.com/office/officeart/2005/8/layout/radial5"/>
    <dgm:cxn modelId="{63A3229E-36D0-476D-9975-200000A38E94}" srcId="{507C870B-DFFD-412B-9440-7C8F810013F2}" destId="{F11D4842-5C47-4E7C-B1A7-678675DD09D4}" srcOrd="0" destOrd="0" parTransId="{73944F1B-287D-46CE-9DD9-707D48B8F3C1}" sibTransId="{98116319-7B4F-4A3E-9663-C863C836EAE4}"/>
    <dgm:cxn modelId="{97023EFF-568A-4E69-AAAA-9C0DD4837811}" type="presOf" srcId="{7B99EB44-2349-4563-B2FD-197D58770281}" destId="{CA795075-D9F2-4F3B-A509-E1BEE4C58BDB}" srcOrd="1" destOrd="0" presId="urn:microsoft.com/office/officeart/2005/8/layout/radial5"/>
    <dgm:cxn modelId="{3BFB4522-E97A-4585-9A67-E8EA8A02141D}" type="presOf" srcId="{E540D3D6-B761-4DB9-BAA6-9D6C61B31D47}" destId="{0D3D1518-547D-4B43-B26A-ED40C49D7E18}" srcOrd="0" destOrd="0" presId="urn:microsoft.com/office/officeart/2005/8/layout/radial5"/>
    <dgm:cxn modelId="{1A7B05E5-F2C3-47EE-93EE-79A9B223AB70}" type="presOf" srcId="{7B99EB44-2349-4563-B2FD-197D58770281}" destId="{1FD9BE0A-E4EF-4647-BC5E-A01EFCF96679}" srcOrd="0" destOrd="0" presId="urn:microsoft.com/office/officeart/2005/8/layout/radial5"/>
    <dgm:cxn modelId="{11C0A578-8CE3-47F3-B28D-728DDC0CFC5A}" srcId="{89BF8A18-174E-4207-9526-E058498E4677}" destId="{507C870B-DFFD-412B-9440-7C8F810013F2}" srcOrd="0" destOrd="0" parTransId="{26649A2B-69AC-4E65-93CD-821682D7F133}" sibTransId="{0982D2D0-F26B-4CFB-8259-C39B6D46BEE9}"/>
    <dgm:cxn modelId="{5A1ADCDF-0032-4F78-BB25-E1E848BF0839}" type="presOf" srcId="{AAADD0A8-2935-489E-9D7F-4A2E441CCBCF}" destId="{BA04379C-00C8-44A8-AAB4-628BC7EF6895}" srcOrd="0" destOrd="0" presId="urn:microsoft.com/office/officeart/2005/8/layout/radial5"/>
    <dgm:cxn modelId="{41375836-3D36-4211-8A25-40F4C6A7FDF0}" srcId="{507C870B-DFFD-412B-9440-7C8F810013F2}" destId="{E540D3D6-B761-4DB9-BAA6-9D6C61B31D47}" srcOrd="4" destOrd="0" parTransId="{CDACD6C1-CF2C-497E-9D17-13AC2CAC1809}" sibTransId="{683AAFE6-70F9-4AFB-90D1-F7F78C689CA6}"/>
    <dgm:cxn modelId="{5F20925C-806A-4B9B-AE94-7A47D0DC5EE0}" srcId="{507C870B-DFFD-412B-9440-7C8F810013F2}" destId="{AAADD0A8-2935-489E-9D7F-4A2E441CCBCF}" srcOrd="6" destOrd="0" parTransId="{40F6B54F-EF7F-4FBB-99CE-C5347A4C2FA4}" sibTransId="{B2FC6483-78DB-4042-9299-F8C98A2B9927}"/>
    <dgm:cxn modelId="{DB313BBF-6602-43F5-BFC2-5FDB27BAD864}" type="presOf" srcId="{06D6C000-24B9-4B28-BF05-E05555FA17C2}" destId="{50A9913F-5DF3-4FBB-8B41-17B965D5C8AB}" srcOrd="1" destOrd="0" presId="urn:microsoft.com/office/officeart/2005/8/layout/radial5"/>
    <dgm:cxn modelId="{E8A7A1ED-DA9C-4DB8-A0B6-31EA6ECFB83C}" type="presOf" srcId="{40F6B54F-EF7F-4FBB-99CE-C5347A4C2FA4}" destId="{466D2023-C306-4542-82F3-4C472A6835FC}" srcOrd="1" destOrd="0" presId="urn:microsoft.com/office/officeart/2005/8/layout/radial5"/>
    <dgm:cxn modelId="{9B769BD8-F2A4-437A-A14D-8395643943BE}" srcId="{507C870B-DFFD-412B-9440-7C8F810013F2}" destId="{ACA306AB-1CBE-4EDB-B78D-11F15CB4E8C6}" srcOrd="2" destOrd="0" parTransId="{7B99EB44-2349-4563-B2FD-197D58770281}" sibTransId="{76CE682E-BCC3-47A9-AE6C-53D1381D641E}"/>
    <dgm:cxn modelId="{F26B07A0-4A08-4F0C-935C-57014F7C3E15}" type="presOf" srcId="{9760B1AB-4040-4A8F-BA3D-A341B6B03D36}" destId="{81CC7C59-1772-48FA-82AB-276096BF6CDE}" srcOrd="1" destOrd="0" presId="urn:microsoft.com/office/officeart/2005/8/layout/radial5"/>
    <dgm:cxn modelId="{0C137812-7C9D-479A-8540-4F41013F7B5A}" srcId="{507C870B-DFFD-412B-9440-7C8F810013F2}" destId="{3C289678-4E55-4E5E-ACC2-29C3AAE1D4AA}" srcOrd="3" destOrd="0" parTransId="{9760B1AB-4040-4A8F-BA3D-A341B6B03D36}" sibTransId="{95793812-7899-4187-AF0C-5890E8544F27}"/>
    <dgm:cxn modelId="{4B427B4B-7BCD-42AA-A0A0-A56B92D27B2F}" type="presOf" srcId="{75BA8381-531A-4604-89F0-54B3B7D76C59}" destId="{33920770-DF8B-4CF6-B5F9-7EE536160257}" srcOrd="0" destOrd="0" presId="urn:microsoft.com/office/officeart/2005/8/layout/radial5"/>
    <dgm:cxn modelId="{09066311-2381-4105-9372-4E03468D7C3E}" type="presOf" srcId="{0D17FC6E-AFD3-42BF-98D9-C79CD2F9130B}" destId="{596BBEBF-C4B2-4460-B427-FBD988EA13BC}" srcOrd="0" destOrd="0" presId="urn:microsoft.com/office/officeart/2005/8/layout/radial5"/>
    <dgm:cxn modelId="{CD39A5F0-D48A-4664-8C83-D59D419FED8D}" type="presOf" srcId="{75BA8381-531A-4604-89F0-54B3B7D76C59}" destId="{67935BA4-3826-4DD7-B74C-6C6DA6F510E8}" srcOrd="1" destOrd="0" presId="urn:microsoft.com/office/officeart/2005/8/layout/radial5"/>
    <dgm:cxn modelId="{E89BFD45-2642-4CE5-97CF-5C0E2BCEEBA6}" type="presOf" srcId="{40F6B54F-EF7F-4FBB-99CE-C5347A4C2FA4}" destId="{1A2A6B10-14A4-4459-9338-60D6D5F4722C}" srcOrd="0" destOrd="0" presId="urn:microsoft.com/office/officeart/2005/8/layout/radial5"/>
    <dgm:cxn modelId="{86C44AB1-A3BD-4425-856F-FE9622B96616}" srcId="{507C870B-DFFD-412B-9440-7C8F810013F2}" destId="{0D17FC6E-AFD3-42BF-98D9-C79CD2F9130B}" srcOrd="5" destOrd="0" parTransId="{06D6C000-24B9-4B28-BF05-E05555FA17C2}" sibTransId="{6E1BC78F-D996-42EE-97EE-6ED9E3A0E0A2}"/>
    <dgm:cxn modelId="{B20212F0-C731-493D-9ED2-959EE932DFF1}" type="presOf" srcId="{89BF8A18-174E-4207-9526-E058498E4677}" destId="{07CE3043-74EA-49E4-B269-16FFD519FC9C}" srcOrd="0" destOrd="0" presId="urn:microsoft.com/office/officeart/2005/8/layout/radial5"/>
    <dgm:cxn modelId="{1644E506-BBA8-45C1-B129-2825C618A2C1}" type="presOf" srcId="{73944F1B-287D-46CE-9DD9-707D48B8F3C1}" destId="{223EDAA7-0C26-4DAF-9987-83CB1EF0536F}" srcOrd="0" destOrd="0" presId="urn:microsoft.com/office/officeart/2005/8/layout/radial5"/>
    <dgm:cxn modelId="{3DA3BDC5-426C-4A34-B40A-27CA576D85A4}" srcId="{507C870B-DFFD-412B-9440-7C8F810013F2}" destId="{F7F6AA8C-960F-4838-AB45-635451FD55C4}" srcOrd="1" destOrd="0" parTransId="{75BA8381-531A-4604-89F0-54B3B7D76C59}" sibTransId="{4DDC73A4-A0EA-4357-81DE-50E17C688F68}"/>
    <dgm:cxn modelId="{00B2BF34-3637-477D-B310-2872CDE3CDDA}" type="presOf" srcId="{F7F6AA8C-960F-4838-AB45-635451FD55C4}" destId="{B500EBF6-8E02-4DF5-98A2-D1C62472C5EA}" srcOrd="0" destOrd="0" presId="urn:microsoft.com/office/officeart/2005/8/layout/radial5"/>
    <dgm:cxn modelId="{97F50E64-9793-4539-8EF2-6DF0576F1E3D}" type="presParOf" srcId="{07CE3043-74EA-49E4-B269-16FFD519FC9C}" destId="{0F2AA07F-BA32-4ACD-A618-A4F5B9D14B02}" srcOrd="0" destOrd="0" presId="urn:microsoft.com/office/officeart/2005/8/layout/radial5"/>
    <dgm:cxn modelId="{4A25CCEC-3F6E-46A1-AA97-8802E90B540C}" type="presParOf" srcId="{07CE3043-74EA-49E4-B269-16FFD519FC9C}" destId="{223EDAA7-0C26-4DAF-9987-83CB1EF0536F}" srcOrd="1" destOrd="0" presId="urn:microsoft.com/office/officeart/2005/8/layout/radial5"/>
    <dgm:cxn modelId="{471A838D-AF1D-4510-8CDD-47D1F805C103}" type="presParOf" srcId="{223EDAA7-0C26-4DAF-9987-83CB1EF0536F}" destId="{F8B089EA-D429-46BD-9D8F-03763383F79B}" srcOrd="0" destOrd="0" presId="urn:microsoft.com/office/officeart/2005/8/layout/radial5"/>
    <dgm:cxn modelId="{9E3A205D-1472-4DF5-8BAB-FB274926477E}" type="presParOf" srcId="{07CE3043-74EA-49E4-B269-16FFD519FC9C}" destId="{59F50682-22F0-4169-A03D-D8F9FA9C3023}" srcOrd="2" destOrd="0" presId="urn:microsoft.com/office/officeart/2005/8/layout/radial5"/>
    <dgm:cxn modelId="{43934E14-FCEB-45BD-AB6B-70A38B52BD47}" type="presParOf" srcId="{07CE3043-74EA-49E4-B269-16FFD519FC9C}" destId="{33920770-DF8B-4CF6-B5F9-7EE536160257}" srcOrd="3" destOrd="0" presId="urn:microsoft.com/office/officeart/2005/8/layout/radial5"/>
    <dgm:cxn modelId="{6F56904C-2579-4878-8148-F229AA0E8C02}" type="presParOf" srcId="{33920770-DF8B-4CF6-B5F9-7EE536160257}" destId="{67935BA4-3826-4DD7-B74C-6C6DA6F510E8}" srcOrd="0" destOrd="0" presId="urn:microsoft.com/office/officeart/2005/8/layout/radial5"/>
    <dgm:cxn modelId="{4A3ACCBC-D015-4171-9D2B-00AF77659AA6}" type="presParOf" srcId="{07CE3043-74EA-49E4-B269-16FFD519FC9C}" destId="{B500EBF6-8E02-4DF5-98A2-D1C62472C5EA}" srcOrd="4" destOrd="0" presId="urn:microsoft.com/office/officeart/2005/8/layout/radial5"/>
    <dgm:cxn modelId="{708548CB-C2F5-4AB8-98DB-A31FE847AF12}" type="presParOf" srcId="{07CE3043-74EA-49E4-B269-16FFD519FC9C}" destId="{1FD9BE0A-E4EF-4647-BC5E-A01EFCF96679}" srcOrd="5" destOrd="0" presId="urn:microsoft.com/office/officeart/2005/8/layout/radial5"/>
    <dgm:cxn modelId="{EE95B6F9-042E-41D9-8102-3D537C1AFD82}" type="presParOf" srcId="{1FD9BE0A-E4EF-4647-BC5E-A01EFCF96679}" destId="{CA795075-D9F2-4F3B-A509-E1BEE4C58BDB}" srcOrd="0" destOrd="0" presId="urn:microsoft.com/office/officeart/2005/8/layout/radial5"/>
    <dgm:cxn modelId="{D41DBEA5-12EF-425D-86DA-6C5A42BE3C1B}" type="presParOf" srcId="{07CE3043-74EA-49E4-B269-16FFD519FC9C}" destId="{ECEEBF87-51B9-4EB3-AFFB-09D4ED8823B1}" srcOrd="6" destOrd="0" presId="urn:microsoft.com/office/officeart/2005/8/layout/radial5"/>
    <dgm:cxn modelId="{476194BF-C310-453E-881E-26638C9B57FB}" type="presParOf" srcId="{07CE3043-74EA-49E4-B269-16FFD519FC9C}" destId="{21167EF2-D2CE-498D-8C51-5A6EABBE8E0A}" srcOrd="7" destOrd="0" presId="urn:microsoft.com/office/officeart/2005/8/layout/radial5"/>
    <dgm:cxn modelId="{4C560E47-415F-4887-BC82-6735DD3FEB64}" type="presParOf" srcId="{21167EF2-D2CE-498D-8C51-5A6EABBE8E0A}" destId="{81CC7C59-1772-48FA-82AB-276096BF6CDE}" srcOrd="0" destOrd="0" presId="urn:microsoft.com/office/officeart/2005/8/layout/radial5"/>
    <dgm:cxn modelId="{038F6F1C-57F7-4A85-A895-080D8A3A4F07}" type="presParOf" srcId="{07CE3043-74EA-49E4-B269-16FFD519FC9C}" destId="{D4EE3F2C-CC1F-45F8-90CD-92FF7C119F56}" srcOrd="8" destOrd="0" presId="urn:microsoft.com/office/officeart/2005/8/layout/radial5"/>
    <dgm:cxn modelId="{C7241F1F-796D-465B-897D-303919FD7112}" type="presParOf" srcId="{07CE3043-74EA-49E4-B269-16FFD519FC9C}" destId="{BE552DCB-31FF-4C69-B946-D41EA18F8543}" srcOrd="9" destOrd="0" presId="urn:microsoft.com/office/officeart/2005/8/layout/radial5"/>
    <dgm:cxn modelId="{146BA9DE-D982-4F51-8F92-BA74641EB72A}" type="presParOf" srcId="{BE552DCB-31FF-4C69-B946-D41EA18F8543}" destId="{1A643543-2868-469F-A2AB-19326C5ED5B5}" srcOrd="0" destOrd="0" presId="urn:microsoft.com/office/officeart/2005/8/layout/radial5"/>
    <dgm:cxn modelId="{D98E9AD1-BDC1-4992-A599-638B4C482626}" type="presParOf" srcId="{07CE3043-74EA-49E4-B269-16FFD519FC9C}" destId="{0D3D1518-547D-4B43-B26A-ED40C49D7E18}" srcOrd="10" destOrd="0" presId="urn:microsoft.com/office/officeart/2005/8/layout/radial5"/>
    <dgm:cxn modelId="{2ED8BA72-EB2A-400B-AA61-61EAADB66CF8}" type="presParOf" srcId="{07CE3043-74EA-49E4-B269-16FFD519FC9C}" destId="{552E5DAE-5B41-43ED-94DF-9D36DC03DCF5}" srcOrd="11" destOrd="0" presId="urn:microsoft.com/office/officeart/2005/8/layout/radial5"/>
    <dgm:cxn modelId="{44E80680-A5EC-4A89-9B2E-D99905CCFB91}" type="presParOf" srcId="{552E5DAE-5B41-43ED-94DF-9D36DC03DCF5}" destId="{50A9913F-5DF3-4FBB-8B41-17B965D5C8AB}" srcOrd="0" destOrd="0" presId="urn:microsoft.com/office/officeart/2005/8/layout/radial5"/>
    <dgm:cxn modelId="{087F195B-C2F4-48C0-A06B-78EE0B97F25F}" type="presParOf" srcId="{07CE3043-74EA-49E4-B269-16FFD519FC9C}" destId="{596BBEBF-C4B2-4460-B427-FBD988EA13BC}" srcOrd="12" destOrd="0" presId="urn:microsoft.com/office/officeart/2005/8/layout/radial5"/>
    <dgm:cxn modelId="{3717332C-88A1-4DCD-A4FD-E60E40EE7D6E}" type="presParOf" srcId="{07CE3043-74EA-49E4-B269-16FFD519FC9C}" destId="{1A2A6B10-14A4-4459-9338-60D6D5F4722C}" srcOrd="13" destOrd="0" presId="urn:microsoft.com/office/officeart/2005/8/layout/radial5"/>
    <dgm:cxn modelId="{CCFF9C08-2D1C-4C5B-A74C-B5458044ABE2}" type="presParOf" srcId="{1A2A6B10-14A4-4459-9338-60D6D5F4722C}" destId="{466D2023-C306-4542-82F3-4C472A6835FC}" srcOrd="0" destOrd="0" presId="urn:microsoft.com/office/officeart/2005/8/layout/radial5"/>
    <dgm:cxn modelId="{839914C2-E5A3-49E1-B071-4D3A8DE4E565}" type="presParOf" srcId="{07CE3043-74EA-49E4-B269-16FFD519FC9C}" destId="{BA04379C-00C8-44A8-AAB4-628BC7EF6895}" srcOrd="14"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2AA07F-BA32-4ACD-A618-A4F5B9D14B02}">
      <dsp:nvSpPr>
        <dsp:cNvPr id="0" name=""/>
        <dsp:cNvSpPr/>
      </dsp:nvSpPr>
      <dsp:spPr>
        <a:xfrm>
          <a:off x="2465218" y="1781439"/>
          <a:ext cx="924749" cy="924749"/>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Leadership Strategy</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2600644" y="1916865"/>
        <a:ext cx="653897" cy="653897"/>
      </dsp:txXfrm>
    </dsp:sp>
    <dsp:sp modelId="{223EDAA7-0C26-4DAF-9987-83CB1EF0536F}">
      <dsp:nvSpPr>
        <dsp:cNvPr id="0" name=""/>
        <dsp:cNvSpPr/>
      </dsp:nvSpPr>
      <dsp:spPr>
        <a:xfrm rot="16200000">
          <a:off x="2753422" y="1250946"/>
          <a:ext cx="348342" cy="423454"/>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2805674" y="1387889"/>
        <a:ext cx="243839" cy="254072"/>
      </dsp:txXfrm>
    </dsp:sp>
    <dsp:sp modelId="{59F50682-22F0-4169-A03D-D8F9FA9C3023}">
      <dsp:nvSpPr>
        <dsp:cNvPr id="0" name=""/>
        <dsp:cNvSpPr/>
      </dsp:nvSpPr>
      <dsp:spPr>
        <a:xfrm>
          <a:off x="2367139" y="3281"/>
          <a:ext cx="1120908" cy="1120908"/>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Vision &amp; Mission Statement</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2531292" y="167434"/>
        <a:ext cx="792602" cy="792602"/>
      </dsp:txXfrm>
    </dsp:sp>
    <dsp:sp modelId="{33920770-DF8B-4CF6-B5F9-7EE536160257}">
      <dsp:nvSpPr>
        <dsp:cNvPr id="0" name=""/>
        <dsp:cNvSpPr/>
      </dsp:nvSpPr>
      <dsp:spPr>
        <a:xfrm rot="19285714">
          <a:off x="3364142" y="1545054"/>
          <a:ext cx="348342" cy="423454"/>
        </a:xfrm>
        <a:prstGeom prst="rightArrow">
          <a:avLst>
            <a:gd name="adj1" fmla="val 60000"/>
            <a:gd name="adj2" fmla="val 50000"/>
          </a:avLst>
        </a:prstGeom>
        <a:gradFill rotWithShape="0">
          <a:gsLst>
            <a:gs pos="0">
              <a:schemeClr val="accent5">
                <a:hueOff val="-1225558"/>
                <a:satOff val="-1705"/>
                <a:lumOff val="-654"/>
                <a:alphaOff val="0"/>
                <a:satMod val="103000"/>
                <a:lumMod val="102000"/>
                <a:tint val="94000"/>
              </a:schemeClr>
            </a:gs>
            <a:gs pos="50000">
              <a:schemeClr val="accent5">
                <a:hueOff val="-1225558"/>
                <a:satOff val="-1705"/>
                <a:lumOff val="-654"/>
                <a:alphaOff val="0"/>
                <a:satMod val="110000"/>
                <a:lumMod val="100000"/>
                <a:shade val="100000"/>
              </a:schemeClr>
            </a:gs>
            <a:gs pos="100000">
              <a:schemeClr val="accent5">
                <a:hueOff val="-1225558"/>
                <a:satOff val="-1705"/>
                <a:lumOff val="-65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3375542" y="1662323"/>
        <a:ext cx="243839" cy="254072"/>
      </dsp:txXfrm>
    </dsp:sp>
    <dsp:sp modelId="{B500EBF6-8E02-4DF5-98A2-D1C62472C5EA}">
      <dsp:nvSpPr>
        <dsp:cNvPr id="0" name=""/>
        <dsp:cNvSpPr/>
      </dsp:nvSpPr>
      <dsp:spPr>
        <a:xfrm>
          <a:off x="3680677" y="635848"/>
          <a:ext cx="1120908" cy="1120908"/>
        </a:xfrm>
        <a:prstGeom prst="ellipse">
          <a:avLst/>
        </a:prstGeom>
        <a:gradFill rotWithShape="0">
          <a:gsLst>
            <a:gs pos="0">
              <a:schemeClr val="accent5">
                <a:hueOff val="-1225558"/>
                <a:satOff val="-1705"/>
                <a:lumOff val="-654"/>
                <a:alphaOff val="0"/>
                <a:satMod val="103000"/>
                <a:lumMod val="102000"/>
                <a:tint val="94000"/>
              </a:schemeClr>
            </a:gs>
            <a:gs pos="50000">
              <a:schemeClr val="accent5">
                <a:hueOff val="-1225558"/>
                <a:satOff val="-1705"/>
                <a:lumOff val="-654"/>
                <a:alphaOff val="0"/>
                <a:satMod val="110000"/>
                <a:lumMod val="100000"/>
                <a:shade val="100000"/>
              </a:schemeClr>
            </a:gs>
            <a:gs pos="100000">
              <a:schemeClr val="accent5">
                <a:hueOff val="-1225558"/>
                <a:satOff val="-1705"/>
                <a:lumOff val="-65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Promote Experimentation and Risk-Taking</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3844830" y="800001"/>
        <a:ext cx="792602" cy="792602"/>
      </dsp:txXfrm>
    </dsp:sp>
    <dsp:sp modelId="{1FD9BE0A-E4EF-4647-BC5E-A01EFCF96679}">
      <dsp:nvSpPr>
        <dsp:cNvPr id="0" name=""/>
        <dsp:cNvSpPr/>
      </dsp:nvSpPr>
      <dsp:spPr>
        <a:xfrm rot="771429">
          <a:off x="3503920" y="2200165"/>
          <a:ext cx="320145" cy="423454"/>
        </a:xfrm>
        <a:prstGeom prst="rightArrow">
          <a:avLst>
            <a:gd name="adj1" fmla="val 60000"/>
            <a:gd name="adj2" fmla="val 50000"/>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3505124" y="2274170"/>
        <a:ext cx="224102" cy="254072"/>
      </dsp:txXfrm>
    </dsp:sp>
    <dsp:sp modelId="{ECEEBF87-51B9-4EB3-AFFB-09D4ED8823B1}">
      <dsp:nvSpPr>
        <dsp:cNvPr id="0" name=""/>
        <dsp:cNvSpPr/>
      </dsp:nvSpPr>
      <dsp:spPr>
        <a:xfrm>
          <a:off x="3949065" y="2051714"/>
          <a:ext cx="1232965" cy="1131904"/>
        </a:xfrm>
        <a:prstGeom prst="ellipse">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Fostering Collaboration and Knowledge Exchange</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4129629" y="2217478"/>
        <a:ext cx="871837" cy="800376"/>
      </dsp:txXfrm>
    </dsp:sp>
    <dsp:sp modelId="{21167EF2-D2CE-498D-8C51-5A6EABBE8E0A}">
      <dsp:nvSpPr>
        <dsp:cNvPr id="0" name=""/>
        <dsp:cNvSpPr/>
      </dsp:nvSpPr>
      <dsp:spPr>
        <a:xfrm rot="3857143">
          <a:off x="3092346" y="2735870"/>
          <a:ext cx="348342" cy="423454"/>
        </a:xfrm>
        <a:prstGeom prst="rightArrow">
          <a:avLst>
            <a:gd name="adj1" fmla="val 60000"/>
            <a:gd name="adj2" fmla="val 50000"/>
          </a:avLst>
        </a:prstGeom>
        <a:gradFill rotWithShape="0">
          <a:gsLst>
            <a:gs pos="0">
              <a:schemeClr val="accent5">
                <a:hueOff val="-3676673"/>
                <a:satOff val="-5114"/>
                <a:lumOff val="-1961"/>
                <a:alphaOff val="0"/>
                <a:satMod val="103000"/>
                <a:lumMod val="102000"/>
                <a:tint val="94000"/>
              </a:schemeClr>
            </a:gs>
            <a:gs pos="50000">
              <a:schemeClr val="accent5">
                <a:hueOff val="-3676673"/>
                <a:satOff val="-5114"/>
                <a:lumOff val="-1961"/>
                <a:alphaOff val="0"/>
                <a:satMod val="110000"/>
                <a:lumMod val="100000"/>
                <a:shade val="100000"/>
              </a:schemeClr>
            </a:gs>
            <a:gs pos="100000">
              <a:schemeClr val="accent5">
                <a:hueOff val="-3676673"/>
                <a:satOff val="-5114"/>
                <a:lumOff val="-196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3121926" y="2773484"/>
        <a:ext cx="243839" cy="254072"/>
      </dsp:txXfrm>
    </dsp:sp>
    <dsp:sp modelId="{D4EE3F2C-CC1F-45F8-90CD-92FF7C119F56}">
      <dsp:nvSpPr>
        <dsp:cNvPr id="0" name=""/>
        <dsp:cNvSpPr/>
      </dsp:nvSpPr>
      <dsp:spPr>
        <a:xfrm>
          <a:off x="3096097" y="3197058"/>
          <a:ext cx="1120908" cy="1120908"/>
        </a:xfrm>
        <a:prstGeom prst="ellipse">
          <a:avLst/>
        </a:prstGeom>
        <a:gradFill rotWithShape="0">
          <a:gsLst>
            <a:gs pos="0">
              <a:schemeClr val="accent5">
                <a:hueOff val="-3676673"/>
                <a:satOff val="-5114"/>
                <a:lumOff val="-1961"/>
                <a:alphaOff val="0"/>
                <a:satMod val="103000"/>
                <a:lumMod val="102000"/>
                <a:tint val="94000"/>
              </a:schemeClr>
            </a:gs>
            <a:gs pos="50000">
              <a:schemeClr val="accent5">
                <a:hueOff val="-3676673"/>
                <a:satOff val="-5114"/>
                <a:lumOff val="-1961"/>
                <a:alphaOff val="0"/>
                <a:satMod val="110000"/>
                <a:lumMod val="100000"/>
                <a:shade val="100000"/>
              </a:schemeClr>
            </a:gs>
            <a:gs pos="100000">
              <a:schemeClr val="accent5">
                <a:hueOff val="-3676673"/>
                <a:satOff val="-5114"/>
                <a:lumOff val="-196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Promoting and Rewarding Creativity</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3260250" y="3361211"/>
        <a:ext cx="792602" cy="792602"/>
      </dsp:txXfrm>
    </dsp:sp>
    <dsp:sp modelId="{BE552DCB-31FF-4C69-B946-D41EA18F8543}">
      <dsp:nvSpPr>
        <dsp:cNvPr id="0" name=""/>
        <dsp:cNvSpPr/>
      </dsp:nvSpPr>
      <dsp:spPr>
        <a:xfrm rot="6942857">
          <a:off x="2414497" y="2735870"/>
          <a:ext cx="348342" cy="423454"/>
        </a:xfrm>
        <a:prstGeom prst="rightArrow">
          <a:avLst>
            <a:gd name="adj1" fmla="val 60000"/>
            <a:gd name="adj2" fmla="val 50000"/>
          </a:avLst>
        </a:prstGeom>
        <a:gradFill rotWithShape="0">
          <a:gsLst>
            <a:gs pos="0">
              <a:schemeClr val="accent5">
                <a:hueOff val="-4902231"/>
                <a:satOff val="-6819"/>
                <a:lumOff val="-2615"/>
                <a:alphaOff val="0"/>
                <a:satMod val="103000"/>
                <a:lumMod val="102000"/>
                <a:tint val="94000"/>
              </a:schemeClr>
            </a:gs>
            <a:gs pos="50000">
              <a:schemeClr val="accent5">
                <a:hueOff val="-4902231"/>
                <a:satOff val="-6819"/>
                <a:lumOff val="-2615"/>
                <a:alphaOff val="0"/>
                <a:satMod val="110000"/>
                <a:lumMod val="100000"/>
                <a:shade val="100000"/>
              </a:schemeClr>
            </a:gs>
            <a:gs pos="100000">
              <a:schemeClr val="accent5">
                <a:hueOff val="-4902231"/>
                <a:satOff val="-6819"/>
                <a:lumOff val="-261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489420" y="2773484"/>
        <a:ext cx="243839" cy="254072"/>
      </dsp:txXfrm>
    </dsp:sp>
    <dsp:sp modelId="{0D3D1518-547D-4B43-B26A-ED40C49D7E18}">
      <dsp:nvSpPr>
        <dsp:cNvPr id="0" name=""/>
        <dsp:cNvSpPr/>
      </dsp:nvSpPr>
      <dsp:spPr>
        <a:xfrm>
          <a:off x="1638180" y="3197058"/>
          <a:ext cx="1120908" cy="1120908"/>
        </a:xfrm>
        <a:prstGeom prst="ellipse">
          <a:avLst/>
        </a:prstGeom>
        <a:gradFill rotWithShape="0">
          <a:gsLst>
            <a:gs pos="0">
              <a:schemeClr val="accent5">
                <a:hueOff val="-4902231"/>
                <a:satOff val="-6819"/>
                <a:lumOff val="-2615"/>
                <a:alphaOff val="0"/>
                <a:satMod val="103000"/>
                <a:lumMod val="102000"/>
                <a:tint val="94000"/>
              </a:schemeClr>
            </a:gs>
            <a:gs pos="50000">
              <a:schemeClr val="accent5">
                <a:hueOff val="-4902231"/>
                <a:satOff val="-6819"/>
                <a:lumOff val="-2615"/>
                <a:alphaOff val="0"/>
                <a:satMod val="110000"/>
                <a:lumMod val="100000"/>
                <a:shade val="100000"/>
              </a:schemeClr>
            </a:gs>
            <a:gs pos="100000">
              <a:schemeClr val="accent5">
                <a:hueOff val="-4902231"/>
                <a:satOff val="-6819"/>
                <a:lumOff val="-261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Accepting Failure as a Learning Experience</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1802333" y="3361211"/>
        <a:ext cx="792602" cy="792602"/>
      </dsp:txXfrm>
    </dsp:sp>
    <dsp:sp modelId="{552E5DAE-5B41-43ED-94DF-9D36DC03DCF5}">
      <dsp:nvSpPr>
        <dsp:cNvPr id="0" name=""/>
        <dsp:cNvSpPr/>
      </dsp:nvSpPr>
      <dsp:spPr>
        <a:xfrm rot="10028571">
          <a:off x="1991866" y="2205907"/>
          <a:ext cx="348342" cy="423454"/>
        </a:xfrm>
        <a:prstGeom prst="rightArrow">
          <a:avLst>
            <a:gd name="adj1" fmla="val 60000"/>
            <a:gd name="adj2" fmla="val 50000"/>
          </a:avLst>
        </a:prstGeom>
        <a:gradFill rotWithShape="0">
          <a:gsLst>
            <a:gs pos="0">
              <a:schemeClr val="accent5">
                <a:hueOff val="-6127787"/>
                <a:satOff val="-8523"/>
                <a:lumOff val="-3268"/>
                <a:alphaOff val="0"/>
                <a:satMod val="103000"/>
                <a:lumMod val="102000"/>
                <a:tint val="94000"/>
              </a:schemeClr>
            </a:gs>
            <a:gs pos="50000">
              <a:schemeClr val="accent5">
                <a:hueOff val="-6127787"/>
                <a:satOff val="-8523"/>
                <a:lumOff val="-3268"/>
                <a:alphaOff val="0"/>
                <a:satMod val="110000"/>
                <a:lumMod val="100000"/>
                <a:shade val="100000"/>
              </a:schemeClr>
            </a:gs>
            <a:gs pos="100000">
              <a:schemeClr val="accent5">
                <a:hueOff val="-6127787"/>
                <a:satOff val="-8523"/>
                <a:lumOff val="-326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095059" y="2278971"/>
        <a:ext cx="243839" cy="254072"/>
      </dsp:txXfrm>
    </dsp:sp>
    <dsp:sp modelId="{596BBEBF-C4B2-4460-B427-FBD988EA13BC}">
      <dsp:nvSpPr>
        <dsp:cNvPr id="0" name=""/>
        <dsp:cNvSpPr/>
      </dsp:nvSpPr>
      <dsp:spPr>
        <a:xfrm>
          <a:off x="729183" y="2057213"/>
          <a:ext cx="1120908" cy="1120908"/>
        </a:xfrm>
        <a:prstGeom prst="ellipse">
          <a:avLst/>
        </a:prstGeom>
        <a:gradFill rotWithShape="0">
          <a:gsLst>
            <a:gs pos="0">
              <a:schemeClr val="accent5">
                <a:hueOff val="-6127787"/>
                <a:satOff val="-8523"/>
                <a:lumOff val="-3268"/>
                <a:alphaOff val="0"/>
                <a:satMod val="103000"/>
                <a:lumMod val="102000"/>
                <a:tint val="94000"/>
              </a:schemeClr>
            </a:gs>
            <a:gs pos="50000">
              <a:schemeClr val="accent5">
                <a:hueOff val="-6127787"/>
                <a:satOff val="-8523"/>
                <a:lumOff val="-3268"/>
                <a:alphaOff val="0"/>
                <a:satMod val="110000"/>
                <a:lumMod val="100000"/>
                <a:shade val="100000"/>
              </a:schemeClr>
            </a:gs>
            <a:gs pos="100000">
              <a:schemeClr val="accent5">
                <a:hueOff val="-6127787"/>
                <a:satOff val="-8523"/>
                <a:lumOff val="-326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Providing Resources and Assistance</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893336" y="2221366"/>
        <a:ext cx="792602" cy="792602"/>
      </dsp:txXfrm>
    </dsp:sp>
    <dsp:sp modelId="{1A2A6B10-14A4-4459-9338-60D6D5F4722C}">
      <dsp:nvSpPr>
        <dsp:cNvPr id="0" name=""/>
        <dsp:cNvSpPr/>
      </dsp:nvSpPr>
      <dsp:spPr>
        <a:xfrm rot="13114286">
          <a:off x="2142701" y="1545054"/>
          <a:ext cx="348342" cy="423454"/>
        </a:xfrm>
        <a:prstGeom prst="rightArrow">
          <a:avLst>
            <a:gd name="adj1" fmla="val 60000"/>
            <a:gd name="adj2" fmla="val 50000"/>
          </a:avLst>
        </a:prstGeom>
        <a:gradFill rotWithShape="0">
          <a:gsLst>
            <a:gs pos="0">
              <a:schemeClr val="accent5">
                <a:hueOff val="-7353345"/>
                <a:satOff val="-10228"/>
                <a:lumOff val="-3922"/>
                <a:alphaOff val="0"/>
                <a:satMod val="103000"/>
                <a:lumMod val="102000"/>
                <a:tint val="94000"/>
              </a:schemeClr>
            </a:gs>
            <a:gs pos="50000">
              <a:schemeClr val="accent5">
                <a:hueOff val="-7353345"/>
                <a:satOff val="-10228"/>
                <a:lumOff val="-3922"/>
                <a:alphaOff val="0"/>
                <a:satMod val="110000"/>
                <a:lumMod val="100000"/>
                <a:shade val="100000"/>
              </a:schemeClr>
            </a:gs>
            <a:gs pos="100000">
              <a:schemeClr val="accent5">
                <a:hueOff val="-7353345"/>
                <a:satOff val="-10228"/>
                <a:lumOff val="-392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235804" y="1662323"/>
        <a:ext cx="243839" cy="254072"/>
      </dsp:txXfrm>
    </dsp:sp>
    <dsp:sp modelId="{BA04379C-00C8-44A8-AAB4-628BC7EF6895}">
      <dsp:nvSpPr>
        <dsp:cNvPr id="0" name=""/>
        <dsp:cNvSpPr/>
      </dsp:nvSpPr>
      <dsp:spPr>
        <a:xfrm>
          <a:off x="1053600" y="635848"/>
          <a:ext cx="1120908" cy="1120908"/>
        </a:xfrm>
        <a:prstGeom prst="ellipse">
          <a:avLst/>
        </a:prstGeom>
        <a:gradFill rotWithShape="0">
          <a:gsLst>
            <a:gs pos="0">
              <a:schemeClr val="accent5">
                <a:hueOff val="-7353345"/>
                <a:satOff val="-10228"/>
                <a:lumOff val="-3922"/>
                <a:alphaOff val="0"/>
                <a:satMod val="103000"/>
                <a:lumMod val="102000"/>
                <a:tint val="94000"/>
              </a:schemeClr>
            </a:gs>
            <a:gs pos="50000">
              <a:schemeClr val="accent5">
                <a:hueOff val="-7353345"/>
                <a:satOff val="-10228"/>
                <a:lumOff val="-3922"/>
                <a:alphaOff val="0"/>
                <a:satMod val="110000"/>
                <a:lumMod val="100000"/>
                <a:shade val="100000"/>
              </a:schemeClr>
            </a:gs>
            <a:gs pos="100000">
              <a:schemeClr val="accent5">
                <a:hueOff val="-7353345"/>
                <a:satOff val="-10228"/>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0" kern="1200">
              <a:solidFill>
                <a:sysClr val="windowText" lastClr="000000"/>
              </a:solidFill>
              <a:latin typeface="Times New Roman" panose="02020603050405020304" pitchFamily="18" charset="0"/>
              <a:cs typeface="Times New Roman" panose="02020603050405020304" pitchFamily="18" charset="0"/>
            </a:rPr>
            <a:t>Metrics and Evaluation</a:t>
          </a:r>
          <a:endParaRPr lang="en-US" sz="1100" b="0" kern="1200">
            <a:solidFill>
              <a:sysClr val="windowText" lastClr="000000"/>
            </a:solidFill>
            <a:latin typeface="Times New Roman" panose="02020603050405020304" pitchFamily="18" charset="0"/>
            <a:cs typeface="Times New Roman" panose="02020603050405020304" pitchFamily="18" charset="0"/>
          </a:endParaRPr>
        </a:p>
      </dsp:txBody>
      <dsp:txXfrm>
        <a:off x="1217753" y="800001"/>
        <a:ext cx="792602" cy="7926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33602-878A-46F3-A933-53E821E12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18</Pages>
  <Words>4092</Words>
  <Characters>23327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Aso Abdullah</dc:creator>
  <cp:lastModifiedBy>welcome</cp:lastModifiedBy>
  <cp:revision>13</cp:revision>
  <dcterms:created xsi:type="dcterms:W3CDTF">2023-04-28T01:51:00Z</dcterms:created>
  <dcterms:modified xsi:type="dcterms:W3CDTF">2023-04-28T20:49:00Z</dcterms:modified>
</cp:coreProperties>
</file>