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9CA72CB" w:rsidR="7908378C" w:rsidRPr="001953DC" w:rsidRDefault="7908378C" w:rsidP="33572C6E">
            <w:pPr>
              <w:ind w:right="237"/>
              <w:rPr>
                <w:b/>
                <w:bCs/>
                <w:color w:val="auto"/>
                <w:sz w:val="32"/>
                <w:szCs w:val="32"/>
                <w:u w:val="single"/>
              </w:rPr>
            </w:pPr>
            <w:r w:rsidRPr="33572C6E">
              <w:rPr>
                <w:b/>
                <w:bCs/>
                <w:color w:val="auto"/>
                <w:sz w:val="32"/>
                <w:szCs w:val="32"/>
              </w:rPr>
              <w:t xml:space="preserve">Learner name: </w:t>
            </w:r>
            <w:r w:rsidR="001953DC">
              <w:rPr>
                <w:b/>
                <w:bCs/>
                <w:color w:val="auto"/>
                <w:sz w:val="32"/>
                <w:szCs w:val="32"/>
                <w:u w:val="single"/>
              </w:rPr>
              <w:t>Gareth Murphy</w:t>
            </w:r>
          </w:p>
          <w:p w14:paraId="3A3A802D" w14:textId="77777777" w:rsidR="33572C6E" w:rsidRDefault="33572C6E" w:rsidP="33572C6E">
            <w:pPr>
              <w:ind w:right="237"/>
              <w:rPr>
                <w:b/>
                <w:bCs/>
                <w:color w:val="auto"/>
                <w:sz w:val="32"/>
                <w:szCs w:val="32"/>
              </w:rPr>
            </w:pPr>
          </w:p>
          <w:p w14:paraId="1D86F74A" w14:textId="7BE604E4" w:rsidR="33572C6E" w:rsidRPr="001953DC" w:rsidRDefault="7908378C" w:rsidP="33572C6E">
            <w:pPr>
              <w:ind w:right="237"/>
              <w:rPr>
                <w:b/>
                <w:bCs/>
                <w:color w:val="auto"/>
                <w:sz w:val="32"/>
                <w:szCs w:val="32"/>
                <w:u w:val="single"/>
              </w:rPr>
            </w:pPr>
            <w:r w:rsidRPr="33572C6E">
              <w:rPr>
                <w:b/>
                <w:bCs/>
                <w:color w:val="auto"/>
                <w:sz w:val="32"/>
                <w:szCs w:val="32"/>
              </w:rPr>
              <w:t>Learner’s University Registration Number:</w:t>
            </w:r>
            <w:r w:rsidR="001953DC">
              <w:rPr>
                <w:b/>
                <w:bCs/>
                <w:color w:val="auto"/>
                <w:sz w:val="32"/>
                <w:szCs w:val="32"/>
              </w:rPr>
              <w:t xml:space="preserve"> </w:t>
            </w:r>
            <w:r w:rsidR="001953DC">
              <w:rPr>
                <w:b/>
                <w:bCs/>
                <w:color w:val="auto"/>
                <w:sz w:val="32"/>
                <w:szCs w:val="32"/>
                <w:u w:val="single"/>
              </w:rPr>
              <w:t>2301320</w:t>
            </w: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992E80">
      <w:pPr>
        <w:pStyle w:val="ListParagraph"/>
        <w:numPr>
          <w:ilvl w:val="0"/>
          <w:numId w:val="6"/>
        </w:numPr>
        <w:ind w:right="237"/>
        <w:jc w:val="both"/>
        <w:rPr>
          <w:sz w:val="24"/>
          <w:szCs w:val="24"/>
        </w:rPr>
      </w:pPr>
      <w:r w:rsidRPr="00E676F7">
        <w:rPr>
          <w:sz w:val="24"/>
          <w:szCs w:val="24"/>
        </w:rPr>
        <w:t>Wellbeing and Resilience</w:t>
      </w:r>
    </w:p>
    <w:p w14:paraId="3263D299" w14:textId="3A8272EE" w:rsidR="00A3273B" w:rsidRPr="00E676F7" w:rsidRDefault="00A3273B" w:rsidP="00992E80">
      <w:pPr>
        <w:pStyle w:val="ListParagraph"/>
        <w:numPr>
          <w:ilvl w:val="0"/>
          <w:numId w:val="6"/>
        </w:numPr>
        <w:ind w:right="237"/>
        <w:jc w:val="both"/>
        <w:rPr>
          <w:sz w:val="24"/>
          <w:szCs w:val="24"/>
        </w:rPr>
      </w:pPr>
      <w:r w:rsidRPr="00E676F7">
        <w:rPr>
          <w:sz w:val="24"/>
          <w:szCs w:val="24"/>
        </w:rPr>
        <w:t>Criminal Justice</w:t>
      </w:r>
    </w:p>
    <w:p w14:paraId="5C8436F9" w14:textId="77777777" w:rsidR="00446792" w:rsidRPr="00E676F7" w:rsidRDefault="00446792" w:rsidP="00992E80">
      <w:pPr>
        <w:pStyle w:val="ListParagraph"/>
        <w:numPr>
          <w:ilvl w:val="0"/>
          <w:numId w:val="6"/>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992E80">
      <w:pPr>
        <w:pStyle w:val="ListParagraph"/>
        <w:numPr>
          <w:ilvl w:val="0"/>
          <w:numId w:val="6"/>
        </w:numPr>
        <w:ind w:right="237"/>
        <w:jc w:val="both"/>
        <w:rPr>
          <w:sz w:val="24"/>
          <w:szCs w:val="24"/>
        </w:rPr>
      </w:pPr>
      <w:r w:rsidRPr="00E676F7">
        <w:rPr>
          <w:sz w:val="24"/>
          <w:szCs w:val="24"/>
        </w:rPr>
        <w:t>Decision making and discretion</w:t>
      </w:r>
    </w:p>
    <w:p w14:paraId="54BA0405" w14:textId="0EF457CA" w:rsidR="002423B2" w:rsidRPr="00E676F7" w:rsidRDefault="002423B2" w:rsidP="00992E80">
      <w:pPr>
        <w:pStyle w:val="ListParagraph"/>
        <w:numPr>
          <w:ilvl w:val="0"/>
          <w:numId w:val="6"/>
        </w:numPr>
        <w:ind w:right="237"/>
        <w:jc w:val="both"/>
        <w:rPr>
          <w:sz w:val="24"/>
          <w:szCs w:val="24"/>
        </w:rPr>
      </w:pPr>
      <w:r w:rsidRPr="00E676F7">
        <w:rPr>
          <w:sz w:val="24"/>
          <w:szCs w:val="24"/>
        </w:rPr>
        <w:t>Maintaining Professional Standards</w:t>
      </w:r>
    </w:p>
    <w:p w14:paraId="4ED89EB9" w14:textId="1EEDB0E6" w:rsidR="002423B2" w:rsidRPr="00E676F7" w:rsidRDefault="002423B2" w:rsidP="00992E80">
      <w:pPr>
        <w:pStyle w:val="ListParagraph"/>
        <w:numPr>
          <w:ilvl w:val="0"/>
          <w:numId w:val="6"/>
        </w:numPr>
        <w:ind w:right="237"/>
        <w:jc w:val="both"/>
        <w:rPr>
          <w:sz w:val="24"/>
          <w:szCs w:val="24"/>
        </w:rPr>
      </w:pPr>
      <w:r w:rsidRPr="00E676F7">
        <w:rPr>
          <w:sz w:val="24"/>
          <w:szCs w:val="24"/>
        </w:rPr>
        <w:t>Leadership and Team working</w:t>
      </w:r>
    </w:p>
    <w:p w14:paraId="36D2FCB9" w14:textId="255E577E" w:rsidR="002423B2" w:rsidRPr="00E676F7" w:rsidRDefault="002423B2" w:rsidP="00992E80">
      <w:pPr>
        <w:pStyle w:val="ListParagraph"/>
        <w:numPr>
          <w:ilvl w:val="0"/>
          <w:numId w:val="6"/>
        </w:numPr>
        <w:ind w:right="237"/>
        <w:jc w:val="both"/>
        <w:rPr>
          <w:sz w:val="24"/>
          <w:szCs w:val="24"/>
        </w:rPr>
      </w:pPr>
      <w:r w:rsidRPr="00E676F7">
        <w:rPr>
          <w:sz w:val="24"/>
          <w:szCs w:val="24"/>
        </w:rPr>
        <w:t>Policing the roads</w:t>
      </w:r>
    </w:p>
    <w:p w14:paraId="2F4F47A1" w14:textId="722572A8" w:rsidR="002423B2" w:rsidRPr="00E676F7" w:rsidRDefault="002423B2" w:rsidP="00992E80">
      <w:pPr>
        <w:pStyle w:val="ListParagraph"/>
        <w:numPr>
          <w:ilvl w:val="0"/>
          <w:numId w:val="6"/>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C7975"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00992E80">
      <w:pPr>
        <w:numPr>
          <w:ilvl w:val="0"/>
          <w:numId w:val="2"/>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00992E80">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00992E80">
      <w:pPr>
        <w:numPr>
          <w:ilvl w:val="0"/>
          <w:numId w:val="5"/>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00992E80">
      <w:pPr>
        <w:numPr>
          <w:ilvl w:val="0"/>
          <w:numId w:val="4"/>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00992E80">
      <w:pPr>
        <w:numPr>
          <w:ilvl w:val="0"/>
          <w:numId w:val="4"/>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00992E80">
      <w:pPr>
        <w:numPr>
          <w:ilvl w:val="0"/>
          <w:numId w:val="3"/>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00992E80">
      <w:pPr>
        <w:numPr>
          <w:ilvl w:val="0"/>
          <w:numId w:val="3"/>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00992E80">
      <w:pPr>
        <w:numPr>
          <w:ilvl w:val="0"/>
          <w:numId w:val="3"/>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00992E80">
      <w:pPr>
        <w:numPr>
          <w:ilvl w:val="0"/>
          <w:numId w:val="3"/>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55885AA0" w14:textId="4D4E0478" w:rsidR="008B28E7" w:rsidRPr="00D83361" w:rsidRDefault="00025650" w:rsidP="00D83361">
      <w:pPr>
        <w:ind w:right="237"/>
      </w:pPr>
      <w:r>
        <w:br w:type="page"/>
      </w: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lastRenderedPageBreak/>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3587CE67" w:rsidR="5B843AF0" w:rsidRDefault="5B843AF0" w:rsidP="5B843AF0">
      <w:pPr>
        <w:ind w:right="237"/>
        <w:jc w:val="both"/>
        <w:rPr>
          <w:rFonts w:eastAsia="Arial"/>
          <w:b/>
          <w:bCs/>
          <w:color w:val="000000" w:themeColor="text1"/>
          <w:sz w:val="24"/>
          <w:szCs w:val="24"/>
        </w:rPr>
      </w:pPr>
      <w:r w:rsidRPr="5CE196A1">
        <w:rPr>
          <w:rFonts w:eastAsia="Arial"/>
          <w:b/>
          <w:bCs/>
          <w:color w:val="000000" w:themeColor="text1"/>
          <w:sz w:val="24"/>
          <w:szCs w:val="24"/>
        </w:rPr>
        <w:t>ANSWER:</w:t>
      </w:r>
    </w:p>
    <w:p w14:paraId="11D6BB4C" w14:textId="3FC7A51D" w:rsidR="00F81320" w:rsidRPr="002F6ED2" w:rsidRDefault="00F81320" w:rsidP="00F81320">
      <w:pPr>
        <w:ind w:right="237"/>
        <w:jc w:val="both"/>
        <w:rPr>
          <w:rFonts w:eastAsia="Arial" w:cstheme="minorHAnsi"/>
          <w:color w:val="000000" w:themeColor="text1"/>
        </w:rPr>
      </w:pPr>
      <w:r>
        <w:rPr>
          <w:rFonts w:eastAsia="Arial" w:cstheme="minorHAnsi"/>
          <w:color w:val="000000" w:themeColor="text1"/>
        </w:rPr>
        <w:t>In thi</w:t>
      </w:r>
      <w:r w:rsidR="000C7975">
        <w:rPr>
          <w:rFonts w:eastAsia="Arial" w:cstheme="minorHAnsi"/>
          <w:color w:val="000000" w:themeColor="text1"/>
        </w:rPr>
        <w:t>s</w:t>
      </w:r>
      <w:r w:rsidRPr="009253E4">
        <w:rPr>
          <w:rFonts w:eastAsia="Arial" w:cstheme="minorHAnsi"/>
          <w:color w:val="000000" w:themeColor="text1"/>
        </w:rPr>
        <w:t xml:space="preserve"> essay</w:t>
      </w:r>
      <w:r>
        <w:rPr>
          <w:rFonts w:eastAsia="Arial" w:cstheme="minorHAnsi"/>
          <w:color w:val="000000" w:themeColor="text1"/>
        </w:rPr>
        <w:t xml:space="preserve"> I</w:t>
      </w:r>
      <w:r w:rsidRPr="009253E4">
        <w:rPr>
          <w:rFonts w:eastAsia="Arial" w:cstheme="minorHAnsi"/>
          <w:color w:val="000000" w:themeColor="text1"/>
        </w:rPr>
        <w:t xml:space="preserve"> will </w:t>
      </w:r>
      <w:r>
        <w:rPr>
          <w:rFonts w:eastAsia="Arial" w:cstheme="minorHAnsi"/>
          <w:color w:val="000000" w:themeColor="text1"/>
        </w:rPr>
        <w:t>describe</w:t>
      </w:r>
      <w:r w:rsidRPr="009253E4">
        <w:rPr>
          <w:rFonts w:eastAsia="Arial" w:cstheme="minorHAnsi"/>
          <w:color w:val="000000" w:themeColor="text1"/>
        </w:rPr>
        <w:t xml:space="preserve"> the role </w:t>
      </w:r>
      <w:r>
        <w:rPr>
          <w:rFonts w:eastAsia="Arial" w:cstheme="minorHAnsi"/>
          <w:color w:val="000000" w:themeColor="text1"/>
        </w:rPr>
        <w:t xml:space="preserve">I </w:t>
      </w:r>
      <w:r w:rsidRPr="009253E4">
        <w:rPr>
          <w:rFonts w:eastAsia="Arial" w:cstheme="minorHAnsi"/>
          <w:color w:val="000000" w:themeColor="text1"/>
        </w:rPr>
        <w:t>performed when dealing with an incident of Anti-Social</w:t>
      </w:r>
      <w:r>
        <w:rPr>
          <w:rFonts w:eastAsia="Arial" w:cstheme="minorHAnsi"/>
          <w:color w:val="000000" w:themeColor="text1"/>
        </w:rPr>
        <w:t xml:space="preserve"> B</w:t>
      </w:r>
      <w:r w:rsidRPr="009253E4">
        <w:rPr>
          <w:rFonts w:eastAsia="Arial" w:cstheme="minorHAnsi"/>
          <w:color w:val="000000" w:themeColor="text1"/>
        </w:rPr>
        <w:t xml:space="preserve">ehaviour </w:t>
      </w:r>
      <w:r>
        <w:rPr>
          <w:rFonts w:eastAsia="Arial" w:cstheme="minorHAnsi"/>
          <w:color w:val="000000" w:themeColor="text1"/>
        </w:rPr>
        <w:t>(ASB); and I evaluate</w:t>
      </w:r>
      <w:r w:rsidRPr="009253E4">
        <w:rPr>
          <w:rFonts w:eastAsia="Arial" w:cstheme="minorHAnsi"/>
          <w:color w:val="000000" w:themeColor="text1"/>
        </w:rPr>
        <w:t xml:space="preserve"> the approaches and processes used in supporting </w:t>
      </w:r>
      <w:r>
        <w:rPr>
          <w:rFonts w:eastAsia="Arial" w:cstheme="minorHAnsi"/>
          <w:color w:val="000000" w:themeColor="text1"/>
        </w:rPr>
        <w:t xml:space="preserve">the </w:t>
      </w:r>
      <w:r w:rsidRPr="009253E4">
        <w:rPr>
          <w:rFonts w:eastAsia="Arial" w:cstheme="minorHAnsi"/>
          <w:color w:val="000000" w:themeColor="text1"/>
        </w:rPr>
        <w:t>victim</w:t>
      </w:r>
      <w:r>
        <w:rPr>
          <w:rFonts w:eastAsia="Arial" w:cstheme="minorHAnsi"/>
          <w:color w:val="000000" w:themeColor="text1"/>
        </w:rPr>
        <w:t>s</w:t>
      </w:r>
      <w:r w:rsidRPr="009253E4">
        <w:rPr>
          <w:rFonts w:eastAsia="Arial" w:cstheme="minorHAnsi"/>
          <w:color w:val="000000" w:themeColor="text1"/>
        </w:rPr>
        <w:t xml:space="preserve"> and offenders</w:t>
      </w:r>
      <w:r>
        <w:rPr>
          <w:rFonts w:eastAsia="Arial" w:cstheme="minorHAnsi"/>
          <w:color w:val="000000" w:themeColor="text1"/>
        </w:rPr>
        <w:t>,</w:t>
      </w:r>
      <w:r w:rsidRPr="009253E4">
        <w:rPr>
          <w:rFonts w:eastAsia="Arial" w:cstheme="minorHAnsi"/>
          <w:color w:val="000000" w:themeColor="text1"/>
        </w:rPr>
        <w:t xml:space="preserve"> </w:t>
      </w:r>
      <w:r>
        <w:rPr>
          <w:rFonts w:eastAsia="Arial" w:cstheme="minorHAnsi"/>
          <w:color w:val="000000" w:themeColor="text1"/>
        </w:rPr>
        <w:t xml:space="preserve">and explore strategies used to avoid </w:t>
      </w:r>
      <w:r w:rsidRPr="009253E4">
        <w:rPr>
          <w:rFonts w:eastAsia="Arial" w:cstheme="minorHAnsi"/>
          <w:color w:val="000000" w:themeColor="text1"/>
        </w:rPr>
        <w:t>repeat victimisation and re-offending</w:t>
      </w:r>
      <w:r>
        <w:rPr>
          <w:rFonts w:eastAsia="Arial" w:cstheme="minorHAnsi"/>
          <w:color w:val="000000" w:themeColor="text1"/>
        </w:rPr>
        <w:t xml:space="preserve">. </w:t>
      </w:r>
      <w:r w:rsidRPr="00BA2D51">
        <w:rPr>
          <w:rFonts w:eastAsia="Arial" w:cstheme="minorHAnsi"/>
          <w:color w:val="000000" w:themeColor="text1"/>
        </w:rPr>
        <w:t>To</w:t>
      </w:r>
      <w:r>
        <w:rPr>
          <w:rFonts w:eastAsia="Arial" w:cstheme="minorHAnsi"/>
          <w:color w:val="000000" w:themeColor="text1"/>
        </w:rPr>
        <w:t xml:space="preserve"> assist in </w:t>
      </w:r>
      <w:r w:rsidRPr="00BA2D51">
        <w:rPr>
          <w:rFonts w:eastAsia="Arial" w:cstheme="minorHAnsi"/>
          <w:color w:val="000000" w:themeColor="text1"/>
        </w:rPr>
        <w:t>reflect</w:t>
      </w:r>
      <w:r>
        <w:rPr>
          <w:rFonts w:eastAsia="Arial" w:cstheme="minorHAnsi"/>
          <w:color w:val="000000" w:themeColor="text1"/>
        </w:rPr>
        <w:t>ing</w:t>
      </w:r>
      <w:r w:rsidRPr="00BA2D51">
        <w:rPr>
          <w:rFonts w:eastAsia="Arial" w:cstheme="minorHAnsi"/>
          <w:color w:val="000000" w:themeColor="text1"/>
        </w:rPr>
        <w:t xml:space="preserve"> </w:t>
      </w:r>
      <w:r>
        <w:rPr>
          <w:rFonts w:eastAsia="Arial" w:cstheme="minorHAnsi"/>
          <w:color w:val="000000" w:themeColor="text1"/>
        </w:rPr>
        <w:t xml:space="preserve">and learning from my </w:t>
      </w:r>
      <w:r w:rsidRPr="00BA2D51">
        <w:rPr>
          <w:rFonts w:eastAsia="Arial" w:cstheme="minorHAnsi"/>
          <w:color w:val="000000" w:themeColor="text1"/>
        </w:rPr>
        <w:t>experiences</w:t>
      </w:r>
      <w:r>
        <w:rPr>
          <w:rFonts w:eastAsia="Arial" w:cstheme="minorHAnsi"/>
          <w:color w:val="000000" w:themeColor="text1"/>
        </w:rPr>
        <w:t xml:space="preserve"> of this incident</w:t>
      </w:r>
      <w:r w:rsidRPr="00BA2D51">
        <w:rPr>
          <w:rFonts w:eastAsia="Arial" w:cstheme="minorHAnsi"/>
          <w:color w:val="000000" w:themeColor="text1"/>
        </w:rPr>
        <w:t>, I will use the CARL</w:t>
      </w:r>
      <w:r>
        <w:rPr>
          <w:rFonts w:eastAsia="Arial" w:cstheme="minorHAnsi"/>
          <w:color w:val="000000" w:themeColor="text1"/>
        </w:rPr>
        <w:t xml:space="preserve"> reflection model which allows you to break down events, further understanding and reflect on the outcome. The model is made of four elements: Context, Actions, Reflection and Learning (Dabell, (2021).</w:t>
      </w:r>
    </w:p>
    <w:p w14:paraId="75DC0EEC" w14:textId="77777777" w:rsidR="00F81320" w:rsidRPr="002F6ED2" w:rsidRDefault="00F81320" w:rsidP="00F81320">
      <w:pPr>
        <w:shd w:val="clear" w:color="auto" w:fill="FFFFFF"/>
        <w:jc w:val="both"/>
        <w:rPr>
          <w:rFonts w:cstheme="minorHAnsi"/>
          <w:i/>
          <w:iCs/>
          <w:spacing w:val="3"/>
        </w:rPr>
      </w:pPr>
      <w:r>
        <w:rPr>
          <w:rFonts w:cstheme="minorHAnsi"/>
          <w:lang w:eastAsia="zh-TW"/>
        </w:rPr>
        <w:t xml:space="preserve">I attended a 999-emergency call from a third-party where it was reported </w:t>
      </w:r>
      <w:r w:rsidRPr="00177866">
        <w:rPr>
          <w:rFonts w:cstheme="minorHAnsi"/>
          <w:lang w:eastAsia="zh-TW"/>
        </w:rPr>
        <w:t>that home</w:t>
      </w:r>
      <w:r>
        <w:rPr>
          <w:rFonts w:cstheme="minorHAnsi"/>
          <w:lang w:eastAsia="zh-TW"/>
        </w:rPr>
        <w:t>less people</w:t>
      </w:r>
      <w:r w:rsidRPr="00177866">
        <w:rPr>
          <w:rFonts w:cstheme="minorHAnsi"/>
          <w:lang w:eastAsia="zh-TW"/>
        </w:rPr>
        <w:t xml:space="preserve"> were </w:t>
      </w:r>
      <w:r>
        <w:rPr>
          <w:rFonts w:cstheme="minorHAnsi"/>
          <w:lang w:eastAsia="zh-TW"/>
        </w:rPr>
        <w:t xml:space="preserve">being </w:t>
      </w:r>
      <w:r w:rsidRPr="00177866">
        <w:rPr>
          <w:rFonts w:cstheme="minorHAnsi"/>
          <w:lang w:eastAsia="zh-TW"/>
        </w:rPr>
        <w:t>targeted and attacked by</w:t>
      </w:r>
      <w:r>
        <w:rPr>
          <w:rFonts w:cstheme="minorHAnsi"/>
          <w:lang w:eastAsia="zh-TW"/>
        </w:rPr>
        <w:t xml:space="preserve"> four</w:t>
      </w:r>
      <w:r w:rsidRPr="00177866">
        <w:rPr>
          <w:rFonts w:cstheme="minorHAnsi"/>
          <w:lang w:eastAsia="zh-TW"/>
        </w:rPr>
        <w:t xml:space="preserve"> </w:t>
      </w:r>
      <w:r>
        <w:rPr>
          <w:rFonts w:cstheme="minorHAnsi"/>
          <w:lang w:eastAsia="zh-TW"/>
        </w:rPr>
        <w:t>young males through threats of violence and had offensive weapons such as rocks, bricks and metal poles being thrown at them</w:t>
      </w:r>
      <w:r w:rsidRPr="00177866">
        <w:rPr>
          <w:rFonts w:cstheme="minorHAnsi"/>
          <w:lang w:eastAsia="zh-TW"/>
        </w:rPr>
        <w:t>.</w:t>
      </w:r>
      <w:r>
        <w:rPr>
          <w:rFonts w:cstheme="minorHAnsi"/>
          <w:lang w:eastAsia="zh-TW"/>
        </w:rPr>
        <w:t xml:space="preserve"> As I arrived</w:t>
      </w:r>
      <w:r w:rsidRPr="00177866">
        <w:rPr>
          <w:rFonts w:cstheme="minorHAnsi"/>
          <w:lang w:eastAsia="zh-TW"/>
        </w:rPr>
        <w:t xml:space="preserve"> at the location of the incident</w:t>
      </w:r>
      <w:r>
        <w:rPr>
          <w:rFonts w:cstheme="minorHAnsi"/>
          <w:lang w:eastAsia="zh-TW"/>
        </w:rPr>
        <w:t>, I met with the caller who gave me a summary of what he had witnessed and showed me CCTV footage of the incident whereby I identified two of the four males. I carried out</w:t>
      </w:r>
      <w:r w:rsidRPr="00177866">
        <w:rPr>
          <w:rFonts w:cstheme="minorHAnsi"/>
          <w:lang w:eastAsia="zh-TW"/>
        </w:rPr>
        <w:t xml:space="preserve"> </w:t>
      </w:r>
      <w:r>
        <w:rPr>
          <w:rFonts w:cstheme="minorHAnsi"/>
          <w:lang w:eastAsia="zh-TW"/>
        </w:rPr>
        <w:t xml:space="preserve">a search </w:t>
      </w:r>
      <w:r w:rsidRPr="00177866">
        <w:rPr>
          <w:rFonts w:cstheme="minorHAnsi"/>
          <w:lang w:eastAsia="zh-TW"/>
        </w:rPr>
        <w:t>for</w:t>
      </w:r>
      <w:r>
        <w:rPr>
          <w:rFonts w:cstheme="minorHAnsi"/>
          <w:lang w:eastAsia="zh-TW"/>
        </w:rPr>
        <w:t xml:space="preserve"> the victims and offenders with the assistance of </w:t>
      </w:r>
      <w:r w:rsidRPr="00177866">
        <w:rPr>
          <w:rFonts w:cstheme="minorHAnsi"/>
          <w:lang w:eastAsia="zh-TW"/>
        </w:rPr>
        <w:t xml:space="preserve">two </w:t>
      </w:r>
      <w:r>
        <w:rPr>
          <w:rFonts w:cstheme="minorHAnsi"/>
          <w:lang w:eastAsia="zh-TW"/>
        </w:rPr>
        <w:t xml:space="preserve">local </w:t>
      </w:r>
      <w:r w:rsidRPr="00177866">
        <w:rPr>
          <w:rFonts w:cstheme="minorHAnsi"/>
          <w:lang w:eastAsia="zh-TW"/>
        </w:rPr>
        <w:t xml:space="preserve">Community Support Officers (CSO). </w:t>
      </w:r>
      <w:r>
        <w:rPr>
          <w:rFonts w:cstheme="minorHAnsi"/>
          <w:lang w:eastAsia="zh-TW"/>
        </w:rPr>
        <w:t xml:space="preserve">With my experience, CSO’s are an asset to response officers within communities as they are a visible and reassuring presence, they engage and build rapport with the public and focus on local priorities within communities. On reflection, </w:t>
      </w:r>
      <w:r>
        <w:rPr>
          <w:rFonts w:cstheme="minorHAnsi"/>
          <w:spacing w:val="3"/>
        </w:rPr>
        <w:t>t</w:t>
      </w:r>
      <w:r w:rsidRPr="00177866">
        <w:rPr>
          <w:rFonts w:cstheme="minorHAnsi"/>
          <w:spacing w:val="3"/>
        </w:rPr>
        <w:t xml:space="preserve">he benefit of </w:t>
      </w:r>
      <w:r>
        <w:rPr>
          <w:rFonts w:cstheme="minorHAnsi"/>
          <w:spacing w:val="3"/>
        </w:rPr>
        <w:t xml:space="preserve">visible police presence </w:t>
      </w:r>
      <w:r w:rsidRPr="00177866">
        <w:rPr>
          <w:rFonts w:cstheme="minorHAnsi"/>
          <w:spacing w:val="3"/>
        </w:rPr>
        <w:t>by the public whilst on</w:t>
      </w:r>
      <w:r>
        <w:rPr>
          <w:rFonts w:cstheme="minorHAnsi"/>
          <w:spacing w:val="3"/>
        </w:rPr>
        <w:t xml:space="preserve"> </w:t>
      </w:r>
      <w:r w:rsidRPr="00177866">
        <w:rPr>
          <w:rFonts w:cstheme="minorHAnsi"/>
          <w:spacing w:val="3"/>
        </w:rPr>
        <w:t xml:space="preserve">patrol </w:t>
      </w:r>
      <w:r>
        <w:rPr>
          <w:rFonts w:cstheme="minorHAnsi"/>
          <w:spacing w:val="3"/>
        </w:rPr>
        <w:t xml:space="preserve">provides </w:t>
      </w:r>
      <w:r w:rsidRPr="00177866">
        <w:rPr>
          <w:rFonts w:cstheme="minorHAnsi"/>
          <w:spacing w:val="3"/>
        </w:rPr>
        <w:t>reassu</w:t>
      </w:r>
      <w:r>
        <w:rPr>
          <w:rFonts w:cstheme="minorHAnsi"/>
          <w:spacing w:val="3"/>
        </w:rPr>
        <w:t>rance and aids</w:t>
      </w:r>
      <w:r w:rsidRPr="00177866">
        <w:rPr>
          <w:rFonts w:cstheme="minorHAnsi"/>
          <w:spacing w:val="3"/>
        </w:rPr>
        <w:t xml:space="preserve"> </w:t>
      </w:r>
      <w:r>
        <w:rPr>
          <w:rFonts w:cstheme="minorHAnsi"/>
          <w:spacing w:val="3"/>
        </w:rPr>
        <w:t xml:space="preserve">a </w:t>
      </w:r>
      <w:r w:rsidRPr="00177866">
        <w:rPr>
          <w:rFonts w:cstheme="minorHAnsi"/>
          <w:spacing w:val="3"/>
        </w:rPr>
        <w:t>deterrent for any potential offenders</w:t>
      </w:r>
      <w:r>
        <w:rPr>
          <w:rFonts w:cstheme="minorHAnsi"/>
          <w:spacing w:val="3"/>
        </w:rPr>
        <w:t xml:space="preserve"> (BBC, 2012).</w:t>
      </w:r>
    </w:p>
    <w:p w14:paraId="16357C68" w14:textId="77777777" w:rsidR="00F81320" w:rsidRDefault="00F81320" w:rsidP="00F81320">
      <w:pPr>
        <w:shd w:val="clear" w:color="auto" w:fill="FFFFFF"/>
        <w:jc w:val="both"/>
        <w:rPr>
          <w:rFonts w:cstheme="minorHAnsi"/>
          <w:lang w:eastAsia="zh-TW"/>
        </w:rPr>
      </w:pPr>
      <w:r>
        <w:rPr>
          <w:rFonts w:cstheme="minorHAnsi"/>
          <w:lang w:eastAsia="zh-TW"/>
        </w:rPr>
        <w:t>A further</w:t>
      </w:r>
      <w:r w:rsidRPr="00177866">
        <w:rPr>
          <w:rFonts w:cstheme="minorHAnsi"/>
          <w:lang w:eastAsia="zh-TW"/>
        </w:rPr>
        <w:t xml:space="preserve"> call </w:t>
      </w:r>
      <w:r>
        <w:rPr>
          <w:rFonts w:cstheme="minorHAnsi"/>
          <w:lang w:eastAsia="zh-TW"/>
        </w:rPr>
        <w:t xml:space="preserve">from another individual containing </w:t>
      </w:r>
      <w:r w:rsidRPr="00177866">
        <w:rPr>
          <w:rFonts w:cstheme="minorHAnsi"/>
          <w:lang w:eastAsia="zh-TW"/>
        </w:rPr>
        <w:t xml:space="preserve">similar circumstances </w:t>
      </w:r>
      <w:r>
        <w:rPr>
          <w:rFonts w:cstheme="minorHAnsi"/>
          <w:lang w:eastAsia="zh-TW"/>
        </w:rPr>
        <w:t>came</w:t>
      </w:r>
      <w:r w:rsidRPr="00177866">
        <w:rPr>
          <w:rFonts w:cstheme="minorHAnsi"/>
          <w:lang w:eastAsia="zh-TW"/>
        </w:rPr>
        <w:t xml:space="preserve"> over the radio </w:t>
      </w:r>
      <w:r>
        <w:rPr>
          <w:rFonts w:cstheme="minorHAnsi"/>
          <w:lang w:eastAsia="zh-TW"/>
        </w:rPr>
        <w:t xml:space="preserve">with </w:t>
      </w:r>
      <w:r w:rsidRPr="00177866">
        <w:rPr>
          <w:rFonts w:cstheme="minorHAnsi"/>
          <w:lang w:eastAsia="zh-TW"/>
        </w:rPr>
        <w:t>comparable descriptions to the initial incident.</w:t>
      </w:r>
      <w:r>
        <w:rPr>
          <w:rFonts w:cstheme="minorHAnsi"/>
          <w:lang w:eastAsia="zh-TW"/>
        </w:rPr>
        <w:t xml:space="preserve"> As I arrived </w:t>
      </w:r>
      <w:r w:rsidRPr="00177866">
        <w:rPr>
          <w:rFonts w:cstheme="minorHAnsi"/>
          <w:lang w:eastAsia="zh-TW"/>
        </w:rPr>
        <w:t xml:space="preserve">at the </w:t>
      </w:r>
      <w:r>
        <w:rPr>
          <w:rFonts w:cstheme="minorHAnsi"/>
          <w:lang w:eastAsia="zh-TW"/>
        </w:rPr>
        <w:t xml:space="preserve">location </w:t>
      </w:r>
      <w:r w:rsidRPr="00177866">
        <w:rPr>
          <w:rFonts w:cstheme="minorHAnsi"/>
          <w:lang w:eastAsia="zh-TW"/>
        </w:rPr>
        <w:t xml:space="preserve">of the second call, I </w:t>
      </w:r>
      <w:r>
        <w:rPr>
          <w:rFonts w:cstheme="minorHAnsi"/>
          <w:lang w:eastAsia="zh-TW"/>
        </w:rPr>
        <w:t>witnessed the same</w:t>
      </w:r>
      <w:r w:rsidRPr="00177866">
        <w:rPr>
          <w:rFonts w:cstheme="minorHAnsi"/>
          <w:lang w:eastAsia="zh-TW"/>
        </w:rPr>
        <w:t xml:space="preserve"> two young males </w:t>
      </w:r>
      <w:r>
        <w:rPr>
          <w:rFonts w:cstheme="minorHAnsi"/>
          <w:lang w:eastAsia="zh-TW"/>
        </w:rPr>
        <w:t>from</w:t>
      </w:r>
      <w:r w:rsidRPr="00177866">
        <w:rPr>
          <w:rFonts w:cstheme="minorHAnsi"/>
          <w:lang w:eastAsia="zh-TW"/>
        </w:rPr>
        <w:t xml:space="preserve"> the CCTV. Both males </w:t>
      </w:r>
      <w:r>
        <w:rPr>
          <w:rFonts w:cstheme="minorHAnsi"/>
          <w:lang w:eastAsia="zh-TW"/>
        </w:rPr>
        <w:t xml:space="preserve">saw that I was in the area and ran away </w:t>
      </w:r>
      <w:r w:rsidRPr="00177866">
        <w:rPr>
          <w:rFonts w:cstheme="minorHAnsi"/>
          <w:lang w:eastAsia="zh-TW"/>
        </w:rPr>
        <w:t xml:space="preserve">through </w:t>
      </w:r>
      <w:r>
        <w:rPr>
          <w:rFonts w:cstheme="minorHAnsi"/>
          <w:lang w:eastAsia="zh-TW"/>
        </w:rPr>
        <w:t>various locations and</w:t>
      </w:r>
      <w:r w:rsidRPr="00177866">
        <w:rPr>
          <w:rFonts w:cstheme="minorHAnsi"/>
          <w:lang w:eastAsia="zh-TW"/>
        </w:rPr>
        <w:t xml:space="preserve"> onto a busy dual carriageway</w:t>
      </w:r>
      <w:r>
        <w:rPr>
          <w:rFonts w:cstheme="minorHAnsi"/>
          <w:lang w:eastAsia="zh-TW"/>
        </w:rPr>
        <w:t>. I</w:t>
      </w:r>
      <w:r w:rsidRPr="00177866">
        <w:rPr>
          <w:rFonts w:cstheme="minorHAnsi"/>
          <w:lang w:eastAsia="zh-TW"/>
        </w:rPr>
        <w:t xml:space="preserve"> followed both males onto </w:t>
      </w:r>
      <w:r>
        <w:rPr>
          <w:rFonts w:cstheme="minorHAnsi"/>
          <w:lang w:eastAsia="zh-TW"/>
        </w:rPr>
        <w:t xml:space="preserve">a </w:t>
      </w:r>
      <w:r w:rsidRPr="00177866">
        <w:rPr>
          <w:rFonts w:cstheme="minorHAnsi"/>
          <w:lang w:eastAsia="zh-TW"/>
        </w:rPr>
        <w:t>foot bridge where they were stopped, detained, and</w:t>
      </w:r>
      <w:r>
        <w:rPr>
          <w:rFonts w:cstheme="minorHAnsi"/>
          <w:lang w:eastAsia="zh-TW"/>
        </w:rPr>
        <w:t xml:space="preserve"> arrested on suspicion of affray. T</w:t>
      </w:r>
      <w:r w:rsidRPr="00177866">
        <w:rPr>
          <w:rFonts w:cstheme="minorHAnsi"/>
          <w:lang w:eastAsia="zh-TW"/>
        </w:rPr>
        <w:t xml:space="preserve">he </w:t>
      </w:r>
      <w:r w:rsidRPr="00593934">
        <w:rPr>
          <w:rFonts w:cstheme="minorHAnsi"/>
          <w:i/>
          <w:iCs/>
          <w:lang w:eastAsia="zh-TW"/>
        </w:rPr>
        <w:t>Public Order Act (1986)</w:t>
      </w:r>
      <w:r w:rsidRPr="00177866">
        <w:rPr>
          <w:rFonts w:cstheme="minorHAnsi"/>
          <w:lang w:eastAsia="zh-TW"/>
        </w:rPr>
        <w:t xml:space="preserve"> </w:t>
      </w:r>
      <w:r>
        <w:rPr>
          <w:rFonts w:cstheme="minorHAnsi"/>
          <w:lang w:eastAsia="zh-TW"/>
        </w:rPr>
        <w:t xml:space="preserve">states affray is </w:t>
      </w:r>
      <w:r w:rsidRPr="00177866">
        <w:rPr>
          <w:rFonts w:cstheme="minorHAnsi"/>
          <w:lang w:eastAsia="zh-TW"/>
        </w:rPr>
        <w:t>when a person:</w:t>
      </w:r>
      <w:r>
        <w:rPr>
          <w:rFonts w:cstheme="minorHAnsi"/>
          <w:i/>
          <w:iCs/>
          <w:spacing w:val="3"/>
        </w:rPr>
        <w:t xml:space="preserve"> </w:t>
      </w:r>
      <w:r w:rsidRPr="00913CF4">
        <w:rPr>
          <w:rFonts w:cstheme="minorHAnsi"/>
          <w:shd w:val="clear" w:color="auto" w:fill="FFFFFF"/>
        </w:rPr>
        <w:t>“…uses or threatens unlawful violence towards another and his conduct is such as would cause a person of reasonable firmness present at the scene to fear for his personal safety”.</w:t>
      </w:r>
      <w:r>
        <w:rPr>
          <w:rFonts w:cstheme="minorHAnsi"/>
          <w:shd w:val="clear" w:color="auto" w:fill="FFFFFF"/>
        </w:rPr>
        <w:t xml:space="preserve"> This was justified due to two persons fearing for the safety of themselves and others.</w:t>
      </w:r>
    </w:p>
    <w:p w14:paraId="1CF2613F" w14:textId="77777777" w:rsidR="00F81320" w:rsidRPr="00EA080C" w:rsidRDefault="00F81320" w:rsidP="00F81320">
      <w:pPr>
        <w:shd w:val="clear" w:color="auto" w:fill="FFFFFF"/>
        <w:jc w:val="both"/>
        <w:rPr>
          <w:rFonts w:cstheme="minorHAnsi"/>
          <w:lang w:eastAsia="zh-TW"/>
        </w:rPr>
      </w:pPr>
      <w:r>
        <w:rPr>
          <w:rFonts w:cstheme="minorHAnsi"/>
          <w:lang w:eastAsia="zh-TW"/>
        </w:rPr>
        <w:t xml:space="preserve">The CSO’s eventually found the victims in a nearby shop. The victims refused to engage with officers and only provided their names. On reflection, this proved difficult in providing any form of initial victim support other than generic safety advice. As I knew the names of the victims, I was able to pass this information to the dispatch system and include information about their vulnerabilities and potential risk for repeat victimisation. These actions would only allow the safeguarding of the victims in the short term and not an ideal method in the long term as cause of the ASB has not been addressed. Had the victims lived at an address, I could have strengthened the safeguarding measures in place but referring them </w:t>
      </w:r>
      <w:r>
        <w:rPr>
          <w:rFonts w:cstheme="minorHAnsi"/>
          <w:lang w:eastAsia="zh-TW"/>
        </w:rPr>
        <w:lastRenderedPageBreak/>
        <w:t>to have a ring doorbell alarm fitted or a panic alarm installed at their property. Also, if an address could be established, ASB markers on the dispatch system could have been put in place to alert officers should further calls to the address arise in the future. However, as the victims in this case were homeless and not prepared to engage with police, these measures could not be explored.</w:t>
      </w:r>
    </w:p>
    <w:p w14:paraId="198981F5" w14:textId="77777777" w:rsidR="00F81320" w:rsidRDefault="00F81320" w:rsidP="00F81320">
      <w:pPr>
        <w:ind w:right="237"/>
        <w:jc w:val="both"/>
        <w:rPr>
          <w:rFonts w:cstheme="minorHAnsi"/>
          <w:lang w:eastAsia="zh-TW"/>
        </w:rPr>
      </w:pPr>
      <w:r w:rsidRPr="00177866">
        <w:rPr>
          <w:rFonts w:cstheme="minorHAnsi"/>
          <w:lang w:eastAsia="zh-TW"/>
        </w:rPr>
        <w:t>The nature of the incident suggested the males targeted socially vulnerable members of the public.</w:t>
      </w:r>
      <w:r>
        <w:rPr>
          <w:rFonts w:cstheme="minorHAnsi"/>
          <w:lang w:eastAsia="zh-TW"/>
        </w:rPr>
        <w:t xml:space="preserve"> A</w:t>
      </w:r>
      <w:r w:rsidRPr="00D02332">
        <w:rPr>
          <w:rFonts w:cstheme="minorHAnsi"/>
          <w:lang w:eastAsia="zh-TW"/>
        </w:rPr>
        <w:t>t the time of th</w:t>
      </w:r>
      <w:r>
        <w:rPr>
          <w:rFonts w:cstheme="minorHAnsi"/>
          <w:lang w:eastAsia="zh-TW"/>
        </w:rPr>
        <w:t>e</w:t>
      </w:r>
      <w:r w:rsidRPr="00D02332">
        <w:rPr>
          <w:rFonts w:cstheme="minorHAnsi"/>
          <w:lang w:eastAsia="zh-TW"/>
        </w:rPr>
        <w:t xml:space="preserve"> incident, there were numerous calls around targeting </w:t>
      </w:r>
      <w:r>
        <w:rPr>
          <w:rFonts w:cstheme="minorHAnsi"/>
          <w:lang w:eastAsia="zh-TW"/>
        </w:rPr>
        <w:t>the</w:t>
      </w:r>
      <w:r w:rsidRPr="00D02332">
        <w:rPr>
          <w:rFonts w:cstheme="minorHAnsi"/>
          <w:lang w:eastAsia="zh-TW"/>
        </w:rPr>
        <w:t xml:space="preserve"> socially vulnerable in the area. When dealing with incidents of this nature, I drew reference from </w:t>
      </w:r>
      <w:r>
        <w:rPr>
          <w:rFonts w:cstheme="minorHAnsi"/>
          <w:lang w:eastAsia="zh-TW"/>
        </w:rPr>
        <w:t>the</w:t>
      </w:r>
      <w:r w:rsidRPr="00D02332">
        <w:rPr>
          <w:rFonts w:cstheme="minorHAnsi"/>
          <w:lang w:eastAsia="zh-TW"/>
        </w:rPr>
        <w:t xml:space="preserve"> well-publicised incident</w:t>
      </w:r>
      <w:r>
        <w:rPr>
          <w:rFonts w:cstheme="minorHAnsi"/>
          <w:lang w:eastAsia="zh-TW"/>
        </w:rPr>
        <w:t xml:space="preserve"> of Fiona Pilkington. As stated by Hussain (2011), Pilkington </w:t>
      </w:r>
      <w:r w:rsidRPr="00743ABE">
        <w:rPr>
          <w:rFonts w:eastAsia="Arial" w:cstheme="minorHAnsi"/>
          <w:color w:val="000000" w:themeColor="text1"/>
        </w:rPr>
        <w:t>took her and her disabled daughter’s life</w:t>
      </w:r>
      <w:r>
        <w:rPr>
          <w:rFonts w:eastAsia="Arial" w:cstheme="minorHAnsi"/>
          <w:color w:val="000000" w:themeColor="text1"/>
        </w:rPr>
        <w:t xml:space="preserve"> after reporting 33 incidents of ASB to police over a ten-year period. The Pilkington case is deemed as a critical incident and as stated by College of Policing (2013). Leicestershire Constabulary failed to identify vulnerabilities, not recognising ASB and harassment as targeted hate crime which contributed to the death of Fiona and her daughter.</w:t>
      </w:r>
      <w:r>
        <w:rPr>
          <w:rFonts w:eastAsia="Arial" w:cstheme="minorHAnsi"/>
          <w:i/>
          <w:iCs/>
          <w:color w:val="000000" w:themeColor="text1"/>
        </w:rPr>
        <w:t xml:space="preserve"> </w:t>
      </w:r>
      <w:r>
        <w:rPr>
          <w:rFonts w:cstheme="minorHAnsi"/>
          <w:lang w:eastAsia="zh-TW"/>
        </w:rPr>
        <w:t xml:space="preserve">With the Pilkington case in mind, </w:t>
      </w:r>
      <w:r w:rsidRPr="00D02332">
        <w:rPr>
          <w:rFonts w:cstheme="minorHAnsi"/>
          <w:lang w:eastAsia="zh-TW"/>
        </w:rPr>
        <w:t>immediate and positive action was required to safeguard the victims and offenders, prevent further or repeated incidents, to involve as many partner agencies as</w:t>
      </w:r>
      <w:r>
        <w:rPr>
          <w:rFonts w:cstheme="minorHAnsi"/>
          <w:lang w:eastAsia="zh-TW"/>
        </w:rPr>
        <w:t xml:space="preserve"> possible post-incident and to reassure the public. By considering the use of evidence-based policing, the Pilkington case highlighted the policing failings and on reflection, I was aware to not fall short my investigating principles of this incident (College of Policing, 2013).</w:t>
      </w:r>
    </w:p>
    <w:p w14:paraId="4B4B6633" w14:textId="77777777" w:rsidR="00F81320" w:rsidRDefault="00F81320" w:rsidP="00F81320">
      <w:pPr>
        <w:ind w:right="237"/>
        <w:jc w:val="both"/>
        <w:rPr>
          <w:rFonts w:eastAsia="Arial" w:cstheme="minorHAnsi"/>
          <w:color w:val="000000" w:themeColor="text1"/>
        </w:rPr>
      </w:pPr>
      <w:r>
        <w:rPr>
          <w:rFonts w:eastAsia="Arial" w:cstheme="minorHAnsi"/>
          <w:color w:val="000000" w:themeColor="text1"/>
        </w:rPr>
        <w:t xml:space="preserve">As stated in the </w:t>
      </w:r>
      <w:r w:rsidRPr="00050117">
        <w:rPr>
          <w:rFonts w:eastAsia="Arial" w:cstheme="minorHAnsi"/>
          <w:i/>
          <w:iCs/>
          <w:color w:val="000000" w:themeColor="text1"/>
        </w:rPr>
        <w:t>Crime and Disorder Act (1998)</w:t>
      </w:r>
      <w:r>
        <w:rPr>
          <w:rFonts w:eastAsia="Arial" w:cstheme="minorHAnsi"/>
          <w:color w:val="000000" w:themeColor="text1"/>
        </w:rPr>
        <w:t xml:space="preserve"> ASB is defined as “behaviour by a person which causes, or is likely to cause, harassment, alarm or distress to persons not of the same household”. According to CrimeRate (2023) in 2021, police forces in England and Wales recorded 1,416,946 reports of ASB. The following year, 2022, saw a 27% decrease of ASB related calls with 1,039,579 reports. Newlove (2019) states ASB is an ever-present issue in communities and is often </w:t>
      </w:r>
      <w:r w:rsidRPr="00533A0F">
        <w:rPr>
          <w:rFonts w:eastAsia="Arial" w:cstheme="minorHAnsi"/>
          <w:i/>
          <w:iCs/>
          <w:color w:val="000000" w:themeColor="text1"/>
        </w:rPr>
        <w:t>“</w:t>
      </w:r>
      <w:r w:rsidRPr="00C0695B">
        <w:rPr>
          <w:rFonts w:eastAsia="Arial" w:cstheme="minorHAnsi"/>
          <w:color w:val="000000" w:themeColor="text1"/>
        </w:rPr>
        <w:t>downplayed as a petty, ‘low-level’ crime</w:t>
      </w:r>
      <w:r w:rsidRPr="00533A0F">
        <w:rPr>
          <w:rFonts w:eastAsia="Arial" w:cstheme="minorHAnsi"/>
          <w:i/>
          <w:iCs/>
          <w:color w:val="000000" w:themeColor="text1"/>
        </w:rPr>
        <w:t>”.</w:t>
      </w:r>
      <w:r>
        <w:rPr>
          <w:rFonts w:eastAsia="Arial" w:cstheme="minorHAnsi"/>
          <w:color w:val="000000" w:themeColor="text1"/>
        </w:rPr>
        <w:t xml:space="preserve"> However, if left unresolved, it can cause serious implications for communities; based on repeated targeting of residents, areas, and businesses. </w:t>
      </w:r>
    </w:p>
    <w:p w14:paraId="269C9655" w14:textId="77777777" w:rsidR="00F81320" w:rsidRPr="002F6ED2" w:rsidRDefault="00F81320" w:rsidP="00F81320">
      <w:pPr>
        <w:ind w:right="237"/>
        <w:jc w:val="both"/>
        <w:rPr>
          <w:rFonts w:eastAsia="Arial" w:cstheme="minorHAnsi"/>
          <w:color w:val="000000" w:themeColor="text1"/>
        </w:rPr>
      </w:pPr>
      <w:r>
        <w:rPr>
          <w:rFonts w:eastAsia="Arial" w:cstheme="minorHAnsi"/>
          <w:color w:val="000000" w:themeColor="text1"/>
        </w:rPr>
        <w:t xml:space="preserve">Newlove (2019) highlighted the failures by police forces and partner agencies to tackle ASB head-on and not allowing victims to ‘suffer in silence’. She references an incident in 2007 which her husband, lost his life when confronting persons involved in ASB in their street, she also emphasises the importance that police forces and partner agencies have when dealing with ASB and providing the victims of ASB with a duty of care (Newlove, 2019). </w:t>
      </w:r>
    </w:p>
    <w:p w14:paraId="6040129E" w14:textId="77777777" w:rsidR="00F81320" w:rsidRPr="0047602D" w:rsidRDefault="00F81320" w:rsidP="00F81320">
      <w:pPr>
        <w:shd w:val="clear" w:color="auto" w:fill="FFFFFF"/>
        <w:jc w:val="both"/>
        <w:rPr>
          <w:rFonts w:cstheme="minorHAnsi"/>
          <w:color w:val="FF0000"/>
          <w:lang w:eastAsia="zh-TW"/>
        </w:rPr>
      </w:pPr>
      <w:r>
        <w:rPr>
          <w:rFonts w:cstheme="minorHAnsi"/>
          <w:lang w:eastAsia="zh-TW"/>
        </w:rPr>
        <w:t>In this incident, b</w:t>
      </w:r>
      <w:r w:rsidRPr="00177866">
        <w:rPr>
          <w:rFonts w:cstheme="minorHAnsi"/>
          <w:lang w:eastAsia="zh-TW"/>
        </w:rPr>
        <w:t>oth</w:t>
      </w:r>
      <w:r>
        <w:rPr>
          <w:rFonts w:cstheme="minorHAnsi"/>
          <w:lang w:eastAsia="zh-TW"/>
        </w:rPr>
        <w:t xml:space="preserve"> boys</w:t>
      </w:r>
      <w:r w:rsidRPr="00177866">
        <w:rPr>
          <w:rFonts w:cstheme="minorHAnsi"/>
          <w:lang w:eastAsia="zh-TW"/>
        </w:rPr>
        <w:t xml:space="preserve"> were</w:t>
      </w:r>
      <w:r>
        <w:rPr>
          <w:rFonts w:cstheme="minorHAnsi"/>
          <w:lang w:eastAsia="zh-TW"/>
        </w:rPr>
        <w:t xml:space="preserve"> 15 years old, </w:t>
      </w:r>
      <w:r w:rsidRPr="00177866">
        <w:rPr>
          <w:rFonts w:cstheme="minorHAnsi"/>
          <w:lang w:eastAsia="zh-TW"/>
        </w:rPr>
        <w:t>known to police</w:t>
      </w:r>
      <w:r>
        <w:rPr>
          <w:rFonts w:cstheme="minorHAnsi"/>
          <w:lang w:eastAsia="zh-TW"/>
        </w:rPr>
        <w:t xml:space="preserve"> and had </w:t>
      </w:r>
      <w:r w:rsidRPr="00177866">
        <w:rPr>
          <w:rFonts w:cstheme="minorHAnsi"/>
          <w:lang w:eastAsia="zh-TW"/>
        </w:rPr>
        <w:t xml:space="preserve">previously been </w:t>
      </w:r>
      <w:r>
        <w:rPr>
          <w:rFonts w:cstheme="minorHAnsi"/>
          <w:lang w:eastAsia="zh-TW"/>
        </w:rPr>
        <w:t>involved</w:t>
      </w:r>
      <w:r w:rsidRPr="00177866">
        <w:rPr>
          <w:rFonts w:cstheme="minorHAnsi"/>
          <w:lang w:eastAsia="zh-TW"/>
        </w:rPr>
        <w:t xml:space="preserve"> </w:t>
      </w:r>
      <w:r>
        <w:rPr>
          <w:rFonts w:cstheme="minorHAnsi"/>
          <w:lang w:eastAsia="zh-TW"/>
        </w:rPr>
        <w:t>in</w:t>
      </w:r>
      <w:r w:rsidRPr="00177866">
        <w:rPr>
          <w:rFonts w:cstheme="minorHAnsi"/>
          <w:lang w:eastAsia="zh-TW"/>
        </w:rPr>
        <w:t xml:space="preserve"> Operation Quartz</w:t>
      </w:r>
      <w:r>
        <w:rPr>
          <w:rFonts w:cstheme="minorHAnsi"/>
          <w:lang w:eastAsia="zh-TW"/>
        </w:rPr>
        <w:t xml:space="preserve"> which refers to vulnerable child at risk of criminality (</w:t>
      </w:r>
      <w:r w:rsidRPr="00DD3676">
        <w:rPr>
          <w:rFonts w:cstheme="minorHAnsi"/>
          <w:lang w:eastAsia="zh-TW"/>
        </w:rPr>
        <w:t xml:space="preserve">Care Inspectorate Wales, 2019) </w:t>
      </w:r>
      <w:r>
        <w:rPr>
          <w:rFonts w:cstheme="minorHAnsi"/>
          <w:lang w:eastAsia="zh-TW"/>
        </w:rPr>
        <w:t>This also highlights to the public that there is help available for those who are the subject or at risk of criminality.</w:t>
      </w:r>
      <w:r>
        <w:rPr>
          <w:rFonts w:cstheme="minorHAnsi"/>
          <w:color w:val="FF0000"/>
          <w:lang w:eastAsia="zh-TW"/>
        </w:rPr>
        <w:t xml:space="preserve"> </w:t>
      </w:r>
      <w:r w:rsidRPr="00177866">
        <w:rPr>
          <w:rFonts w:cstheme="minorHAnsi"/>
          <w:lang w:eastAsia="zh-TW"/>
        </w:rPr>
        <w:t xml:space="preserve">As both males were under </w:t>
      </w:r>
      <w:r>
        <w:rPr>
          <w:rFonts w:cstheme="minorHAnsi"/>
          <w:lang w:eastAsia="zh-TW"/>
        </w:rPr>
        <w:t>eighteen</w:t>
      </w:r>
      <w:r w:rsidRPr="00177866">
        <w:rPr>
          <w:rFonts w:cstheme="minorHAnsi"/>
          <w:lang w:eastAsia="zh-TW"/>
        </w:rPr>
        <w:t>, a referral to the Youth Offending Service</w:t>
      </w:r>
      <w:r>
        <w:rPr>
          <w:rFonts w:cstheme="minorHAnsi"/>
          <w:lang w:eastAsia="zh-TW"/>
        </w:rPr>
        <w:t xml:space="preserve"> (YOS) </w:t>
      </w:r>
      <w:r w:rsidRPr="00D02332">
        <w:rPr>
          <w:rFonts w:cstheme="minorHAnsi"/>
          <w:lang w:eastAsia="zh-TW"/>
        </w:rPr>
        <w:t>was</w:t>
      </w:r>
      <w:r>
        <w:rPr>
          <w:rFonts w:cstheme="minorHAnsi"/>
          <w:lang w:eastAsia="zh-TW"/>
        </w:rPr>
        <w:t xml:space="preserve"> required. UK Government (2015) states </w:t>
      </w:r>
      <w:r w:rsidRPr="00DC2775">
        <w:rPr>
          <w:rFonts w:cstheme="minorHAnsi"/>
          <w:color w:val="0B0C0C"/>
          <w:shd w:val="clear" w:color="auto" w:fill="FFFFFF"/>
        </w:rPr>
        <w:t>“Youth crime prevention programmes have different names and do different things, but they all involve activities to help keep young people away from crime”.</w:t>
      </w:r>
    </w:p>
    <w:p w14:paraId="15172C24" w14:textId="77777777" w:rsidR="00F81320" w:rsidRDefault="00F81320" w:rsidP="00F81320">
      <w:pPr>
        <w:shd w:val="clear" w:color="auto" w:fill="FFFFFF"/>
        <w:jc w:val="both"/>
        <w:rPr>
          <w:rFonts w:cstheme="minorHAnsi"/>
          <w:lang w:eastAsia="zh-TW"/>
        </w:rPr>
      </w:pPr>
      <w:r w:rsidRPr="00177866">
        <w:rPr>
          <w:rFonts w:cstheme="minorHAnsi"/>
          <w:lang w:eastAsia="zh-TW"/>
        </w:rPr>
        <w:t xml:space="preserve">YOS is an integral partnership agency that the police work with as they are responsible for putting in specific strategies to prevent persons from re-offending, not criminalising those who are under </w:t>
      </w:r>
      <w:r>
        <w:rPr>
          <w:rFonts w:cstheme="minorHAnsi"/>
          <w:lang w:eastAsia="zh-TW"/>
        </w:rPr>
        <w:t xml:space="preserve">eighteen </w:t>
      </w:r>
      <w:r w:rsidRPr="00177866">
        <w:rPr>
          <w:rFonts w:cstheme="minorHAnsi"/>
          <w:lang w:eastAsia="zh-TW"/>
        </w:rPr>
        <w:t>for relatively low-level offences and to educate them of the dangers of being involved with criminality</w:t>
      </w:r>
      <w:r>
        <w:rPr>
          <w:rFonts w:cstheme="minorHAnsi"/>
          <w:lang w:eastAsia="zh-TW"/>
        </w:rPr>
        <w:t>; this opportunity to not criminalise children is a positive aspect of YOS (UK Government, 2015). Through a referral to the youths’ school and Police-School liaison officers, assemblies were held to educate the pupils of the dangers of ASB as a ‘gateway’ to offending and the effects that ASB has on victims. This is another positive aspect of utilising partner agencies at school level. However, one negative facet of YOS and not criminalising children is that it could leave the victims feeling frustrated at the lack of justice for the offenders (UK Government, 2015). However, O’Hara (2013) has identified that within Western Europe, “England and Wales have higher rates of child imprisonment than any other county in the region”. This shows that YOS do not always solve the issue of ASB. Morris (2015) claims that youth justice often takes an opposing view having a reactive rather than a proactive view on youth offending. There can be opposing views within teams and also the Police in how to best deal with youth offending (Morris, 2015).</w:t>
      </w:r>
    </w:p>
    <w:p w14:paraId="35051468" w14:textId="77777777" w:rsidR="00F81320" w:rsidRDefault="00F81320" w:rsidP="00F81320">
      <w:pPr>
        <w:shd w:val="clear" w:color="auto" w:fill="FFFFFF"/>
        <w:jc w:val="both"/>
        <w:rPr>
          <w:rFonts w:cstheme="minorHAnsi"/>
          <w:lang w:eastAsia="zh-TW"/>
        </w:rPr>
      </w:pPr>
      <w:r w:rsidRPr="00177866">
        <w:rPr>
          <w:rFonts w:cstheme="minorHAnsi"/>
          <w:lang w:eastAsia="zh-TW"/>
        </w:rPr>
        <w:t>Due to the</w:t>
      </w:r>
      <w:r>
        <w:rPr>
          <w:rFonts w:cstheme="minorHAnsi"/>
          <w:lang w:eastAsia="zh-TW"/>
        </w:rPr>
        <w:t>ir age</w:t>
      </w:r>
      <w:r w:rsidRPr="00177866">
        <w:rPr>
          <w:rFonts w:cstheme="minorHAnsi"/>
          <w:lang w:eastAsia="zh-TW"/>
        </w:rPr>
        <w:t xml:space="preserve">, </w:t>
      </w:r>
      <w:r>
        <w:rPr>
          <w:rFonts w:cstheme="minorHAnsi"/>
          <w:lang w:eastAsia="zh-TW"/>
        </w:rPr>
        <w:t>I ensured</w:t>
      </w:r>
      <w:r w:rsidRPr="00177866">
        <w:rPr>
          <w:rFonts w:cstheme="minorHAnsi"/>
          <w:lang w:eastAsia="zh-TW"/>
        </w:rPr>
        <w:t xml:space="preserve"> </w:t>
      </w:r>
      <w:r>
        <w:rPr>
          <w:rFonts w:cstheme="minorHAnsi"/>
          <w:lang w:eastAsia="zh-TW"/>
        </w:rPr>
        <w:t>these</w:t>
      </w:r>
      <w:r w:rsidRPr="00177866">
        <w:rPr>
          <w:rFonts w:cstheme="minorHAnsi"/>
          <w:lang w:eastAsia="zh-TW"/>
        </w:rPr>
        <w:t xml:space="preserve"> offenders </w:t>
      </w:r>
      <w:r>
        <w:rPr>
          <w:rFonts w:cstheme="minorHAnsi"/>
          <w:lang w:eastAsia="zh-TW"/>
        </w:rPr>
        <w:t xml:space="preserve">were consistently </w:t>
      </w:r>
      <w:r w:rsidRPr="00177866">
        <w:rPr>
          <w:rFonts w:cstheme="minorHAnsi"/>
          <w:lang w:eastAsia="zh-TW"/>
        </w:rPr>
        <w:t>safeguarded during police contact and guaran</w:t>
      </w:r>
      <w:r>
        <w:rPr>
          <w:rFonts w:cstheme="minorHAnsi"/>
          <w:lang w:eastAsia="zh-TW"/>
        </w:rPr>
        <w:t>teed</w:t>
      </w:r>
      <w:r w:rsidRPr="00177866">
        <w:rPr>
          <w:rFonts w:cstheme="minorHAnsi"/>
          <w:lang w:eastAsia="zh-TW"/>
        </w:rPr>
        <w:t xml:space="preserve"> that any risks which would compromise the</w:t>
      </w:r>
      <w:r>
        <w:rPr>
          <w:rFonts w:cstheme="minorHAnsi"/>
          <w:lang w:eastAsia="zh-TW"/>
        </w:rPr>
        <w:t>ir</w:t>
      </w:r>
      <w:r w:rsidRPr="00177866">
        <w:rPr>
          <w:rFonts w:cstheme="minorHAnsi"/>
          <w:lang w:eastAsia="zh-TW"/>
        </w:rPr>
        <w:t xml:space="preserve"> safety and well-being</w:t>
      </w:r>
      <w:r>
        <w:rPr>
          <w:rFonts w:cstheme="minorHAnsi"/>
          <w:lang w:eastAsia="zh-TW"/>
        </w:rPr>
        <w:t xml:space="preserve"> </w:t>
      </w:r>
      <w:r w:rsidRPr="00177866">
        <w:rPr>
          <w:rFonts w:cstheme="minorHAnsi"/>
          <w:lang w:eastAsia="zh-TW"/>
        </w:rPr>
        <w:t>is kept to a minimum. The College of Policing (2022) states</w:t>
      </w:r>
      <w:r>
        <w:rPr>
          <w:rFonts w:cstheme="minorHAnsi"/>
          <w:lang w:eastAsia="zh-TW"/>
        </w:rPr>
        <w:t xml:space="preserve"> that risk assessments should be conducted with rigor, and staff need to be aware of unknown or unrecognised risks to a child’s safety and wellbeing. Information must be recorded and any referrals or notifications for child protection and safeguarding need to be submitted, in line with local processes. </w:t>
      </w:r>
    </w:p>
    <w:p w14:paraId="1EEC9D85" w14:textId="77777777" w:rsidR="00F81320" w:rsidRPr="00000B47" w:rsidRDefault="00F81320" w:rsidP="00F81320">
      <w:pPr>
        <w:shd w:val="clear" w:color="auto" w:fill="FFFFFF"/>
        <w:jc w:val="both"/>
        <w:rPr>
          <w:rFonts w:cstheme="minorHAnsi"/>
          <w:spacing w:val="3"/>
        </w:rPr>
      </w:pPr>
      <w:r>
        <w:rPr>
          <w:rFonts w:cstheme="minorHAnsi"/>
          <w:lang w:eastAsia="zh-TW"/>
        </w:rPr>
        <w:t xml:space="preserve">A public protection notice (PPN) is a vital part of the safeguarding process. I submitted a report to communicate information of an individual between police and partner agencies, specifically recording any concerns that I had about the vulnerable victims and offenders in this incident. According to College of Policing (2021) </w:t>
      </w:r>
      <w:r>
        <w:rPr>
          <w:rFonts w:cstheme="minorHAnsi"/>
          <w:i/>
          <w:iCs/>
          <w:lang w:eastAsia="zh-TW"/>
        </w:rPr>
        <w:t xml:space="preserve">“a person is vulnerable if, as a result of their situation or circumstances, they are unable to take care of or protect themselves or others from harm or exploitation”. </w:t>
      </w:r>
      <w:r w:rsidRPr="00177866">
        <w:rPr>
          <w:rFonts w:cstheme="minorHAnsi"/>
          <w:spacing w:val="3"/>
        </w:rPr>
        <w:t xml:space="preserve">Under the UN </w:t>
      </w:r>
      <w:r w:rsidRPr="00177866">
        <w:rPr>
          <w:rFonts w:cstheme="minorHAnsi"/>
          <w:spacing w:val="3"/>
        </w:rPr>
        <w:lastRenderedPageBreak/>
        <w:t xml:space="preserve">Convention on the Rights of the Child (1989), any person under </w:t>
      </w:r>
      <w:r>
        <w:rPr>
          <w:rFonts w:cstheme="minorHAnsi"/>
          <w:spacing w:val="3"/>
        </w:rPr>
        <w:t>eighteen</w:t>
      </w:r>
      <w:r w:rsidRPr="00177866">
        <w:rPr>
          <w:rFonts w:cstheme="minorHAnsi"/>
          <w:spacing w:val="3"/>
        </w:rPr>
        <w:t xml:space="preserve"> are a protected group due to their specific vulnerabilities.</w:t>
      </w:r>
    </w:p>
    <w:p w14:paraId="7663B295" w14:textId="77777777" w:rsidR="00F81320" w:rsidRDefault="00F81320" w:rsidP="00F81320">
      <w:pPr>
        <w:shd w:val="clear" w:color="auto" w:fill="FFFFFF"/>
        <w:jc w:val="both"/>
        <w:rPr>
          <w:rFonts w:cstheme="minorHAnsi"/>
          <w:lang w:eastAsia="zh-TW"/>
        </w:rPr>
      </w:pPr>
      <w:r w:rsidRPr="00CC36B1">
        <w:rPr>
          <w:rFonts w:cstheme="minorHAnsi"/>
          <w:lang w:eastAsia="zh-TW"/>
        </w:rPr>
        <w:t>On reflection, I documented the circumstances around the need of the referral, the strengths, and weaknesses. Although a PPN is a time-consuming process it has outweighing benefits. (Govan, 2020) In terms of the victims, both adults were homeless and had a history of substance abuse. Their homelessness would class them as vulnerable in themselves. As a priority, a referral to housing would need to be done pragmatically to reduce them from being targeted again and at risk of repeat victimisation. Due to the victim’s refusal to engage with officers, this proved difficult to complete an accurate PPN including relevant details.</w:t>
      </w:r>
      <w:r>
        <w:rPr>
          <w:rFonts w:cstheme="minorHAnsi"/>
          <w:lang w:eastAsia="zh-TW"/>
        </w:rPr>
        <w:t xml:space="preserve"> </w:t>
      </w:r>
    </w:p>
    <w:p w14:paraId="69C6F1F7" w14:textId="77777777" w:rsidR="00F81320" w:rsidRDefault="00F81320" w:rsidP="00F81320">
      <w:pPr>
        <w:shd w:val="clear" w:color="auto" w:fill="FFFFFF"/>
        <w:jc w:val="both"/>
        <w:rPr>
          <w:rFonts w:cstheme="minorHAnsi"/>
          <w:lang w:eastAsia="zh-TW"/>
        </w:rPr>
      </w:pPr>
      <w:r w:rsidRPr="00F37C6A">
        <w:rPr>
          <w:rFonts w:cstheme="minorHAnsi"/>
          <w:lang w:eastAsia="zh-TW"/>
        </w:rPr>
        <w:t>Problem Oriented Policing (POP) is a concept devised by Goldstein (1979) and adopted by police forces to address issues such as ASB. As stated by Brandon (2015) POP is focussed on end results such as lowering rates of a particular crime, such as ASB. The problem in this matter would be the targeting of vulnerable persons through ASB with the solution being protecting those vulnerable persons from ASB. I identified the following solutions to prevent any further incidents such as this, I spoke with staff members of local homeless shelters to see if there were any spare beds or rooms that could be used to house the victims. As the victims did not provide any relevant details, I suggested that the staff at the shelter approach the persons themselves when conducting street pastor patrols. I also passed the details of the victims onto council CCTV operators to monitor any homeless persons sleeping within the city centre. Understandably and on reflection, these are measures taken to safeguard the victims and potential victims in the short term and is not guaranteed to be a solution to the ASB issues within the city centre.</w:t>
      </w:r>
    </w:p>
    <w:p w14:paraId="103D8A0B" w14:textId="77777777" w:rsidR="00F81320" w:rsidRDefault="00F81320" w:rsidP="00F81320">
      <w:pPr>
        <w:shd w:val="clear" w:color="auto" w:fill="FFFFFF"/>
        <w:jc w:val="both"/>
        <w:rPr>
          <w:rFonts w:cstheme="minorHAnsi"/>
          <w:lang w:eastAsia="zh-TW"/>
        </w:rPr>
      </w:pPr>
      <w:r>
        <w:rPr>
          <w:rFonts w:cstheme="minorHAnsi"/>
          <w:lang w:eastAsia="zh-TW"/>
        </w:rPr>
        <w:t xml:space="preserve">In conclusion and utilising the reflection and learning aspects of the CARL model (Dabell, 2021), one difficulty that arose was the refusal of the victims to engage with police. This matter could have been resolved should I have had a better working relationship with these members of the public or I could have arrived at the incident in a timelier manner. With an improved working relationship with the victims, I could have provided them with information regarding special measures in turn providing them a better level of protection should the matter have gone to court. </w:t>
      </w:r>
    </w:p>
    <w:p w14:paraId="23E57E65" w14:textId="77777777" w:rsidR="00F81320" w:rsidRDefault="00F81320" w:rsidP="00F81320">
      <w:pPr>
        <w:shd w:val="clear" w:color="auto" w:fill="FFFFFF"/>
        <w:jc w:val="both"/>
        <w:rPr>
          <w:rFonts w:cstheme="minorHAnsi"/>
          <w:lang w:eastAsia="zh-TW"/>
        </w:rPr>
      </w:pPr>
      <w:r>
        <w:rPr>
          <w:rFonts w:cstheme="minorHAnsi"/>
          <w:lang w:eastAsia="zh-TW"/>
        </w:rPr>
        <w:t xml:space="preserve">The most significant learning point of this incident is being no immediate solutions to ASB. This has made me aware that there is a heavy reliance from response officers to partner agencies and the various departments in the police such as School-Liaison Officers, YOS and Neighbourhood Policing Teams. Although these departments work concurrently, there is an emphasis on the single point of contact to ensure that any referrals and communications are completed to the highest standard, including as much information as possible of the individuals the report is based on. </w:t>
      </w:r>
    </w:p>
    <w:p w14:paraId="362EBD96" w14:textId="77777777" w:rsidR="00F81320" w:rsidRPr="00177866" w:rsidRDefault="00F81320" w:rsidP="00F81320">
      <w:pPr>
        <w:shd w:val="clear" w:color="auto" w:fill="FFFFFF"/>
        <w:jc w:val="both"/>
        <w:rPr>
          <w:rFonts w:cstheme="minorHAnsi"/>
          <w:lang w:eastAsia="zh-TW"/>
        </w:rPr>
      </w:pPr>
      <w:r>
        <w:rPr>
          <w:rFonts w:cstheme="minorHAnsi"/>
          <w:lang w:eastAsia="zh-TW"/>
        </w:rPr>
        <w:t>ASB is also a topic which requires the full attention and proactive approach from police as it has been known to be a matter which is often disregarded. The extent of the effects of ASB is not seen by police as it can be treated as individual occurrences of low-level crime. However, as seen from incidents such as the Pilkington case, the matters can accumulate and have a detrimental effect on its victims and communities.</w:t>
      </w:r>
    </w:p>
    <w:p w14:paraId="5DA54C05" w14:textId="77777777" w:rsidR="007369BB" w:rsidRDefault="007369BB" w:rsidP="007369BB"/>
    <w:p w14:paraId="296249BD" w14:textId="7CD05708" w:rsidR="007369BB" w:rsidRDefault="007369BB" w:rsidP="007369BB"/>
    <w:p w14:paraId="0AB0308C" w14:textId="4D5624BE" w:rsidR="00196E57" w:rsidRDefault="00F37C6A" w:rsidP="00196E57">
      <w:pPr>
        <w:shd w:val="clear" w:color="auto" w:fill="FFFFFF"/>
        <w:overflowPunct/>
        <w:textAlignment w:val="auto"/>
        <w:rPr>
          <w:rFonts w:asciiTheme="minorHAnsi" w:hAnsiTheme="minorHAnsi" w:cstheme="minorHAnsi"/>
          <w:lang w:eastAsia="zh-TW"/>
        </w:rPr>
      </w:pPr>
      <w:r>
        <w:rPr>
          <w:rFonts w:asciiTheme="minorHAnsi" w:hAnsiTheme="minorHAnsi" w:cstheme="minorHAnsi"/>
          <w:spacing w:val="3"/>
          <w:sz w:val="22"/>
          <w:szCs w:val="22"/>
        </w:rPr>
        <w:t xml:space="preserve">Word Count: </w:t>
      </w:r>
      <w:r w:rsidR="00604314">
        <w:rPr>
          <w:rFonts w:asciiTheme="minorHAnsi" w:hAnsiTheme="minorHAnsi" w:cstheme="minorHAnsi"/>
          <w:spacing w:val="3"/>
          <w:sz w:val="22"/>
          <w:szCs w:val="22"/>
        </w:rPr>
        <w:t>200</w:t>
      </w:r>
      <w:r w:rsidR="008718CC">
        <w:rPr>
          <w:rFonts w:asciiTheme="minorHAnsi" w:hAnsiTheme="minorHAnsi" w:cstheme="minorHAnsi"/>
          <w:spacing w:val="3"/>
          <w:sz w:val="22"/>
          <w:szCs w:val="22"/>
        </w:rPr>
        <w:t>7</w:t>
      </w:r>
    </w:p>
    <w:p w14:paraId="3D3A8310" w14:textId="08C2CD4A" w:rsidR="00196E57" w:rsidRDefault="00196E57" w:rsidP="00196E57">
      <w:pPr>
        <w:shd w:val="clear" w:color="auto" w:fill="FFFFFF"/>
        <w:overflowPunct/>
        <w:textAlignment w:val="auto"/>
        <w:rPr>
          <w:rFonts w:asciiTheme="minorHAnsi" w:hAnsiTheme="minorHAnsi" w:cstheme="minorHAnsi"/>
          <w:lang w:eastAsia="zh-TW"/>
        </w:rPr>
      </w:pPr>
    </w:p>
    <w:p w14:paraId="344A4682" w14:textId="207FACAA" w:rsidR="00196E57" w:rsidRDefault="00196E57" w:rsidP="00196E57">
      <w:pPr>
        <w:shd w:val="clear" w:color="auto" w:fill="FFFFFF"/>
        <w:overflowPunct/>
        <w:textAlignment w:val="auto"/>
        <w:rPr>
          <w:rFonts w:asciiTheme="minorHAnsi" w:hAnsiTheme="minorHAnsi" w:cstheme="minorHAnsi"/>
          <w:lang w:eastAsia="zh-TW"/>
        </w:rPr>
      </w:pPr>
    </w:p>
    <w:p w14:paraId="5D0FBB84" w14:textId="77777777" w:rsidR="00196E57" w:rsidRPr="00196E57" w:rsidRDefault="00196E57" w:rsidP="00196E57">
      <w:pPr>
        <w:shd w:val="clear" w:color="auto" w:fill="FFFFFF"/>
        <w:overflowPunct/>
        <w:textAlignment w:val="auto"/>
        <w:rPr>
          <w:rFonts w:asciiTheme="minorHAnsi" w:hAnsiTheme="minorHAnsi" w:cstheme="minorHAnsi"/>
          <w:lang w:eastAsia="zh-TW"/>
        </w:rPr>
      </w:pPr>
    </w:p>
    <w:p w14:paraId="3BE7A4D4" w14:textId="77777777" w:rsidR="00CD112A" w:rsidRDefault="00CD112A" w:rsidP="5B843AF0">
      <w:pPr>
        <w:ind w:right="237"/>
        <w:jc w:val="center"/>
        <w:rPr>
          <w:b/>
          <w:bCs/>
          <w:sz w:val="24"/>
          <w:szCs w:val="24"/>
        </w:rPr>
      </w:pPr>
    </w:p>
    <w:p w14:paraId="7F5B34CD" w14:textId="77777777" w:rsidR="00CD112A" w:rsidRDefault="00CD112A" w:rsidP="5B843AF0">
      <w:pPr>
        <w:ind w:right="237"/>
        <w:jc w:val="center"/>
        <w:rPr>
          <w:b/>
          <w:bCs/>
          <w:sz w:val="24"/>
          <w:szCs w:val="24"/>
        </w:rPr>
      </w:pPr>
    </w:p>
    <w:p w14:paraId="168973E9" w14:textId="77777777" w:rsidR="00CD112A" w:rsidRDefault="00CD112A" w:rsidP="5B843AF0">
      <w:pPr>
        <w:ind w:right="237"/>
        <w:jc w:val="center"/>
        <w:rPr>
          <w:b/>
          <w:bCs/>
          <w:sz w:val="24"/>
          <w:szCs w:val="24"/>
        </w:rPr>
      </w:pPr>
    </w:p>
    <w:p w14:paraId="71CD8305" w14:textId="77777777" w:rsidR="00576B12" w:rsidRDefault="00576B12" w:rsidP="5B843AF0">
      <w:pPr>
        <w:ind w:right="237"/>
        <w:jc w:val="center"/>
        <w:rPr>
          <w:b/>
          <w:bCs/>
          <w:sz w:val="24"/>
          <w:szCs w:val="24"/>
        </w:rPr>
      </w:pPr>
    </w:p>
    <w:p w14:paraId="4B880203" w14:textId="77777777" w:rsidR="00576B12" w:rsidRDefault="00576B12" w:rsidP="5B843AF0">
      <w:pPr>
        <w:ind w:right="237"/>
        <w:jc w:val="center"/>
        <w:rPr>
          <w:b/>
          <w:bCs/>
          <w:sz w:val="24"/>
          <w:szCs w:val="24"/>
        </w:rPr>
      </w:pPr>
    </w:p>
    <w:p w14:paraId="1F3A16FF" w14:textId="77777777" w:rsidR="00576B12" w:rsidRDefault="00576B12" w:rsidP="5B843AF0">
      <w:pPr>
        <w:ind w:right="237"/>
        <w:jc w:val="center"/>
        <w:rPr>
          <w:b/>
          <w:bCs/>
          <w:sz w:val="24"/>
          <w:szCs w:val="24"/>
        </w:rPr>
      </w:pPr>
    </w:p>
    <w:p w14:paraId="5CA9AC42" w14:textId="77777777" w:rsidR="00576B12" w:rsidRDefault="00576B12" w:rsidP="5B843AF0">
      <w:pPr>
        <w:ind w:right="237"/>
        <w:jc w:val="center"/>
        <w:rPr>
          <w:b/>
          <w:bCs/>
          <w:sz w:val="24"/>
          <w:szCs w:val="24"/>
        </w:rPr>
      </w:pPr>
    </w:p>
    <w:p w14:paraId="2BF5D57F" w14:textId="77777777" w:rsidR="00576B12" w:rsidRDefault="00576B12" w:rsidP="5B843AF0">
      <w:pPr>
        <w:ind w:right="237"/>
        <w:jc w:val="center"/>
        <w:rPr>
          <w:b/>
          <w:bCs/>
          <w:sz w:val="24"/>
          <w:szCs w:val="24"/>
        </w:rPr>
      </w:pPr>
    </w:p>
    <w:p w14:paraId="1B13E94B" w14:textId="77777777" w:rsidR="00576B12" w:rsidRDefault="00576B12" w:rsidP="5B843AF0">
      <w:pPr>
        <w:ind w:right="237"/>
        <w:jc w:val="center"/>
        <w:rPr>
          <w:b/>
          <w:bCs/>
          <w:sz w:val="24"/>
          <w:szCs w:val="24"/>
        </w:rPr>
      </w:pPr>
    </w:p>
    <w:p w14:paraId="4E5DDDA7" w14:textId="77777777" w:rsidR="00576B12" w:rsidRDefault="00576B12" w:rsidP="5B843AF0">
      <w:pPr>
        <w:ind w:right="237"/>
        <w:jc w:val="center"/>
        <w:rPr>
          <w:b/>
          <w:bCs/>
          <w:sz w:val="24"/>
          <w:szCs w:val="24"/>
        </w:rPr>
      </w:pPr>
    </w:p>
    <w:p w14:paraId="4EFB2684" w14:textId="77777777" w:rsidR="00576B12" w:rsidRDefault="00576B12" w:rsidP="5B843AF0">
      <w:pPr>
        <w:ind w:right="237"/>
        <w:jc w:val="center"/>
        <w:rPr>
          <w:b/>
          <w:bCs/>
          <w:sz w:val="24"/>
          <w:szCs w:val="24"/>
        </w:rPr>
      </w:pPr>
    </w:p>
    <w:p w14:paraId="1EE16598" w14:textId="77777777" w:rsidR="008D4912" w:rsidRDefault="008D4912" w:rsidP="00723480">
      <w:pPr>
        <w:ind w:right="237"/>
        <w:rPr>
          <w:b/>
          <w:bCs/>
          <w:sz w:val="24"/>
          <w:szCs w:val="24"/>
        </w:rPr>
      </w:pPr>
    </w:p>
    <w:p w14:paraId="3658E561" w14:textId="77777777" w:rsidR="008718CC" w:rsidRDefault="008718CC" w:rsidP="00723480">
      <w:pPr>
        <w:ind w:right="237"/>
        <w:rPr>
          <w:b/>
          <w:bCs/>
          <w:sz w:val="24"/>
          <w:szCs w:val="24"/>
        </w:rPr>
      </w:pPr>
    </w:p>
    <w:p w14:paraId="6B0989EF" w14:textId="6EB72DBA" w:rsidR="00025650" w:rsidRPr="00E676F7" w:rsidRDefault="5B843AF0" w:rsidP="5B843AF0">
      <w:pPr>
        <w:ind w:right="237"/>
        <w:jc w:val="center"/>
        <w:rPr>
          <w:b/>
          <w:bCs/>
          <w:sz w:val="24"/>
          <w:szCs w:val="24"/>
        </w:rPr>
      </w:pPr>
      <w:r w:rsidRPr="5CE196A1">
        <w:rPr>
          <w:b/>
          <w:bCs/>
          <w:sz w:val="24"/>
          <w:szCs w:val="24"/>
        </w:rPr>
        <w:lastRenderedPageBreak/>
        <w:t>Task 2</w:t>
      </w:r>
    </w:p>
    <w:p w14:paraId="77E31362" w14:textId="29BEE203" w:rsidR="0FF883D4" w:rsidRDefault="0FF883D4" w:rsidP="0FF883D4">
      <w:pPr>
        <w:ind w:right="237"/>
        <w:jc w:val="both"/>
        <w:rPr>
          <w:b/>
          <w:bCs/>
          <w:color w:val="000000" w:themeColor="text1"/>
          <w:sz w:val="24"/>
          <w:szCs w:val="24"/>
        </w:rPr>
      </w:pPr>
    </w:p>
    <w:p w14:paraId="358E23F0" w14:textId="468ADFF0" w:rsidR="0FF883D4" w:rsidRPr="00723480"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076EC2A4" w14:textId="6F13BAB5" w:rsidR="0FF883D4" w:rsidRPr="00723480"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390A4F02" w14:textId="1996B283" w:rsidR="02D63252" w:rsidRPr="00723480"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1A472C54" w14:textId="77777777" w:rsidR="00293A41" w:rsidRDefault="00293A41" w:rsidP="5CE196A1">
      <w:pPr>
        <w:ind w:right="237"/>
        <w:jc w:val="center"/>
        <w:rPr>
          <w:b/>
          <w:bCs/>
          <w:color w:val="000000" w:themeColor="text1"/>
          <w:sz w:val="28"/>
          <w:szCs w:val="28"/>
          <w:u w:val="single"/>
        </w:rPr>
      </w:pPr>
    </w:p>
    <w:p w14:paraId="1A4C983D" w14:textId="77777777" w:rsidR="00293A41" w:rsidRDefault="00293A41" w:rsidP="5CE196A1">
      <w:pPr>
        <w:ind w:right="237"/>
        <w:jc w:val="center"/>
        <w:rPr>
          <w:b/>
          <w:bCs/>
          <w:color w:val="000000" w:themeColor="text1"/>
          <w:sz w:val="28"/>
          <w:szCs w:val="28"/>
          <w:u w:val="single"/>
        </w:rPr>
      </w:pPr>
    </w:p>
    <w:p w14:paraId="22B613F9" w14:textId="77777777" w:rsidR="00723480" w:rsidRDefault="00723480" w:rsidP="00E769E3">
      <w:pPr>
        <w:ind w:right="237"/>
        <w:rPr>
          <w:b/>
          <w:bCs/>
          <w:color w:val="000000" w:themeColor="text1"/>
          <w:sz w:val="28"/>
          <w:szCs w:val="28"/>
          <w:u w:val="single"/>
        </w:rPr>
      </w:pPr>
    </w:p>
    <w:p w14:paraId="63B088D0" w14:textId="65C52F18" w:rsidR="0FF883D4" w:rsidRPr="00E769E3" w:rsidRDefault="622F5ACC" w:rsidP="00E769E3">
      <w:pPr>
        <w:ind w:right="237"/>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1F15E033" w14:textId="65B662A0" w:rsidR="0FF883D4" w:rsidRPr="00E769E3" w:rsidRDefault="59F0E048" w:rsidP="0FF883D4">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610E8240" w14:textId="54D98FAD" w:rsidR="0FF883D4" w:rsidRPr="00E769E3"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229E1A4C" w14:textId="34F36906" w:rsidR="00710D69" w:rsidRPr="00C92D7B" w:rsidRDefault="647BB2AB" w:rsidP="00C92D7B">
            <w:pPr>
              <w:ind w:right="237"/>
              <w:jc w:val="both"/>
              <w:rPr>
                <w:color w:val="000000" w:themeColor="text1"/>
                <w:sz w:val="24"/>
                <w:szCs w:val="24"/>
              </w:rPr>
            </w:pPr>
            <w:r w:rsidRPr="5CE196A1">
              <w:rPr>
                <w:rFonts w:ascii="Calibri" w:eastAsia="Calibri" w:hAnsi="Calibri" w:cs="Calibri"/>
                <w:color w:val="000000" w:themeColor="text1"/>
                <w:sz w:val="28"/>
                <w:szCs w:val="28"/>
              </w:rPr>
              <w:t>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31A91A9" w14:textId="679E7B36" w:rsidR="00B063F8" w:rsidRDefault="005C76DE" w:rsidP="5CE196A1">
      <w:pPr>
        <w:ind w:right="237"/>
        <w:jc w:val="both"/>
        <w:rPr>
          <w:b/>
          <w:bCs/>
          <w:sz w:val="24"/>
          <w:szCs w:val="24"/>
        </w:rPr>
      </w:pPr>
      <w:r w:rsidRPr="5CE196A1">
        <w:rPr>
          <w:b/>
          <w:bCs/>
          <w:sz w:val="24"/>
          <w:szCs w:val="24"/>
        </w:rPr>
        <w:t>ANSWER:</w:t>
      </w:r>
    </w:p>
    <w:p w14:paraId="5809F03B" w14:textId="77777777" w:rsidR="00E4731D" w:rsidRPr="00661449" w:rsidRDefault="00E4731D" w:rsidP="00E4731D">
      <w:pPr>
        <w:spacing w:after="160"/>
        <w:ind w:right="237"/>
        <w:jc w:val="both"/>
        <w:rPr>
          <w:rFonts w:cstheme="minorHAnsi"/>
        </w:rPr>
      </w:pPr>
      <w:r w:rsidRPr="007C164F">
        <w:rPr>
          <w:rFonts w:cstheme="minorHAnsi"/>
        </w:rPr>
        <w:t>In this essay I will discuss the challenges faced with Domestic Abuse incidents of a complex nature and the strategies used for effective policing in these situations.</w:t>
      </w:r>
      <w:r w:rsidRPr="006F3121">
        <w:rPr>
          <w:rFonts w:cstheme="minorHAnsi"/>
          <w:color w:val="0B0C0C"/>
        </w:rPr>
        <w:t xml:space="preserve"> Domestic abuse is defined as:</w:t>
      </w:r>
      <w:r>
        <w:rPr>
          <w:color w:val="0B0C0C"/>
        </w:rPr>
        <w:t xml:space="preserve"> </w:t>
      </w:r>
      <w:r w:rsidRPr="00F5274F">
        <w:rPr>
          <w:rFonts w:cstheme="minorHAnsi"/>
          <w:color w:val="0B0C0C"/>
        </w:rPr>
        <w:t>“Any incident or pattern of incidents of controlling, coercive or threatening behaviour, violence or abuse between those aged 16 or over who are or have been intimate partners or family members regardless of gender or sexuality”.</w:t>
      </w:r>
      <w:r>
        <w:rPr>
          <w:rFonts w:cstheme="minorHAnsi"/>
        </w:rPr>
        <w:t xml:space="preserve"> </w:t>
      </w:r>
      <w:r w:rsidRPr="006F3121">
        <w:rPr>
          <w:rFonts w:cstheme="minorHAnsi"/>
          <w:color w:val="0B0C0C"/>
        </w:rPr>
        <w:t>Often, the abuse from one person to another comes in the form of physical and sexual abuse. However, in the aspect of controlling and coercive behaviour, the abuse can be in the form of emotional, psychological and financial abuse</w:t>
      </w:r>
      <w:r>
        <w:rPr>
          <w:rFonts w:cstheme="minorHAnsi"/>
          <w:color w:val="0B0C0C"/>
        </w:rPr>
        <w:t xml:space="preserve"> (Clegg, 2012).</w:t>
      </w:r>
    </w:p>
    <w:p w14:paraId="1051EAF1" w14:textId="77777777" w:rsidR="00E4731D" w:rsidRDefault="00E4731D" w:rsidP="00E4731D">
      <w:pPr>
        <w:shd w:val="clear" w:color="auto" w:fill="FFFFFF"/>
        <w:spacing w:after="75"/>
        <w:jc w:val="both"/>
        <w:rPr>
          <w:rFonts w:cstheme="minorHAnsi"/>
          <w:color w:val="0B0C0C"/>
        </w:rPr>
      </w:pPr>
      <w:r w:rsidRPr="006F3121">
        <w:rPr>
          <w:rFonts w:cstheme="minorHAnsi"/>
          <w:color w:val="0B0C0C"/>
        </w:rPr>
        <w:t xml:space="preserve">I attended an emergency call where it was reported by a male that his female partner had hit him over the head with an ashtray and bitten his chest. My colleague and I arrived at the address, </w:t>
      </w:r>
      <w:r>
        <w:rPr>
          <w:rFonts w:cstheme="minorHAnsi"/>
          <w:color w:val="0B0C0C"/>
        </w:rPr>
        <w:t xml:space="preserve">met and spoke with the </w:t>
      </w:r>
      <w:r w:rsidRPr="006F3121">
        <w:rPr>
          <w:rFonts w:cstheme="minorHAnsi"/>
          <w:color w:val="0B0C0C"/>
        </w:rPr>
        <w:t xml:space="preserve">caller and the alleged subject. </w:t>
      </w:r>
      <w:r>
        <w:rPr>
          <w:rFonts w:cstheme="minorHAnsi"/>
          <w:color w:val="0B0C0C"/>
        </w:rPr>
        <w:t>My colleague and I</w:t>
      </w:r>
      <w:r w:rsidRPr="006F3121">
        <w:rPr>
          <w:rFonts w:cstheme="minorHAnsi"/>
          <w:color w:val="0B0C0C"/>
        </w:rPr>
        <w:t xml:space="preserve"> discovered </w:t>
      </w:r>
      <w:r>
        <w:rPr>
          <w:rFonts w:cstheme="minorHAnsi"/>
          <w:color w:val="0B0C0C"/>
        </w:rPr>
        <w:t>the male and female</w:t>
      </w:r>
      <w:r w:rsidRPr="006F3121">
        <w:rPr>
          <w:rFonts w:cstheme="minorHAnsi"/>
          <w:color w:val="0B0C0C"/>
        </w:rPr>
        <w:t xml:space="preserve"> were highly intoxicated and under the influence of drugs. From speaking with the female who was initially identified as the </w:t>
      </w:r>
      <w:r>
        <w:rPr>
          <w:rFonts w:cstheme="minorHAnsi"/>
          <w:color w:val="0B0C0C"/>
        </w:rPr>
        <w:t>offender</w:t>
      </w:r>
      <w:r w:rsidRPr="006F3121">
        <w:rPr>
          <w:rFonts w:cstheme="minorHAnsi"/>
          <w:color w:val="0B0C0C"/>
        </w:rPr>
        <w:t xml:space="preserve">, she alleged that her partner had hit her over the shoulder with a metal crutch and stepped on her foot. </w:t>
      </w:r>
      <w:r>
        <w:rPr>
          <w:rFonts w:cstheme="minorHAnsi"/>
          <w:color w:val="0B0C0C"/>
        </w:rPr>
        <w:t xml:space="preserve">After speaking with the female, </w:t>
      </w:r>
      <w:r w:rsidRPr="006F3121">
        <w:rPr>
          <w:rFonts w:cstheme="minorHAnsi"/>
          <w:color w:val="0B0C0C"/>
        </w:rPr>
        <w:t>I returned to my colleague who s</w:t>
      </w:r>
      <w:r>
        <w:rPr>
          <w:rFonts w:cstheme="minorHAnsi"/>
          <w:color w:val="0B0C0C"/>
        </w:rPr>
        <w:t>aid</w:t>
      </w:r>
      <w:r w:rsidRPr="006F3121">
        <w:rPr>
          <w:rFonts w:cstheme="minorHAnsi"/>
          <w:color w:val="0B0C0C"/>
        </w:rPr>
        <w:t xml:space="preserve"> the male no longer wished to make a complaint and he wanted his partner removed from the property. My colleague </w:t>
      </w:r>
      <w:r w:rsidRPr="006F3121">
        <w:rPr>
          <w:rFonts w:cstheme="minorHAnsi"/>
          <w:color w:val="0B0C0C"/>
        </w:rPr>
        <w:lastRenderedPageBreak/>
        <w:t>and I now had a challenge in place which is a commonality in the victims of DA wher</w:t>
      </w:r>
      <w:r>
        <w:rPr>
          <w:rFonts w:cstheme="minorHAnsi"/>
          <w:color w:val="0B0C0C"/>
        </w:rPr>
        <w:t>e</w:t>
      </w:r>
      <w:r w:rsidRPr="006F3121">
        <w:rPr>
          <w:rFonts w:cstheme="minorHAnsi"/>
          <w:color w:val="0B0C0C"/>
        </w:rPr>
        <w:t xml:space="preserve"> they no longer wish to make a complaint and refuse to engage with police officers. </w:t>
      </w:r>
    </w:p>
    <w:p w14:paraId="31AEDB6B" w14:textId="77777777" w:rsidR="00E4731D" w:rsidRPr="006F3121" w:rsidRDefault="00E4731D" w:rsidP="00E4731D">
      <w:pPr>
        <w:shd w:val="clear" w:color="auto" w:fill="FFFFFF"/>
        <w:spacing w:after="75"/>
        <w:jc w:val="both"/>
        <w:rPr>
          <w:rFonts w:cstheme="minorHAnsi"/>
          <w:color w:val="0B0C0C"/>
        </w:rPr>
      </w:pPr>
      <w:r w:rsidRPr="006F3121">
        <w:rPr>
          <w:rFonts w:cstheme="minorHAnsi"/>
          <w:color w:val="0B0C0C"/>
        </w:rPr>
        <w:t>I</w:t>
      </w:r>
      <w:r>
        <w:rPr>
          <w:rFonts w:cstheme="minorHAnsi"/>
          <w:color w:val="0B0C0C"/>
        </w:rPr>
        <w:t>n the</w:t>
      </w:r>
      <w:r w:rsidRPr="006F3121">
        <w:rPr>
          <w:rFonts w:cstheme="minorHAnsi"/>
          <w:color w:val="0B0C0C"/>
        </w:rPr>
        <w:t xml:space="preserve"> year ending March 2022</w:t>
      </w:r>
      <w:r>
        <w:rPr>
          <w:rFonts w:cstheme="minorHAnsi"/>
          <w:color w:val="0B0C0C"/>
        </w:rPr>
        <w:t xml:space="preserve"> according to ONS (2022), </w:t>
      </w:r>
      <w:r w:rsidRPr="001C5998">
        <w:rPr>
          <w:rFonts w:cstheme="minorHAnsi"/>
          <w:color w:val="0B0C0C"/>
        </w:rPr>
        <w:t>police recorded</w:t>
      </w:r>
      <w:r>
        <w:rPr>
          <w:rFonts w:cstheme="minorHAnsi"/>
          <w:color w:val="0B0C0C"/>
        </w:rPr>
        <w:t xml:space="preserve"> </w:t>
      </w:r>
      <w:r w:rsidRPr="001C5998">
        <w:rPr>
          <w:rFonts w:cstheme="minorHAnsi"/>
          <w:color w:val="0B0C0C"/>
        </w:rPr>
        <w:t xml:space="preserve">910,980 </w:t>
      </w:r>
      <w:r>
        <w:rPr>
          <w:rFonts w:cstheme="minorHAnsi"/>
          <w:color w:val="0B0C0C"/>
        </w:rPr>
        <w:t xml:space="preserve">domestic abuse (DA) </w:t>
      </w:r>
      <w:r w:rsidRPr="001C5998">
        <w:rPr>
          <w:rFonts w:cstheme="minorHAnsi"/>
          <w:color w:val="0B0C0C"/>
        </w:rPr>
        <w:t>related crimes in England and Wales –</w:t>
      </w:r>
      <w:r>
        <w:rPr>
          <w:rFonts w:cstheme="minorHAnsi"/>
          <w:color w:val="0B0C0C"/>
        </w:rPr>
        <w:t xml:space="preserve"> a</w:t>
      </w:r>
      <w:r w:rsidRPr="001C5998">
        <w:rPr>
          <w:rFonts w:cstheme="minorHAnsi"/>
          <w:color w:val="0B0C0C"/>
        </w:rPr>
        <w:t xml:space="preserve"> 7.7% increase in reported incidents with the co-operation of the victim</w:t>
      </w:r>
      <w:r>
        <w:rPr>
          <w:rFonts w:cstheme="minorHAnsi"/>
          <w:color w:val="0B0C0C"/>
        </w:rPr>
        <w:t xml:space="preserve">, as compared to the previous year. </w:t>
      </w:r>
      <w:r w:rsidRPr="006F3121">
        <w:rPr>
          <w:rFonts w:cstheme="minorHAnsi"/>
          <w:color w:val="0B0C0C"/>
        </w:rPr>
        <w:t>The</w:t>
      </w:r>
      <w:r>
        <w:rPr>
          <w:rFonts w:cstheme="minorHAnsi"/>
          <w:color w:val="0B0C0C"/>
        </w:rPr>
        <w:t xml:space="preserve"> same report suggests that the 2022 </w:t>
      </w:r>
      <w:r w:rsidRPr="006F3121">
        <w:rPr>
          <w:rFonts w:cstheme="minorHAnsi"/>
          <w:color w:val="0B0C0C"/>
        </w:rPr>
        <w:t>figure coincides with</w:t>
      </w:r>
      <w:r>
        <w:rPr>
          <w:rFonts w:cstheme="minorHAnsi"/>
          <w:color w:val="0B0C0C"/>
        </w:rPr>
        <w:t xml:space="preserve">, </w:t>
      </w:r>
      <w:r w:rsidRPr="001C5998">
        <w:rPr>
          <w:rFonts w:cstheme="minorHAnsi"/>
          <w:color w:val="0B0C0C"/>
        </w:rPr>
        <w:t>31.3 arrests per 100 DA related crime; a reduction from the previous year in which there were 32.6 arrests per 100 DA related crimes</w:t>
      </w:r>
      <w:r>
        <w:rPr>
          <w:rFonts w:cstheme="minorHAnsi"/>
          <w:color w:val="0B0C0C"/>
        </w:rPr>
        <w:t xml:space="preserve"> (ONS, 2022)</w:t>
      </w:r>
      <w:r w:rsidRPr="001C5998">
        <w:rPr>
          <w:rFonts w:cstheme="minorHAnsi"/>
          <w:color w:val="0B0C0C"/>
        </w:rPr>
        <w:t>.</w:t>
      </w:r>
      <w:r>
        <w:rPr>
          <w:rFonts w:cstheme="minorHAnsi"/>
          <w:color w:val="0B0C0C"/>
        </w:rPr>
        <w:t xml:space="preserve"> </w:t>
      </w:r>
      <w:r w:rsidRPr="006F3121">
        <w:rPr>
          <w:rFonts w:cstheme="minorHAnsi"/>
          <w:color w:val="0B0C0C"/>
        </w:rPr>
        <w:t xml:space="preserve">Both figures demonstrate there is an increase in reporting of incidents, however there is a decrease in arrests. DA related crimes are an area whereby the police can choose to pursue a charge by way of victimless prosecution or put specific measures in place without the co-operation of the victim. </w:t>
      </w:r>
    </w:p>
    <w:p w14:paraId="1C2476BC" w14:textId="77777777" w:rsidR="00E4731D" w:rsidRPr="002F6ED2" w:rsidRDefault="00E4731D" w:rsidP="00E4731D">
      <w:pPr>
        <w:shd w:val="clear" w:color="auto" w:fill="FFFFFF"/>
        <w:spacing w:after="75"/>
        <w:jc w:val="both"/>
        <w:rPr>
          <w:rFonts w:cstheme="minorHAnsi"/>
          <w:i/>
          <w:iCs/>
          <w:color w:val="0B0C0C"/>
        </w:rPr>
      </w:pPr>
      <w:r>
        <w:rPr>
          <w:rFonts w:cstheme="minorHAnsi"/>
          <w:color w:val="0B0C0C"/>
        </w:rPr>
        <w:t>P</w:t>
      </w:r>
      <w:r w:rsidRPr="006F3121">
        <w:rPr>
          <w:rFonts w:cstheme="minorHAnsi"/>
          <w:color w:val="0B0C0C"/>
        </w:rPr>
        <w:t>olice officers must be seen as pro-active when responding and dealing with DA related incidents. Should there be a DA non crime then certain safeguarding measures would be required to ensure that no further incidents occur in the short-term following attendance.</w:t>
      </w:r>
      <w:r>
        <w:rPr>
          <w:rFonts w:cstheme="minorHAnsi"/>
          <w:color w:val="0B0C0C"/>
        </w:rPr>
        <w:t xml:space="preserve"> </w:t>
      </w:r>
      <w:r w:rsidRPr="006F3121">
        <w:rPr>
          <w:rFonts w:cstheme="minorHAnsi"/>
          <w:color w:val="0B0C0C"/>
        </w:rPr>
        <w:t xml:space="preserve">Specifically with DA related matters which have been brought to the attention of police, it is </w:t>
      </w:r>
      <w:r>
        <w:rPr>
          <w:rFonts w:cstheme="minorHAnsi"/>
          <w:color w:val="0B0C0C"/>
        </w:rPr>
        <w:t>vital</w:t>
      </w:r>
      <w:r w:rsidRPr="006F3121">
        <w:rPr>
          <w:rFonts w:cstheme="minorHAnsi"/>
          <w:color w:val="0B0C0C"/>
        </w:rPr>
        <w:t xml:space="preserve"> that police actions are completed as pragmatically as possible. This is to prevent the victim from becoming remorseful for their actions in reaching out for help and contacting the police to report any instance of DA related behaviour or incidents. </w:t>
      </w:r>
      <w:r>
        <w:rPr>
          <w:rFonts w:cstheme="minorHAnsi"/>
          <w:color w:val="0B0C0C"/>
        </w:rPr>
        <w:t xml:space="preserve">The College of Policing (2015) highlight some of the thoughts that the victim which include: </w:t>
      </w:r>
      <w:r>
        <w:rPr>
          <w:rFonts w:cstheme="minorHAnsi"/>
          <w:i/>
          <w:iCs/>
          <w:color w:val="0B0C0C"/>
        </w:rPr>
        <w:t xml:space="preserve">“I am frightened of the consequences”, “I will have to go to court and give evidence against her, it will be humiliating”, “No-one will believe I was assaulted by a woman”. </w:t>
      </w:r>
      <w:r>
        <w:rPr>
          <w:rFonts w:cstheme="minorHAnsi"/>
          <w:color w:val="0B0C0C"/>
        </w:rPr>
        <w:t>Mankind (2023) state that one in three victims of domestic abuse are male. A victim of DA may have thought at the time of the incident they require the assistance of police, however, as police attend the incident, the victim could have their own emotional battle and could be fearful of the consequence of their actions by involving the police. Between 2015 and 2020 an average of twelve men were killed by a partner or ex-partner (Mankind, 2023). One of these as documented by North Yorkshire Police (2022) was the result of a current partner murdering her spouse. During attendance at DA related incidents, it is worth considering that a victim may choose to engage with other DA services even if they are not engaging with police (College of Policing, 2015). However, Mankind (2023) claim that there is only a small percentage (4.4%) of men being supported by domestic abuse services, and almost half have never told anyone of the abuse.</w:t>
      </w:r>
    </w:p>
    <w:p w14:paraId="3DEBBC20" w14:textId="616E8E28" w:rsidR="00E4731D" w:rsidRPr="006F3121" w:rsidRDefault="00E4731D" w:rsidP="00E4731D">
      <w:pPr>
        <w:shd w:val="clear" w:color="auto" w:fill="FFFFFF"/>
        <w:spacing w:after="75"/>
        <w:jc w:val="both"/>
        <w:rPr>
          <w:rFonts w:cstheme="minorHAnsi"/>
          <w:color w:val="0B0C0C"/>
        </w:rPr>
      </w:pPr>
      <w:r>
        <w:rPr>
          <w:rFonts w:cstheme="minorHAnsi"/>
          <w:color w:val="0B0C0C"/>
        </w:rPr>
        <w:t xml:space="preserve">Bottaro (2022) states </w:t>
      </w:r>
      <w:r w:rsidRPr="006F3121">
        <w:rPr>
          <w:rFonts w:cstheme="minorHAnsi"/>
          <w:color w:val="0B0C0C"/>
        </w:rPr>
        <w:t>there are four stages</w:t>
      </w:r>
      <w:r>
        <w:rPr>
          <w:rFonts w:cstheme="minorHAnsi"/>
          <w:color w:val="0B0C0C"/>
        </w:rPr>
        <w:t xml:space="preserve"> in the cycle of </w:t>
      </w:r>
      <w:r w:rsidR="00C048F1">
        <w:rPr>
          <w:rFonts w:cstheme="minorHAnsi"/>
          <w:color w:val="0B0C0C"/>
        </w:rPr>
        <w:t>abuse:</w:t>
      </w:r>
      <w:r>
        <w:rPr>
          <w:rFonts w:cstheme="minorHAnsi"/>
          <w:color w:val="0B0C0C"/>
        </w:rPr>
        <w:t xml:space="preserve"> Tensions Building, Incident, Reconciliation, and Calm. </w:t>
      </w:r>
      <w:r w:rsidRPr="006F3121">
        <w:rPr>
          <w:rFonts w:cstheme="minorHAnsi"/>
          <w:color w:val="0B0C0C"/>
        </w:rPr>
        <w:t>During the initial stage, the abuser will behave in a manner whereby they will attempt to assert their control on the relationship. This stage could take place over any time frame which eventually will lead to the ‘incident’ stage. The second stage does not always involve violent acts, this is dependent on the type of abuse the abuser is fixated on. Following the ‘incident’ is the reconciliation stage whereby an attempt can be made from either party to change their behaviours which eventually led to the ‘incident’. If a reconciliation is made, the cycle enters the ‘calm’ period before the cycle returns to the first stage whereby the abusers’ abusive and controlling behaviour returns. Therefore, it is vital that officers take positive action and act before the victim becomes remorseful for contacting police following an incident. Should officers be able to take positive action prior to the victim entering the reconciliation phase or become remorseful, police are able to utilise more legal powers to protect those who have suffered from the abuse or at risk of further abuse.</w:t>
      </w:r>
    </w:p>
    <w:p w14:paraId="179CE973" w14:textId="77777777" w:rsidR="00E4731D" w:rsidRPr="006F3121" w:rsidRDefault="00E4731D" w:rsidP="00E4731D">
      <w:pPr>
        <w:shd w:val="clear" w:color="auto" w:fill="FFFFFF"/>
        <w:spacing w:after="75"/>
        <w:jc w:val="both"/>
        <w:rPr>
          <w:rFonts w:cstheme="minorHAnsi"/>
          <w:color w:val="0B0C0C"/>
        </w:rPr>
      </w:pPr>
      <w:r w:rsidRPr="006F3121">
        <w:rPr>
          <w:rFonts w:cstheme="minorHAnsi"/>
          <w:color w:val="0B0C0C"/>
        </w:rPr>
        <w:t>As per force policy</w:t>
      </w:r>
      <w:r>
        <w:rPr>
          <w:rFonts w:cstheme="minorHAnsi"/>
          <w:color w:val="0B0C0C"/>
        </w:rPr>
        <w:t xml:space="preserve"> (Gwent Police, 2020) </w:t>
      </w:r>
      <w:r w:rsidRPr="006F3121">
        <w:rPr>
          <w:rFonts w:cstheme="minorHAnsi"/>
          <w:color w:val="0B0C0C"/>
        </w:rPr>
        <w:t>, two or more officers are required to attend incidents of DA for both safeguarding purposes and to gather as much information from the persons involved for an effective decision to be made. Persons involved must also be separated and spoken to by an individual officer. This is a common principle when attending incidents of DA as this is also a way of removing any inference or interference from the other party when gathering the victim’s account. This can be done in separate areas of the house; on this occasion, my colleague remained in the hallway of the address with the caller, and I located the other party in the living room. From this, we were able to establish that there was a high likelihood of a counter complaint from the alleged subject. Another advantage of separating involved parties is to ascertain the details of each person and if applicable, the details of any dependents residing at the address. In certain incidents involving high threat of risk or harm, the dependents may also have experienced abuse from the perpetrator. The purpose of providing the details of all persons involved including the dependents, would be to submit relevant referrals to partner agencies. This is a crucial step in the safeguarding process as the police have limited powers to safeguard the persons involved and rely heavily on partner agencies such as the NHS, Schools, Social Services, Domestic Abuse charities and substance abuse groups</w:t>
      </w:r>
      <w:r>
        <w:rPr>
          <w:rFonts w:cstheme="minorHAnsi"/>
          <w:color w:val="0B0C0C"/>
        </w:rPr>
        <w:t xml:space="preserve"> (Gwent Police, 2020). </w:t>
      </w:r>
      <w:r w:rsidRPr="006F3121">
        <w:rPr>
          <w:rFonts w:cstheme="minorHAnsi"/>
          <w:color w:val="0B0C0C"/>
        </w:rPr>
        <w:t>Monk et al (2015) s</w:t>
      </w:r>
      <w:r>
        <w:rPr>
          <w:rFonts w:cstheme="minorHAnsi"/>
          <w:color w:val="0B0C0C"/>
        </w:rPr>
        <w:t>upports this and states from the development of partnerships and changes in legislation there is a need to engage communities in reducing crime.</w:t>
      </w:r>
    </w:p>
    <w:p w14:paraId="79B4A1BD" w14:textId="77777777" w:rsidR="00E4731D" w:rsidRPr="002F6ED2" w:rsidRDefault="00E4731D" w:rsidP="00E4731D">
      <w:pPr>
        <w:shd w:val="clear" w:color="auto" w:fill="FFFFFF"/>
        <w:spacing w:after="75"/>
        <w:jc w:val="both"/>
        <w:rPr>
          <w:rFonts w:cstheme="minorHAnsi"/>
        </w:rPr>
      </w:pPr>
      <w:r w:rsidRPr="006F3121">
        <w:rPr>
          <w:rFonts w:cstheme="minorHAnsi"/>
        </w:rPr>
        <w:t xml:space="preserve">When utilising partner agencies in incidents such as those where DA is present, it is vital that a clear line of communication be present between police and partner agencies. This is vital in the process of </w:t>
      </w:r>
      <w:r w:rsidRPr="006F3121">
        <w:rPr>
          <w:rFonts w:cstheme="minorHAnsi"/>
        </w:rPr>
        <w:lastRenderedPageBreak/>
        <w:t>information sharing, especially when safeguarding measures are put in place to prevent further escalations of incidents or repeat victimisation. It is imperative that no persons ‘slip through the net’ from a policing perspective as the police are held in high accountability in terms of protecting persons from harm by its sheer nature as a law enforcement organisation</w:t>
      </w:r>
      <w:r>
        <w:rPr>
          <w:rFonts w:cstheme="minorHAnsi"/>
        </w:rPr>
        <w:t xml:space="preserve"> (Monk, 2015)</w:t>
      </w:r>
      <w:r w:rsidRPr="006F3121">
        <w:rPr>
          <w:rFonts w:cstheme="minorHAnsi"/>
        </w:rPr>
        <w:t>.</w:t>
      </w:r>
    </w:p>
    <w:p w14:paraId="21ADBC02" w14:textId="77777777" w:rsidR="00E4731D" w:rsidRPr="006F3121" w:rsidRDefault="00E4731D" w:rsidP="00E4731D">
      <w:pPr>
        <w:shd w:val="clear" w:color="auto" w:fill="FFFFFF"/>
        <w:spacing w:after="75"/>
        <w:jc w:val="both"/>
        <w:rPr>
          <w:rFonts w:cstheme="minorHAnsi"/>
          <w:color w:val="0B0C0C"/>
        </w:rPr>
      </w:pPr>
      <w:r w:rsidRPr="006F3121">
        <w:rPr>
          <w:rFonts w:cstheme="minorHAnsi"/>
          <w:color w:val="0B0C0C"/>
        </w:rPr>
        <w:t>During this incident, both persons are considered ‘Adults at Risk’ due to being both high risk DV victims from one another. Both persons have a long-standing history of substance abuse as well as physical ailments. In this instance, when completing a referral, a DASH (Domestic Abuse Stalking and Harassment) risk assessment would have to be completed when attending a DA incident. Whether the victim wishes or declines to complete this risk assessment, which grades how likely the victim is to suffer a threat or risk of harm from the other person in the relationship, a DASH must be completed by attending officers. The DASH is the first part of the safeguarding process involving partner agencies; the DASH would be sent to Social Services who in turn will communicate with their partner agencies such as Housing to further safeguard persons involved. As both persons are considered vulnerable, an Adult at Risk form would be completed with the DASH to document officers’ observations of the persons</w:t>
      </w:r>
      <w:r>
        <w:rPr>
          <w:rFonts w:cstheme="minorHAnsi"/>
          <w:color w:val="0B0C0C"/>
        </w:rPr>
        <w:t xml:space="preserve"> vulnerabilities</w:t>
      </w:r>
      <w:r w:rsidRPr="006F3121">
        <w:rPr>
          <w:rFonts w:cstheme="minorHAnsi"/>
          <w:color w:val="0B0C0C"/>
        </w:rPr>
        <w:t>. Should children or older dependents have been present at the incident, their school and medical surgery details would have to be ascertained to communicate with them during the referral process. It is vital that officers complete any referral form to a high standard for information purposes on the receiving end. Any information not documented could prove to be significant and any information not documented by the officer could be seen as evasive and a breach of policing standards</w:t>
      </w:r>
      <w:r>
        <w:rPr>
          <w:rFonts w:cstheme="minorHAnsi"/>
          <w:color w:val="0B0C0C"/>
        </w:rPr>
        <w:t xml:space="preserve">. </w:t>
      </w:r>
      <w:r w:rsidRPr="006F3121">
        <w:rPr>
          <w:rFonts w:cstheme="minorHAnsi"/>
          <w:color w:val="0B0C0C"/>
        </w:rPr>
        <w:t>Following subsequent referrals completed by officers such as a DASH, officers must use the information given or already possess to grade the DASH – Standard, Medium, High. This reflects the threat or risk of harm that the officer deems the victim to be in regarding the victim and abuser relationship. The grading must also be approved by a supervising officer as soon as practicable</w:t>
      </w:r>
      <w:r>
        <w:rPr>
          <w:rFonts w:cstheme="minorHAnsi"/>
          <w:color w:val="0B0C0C"/>
        </w:rPr>
        <w:t xml:space="preserve"> (Richards, 2009).</w:t>
      </w:r>
    </w:p>
    <w:p w14:paraId="21126561" w14:textId="77777777" w:rsidR="00E4731D" w:rsidRPr="006F3121" w:rsidRDefault="00E4731D" w:rsidP="00E4731D">
      <w:pPr>
        <w:shd w:val="clear" w:color="auto" w:fill="FFFFFF"/>
        <w:spacing w:after="75"/>
        <w:jc w:val="both"/>
        <w:rPr>
          <w:rFonts w:cstheme="minorHAnsi"/>
          <w:color w:val="0B0C0C"/>
        </w:rPr>
      </w:pPr>
      <w:r w:rsidRPr="006F3121">
        <w:rPr>
          <w:rFonts w:cstheme="minorHAnsi"/>
          <w:color w:val="0B0C0C"/>
        </w:rPr>
        <w:t>In terms of DA related offences and complaints from the victim or no complaint, police must be seen to take positive action in the first instance to prevent escalation of incidents and safeguard those persons involved. When an offence such as breach of peace or assault has taken place, a subsequent arrest and golden hour enquiries follow. However, should there be an absence of a complaint from the victim and overwhelming evidence indicating that an offence has taken place, police can utilise the power of Evidence Led prosecution</w:t>
      </w:r>
      <w:r>
        <w:rPr>
          <w:rFonts w:cstheme="minorHAnsi"/>
          <w:color w:val="0B0C0C"/>
        </w:rPr>
        <w:t xml:space="preserve"> (CPS, 2022)</w:t>
      </w:r>
      <w:r w:rsidRPr="006F3121">
        <w:rPr>
          <w:rFonts w:cstheme="minorHAnsi"/>
          <w:color w:val="0B0C0C"/>
        </w:rPr>
        <w:t>. The Home Office have granted the power of evidence-led prosecution to police forces in England and Wales as they understand that DA is a volatile situation and safeguarding must be achieved by any matter</w:t>
      </w:r>
      <w:r>
        <w:rPr>
          <w:rFonts w:cstheme="minorHAnsi"/>
          <w:color w:val="0B0C0C"/>
        </w:rPr>
        <w:t xml:space="preserve"> (CPS, 2022)</w:t>
      </w:r>
      <w:r w:rsidRPr="006F3121">
        <w:rPr>
          <w:rFonts w:cstheme="minorHAnsi"/>
          <w:color w:val="0B0C0C"/>
        </w:rPr>
        <w:t>.</w:t>
      </w:r>
      <w:r>
        <w:rPr>
          <w:rFonts w:cstheme="minorHAnsi"/>
          <w:color w:val="0B0C0C"/>
        </w:rPr>
        <w:t xml:space="preserve"> There is an option of using a Domestic Violence Prevention Notice</w:t>
      </w:r>
      <w:r w:rsidRPr="006F3121">
        <w:rPr>
          <w:rFonts w:cstheme="minorHAnsi"/>
          <w:color w:val="0B0C0C"/>
        </w:rPr>
        <w:t xml:space="preserve"> </w:t>
      </w:r>
      <w:r>
        <w:rPr>
          <w:rFonts w:cstheme="minorHAnsi"/>
          <w:color w:val="0B0C0C"/>
        </w:rPr>
        <w:t>(</w:t>
      </w:r>
      <w:r w:rsidRPr="006F3121">
        <w:rPr>
          <w:rFonts w:cstheme="minorHAnsi"/>
          <w:color w:val="0B0C0C"/>
        </w:rPr>
        <w:t>DVPN</w:t>
      </w:r>
      <w:r>
        <w:rPr>
          <w:rFonts w:cstheme="minorHAnsi"/>
          <w:color w:val="0B0C0C"/>
        </w:rPr>
        <w:t>) which</w:t>
      </w:r>
      <w:r w:rsidRPr="006F3121">
        <w:rPr>
          <w:rFonts w:cstheme="minorHAnsi"/>
          <w:color w:val="0B0C0C"/>
        </w:rPr>
        <w:t xml:space="preserve"> can be utilised by police forces when violence or threat of violence has been present in summary only offences, there is evidence to suggest that violence or threat of violence was a factor and there is no complaint forthcoming from the victim. This enables police forces to enforce a 48-72 hour ‘cooling-down’ period between victim and abuser and restricts the victim from being contacted by the abuser. Within 72 hours of the DVPN being served on the abuser, they must appear before a Magistrates Court whereby the court have the power to extend the Notice to between 14-28 days depending on the circumstances of the case. Should the court choose to extend the Notice, it is now considered to be a Domestic Violence Protec</w:t>
      </w:r>
      <w:r>
        <w:rPr>
          <w:rFonts w:cstheme="minorHAnsi"/>
          <w:color w:val="0B0C0C"/>
        </w:rPr>
        <w:t>tion</w:t>
      </w:r>
      <w:r w:rsidRPr="006F3121">
        <w:rPr>
          <w:rFonts w:cstheme="minorHAnsi"/>
          <w:color w:val="0B0C0C"/>
        </w:rPr>
        <w:t xml:space="preserve"> Order</w:t>
      </w:r>
      <w:r>
        <w:rPr>
          <w:rFonts w:cstheme="minorHAnsi"/>
          <w:color w:val="0B0C0C"/>
        </w:rPr>
        <w:t xml:space="preserve"> (DVPO)</w:t>
      </w:r>
      <w:r w:rsidRPr="006F3121">
        <w:rPr>
          <w:rFonts w:cstheme="minorHAnsi"/>
          <w:color w:val="0B0C0C"/>
        </w:rPr>
        <w:t>.</w:t>
      </w:r>
      <w:r>
        <w:rPr>
          <w:rFonts w:cstheme="minorHAnsi"/>
          <w:color w:val="0B0C0C"/>
        </w:rPr>
        <w:t xml:space="preserve"> The difference to the DVPO is that now an order and the abuser is then subject to arrest for failing to comply with the order (UK Government, 2022)</w:t>
      </w:r>
      <w:r w:rsidRPr="006F3121">
        <w:rPr>
          <w:rFonts w:cstheme="minorHAnsi"/>
          <w:color w:val="0B0C0C"/>
        </w:rPr>
        <w:t>.</w:t>
      </w:r>
    </w:p>
    <w:p w14:paraId="59C80D1C" w14:textId="77777777" w:rsidR="00E4731D" w:rsidRPr="006F3121" w:rsidRDefault="00E4731D" w:rsidP="00E4731D">
      <w:pPr>
        <w:shd w:val="clear" w:color="auto" w:fill="FFFFFF"/>
        <w:spacing w:after="75"/>
        <w:jc w:val="both"/>
        <w:rPr>
          <w:rFonts w:cstheme="minorHAnsi"/>
          <w:color w:val="0B0C0C"/>
        </w:rPr>
      </w:pPr>
      <w:r>
        <w:rPr>
          <w:rFonts w:cstheme="minorHAnsi"/>
          <w:color w:val="0B0C0C"/>
        </w:rPr>
        <w:t xml:space="preserve">If a person is graded as high risk, a Multi-Agency Risk Assessment Conference (MARAC) can be held. This is where partnership agencies come together to share information of high-risk cases to formulate specific measures to safeguard the victim and their family </w:t>
      </w:r>
      <w:r w:rsidRPr="006F3121">
        <w:rPr>
          <w:rFonts w:cstheme="minorHAnsi"/>
          <w:shd w:val="clear" w:color="auto" w:fill="FFFFFF"/>
        </w:rPr>
        <w:t>(Devon County Council, 2022)</w:t>
      </w:r>
      <w:r>
        <w:rPr>
          <w:rFonts w:cstheme="minorHAnsi"/>
          <w:shd w:val="clear" w:color="auto" w:fill="FFFFFF"/>
        </w:rPr>
        <w:t>.</w:t>
      </w:r>
      <w:r>
        <w:rPr>
          <w:rFonts w:cstheme="minorHAnsi"/>
          <w:color w:val="0B0C0C"/>
        </w:rPr>
        <w:t xml:space="preserve"> Measures can include a police led ‘cocoon watch’, assisting with re-housing or providing refuge accommodation (Safelives, 2014). </w:t>
      </w:r>
      <w:r w:rsidRPr="006F3121">
        <w:rPr>
          <w:rFonts w:cstheme="minorHAnsi"/>
          <w:shd w:val="clear" w:color="auto" w:fill="FFFFFF"/>
        </w:rPr>
        <w:t>As this process is traumatic, the</w:t>
      </w:r>
      <w:r>
        <w:rPr>
          <w:rFonts w:cstheme="minorHAnsi"/>
          <w:shd w:val="clear" w:color="auto" w:fill="FFFFFF"/>
        </w:rPr>
        <w:t xml:space="preserve"> victim </w:t>
      </w:r>
      <w:r w:rsidRPr="006F3121">
        <w:rPr>
          <w:rFonts w:cstheme="minorHAnsi"/>
          <w:shd w:val="clear" w:color="auto" w:fill="FFFFFF"/>
        </w:rPr>
        <w:t>do</w:t>
      </w:r>
      <w:r>
        <w:rPr>
          <w:rFonts w:cstheme="minorHAnsi"/>
          <w:shd w:val="clear" w:color="auto" w:fill="FFFFFF"/>
        </w:rPr>
        <w:t>es</w:t>
      </w:r>
      <w:r w:rsidRPr="006F3121">
        <w:rPr>
          <w:rFonts w:cstheme="minorHAnsi"/>
          <w:shd w:val="clear" w:color="auto" w:fill="FFFFFF"/>
        </w:rPr>
        <w:t xml:space="preserve"> not attend the review but are spoken for by an Independent Domestic Violence Advocate (IDVA)</w:t>
      </w:r>
      <w:r>
        <w:rPr>
          <w:rFonts w:cstheme="minorHAnsi"/>
          <w:shd w:val="clear" w:color="auto" w:fill="FFFFFF"/>
        </w:rPr>
        <w:t>. IDVA’s work alongside the victim to develop safeguarding plans, which can include sanctions through courts (Family Rights Group, 2020). MARAC’s have been shown to be successful in reducing up to 60% of abuse (CAADA, 2010).</w:t>
      </w:r>
    </w:p>
    <w:p w14:paraId="6AABC0F6" w14:textId="7B6FEA5D" w:rsidR="00E4731D" w:rsidRPr="006F3121" w:rsidRDefault="00E4731D" w:rsidP="00E4731D">
      <w:pPr>
        <w:shd w:val="clear" w:color="auto" w:fill="FFFFFF"/>
        <w:spacing w:after="75"/>
        <w:jc w:val="both"/>
        <w:rPr>
          <w:rFonts w:cstheme="minorHAnsi"/>
          <w:color w:val="0B0C0C"/>
        </w:rPr>
      </w:pPr>
      <w:r w:rsidRPr="006F3121">
        <w:rPr>
          <w:rFonts w:cstheme="minorHAnsi"/>
          <w:color w:val="0B0C0C"/>
        </w:rPr>
        <w:t>Domestic Abuse is an element which police are challenged with daily and cannot be allowed to go ignored or unheard. Subsequent positive action and safeguarding must be utilised to the highest standard on every occasio</w:t>
      </w:r>
      <w:r>
        <w:rPr>
          <w:rFonts w:cstheme="minorHAnsi"/>
          <w:color w:val="0B0C0C"/>
        </w:rPr>
        <w:t xml:space="preserve">n, which can include unpopular measures actioned by police. More support and guidance </w:t>
      </w:r>
      <w:r w:rsidR="00F85990">
        <w:rPr>
          <w:rFonts w:cstheme="minorHAnsi"/>
          <w:color w:val="0B0C0C"/>
        </w:rPr>
        <w:t>need</w:t>
      </w:r>
      <w:r>
        <w:rPr>
          <w:rFonts w:cstheme="minorHAnsi"/>
          <w:color w:val="0B0C0C"/>
        </w:rPr>
        <w:t xml:space="preserve"> to be provided to male victims of DA so that they feel that they do not need to suffer in silence. It can be difficult to engage with a person who does not believe they are a victim, and to assist in breaking the cycle of abuse. However, with the right guidance and support and through partnership agency working, police can continue to reduce these effects. As the victim and subject refused to provide a statement and support police action, the female was removed from the property that evening, and since this call there have been no other calls of a similar nature.</w:t>
      </w:r>
    </w:p>
    <w:p w14:paraId="417E723B" w14:textId="4CFE60E2" w:rsidR="00F37C6A" w:rsidRDefault="00F37C6A" w:rsidP="00582CC9">
      <w:pPr>
        <w:shd w:val="clear" w:color="auto" w:fill="FFFFFF"/>
        <w:overflowPunct/>
        <w:autoSpaceDE/>
        <w:autoSpaceDN/>
        <w:adjustRightInd/>
        <w:spacing w:after="75"/>
        <w:textAlignment w:val="auto"/>
        <w:rPr>
          <w:rFonts w:asciiTheme="minorHAnsi" w:hAnsiTheme="minorHAnsi" w:cstheme="minorHAnsi"/>
          <w:color w:val="0B0C0C"/>
        </w:rPr>
      </w:pPr>
      <w:r>
        <w:rPr>
          <w:rFonts w:asciiTheme="minorHAnsi" w:hAnsiTheme="minorHAnsi" w:cstheme="minorHAnsi"/>
          <w:color w:val="0B0C0C"/>
        </w:rPr>
        <w:lastRenderedPageBreak/>
        <w:t>Word Count: 214</w:t>
      </w:r>
      <w:r w:rsidR="00F85990">
        <w:rPr>
          <w:rFonts w:asciiTheme="minorHAnsi" w:hAnsiTheme="minorHAnsi" w:cstheme="minorHAnsi"/>
          <w:color w:val="0B0C0C"/>
        </w:rPr>
        <w:t>3</w:t>
      </w:r>
    </w:p>
    <w:p w14:paraId="1C294213" w14:textId="77777777" w:rsidR="00D800C8" w:rsidRPr="00041595" w:rsidRDefault="00D800C8" w:rsidP="00D800C8">
      <w:pPr>
        <w:shd w:val="clear" w:color="auto" w:fill="FFFFFF"/>
        <w:overflowPunct/>
        <w:autoSpaceDE/>
        <w:autoSpaceDN/>
        <w:adjustRightInd/>
        <w:spacing w:after="75"/>
        <w:ind w:left="5760" w:firstLine="720"/>
        <w:textAlignment w:val="auto"/>
        <w:rPr>
          <w:rFonts w:asciiTheme="minorHAnsi" w:hAnsiTheme="minorHAnsi" w:cstheme="minorHAnsi"/>
          <w:color w:val="0B0C0C"/>
        </w:rPr>
      </w:pPr>
    </w:p>
    <w:p w14:paraId="59DE1689" w14:textId="283C4E0B" w:rsidR="00025650" w:rsidRPr="00E676F7" w:rsidRDefault="00025650" w:rsidP="0FF883D4">
      <w:pPr>
        <w:ind w:right="237"/>
        <w:jc w:val="both"/>
        <w:rPr>
          <w:color w:val="000000" w:themeColor="text1"/>
          <w:sz w:val="24"/>
          <w:szCs w:val="24"/>
          <w:u w:val="single"/>
        </w:rPr>
      </w:pPr>
    </w:p>
    <w:p w14:paraId="35335425" w14:textId="77777777" w:rsidR="00843055" w:rsidRDefault="00843055" w:rsidP="003079F2">
      <w:pPr>
        <w:ind w:right="237"/>
        <w:rPr>
          <w:b/>
          <w:bCs/>
          <w:color w:val="000000" w:themeColor="text1"/>
          <w:sz w:val="28"/>
          <w:szCs w:val="28"/>
          <w:u w:val="single"/>
        </w:rPr>
      </w:pPr>
    </w:p>
    <w:p w14:paraId="00DECECD" w14:textId="77777777" w:rsidR="00843055" w:rsidRDefault="00843055" w:rsidP="003079F2">
      <w:pPr>
        <w:ind w:right="237"/>
        <w:rPr>
          <w:b/>
          <w:bCs/>
          <w:color w:val="000000" w:themeColor="text1"/>
          <w:sz w:val="28"/>
          <w:szCs w:val="28"/>
          <w:u w:val="single"/>
        </w:rPr>
      </w:pPr>
    </w:p>
    <w:p w14:paraId="4883341C" w14:textId="77777777" w:rsidR="00843055" w:rsidRDefault="00843055" w:rsidP="003079F2">
      <w:pPr>
        <w:ind w:right="237"/>
        <w:rPr>
          <w:b/>
          <w:bCs/>
          <w:color w:val="000000" w:themeColor="text1"/>
          <w:sz w:val="28"/>
          <w:szCs w:val="28"/>
          <w:u w:val="single"/>
        </w:rPr>
      </w:pPr>
    </w:p>
    <w:p w14:paraId="0F8E3EDA" w14:textId="77777777" w:rsidR="00843055" w:rsidRDefault="00843055" w:rsidP="003079F2">
      <w:pPr>
        <w:ind w:right="237"/>
        <w:rPr>
          <w:b/>
          <w:bCs/>
          <w:color w:val="000000" w:themeColor="text1"/>
          <w:sz w:val="28"/>
          <w:szCs w:val="28"/>
          <w:u w:val="single"/>
        </w:rPr>
      </w:pPr>
    </w:p>
    <w:p w14:paraId="3526D3D8" w14:textId="77777777" w:rsidR="00843055" w:rsidRDefault="00843055" w:rsidP="003079F2">
      <w:pPr>
        <w:ind w:right="237"/>
        <w:rPr>
          <w:b/>
          <w:bCs/>
          <w:color w:val="000000" w:themeColor="text1"/>
          <w:sz w:val="28"/>
          <w:szCs w:val="28"/>
          <w:u w:val="single"/>
        </w:rPr>
      </w:pPr>
    </w:p>
    <w:p w14:paraId="01E7F915" w14:textId="77777777" w:rsidR="00843055" w:rsidRDefault="00843055" w:rsidP="003079F2">
      <w:pPr>
        <w:ind w:right="237"/>
        <w:rPr>
          <w:b/>
          <w:bCs/>
          <w:color w:val="000000" w:themeColor="text1"/>
          <w:sz w:val="28"/>
          <w:szCs w:val="28"/>
          <w:u w:val="single"/>
        </w:rPr>
      </w:pPr>
    </w:p>
    <w:p w14:paraId="55281AA7" w14:textId="77777777" w:rsidR="00843055" w:rsidRDefault="00843055" w:rsidP="003079F2">
      <w:pPr>
        <w:ind w:right="237"/>
        <w:rPr>
          <w:b/>
          <w:bCs/>
          <w:color w:val="000000" w:themeColor="text1"/>
          <w:sz w:val="28"/>
          <w:szCs w:val="28"/>
          <w:u w:val="single"/>
        </w:rPr>
      </w:pPr>
    </w:p>
    <w:p w14:paraId="3C1C6FD0" w14:textId="77777777" w:rsidR="00E342BD" w:rsidRDefault="00E342BD" w:rsidP="005C016A">
      <w:pPr>
        <w:ind w:right="237"/>
        <w:rPr>
          <w:b/>
          <w:bCs/>
          <w:color w:val="000000" w:themeColor="text1"/>
          <w:sz w:val="28"/>
          <w:szCs w:val="28"/>
          <w:u w:val="single"/>
        </w:rPr>
      </w:pPr>
    </w:p>
    <w:p w14:paraId="393582C3" w14:textId="3B300429" w:rsidR="00025650" w:rsidRPr="005C016A" w:rsidRDefault="16967356" w:rsidP="005C016A">
      <w:pPr>
        <w:ind w:right="237"/>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3DAF3B11" w14:textId="71C40944"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1C6FA017" w14:textId="6B538F6D" w:rsidR="5CE196A1"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1D3B3016" w14:textId="77777777" w:rsidR="005C016A" w:rsidRDefault="005C016A" w:rsidP="005C016A">
      <w:pPr>
        <w:ind w:right="237"/>
        <w:rPr>
          <w:rFonts w:eastAsia="Arial"/>
          <w:b/>
          <w:bCs/>
          <w:color w:val="000000" w:themeColor="text1"/>
          <w:sz w:val="28"/>
          <w:szCs w:val="28"/>
          <w:u w:val="single"/>
        </w:rPr>
      </w:pPr>
    </w:p>
    <w:p w14:paraId="4699F5CA" w14:textId="77777777" w:rsidR="005C016A" w:rsidRDefault="005C016A" w:rsidP="005C016A">
      <w:pPr>
        <w:ind w:right="237"/>
        <w:rPr>
          <w:rFonts w:eastAsia="Arial"/>
          <w:b/>
          <w:bCs/>
          <w:color w:val="000000" w:themeColor="text1"/>
          <w:sz w:val="28"/>
          <w:szCs w:val="28"/>
          <w:u w:val="single"/>
        </w:rPr>
      </w:pPr>
    </w:p>
    <w:p w14:paraId="45C2A05F" w14:textId="77777777" w:rsidR="005C016A" w:rsidRDefault="005C016A" w:rsidP="005C016A">
      <w:pPr>
        <w:ind w:right="237"/>
        <w:rPr>
          <w:rFonts w:eastAsia="Arial"/>
          <w:b/>
          <w:bCs/>
          <w:color w:val="000000" w:themeColor="text1"/>
          <w:sz w:val="28"/>
          <w:szCs w:val="28"/>
          <w:u w:val="single"/>
        </w:rPr>
      </w:pPr>
    </w:p>
    <w:p w14:paraId="649747D8" w14:textId="1B772B3E" w:rsidR="00025650" w:rsidRPr="005C016A" w:rsidRDefault="3E63D7DA" w:rsidP="005C016A">
      <w:pPr>
        <w:ind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32D1A3A" w14:textId="390C65BA" w:rsidR="5CE196A1"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lastRenderedPageBreak/>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4DCD10CB" w14:textId="77777777" w:rsidR="005C016A" w:rsidRDefault="005C016A" w:rsidP="003079F2">
      <w:pPr>
        <w:ind w:right="237"/>
        <w:rPr>
          <w:rFonts w:eastAsia="Arial"/>
          <w:b/>
          <w:bCs/>
          <w:color w:val="000000" w:themeColor="text1"/>
          <w:sz w:val="28"/>
          <w:szCs w:val="28"/>
          <w:u w:val="single"/>
        </w:rPr>
      </w:pPr>
    </w:p>
    <w:p w14:paraId="531B73F2" w14:textId="77777777" w:rsidR="005C016A" w:rsidRDefault="005C016A" w:rsidP="003079F2">
      <w:pPr>
        <w:ind w:right="237"/>
        <w:rPr>
          <w:rFonts w:eastAsia="Arial"/>
          <w:b/>
          <w:bCs/>
          <w:color w:val="000000" w:themeColor="text1"/>
          <w:sz w:val="28"/>
          <w:szCs w:val="28"/>
          <w:u w:val="single"/>
        </w:rPr>
      </w:pPr>
    </w:p>
    <w:p w14:paraId="45169573" w14:textId="4F0A2432" w:rsidR="530F4161" w:rsidRDefault="530F4161" w:rsidP="003079F2">
      <w:pPr>
        <w:ind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1AC572FB" w14:textId="4DBE3E88" w:rsidR="0FF883D4"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4370179C" w14:textId="602338D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58751063" w14:textId="52A79B4C" w:rsidR="13AD8C62" w:rsidRDefault="13AD8C62" w:rsidP="003079F2">
      <w:pPr>
        <w:ind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lastRenderedPageBreak/>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12C72A2C" w14:textId="77777777" w:rsidR="00A26F2E" w:rsidRDefault="00A26F2E" w:rsidP="5CE196A1">
      <w:pPr>
        <w:rPr>
          <w:rFonts w:eastAsia="Arial"/>
          <w:b/>
          <w:bCs/>
          <w:color w:val="000000" w:themeColor="text1"/>
          <w:sz w:val="24"/>
          <w:szCs w:val="24"/>
        </w:rPr>
      </w:pPr>
    </w:p>
    <w:p w14:paraId="6CBAEEA0" w14:textId="0B7A24C4" w:rsidR="0FF883D4" w:rsidRDefault="00A26F2E" w:rsidP="5CE196A1">
      <w:r>
        <w:rPr>
          <w:rFonts w:eastAsia="Arial"/>
          <w:b/>
          <w:bCs/>
          <w:noProof/>
          <w:color w:val="000000" w:themeColor="text1"/>
          <w:sz w:val="24"/>
          <w:szCs w:val="24"/>
        </w:rPr>
        <mc:AlternateContent>
          <mc:Choice Requires="wpi">
            <w:drawing>
              <wp:anchor distT="0" distB="0" distL="114300" distR="114300" simplePos="0" relativeHeight="251659264" behindDoc="0" locked="0" layoutInCell="1" allowOverlap="1" wp14:anchorId="67E13669" wp14:editId="7265903D">
                <wp:simplePos x="0" y="0"/>
                <wp:positionH relativeFrom="column">
                  <wp:posOffset>713593</wp:posOffset>
                </wp:positionH>
                <wp:positionV relativeFrom="paragraph">
                  <wp:posOffset>-69513</wp:posOffset>
                </wp:positionV>
                <wp:extent cx="1944360" cy="466200"/>
                <wp:effectExtent l="38100" t="57150" r="56515" b="48260"/>
                <wp:wrapNone/>
                <wp:docPr id="1" name="Ink 1"/>
                <wp:cNvGraphicFramePr/>
                <a:graphic xmlns:a="http://schemas.openxmlformats.org/drawingml/2006/main">
                  <a:graphicData uri="http://schemas.microsoft.com/office/word/2010/wordprocessingInk">
                    <w14:contentPart bwMode="auto" r:id="rId15">
                      <w14:nvContentPartPr>
                        <w14:cNvContentPartPr/>
                      </w14:nvContentPartPr>
                      <w14:xfrm>
                        <a:off x="0" y="0"/>
                        <a:ext cx="1944360" cy="466200"/>
                      </w14:xfrm>
                    </w14:contentPart>
                  </a:graphicData>
                </a:graphic>
              </wp:anchor>
            </w:drawing>
          </mc:Choice>
          <mc:Fallback>
            <w:pict>
              <v:shapetype w14:anchorId="112D10CB"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1" o:spid="_x0000_s1026" type="#_x0000_t75" style="position:absolute;margin-left:55.5pt;margin-top:-6.15pt;width:154.55pt;height:38.1pt;z-index:251659264;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">
                <v:imagedata r:id="rId16" o:title=""/>
              </v:shape>
            </w:pict>
          </mc:Fallback>
        </mc:AlternateContent>
      </w:r>
      <w:r w:rsidR="5CE196A1" w:rsidRPr="5CE196A1">
        <w:rPr>
          <w:rFonts w:eastAsia="Arial"/>
          <w:b/>
          <w:bCs/>
          <w:color w:val="000000" w:themeColor="text1"/>
          <w:sz w:val="24"/>
          <w:szCs w:val="24"/>
        </w:rPr>
        <w:t xml:space="preserve">Signed: </w:t>
      </w:r>
    </w:p>
    <w:p w14:paraId="563192E7" w14:textId="7A83C86F" w:rsidR="0FF883D4" w:rsidRDefault="5CE196A1" w:rsidP="5CE196A1">
      <w:r w:rsidRPr="5CE196A1">
        <w:rPr>
          <w:rFonts w:eastAsia="Arial"/>
          <w:b/>
          <w:bCs/>
          <w:color w:val="000000" w:themeColor="text1"/>
          <w:sz w:val="24"/>
          <w:szCs w:val="24"/>
        </w:rPr>
        <w:t xml:space="preserve"> </w:t>
      </w:r>
    </w:p>
    <w:p w14:paraId="6FBB4179" w14:textId="77777777" w:rsidR="00A26F2E" w:rsidRDefault="00A26F2E" w:rsidP="5CE196A1">
      <w:pPr>
        <w:rPr>
          <w:rFonts w:eastAsia="Arial"/>
          <w:b/>
          <w:bCs/>
          <w:color w:val="000000" w:themeColor="text1"/>
          <w:sz w:val="24"/>
          <w:szCs w:val="24"/>
        </w:rPr>
      </w:pPr>
    </w:p>
    <w:p w14:paraId="22DBB0E5" w14:textId="4FF8106C" w:rsidR="0FF883D4" w:rsidRDefault="00A26F2E" w:rsidP="5CE196A1">
      <w:r>
        <w:rPr>
          <w:rFonts w:eastAsia="Arial"/>
          <w:b/>
          <w:bCs/>
          <w:noProof/>
          <w:color w:val="000000" w:themeColor="text1"/>
          <w:sz w:val="24"/>
          <w:szCs w:val="24"/>
        </w:rPr>
        <mc:AlternateContent>
          <mc:Choice Requires="wpi">
            <w:drawing>
              <wp:anchor distT="0" distB="0" distL="114300" distR="114300" simplePos="0" relativeHeight="251660288" behindDoc="0" locked="0" layoutInCell="1" allowOverlap="1" wp14:anchorId="7A9ACD02" wp14:editId="3D1523B1">
                <wp:simplePos x="0" y="0"/>
                <wp:positionH relativeFrom="column">
                  <wp:posOffset>642313</wp:posOffset>
                </wp:positionH>
                <wp:positionV relativeFrom="paragraph">
                  <wp:posOffset>24317</wp:posOffset>
                </wp:positionV>
                <wp:extent cx="360" cy="360"/>
                <wp:effectExtent l="38100" t="38100" r="57150" b="57150"/>
                <wp:wrapNone/>
                <wp:docPr id="2" name="Ink 2"/>
                <wp:cNvGraphicFramePr/>
                <a:graphic xmlns:a="http://schemas.openxmlformats.org/drawingml/2006/main">
                  <a:graphicData uri="http://schemas.microsoft.com/office/word/2010/wordprocessingInk">
                    <w14:contentPart bwMode="auto" r:id="rId17">
                      <w14:nvContentPartPr>
                        <w14:cNvContentPartPr/>
                      </w14:nvContentPartPr>
                      <w14:xfrm>
                        <a:off x="0" y="0"/>
                        <a:ext cx="360" cy="360"/>
                      </w14:xfrm>
                    </w14:contentPart>
                  </a:graphicData>
                </a:graphic>
              </wp:anchor>
            </w:drawing>
          </mc:Choice>
          <mc:Fallback>
            <w:pict>
              <v:shape w14:anchorId="1253C08A" id="Ink 2" o:spid="_x0000_s1026" type="#_x0000_t75" style="position:absolute;margin-left:49.9pt;margin-top:1.2pt;width:1.45pt;height:1.45pt;z-index:251660288;visibility:visible;mso-wrap-style:square;mso-wrap-distance-left:9pt;mso-wrap-distance-top:0;mso-wrap-distance-right:9pt;mso-wrap-distance-bottom:0;mso-position-horizontal:absolute;mso-position-horizontal-relative:text;mso-position-vertical:absolute;mso-position-vertical-relative:text"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">
                <v:imagedata r:id="rId18" o:title=""/>
              </v:shape>
            </w:pict>
          </mc:Fallback>
        </mc:AlternateContent>
      </w:r>
      <w:r w:rsidR="5CE196A1" w:rsidRPr="5CE196A1">
        <w:rPr>
          <w:rFonts w:eastAsia="Arial"/>
          <w:b/>
          <w:bCs/>
          <w:color w:val="000000" w:themeColor="text1"/>
          <w:sz w:val="24"/>
          <w:szCs w:val="24"/>
        </w:rPr>
        <w:t>Date:</w:t>
      </w:r>
    </w:p>
    <w:p w14:paraId="482B2B3A" w14:textId="74A73A01" w:rsidR="0FF883D4" w:rsidRDefault="003F57A0" w:rsidP="5CE196A1">
      <w:pPr>
        <w:ind w:left="2880" w:right="225" w:firstLine="720"/>
        <w:rPr>
          <w:b/>
          <w:bCs/>
          <w:sz w:val="24"/>
          <w:szCs w:val="24"/>
          <w:lang w:eastAsia="zh-TW"/>
        </w:rPr>
        <w:sectPr w:rsidR="0FF883D4" w:rsidSect="0022001B">
          <w:headerReference w:type="even" r:id="rId19"/>
          <w:headerReference w:type="default" r:id="rId20"/>
          <w:footerReference w:type="even" r:id="rId21"/>
          <w:footerReference w:type="default" r:id="rId22"/>
          <w:headerReference w:type="first" r:id="rId23"/>
          <w:footerReference w:type="first" r:id="rId24"/>
          <w:pgSz w:w="11906" w:h="16838" w:code="9"/>
          <w:pgMar w:top="1440" w:right="1440" w:bottom="1440" w:left="1440" w:header="720" w:footer="720" w:gutter="0"/>
          <w:cols w:space="720"/>
          <w:docGrid w:linePitch="272"/>
        </w:sectPr>
      </w:pPr>
      <w:r>
        <w:rPr>
          <w:b/>
          <w:bCs/>
          <w:sz w:val="24"/>
          <w:szCs w:val="24"/>
          <w:lang w:eastAsia="zh-TW"/>
        </w:rPr>
        <w:t>29/03/2023</w:t>
      </w: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35B054A9"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4B20F768" w14:textId="43171ED0" w:rsidR="000E42EA" w:rsidRDefault="000E42EA" w:rsidP="00EA28F1">
      <w:pPr>
        <w:keepNext/>
        <w:spacing w:before="240" w:after="60"/>
        <w:ind w:right="237"/>
        <w:jc w:val="both"/>
        <w:rPr>
          <w:sz w:val="24"/>
          <w:szCs w:val="24"/>
        </w:rPr>
      </w:pPr>
    </w:p>
    <w:p w14:paraId="25A82EC2"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BBC NEWS (2012) </w:t>
      </w:r>
      <w:r w:rsidRPr="0070500A">
        <w:rPr>
          <w:rFonts w:ascii="Arial" w:hAnsi="Arial" w:cs="Arial"/>
          <w:i/>
          <w:iCs/>
        </w:rPr>
        <w:t>What is the role of Police Community Support Officers?</w:t>
      </w:r>
      <w:r w:rsidRPr="0070500A">
        <w:rPr>
          <w:rFonts w:ascii="Arial" w:hAnsi="Arial" w:cs="Arial"/>
        </w:rPr>
        <w:t xml:space="preserve"> Available at: https://www.bbc.co.uk/news/uk-17702622 (Accessed: March 29, 2023). </w:t>
      </w:r>
    </w:p>
    <w:p w14:paraId="40169966" w14:textId="77777777" w:rsidR="00C0271E" w:rsidRPr="0070500A" w:rsidRDefault="00C0271E" w:rsidP="00C0271E">
      <w:pPr>
        <w:spacing w:before="100" w:beforeAutospacing="1" w:after="100" w:afterAutospacing="1" w:line="360" w:lineRule="auto"/>
        <w:ind w:left="567" w:hanging="567"/>
        <w:rPr>
          <w:sz w:val="24"/>
          <w:szCs w:val="24"/>
        </w:rPr>
      </w:pPr>
      <w:r w:rsidRPr="0070500A">
        <w:rPr>
          <w:sz w:val="24"/>
          <w:szCs w:val="24"/>
        </w:rPr>
        <w:t xml:space="preserve">Birt, E. (2021) ‘A Village's Frustration at Anti-Social Behaviour and How it can be resolved’, </w:t>
      </w:r>
      <w:r w:rsidRPr="0070500A">
        <w:rPr>
          <w:i/>
          <w:iCs/>
          <w:sz w:val="24"/>
          <w:szCs w:val="24"/>
        </w:rPr>
        <w:t>South Wales Argus</w:t>
      </w:r>
      <w:r w:rsidRPr="0070500A">
        <w:rPr>
          <w:sz w:val="24"/>
          <w:szCs w:val="24"/>
        </w:rPr>
        <w:t xml:space="preserve">, 7 August 2021. Available at: https://www.southwalesargus.co.uk/news/19491451.crosskeys-residents-fed-antisocial-behaviour/ (Accessed: March 27 2023). </w:t>
      </w:r>
    </w:p>
    <w:p w14:paraId="3E07BE7D"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Bottaro, A. (2022) </w:t>
      </w:r>
      <w:r w:rsidRPr="0070500A">
        <w:rPr>
          <w:rFonts w:ascii="Arial" w:hAnsi="Arial" w:cs="Arial"/>
          <w:i/>
          <w:iCs/>
        </w:rPr>
        <w:t>What is the cycle of abuse and how do you end it?</w:t>
      </w:r>
      <w:r w:rsidRPr="0070500A">
        <w:rPr>
          <w:rFonts w:ascii="Arial" w:hAnsi="Arial" w:cs="Arial"/>
        </w:rPr>
        <w:t xml:space="preserve"> </w:t>
      </w:r>
      <w:r w:rsidRPr="0070500A">
        <w:rPr>
          <w:rFonts w:ascii="Arial" w:hAnsi="Arial" w:cs="Arial"/>
          <w:i/>
          <w:iCs/>
        </w:rPr>
        <w:t>Verywell Health</w:t>
      </w:r>
      <w:r w:rsidRPr="0070500A">
        <w:rPr>
          <w:rFonts w:ascii="Arial" w:hAnsi="Arial" w:cs="Arial"/>
        </w:rPr>
        <w:t xml:space="preserve">. Available at: https://www.verywellhealth.com/cycle-of-abuse-5210940 (Accessed: January 29 2023). </w:t>
      </w:r>
    </w:p>
    <w:p w14:paraId="4A23927B"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Brandon, D. (2015) </w:t>
      </w:r>
      <w:r w:rsidRPr="0070500A">
        <w:rPr>
          <w:rFonts w:ascii="Arial" w:hAnsi="Arial" w:cs="Arial"/>
          <w:i/>
          <w:iCs/>
        </w:rPr>
        <w:t>The use and effectiveness of problem-oriented policing</w:t>
      </w:r>
      <w:r w:rsidRPr="0070500A">
        <w:rPr>
          <w:rFonts w:ascii="Arial" w:hAnsi="Arial" w:cs="Arial"/>
        </w:rPr>
        <w:t xml:space="preserve">, </w:t>
      </w:r>
      <w:r w:rsidRPr="0070500A">
        <w:rPr>
          <w:rFonts w:ascii="Arial" w:hAnsi="Arial" w:cs="Arial"/>
          <w:i/>
          <w:iCs/>
        </w:rPr>
        <w:t>Inquiries Journal</w:t>
      </w:r>
      <w:r w:rsidRPr="0070500A">
        <w:rPr>
          <w:rFonts w:ascii="Arial" w:hAnsi="Arial" w:cs="Arial"/>
        </w:rPr>
        <w:t xml:space="preserve">. Inquiries Journal. Available at: http://www.inquiriesjournal.com/articles/1028/the-use-and-effectiveness-of-problem-oriented-policing (Accessed: March 28, 2023). </w:t>
      </w:r>
    </w:p>
    <w:p w14:paraId="51B7670D"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Burton, S. and McGregor, M. (2018) </w:t>
      </w:r>
      <w:r w:rsidRPr="0070500A">
        <w:rPr>
          <w:rFonts w:ascii="Arial" w:hAnsi="Arial" w:cs="Arial"/>
          <w:i/>
          <w:iCs/>
        </w:rPr>
        <w:t>Enhancing Sara: A new approach in an increasingly complex world - crime science</w:t>
      </w:r>
      <w:r w:rsidRPr="0070500A">
        <w:rPr>
          <w:rFonts w:ascii="Arial" w:hAnsi="Arial" w:cs="Arial"/>
        </w:rPr>
        <w:t xml:space="preserve">, </w:t>
      </w:r>
      <w:r w:rsidRPr="0070500A">
        <w:rPr>
          <w:rFonts w:ascii="Arial" w:hAnsi="Arial" w:cs="Arial"/>
          <w:i/>
          <w:iCs/>
        </w:rPr>
        <w:t>BioMed Central</w:t>
      </w:r>
      <w:r w:rsidRPr="0070500A">
        <w:rPr>
          <w:rFonts w:ascii="Arial" w:hAnsi="Arial" w:cs="Arial"/>
        </w:rPr>
        <w:t xml:space="preserve">. Springer Berlin Heidelberg. Available at: https://crimesciencejournal.biomedcentral.com/articles/10.1186/s40163-018-0078-4 (Accessed: March 28, 2023). </w:t>
      </w:r>
    </w:p>
    <w:p w14:paraId="03F94CEC"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CAADA (2010) </w:t>
      </w:r>
      <w:r w:rsidRPr="0070500A">
        <w:rPr>
          <w:rFonts w:ascii="Arial" w:hAnsi="Arial" w:cs="Arial"/>
          <w:i/>
          <w:iCs/>
        </w:rPr>
        <w:t>Southend and Thurrock Domestic Abuse Partnership</w:t>
      </w:r>
      <w:r w:rsidRPr="0070500A">
        <w:rPr>
          <w:rFonts w:ascii="Arial" w:hAnsi="Arial" w:cs="Arial"/>
        </w:rPr>
        <w:t xml:space="preserve">. European Institute for Gender Equality. Available at: https://setdab.org/resource/multi-agency-risk-assessment-conference-marac/ (Accessed: March 29, 2023). </w:t>
      </w:r>
    </w:p>
    <w:p w14:paraId="0E089C21"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Care Inspectorate Wales (2023) Available at: https://www.careinspectorate.wales/ (Accessed: March 29, 2023).</w:t>
      </w:r>
    </w:p>
    <w:p w14:paraId="7B5A5FC6"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lastRenderedPageBreak/>
        <w:t xml:space="preserve">Clegg, N. (2012) </w:t>
      </w:r>
      <w:r w:rsidRPr="0070500A">
        <w:rPr>
          <w:rFonts w:ascii="Arial" w:hAnsi="Arial" w:cs="Arial"/>
          <w:i/>
          <w:iCs/>
        </w:rPr>
        <w:t>New definition of domestic violence</w:t>
      </w:r>
      <w:r w:rsidRPr="0070500A">
        <w:rPr>
          <w:rFonts w:ascii="Arial" w:hAnsi="Arial" w:cs="Arial"/>
        </w:rPr>
        <w:t xml:space="preserve">, </w:t>
      </w:r>
      <w:r w:rsidRPr="0070500A">
        <w:rPr>
          <w:rFonts w:ascii="Arial" w:hAnsi="Arial" w:cs="Arial"/>
          <w:i/>
          <w:iCs/>
        </w:rPr>
        <w:t>GOV.UK</w:t>
      </w:r>
      <w:r w:rsidRPr="0070500A">
        <w:rPr>
          <w:rFonts w:ascii="Arial" w:hAnsi="Arial" w:cs="Arial"/>
        </w:rPr>
        <w:t xml:space="preserve">. Available at: https://www.gov.uk/government/news/new-definition-of-domestic-violence (Accessed: January 4, 2023). </w:t>
      </w:r>
    </w:p>
    <w:p w14:paraId="55191B33" w14:textId="77777777" w:rsidR="00C0271E" w:rsidRPr="0070500A" w:rsidRDefault="00C0271E" w:rsidP="00C0271E">
      <w:pPr>
        <w:spacing w:before="100" w:beforeAutospacing="1" w:after="100" w:afterAutospacing="1" w:line="360" w:lineRule="auto"/>
        <w:ind w:left="567" w:hanging="567"/>
        <w:rPr>
          <w:sz w:val="24"/>
          <w:szCs w:val="24"/>
        </w:rPr>
      </w:pPr>
      <w:r w:rsidRPr="0070500A">
        <w:rPr>
          <w:sz w:val="24"/>
          <w:szCs w:val="24"/>
        </w:rPr>
        <w:t xml:space="preserve">College of Policing (2013) </w:t>
      </w:r>
      <w:r w:rsidRPr="0070500A">
        <w:rPr>
          <w:i/>
          <w:iCs/>
          <w:sz w:val="24"/>
          <w:szCs w:val="24"/>
        </w:rPr>
        <w:t>Introduction and types of critical incidents</w:t>
      </w:r>
      <w:r w:rsidRPr="0070500A">
        <w:rPr>
          <w:sz w:val="24"/>
          <w:szCs w:val="24"/>
        </w:rPr>
        <w:t xml:space="preserve"> (2013) Available at: https://www.college.police.uk/app/critical-incident-management/introduction-and-types-critical-incidents (Accessed: March 28, 2023). </w:t>
      </w:r>
    </w:p>
    <w:p w14:paraId="3F355F80" w14:textId="77777777" w:rsidR="00C0271E" w:rsidRPr="0070500A" w:rsidRDefault="00C0271E" w:rsidP="00C0271E">
      <w:pPr>
        <w:spacing w:line="360" w:lineRule="auto"/>
        <w:ind w:firstLine="567"/>
        <w:rPr>
          <w:sz w:val="24"/>
          <w:szCs w:val="24"/>
        </w:rPr>
      </w:pPr>
      <w:r w:rsidRPr="0070500A">
        <w:rPr>
          <w:sz w:val="24"/>
          <w:szCs w:val="24"/>
        </w:rPr>
        <w:t>Updated: 21 January 2021</w:t>
      </w:r>
    </w:p>
    <w:p w14:paraId="7D9D8185" w14:textId="77777777" w:rsidR="00C0271E" w:rsidRDefault="00C0271E" w:rsidP="00C0271E">
      <w:pPr>
        <w:spacing w:before="100" w:beforeAutospacing="1" w:after="100" w:afterAutospacing="1" w:line="360" w:lineRule="auto"/>
        <w:ind w:left="567" w:hanging="567"/>
        <w:rPr>
          <w:sz w:val="24"/>
          <w:szCs w:val="24"/>
        </w:rPr>
      </w:pPr>
      <w:r w:rsidRPr="0070500A">
        <w:rPr>
          <w:sz w:val="24"/>
          <w:szCs w:val="24"/>
        </w:rPr>
        <w:t xml:space="preserve">College of Policing (2015) </w:t>
      </w:r>
      <w:r w:rsidRPr="0070500A">
        <w:rPr>
          <w:i/>
          <w:iCs/>
          <w:sz w:val="24"/>
          <w:szCs w:val="24"/>
        </w:rPr>
        <w:t>First response</w:t>
      </w:r>
      <w:r w:rsidRPr="0070500A">
        <w:rPr>
          <w:sz w:val="24"/>
          <w:szCs w:val="24"/>
        </w:rPr>
        <w:t>. Available at: https://www.college.police.uk/app/major-investigation-and-public-protection/domestic-abuse/first-response (Accessed: March 27, 2023). Updated: 24 February 2022</w:t>
      </w:r>
    </w:p>
    <w:p w14:paraId="1E7ECB39" w14:textId="77777777" w:rsidR="00C0271E" w:rsidRPr="009A733C" w:rsidRDefault="00C0271E" w:rsidP="00C0271E">
      <w:pPr>
        <w:pStyle w:val="NormalWeb"/>
        <w:spacing w:line="360" w:lineRule="auto"/>
        <w:ind w:left="567" w:hanging="567"/>
        <w:rPr>
          <w:rFonts w:ascii="Arial" w:hAnsi="Arial" w:cs="Arial"/>
        </w:rPr>
      </w:pPr>
      <w:r w:rsidRPr="009A733C">
        <w:rPr>
          <w:rFonts w:ascii="Arial" w:hAnsi="Arial" w:cs="Arial"/>
        </w:rPr>
        <w:t xml:space="preserve">College of Policing (2021) Available at: https://www.college.police.uk/guidance/vulnerability-related-risks/introduction-vulnerability-related-risk (Accessed: March 29, 2023). </w:t>
      </w:r>
    </w:p>
    <w:p w14:paraId="0146FF96" w14:textId="1B40AB1C" w:rsidR="00C0271E" w:rsidRPr="0070500A" w:rsidRDefault="00C0271E" w:rsidP="00587235">
      <w:pPr>
        <w:pStyle w:val="NormalWeb"/>
        <w:spacing w:line="360" w:lineRule="auto"/>
        <w:rPr>
          <w:rFonts w:ascii="Arial" w:hAnsi="Arial" w:cs="Arial"/>
        </w:rPr>
      </w:pPr>
      <w:r w:rsidRPr="0070500A">
        <w:rPr>
          <w:rFonts w:ascii="Arial" w:hAnsi="Arial" w:cs="Arial"/>
        </w:rPr>
        <w:t>Crown Prosecution Service</w:t>
      </w:r>
      <w:r w:rsidRPr="0070500A">
        <w:rPr>
          <w:rFonts w:ascii="Arial" w:hAnsi="Arial" w:cs="Arial"/>
          <w:i/>
          <w:iCs/>
        </w:rPr>
        <w:t xml:space="preserve"> </w:t>
      </w:r>
      <w:r w:rsidRPr="0070500A">
        <w:rPr>
          <w:rFonts w:ascii="Arial" w:hAnsi="Arial" w:cs="Arial"/>
        </w:rPr>
        <w:t xml:space="preserve">(2022) </w:t>
      </w:r>
      <w:r w:rsidRPr="0070500A">
        <w:rPr>
          <w:rFonts w:ascii="Arial" w:hAnsi="Arial" w:cs="Arial"/>
          <w:i/>
          <w:iCs/>
        </w:rPr>
        <w:t>Domestic Abuse.</w:t>
      </w:r>
      <w:r w:rsidRPr="0070500A">
        <w:rPr>
          <w:rFonts w:ascii="Arial" w:hAnsi="Arial" w:cs="Arial"/>
        </w:rPr>
        <w:t xml:space="preserve"> Available at</w:t>
      </w:r>
      <w:r w:rsidR="00190863">
        <w:rPr>
          <w:rFonts w:ascii="Arial" w:hAnsi="Arial" w:cs="Arial"/>
        </w:rPr>
        <w:t xml:space="preserve">: </w:t>
      </w:r>
      <w:r w:rsidRPr="0070500A">
        <w:rPr>
          <w:rFonts w:ascii="Arial" w:hAnsi="Arial" w:cs="Arial"/>
        </w:rPr>
        <w:t xml:space="preserve">https://www.cps.gov.uk/legal-guidance/domestic-abuse (Accessed: March 29, 2023). </w:t>
      </w:r>
    </w:p>
    <w:p w14:paraId="1BC7C19C"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DASH Risk Model (2023) </w:t>
      </w:r>
      <w:r w:rsidRPr="0070500A">
        <w:rPr>
          <w:rFonts w:ascii="Arial" w:hAnsi="Arial" w:cs="Arial"/>
          <w:i/>
          <w:iCs/>
        </w:rPr>
        <w:t>Dash Risk Checklist</w:t>
      </w:r>
      <w:r w:rsidRPr="0070500A">
        <w:rPr>
          <w:rFonts w:ascii="Arial" w:hAnsi="Arial" w:cs="Arial"/>
        </w:rPr>
        <w:t xml:space="preserve">. Available at: https://www.dashriskchecklist.co.uk/ (Accessed: March 29, 2023). </w:t>
      </w:r>
    </w:p>
    <w:p w14:paraId="595B4647"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Domestic Abuse Act (2021) Available at: https://www.legislation.gov.uk/ukpga/2021/17/section/2/enacted?view=plain (Accessed: January 28, 2023). </w:t>
      </w:r>
    </w:p>
    <w:p w14:paraId="1DA3F783"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Dabell, J. (2021) </w:t>
      </w:r>
      <w:r w:rsidRPr="0070500A">
        <w:rPr>
          <w:rFonts w:ascii="Arial" w:hAnsi="Arial" w:cs="Arial"/>
          <w:i/>
          <w:iCs/>
        </w:rPr>
        <w:t>The Carl Framework of Reflection</w:t>
      </w:r>
      <w:r w:rsidRPr="0070500A">
        <w:rPr>
          <w:rFonts w:ascii="Arial" w:hAnsi="Arial" w:cs="Arial"/>
        </w:rPr>
        <w:t xml:space="preserve">, </w:t>
      </w:r>
      <w:r w:rsidRPr="0070500A">
        <w:rPr>
          <w:rFonts w:ascii="Arial" w:hAnsi="Arial" w:cs="Arial"/>
          <w:i/>
          <w:iCs/>
        </w:rPr>
        <w:t>John Dabell</w:t>
      </w:r>
      <w:r w:rsidRPr="0070500A">
        <w:rPr>
          <w:rFonts w:ascii="Arial" w:hAnsi="Arial" w:cs="Arial"/>
        </w:rPr>
        <w:t xml:space="preserve">. Available at: https://johndabell.com/2021/10/19/the-carl-framework-of-reflection/ (Accessed: March 28, 2023). </w:t>
      </w:r>
    </w:p>
    <w:p w14:paraId="365B12FD"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Devon County Council (2022) </w:t>
      </w:r>
      <w:r w:rsidRPr="0070500A">
        <w:rPr>
          <w:rFonts w:ascii="Arial" w:hAnsi="Arial" w:cs="Arial"/>
          <w:i/>
          <w:iCs/>
        </w:rPr>
        <w:t>Marac - What is a MARAC review?</w:t>
      </w:r>
      <w:r w:rsidRPr="0070500A">
        <w:rPr>
          <w:rFonts w:ascii="Arial" w:hAnsi="Arial" w:cs="Arial"/>
        </w:rPr>
        <w:t xml:space="preserve"> </w:t>
      </w:r>
      <w:r w:rsidRPr="0070500A">
        <w:rPr>
          <w:rFonts w:ascii="Arial" w:hAnsi="Arial" w:cs="Arial"/>
          <w:i/>
          <w:iCs/>
        </w:rPr>
        <w:t>Domestic and Sexual Violence and Abuse</w:t>
      </w:r>
      <w:r w:rsidRPr="0070500A">
        <w:rPr>
          <w:rFonts w:ascii="Arial" w:hAnsi="Arial" w:cs="Arial"/>
        </w:rPr>
        <w:t xml:space="preserve">. Available at: https://www.devon.gov.uk/dsva/information-for-professionals/marac/ (Accessed: February 2, 2023). </w:t>
      </w:r>
    </w:p>
    <w:p w14:paraId="5EF448CD" w14:textId="77777777" w:rsidR="00C0271E" w:rsidRPr="0070500A" w:rsidRDefault="00C0271E" w:rsidP="00C0271E">
      <w:pPr>
        <w:spacing w:before="100" w:beforeAutospacing="1" w:after="100" w:afterAutospacing="1" w:line="360" w:lineRule="auto"/>
        <w:ind w:left="567" w:hanging="567"/>
        <w:rPr>
          <w:sz w:val="24"/>
          <w:szCs w:val="24"/>
        </w:rPr>
      </w:pPr>
      <w:r w:rsidRPr="0070500A">
        <w:rPr>
          <w:sz w:val="24"/>
          <w:szCs w:val="24"/>
        </w:rPr>
        <w:lastRenderedPageBreak/>
        <w:t xml:space="preserve">Elkin, M. (2022) </w:t>
      </w:r>
      <w:r w:rsidRPr="0070500A">
        <w:rPr>
          <w:i/>
          <w:iCs/>
          <w:sz w:val="24"/>
          <w:szCs w:val="24"/>
        </w:rPr>
        <w:t>Domestic abuse prevalence and trends, England and Wales: Year Ending March 2022</w:t>
      </w:r>
      <w:r w:rsidRPr="0070500A">
        <w:rPr>
          <w:sz w:val="24"/>
          <w:szCs w:val="24"/>
        </w:rPr>
        <w:t xml:space="preserve">, </w:t>
      </w:r>
      <w:r w:rsidRPr="0070500A">
        <w:rPr>
          <w:i/>
          <w:iCs/>
          <w:sz w:val="24"/>
          <w:szCs w:val="24"/>
        </w:rPr>
        <w:t>Domestic abuse prevalence and trends, England and Wales - Office for National Statistics</w:t>
      </w:r>
      <w:r w:rsidRPr="0070500A">
        <w:rPr>
          <w:sz w:val="24"/>
          <w:szCs w:val="24"/>
        </w:rPr>
        <w:t xml:space="preserve">. Available at: https://www.ons.gov.uk/peoplepopulationandcommunity/crimeandjustice/articles/domesticabuseprevalenceandtrendsenglandandwales/yearendingmarch2022 (Accessed: March 27, 2023). </w:t>
      </w:r>
    </w:p>
    <w:p w14:paraId="5C99D8F5"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Family Rights Group (2020) </w:t>
      </w:r>
      <w:r w:rsidRPr="0070500A">
        <w:rPr>
          <w:rFonts w:ascii="Arial" w:hAnsi="Arial" w:cs="Arial"/>
          <w:i/>
          <w:iCs/>
        </w:rPr>
        <w:t xml:space="preserve">Independent domestic violence adviser </w:t>
      </w:r>
      <w:r w:rsidRPr="0070500A">
        <w:rPr>
          <w:rFonts w:ascii="Arial" w:hAnsi="Arial" w:cs="Arial"/>
        </w:rPr>
        <w:t xml:space="preserve">Available at: https://frg.org.uk/get-help-and-advice/a-z-of-terms/independent-domestic-violence-adviser-idva/ (Accessed: February 2, 2023). </w:t>
      </w:r>
    </w:p>
    <w:p w14:paraId="15250BD8"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Grant, F. (2019) </w:t>
      </w:r>
      <w:r w:rsidRPr="0070500A">
        <w:rPr>
          <w:rFonts w:ascii="Arial" w:hAnsi="Arial" w:cs="Arial"/>
          <w:i/>
          <w:iCs/>
        </w:rPr>
        <w:t>Public protection notice ('PPN') - Bournemouth, Christchurch and Poole ...</w:t>
      </w:r>
      <w:r w:rsidRPr="0070500A">
        <w:rPr>
          <w:rFonts w:ascii="Arial" w:hAnsi="Arial" w:cs="Arial"/>
        </w:rPr>
        <w:t xml:space="preserve">, </w:t>
      </w:r>
      <w:r w:rsidRPr="0070500A">
        <w:rPr>
          <w:rFonts w:ascii="Arial" w:hAnsi="Arial" w:cs="Arial"/>
          <w:i/>
          <w:iCs/>
        </w:rPr>
        <w:t>PPN's - Changes to be made</w:t>
      </w:r>
      <w:r w:rsidRPr="0070500A">
        <w:rPr>
          <w:rFonts w:ascii="Arial" w:hAnsi="Arial" w:cs="Arial"/>
        </w:rPr>
        <w:t xml:space="preserve">. Available at: https://www.bcpsafeguardingadultsboard.com/uploads/7/4/8/9/74891967/appendix_2_-_changes_in_dorset_police_since_completion_of_the_sar_dhr.pdf (Accessed: February 2, 2023). </w:t>
      </w:r>
    </w:p>
    <w:p w14:paraId="494412F8"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GOV.UK (2022) (</w:t>
      </w:r>
      <w:r w:rsidRPr="0070500A">
        <w:rPr>
          <w:rFonts w:ascii="Arial" w:hAnsi="Arial" w:cs="Arial"/>
          <w:i/>
          <w:iCs/>
        </w:rPr>
        <w:t>Domestic Violence Protection Notices (DVPNs) and Domestic Violence Protection Orders (DVPOs) guidance</w:t>
      </w:r>
      <w:r w:rsidRPr="0070500A">
        <w:rPr>
          <w:rFonts w:ascii="Arial" w:hAnsi="Arial" w:cs="Arial"/>
        </w:rPr>
        <w:t xml:space="preserve"> (2022) Available at: https://www.gov.uk/government/publications/domestic-violence-protection-orders/domestic-violence-protection-notices-dvpns-and-domestic-violence-protection-orders-dvpos-guidance-sections-24-33-crime-and-security-act-2010 (Accessed: February 2, 2023). </w:t>
      </w:r>
    </w:p>
    <w:p w14:paraId="53988218"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Gowan, A. (2020) </w:t>
      </w:r>
      <w:r w:rsidRPr="0070500A">
        <w:rPr>
          <w:rFonts w:ascii="Arial" w:hAnsi="Arial" w:cs="Arial"/>
          <w:i/>
          <w:iCs/>
        </w:rPr>
        <w:t>Nottinghamshire Police Public Protection and Safeguarding.</w:t>
      </w:r>
      <w:r w:rsidRPr="0070500A">
        <w:rPr>
          <w:rFonts w:ascii="Arial" w:hAnsi="Arial" w:cs="Arial"/>
        </w:rPr>
        <w:t xml:space="preserve"> Available at: https://www.nottinghamshire.pcc.police.uk/Document-Library/Public-Information/Meetings/Strategic-Resources-and-Performance/November-2020/03-Nottinghamshire-Police-Public-Protection-and-Safeguarding.pdf (Accessed: March 29, 2023). </w:t>
      </w:r>
    </w:p>
    <w:p w14:paraId="1CC3AFEF"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Gwent Police (2020) </w:t>
      </w:r>
      <w:r w:rsidRPr="0070500A">
        <w:rPr>
          <w:rFonts w:ascii="Arial" w:hAnsi="Arial" w:cs="Arial"/>
          <w:i/>
          <w:iCs/>
        </w:rPr>
        <w:t>Domestic Abuse - Intitial Attendance and Investigation.</w:t>
      </w:r>
      <w:r w:rsidRPr="0070500A">
        <w:rPr>
          <w:rFonts w:ascii="Arial" w:hAnsi="Arial" w:cs="Arial"/>
        </w:rPr>
        <w:t xml:space="preserve"> Available at: https://www.gwent.police.uk/SysSiteAssets/foi-media/gwent/disclosure-2023/03---march/foi_request_2023-25759-2.pdf (Accessed: March 29, 2023). </w:t>
      </w:r>
    </w:p>
    <w:p w14:paraId="1A4115CE"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HMICFRS (2020)</w:t>
      </w:r>
      <w:r w:rsidRPr="0070500A">
        <w:rPr>
          <w:rFonts w:ascii="Arial" w:hAnsi="Arial" w:cs="Arial"/>
          <w:i/>
          <w:iCs/>
        </w:rPr>
        <w:t xml:space="preserve"> Evidence led domestic abuse prosecutions</w:t>
      </w:r>
      <w:r w:rsidRPr="0070500A">
        <w:rPr>
          <w:rFonts w:ascii="Arial" w:hAnsi="Arial" w:cs="Arial"/>
        </w:rPr>
        <w:t xml:space="preserve"> (2020) </w:t>
      </w:r>
      <w:r w:rsidRPr="0070500A">
        <w:rPr>
          <w:rFonts w:ascii="Arial" w:hAnsi="Arial" w:cs="Arial"/>
          <w:i/>
          <w:iCs/>
        </w:rPr>
        <w:t>His Majesty's Inspectorate of Constabulary and Fire &amp; Rescue Services.</w:t>
      </w:r>
      <w:r w:rsidRPr="0070500A">
        <w:rPr>
          <w:rFonts w:ascii="Arial" w:hAnsi="Arial" w:cs="Arial"/>
        </w:rPr>
        <w:t xml:space="preserve"> Available at: </w:t>
      </w:r>
      <w:r w:rsidRPr="0070500A">
        <w:rPr>
          <w:rFonts w:ascii="Arial" w:hAnsi="Arial" w:cs="Arial"/>
        </w:rPr>
        <w:lastRenderedPageBreak/>
        <w:t xml:space="preserve">https://www.justiceinspectorates.gov.uk/hmicfrs/publications/evidence-led-domestic-abuse-prosecutions/ (Accessed: February 2, 2023). </w:t>
      </w:r>
    </w:p>
    <w:p w14:paraId="4DEE393B" w14:textId="77777777" w:rsidR="00C0271E" w:rsidRPr="0070500A" w:rsidRDefault="00C0271E" w:rsidP="00C0271E">
      <w:pPr>
        <w:spacing w:line="360" w:lineRule="auto"/>
        <w:rPr>
          <w:sz w:val="24"/>
          <w:szCs w:val="24"/>
        </w:rPr>
      </w:pPr>
      <w:r w:rsidRPr="0070500A">
        <w:rPr>
          <w:sz w:val="24"/>
          <w:szCs w:val="24"/>
        </w:rPr>
        <w:t>Human Rights Act (1989). Available at: https://www.ohchr.org/en/instruments-</w:t>
      </w:r>
    </w:p>
    <w:p w14:paraId="47166B84" w14:textId="77777777" w:rsidR="00C0271E" w:rsidRPr="0070500A" w:rsidRDefault="00C0271E" w:rsidP="00C0271E">
      <w:pPr>
        <w:spacing w:line="360" w:lineRule="auto"/>
        <w:ind w:left="720"/>
        <w:rPr>
          <w:sz w:val="24"/>
          <w:szCs w:val="24"/>
        </w:rPr>
      </w:pPr>
      <w:r w:rsidRPr="0070500A">
        <w:rPr>
          <w:sz w:val="24"/>
          <w:szCs w:val="24"/>
        </w:rPr>
        <w:t>mechanisms/instruments/convention-rights-child. (Accessed: February 27, 2023)</w:t>
      </w:r>
    </w:p>
    <w:p w14:paraId="4227940D"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Hussain, D. (2011) </w:t>
      </w:r>
      <w:r w:rsidRPr="0070500A">
        <w:rPr>
          <w:rFonts w:ascii="Arial" w:hAnsi="Arial" w:cs="Arial"/>
          <w:i/>
          <w:iCs/>
        </w:rPr>
        <w:t>IPCC investigation finds alarming failings in Pilkington case</w:t>
      </w:r>
      <w:r w:rsidRPr="0070500A">
        <w:rPr>
          <w:rFonts w:ascii="Arial" w:hAnsi="Arial" w:cs="Arial"/>
        </w:rPr>
        <w:t xml:space="preserve">, </w:t>
      </w:r>
      <w:r w:rsidRPr="0070500A">
        <w:rPr>
          <w:rFonts w:ascii="Arial" w:hAnsi="Arial" w:cs="Arial"/>
          <w:i/>
          <w:iCs/>
        </w:rPr>
        <w:t>Police Professional</w:t>
      </w:r>
      <w:r w:rsidRPr="0070500A">
        <w:rPr>
          <w:rFonts w:ascii="Arial" w:hAnsi="Arial" w:cs="Arial"/>
        </w:rPr>
        <w:t xml:space="preserve">. Available at: https://www.policeprofessional.com/news/ipcc-investigation-finds-%C2%91alarming-failings%C2%92-in-pilkington-case/ (Accessed: March 28, 2023). </w:t>
      </w:r>
    </w:p>
    <w:p w14:paraId="03677C2F"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Mankind (2022) </w:t>
      </w:r>
      <w:r w:rsidRPr="0070500A">
        <w:rPr>
          <w:rFonts w:ascii="Arial" w:hAnsi="Arial" w:cs="Arial"/>
          <w:i/>
          <w:iCs/>
        </w:rPr>
        <w:t xml:space="preserve">Male Victims of Domestic Abuse. </w:t>
      </w:r>
      <w:r w:rsidRPr="0070500A">
        <w:rPr>
          <w:rFonts w:ascii="Arial" w:hAnsi="Arial" w:cs="Arial"/>
        </w:rPr>
        <w:t xml:space="preserve">Available at: https://www.mankind.org.uk/statistics/statistics-on-male-victims-of-domestic-abuse/#:~:text=Statistics%20on%20Male%20Victims%20of%20Domestic%20Abuse%201,equates%20to%20c155%2C000%20offences%20per%20year.%20More%20items (Accessed: March 29, 2023). </w:t>
      </w:r>
    </w:p>
    <w:p w14:paraId="3413D929"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Monk, T. </w:t>
      </w:r>
      <w:r w:rsidRPr="0070500A">
        <w:rPr>
          <w:rFonts w:ascii="Arial" w:hAnsi="Arial" w:cs="Arial"/>
          <w:i/>
          <w:iCs/>
        </w:rPr>
        <w:t>et al.</w:t>
      </w:r>
      <w:r w:rsidRPr="0070500A">
        <w:rPr>
          <w:rFonts w:ascii="Arial" w:hAnsi="Arial" w:cs="Arial"/>
        </w:rPr>
        <w:t xml:space="preserve"> (2015) </w:t>
      </w:r>
      <w:r w:rsidRPr="0070500A">
        <w:rPr>
          <w:rFonts w:ascii="Arial" w:hAnsi="Arial" w:cs="Arial"/>
          <w:i/>
          <w:iCs/>
        </w:rPr>
        <w:t>Policing Partnerships: Evidence review - researchgate</w:t>
      </w:r>
      <w:r w:rsidRPr="0070500A">
        <w:rPr>
          <w:rFonts w:ascii="Arial" w:hAnsi="Arial" w:cs="Arial"/>
        </w:rPr>
        <w:t xml:space="preserve">, </w:t>
      </w:r>
      <w:r w:rsidRPr="0070500A">
        <w:rPr>
          <w:rFonts w:ascii="Arial" w:hAnsi="Arial" w:cs="Arial"/>
          <w:i/>
          <w:iCs/>
        </w:rPr>
        <w:t>Policing Partnerships: Evidence Review</w:t>
      </w:r>
      <w:r w:rsidRPr="0070500A">
        <w:rPr>
          <w:rFonts w:ascii="Arial" w:hAnsi="Arial" w:cs="Arial"/>
        </w:rPr>
        <w:t>. Available at: https://www.researchgate.net/publication/281748268_Policing_Partnerships_Evidence_Review (Accessed: February 1, 2023).</w:t>
      </w:r>
    </w:p>
    <w:p w14:paraId="787EDBAC"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Morris, R. (2015) </w:t>
      </w:r>
      <w:r w:rsidRPr="0070500A">
        <w:rPr>
          <w:rFonts w:ascii="Arial" w:hAnsi="Arial" w:cs="Arial"/>
          <w:i/>
          <w:iCs/>
        </w:rPr>
        <w:t>"Youth justice practice is just messy" youth offending team practitioners: Culture and identity</w:t>
      </w:r>
      <w:r w:rsidRPr="0070500A">
        <w:rPr>
          <w:rFonts w:ascii="Arial" w:hAnsi="Arial" w:cs="Arial"/>
        </w:rPr>
        <w:t xml:space="preserve">. Available at: https://mmuperu.co.uk/bjcj/articles/youth-justice-practice-is-just-messy-youth-offending-team-practitioners-culture-and-identity/ (Accessed: March 29, 2023). </w:t>
      </w:r>
    </w:p>
    <w:p w14:paraId="35BE5743" w14:textId="77777777" w:rsidR="00C0271E" w:rsidRPr="0070500A" w:rsidRDefault="00C0271E" w:rsidP="00C0271E">
      <w:pPr>
        <w:spacing w:before="100" w:beforeAutospacing="1" w:after="100" w:afterAutospacing="1" w:line="360" w:lineRule="auto"/>
        <w:ind w:left="567" w:hanging="567"/>
        <w:rPr>
          <w:sz w:val="24"/>
          <w:szCs w:val="24"/>
        </w:rPr>
      </w:pPr>
      <w:r w:rsidRPr="0070500A">
        <w:rPr>
          <w:sz w:val="24"/>
          <w:szCs w:val="24"/>
        </w:rPr>
        <w:t xml:space="preserve">Newlove, H. (2019) </w:t>
      </w:r>
      <w:r w:rsidRPr="0070500A">
        <w:rPr>
          <w:i/>
          <w:iCs/>
          <w:sz w:val="24"/>
          <w:szCs w:val="24"/>
        </w:rPr>
        <w:t>Anti-social behaviour: Living A nightmare</w:t>
      </w:r>
      <w:r w:rsidRPr="0070500A">
        <w:rPr>
          <w:sz w:val="24"/>
          <w:szCs w:val="24"/>
        </w:rPr>
        <w:t xml:space="preserve">, </w:t>
      </w:r>
      <w:r w:rsidRPr="0070500A">
        <w:rPr>
          <w:i/>
          <w:iCs/>
          <w:sz w:val="24"/>
          <w:szCs w:val="24"/>
        </w:rPr>
        <w:t>Victims Commissioner</w:t>
      </w:r>
      <w:r w:rsidRPr="0070500A">
        <w:rPr>
          <w:sz w:val="24"/>
          <w:szCs w:val="24"/>
        </w:rPr>
        <w:t xml:space="preserve">. Nottingham Trent University. Available at: https://victimscommissioner.org.uk/document/anti-social-behaviour-living-a-nightmare/ (Accessed: March 27, 2023). </w:t>
      </w:r>
    </w:p>
    <w:p w14:paraId="62266FE4"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North Yorkshire Police (2022) </w:t>
      </w:r>
      <w:r w:rsidRPr="0070500A">
        <w:rPr>
          <w:rFonts w:ascii="Arial" w:hAnsi="Arial" w:cs="Arial"/>
          <w:i/>
          <w:iCs/>
        </w:rPr>
        <w:t>“We must speak up about male domestic abuse”</w:t>
      </w:r>
      <w:r w:rsidRPr="0070500A">
        <w:rPr>
          <w:rFonts w:ascii="Arial" w:hAnsi="Arial" w:cs="Arial"/>
        </w:rPr>
        <w:t xml:space="preserve">. Available at: https://www.northyorkshire.police.uk/news/north-yorkshire/news/news/2022/04-april/we-must-speak-up-about-male-domestic-abuse/ (Accessed: March 29, 2023). </w:t>
      </w:r>
    </w:p>
    <w:p w14:paraId="779F73C3"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lastRenderedPageBreak/>
        <w:t xml:space="preserve">O'Hara, M. (2013) </w:t>
      </w:r>
      <w:r w:rsidRPr="0070500A">
        <w:rPr>
          <w:rFonts w:ascii="Arial" w:hAnsi="Arial" w:cs="Arial"/>
          <w:i/>
          <w:iCs/>
        </w:rPr>
        <w:t>Youth justice system is 'failing vulnerable young offenders'</w:t>
      </w:r>
      <w:r w:rsidRPr="0070500A">
        <w:rPr>
          <w:rFonts w:ascii="Arial" w:hAnsi="Arial" w:cs="Arial"/>
        </w:rPr>
        <w:t xml:space="preserve">, </w:t>
      </w:r>
      <w:r w:rsidRPr="0070500A">
        <w:rPr>
          <w:rFonts w:ascii="Arial" w:hAnsi="Arial" w:cs="Arial"/>
          <w:i/>
          <w:iCs/>
        </w:rPr>
        <w:t>The Guardian</w:t>
      </w:r>
      <w:r w:rsidRPr="0070500A">
        <w:rPr>
          <w:rFonts w:ascii="Arial" w:hAnsi="Arial" w:cs="Arial"/>
        </w:rPr>
        <w:t xml:space="preserve">. Available at: https://www.theguardian.com/society/2013/feb/05/youth-justice-failing-young-offenders (Accessed: March 29, 2023). </w:t>
      </w:r>
    </w:p>
    <w:p w14:paraId="3B28FC4C" w14:textId="77777777" w:rsidR="00C0271E" w:rsidRPr="0070500A" w:rsidRDefault="00C0271E" w:rsidP="00C0271E">
      <w:pPr>
        <w:spacing w:line="360" w:lineRule="auto"/>
        <w:rPr>
          <w:i/>
          <w:iCs/>
          <w:sz w:val="24"/>
          <w:szCs w:val="24"/>
        </w:rPr>
      </w:pPr>
      <w:r w:rsidRPr="0070500A">
        <w:rPr>
          <w:sz w:val="24"/>
          <w:szCs w:val="24"/>
        </w:rPr>
        <w:t>Public Order Act 1986</w:t>
      </w:r>
      <w:r w:rsidRPr="0070500A">
        <w:rPr>
          <w:i/>
          <w:iCs/>
          <w:sz w:val="24"/>
          <w:szCs w:val="24"/>
        </w:rPr>
        <w:t xml:space="preserve">. </w:t>
      </w:r>
      <w:r w:rsidRPr="0070500A">
        <w:rPr>
          <w:sz w:val="24"/>
          <w:szCs w:val="24"/>
        </w:rPr>
        <w:t>Available at:</w:t>
      </w:r>
      <w:r w:rsidRPr="0070500A">
        <w:rPr>
          <w:i/>
          <w:iCs/>
          <w:sz w:val="24"/>
          <w:szCs w:val="24"/>
        </w:rPr>
        <w:t xml:space="preserve"> </w:t>
      </w:r>
    </w:p>
    <w:p w14:paraId="2E63BE36" w14:textId="77777777" w:rsidR="00C0271E" w:rsidRPr="0070500A" w:rsidRDefault="00C0271E" w:rsidP="00C0271E">
      <w:pPr>
        <w:spacing w:line="360" w:lineRule="auto"/>
        <w:ind w:left="567"/>
        <w:rPr>
          <w:sz w:val="24"/>
          <w:szCs w:val="24"/>
        </w:rPr>
      </w:pPr>
      <w:r w:rsidRPr="0070500A">
        <w:rPr>
          <w:sz w:val="24"/>
          <w:szCs w:val="24"/>
        </w:rPr>
        <w:t>https://www.legislation.gov.uk/ukpga/1986/64/section/3</w:t>
      </w:r>
      <w:r w:rsidRPr="0070500A">
        <w:rPr>
          <w:i/>
          <w:iCs/>
          <w:sz w:val="24"/>
          <w:szCs w:val="24"/>
        </w:rPr>
        <w:t xml:space="preserve">. </w:t>
      </w:r>
      <w:r w:rsidRPr="0070500A">
        <w:rPr>
          <w:sz w:val="24"/>
          <w:szCs w:val="24"/>
        </w:rPr>
        <w:t>(Accessed: February 27, 2023)</w:t>
      </w:r>
    </w:p>
    <w:p w14:paraId="4384E5D9" w14:textId="77777777" w:rsidR="00C0271E" w:rsidRPr="0070500A" w:rsidRDefault="00C0271E" w:rsidP="00C0271E">
      <w:pPr>
        <w:pStyle w:val="NormalWeb"/>
        <w:spacing w:line="360" w:lineRule="auto"/>
        <w:ind w:left="567" w:hanging="567"/>
        <w:rPr>
          <w:rFonts w:ascii="Arial" w:hAnsi="Arial" w:cs="Arial"/>
        </w:rPr>
      </w:pPr>
      <w:r w:rsidRPr="0070500A">
        <w:rPr>
          <w:rFonts w:ascii="Arial" w:hAnsi="Arial" w:cs="Arial"/>
        </w:rPr>
        <w:t xml:space="preserve">Richards, L. (2009) </w:t>
      </w:r>
      <w:r w:rsidRPr="0070500A">
        <w:rPr>
          <w:rFonts w:ascii="Arial" w:hAnsi="Arial" w:cs="Arial"/>
          <w:i/>
          <w:iCs/>
        </w:rPr>
        <w:t>Domestic abuse, Stalking and Harassment and Honour Based Violence Risk Identification and Assessment and Management Model</w:t>
      </w:r>
      <w:r w:rsidRPr="0070500A">
        <w:rPr>
          <w:rFonts w:ascii="Arial" w:hAnsi="Arial" w:cs="Arial"/>
        </w:rPr>
        <w:t xml:space="preserve">. ACPO / CAADA. Available at: https://www.dashriskchecklist.co.uk/wp-content/uploads/2021/12/DASH-2009.pdf (Accessed: March 29, 2023). </w:t>
      </w:r>
    </w:p>
    <w:p w14:paraId="5C729391" w14:textId="77777777" w:rsidR="00C0271E" w:rsidRPr="0070500A" w:rsidRDefault="00C0271E" w:rsidP="00C0271E">
      <w:pPr>
        <w:spacing w:before="100" w:beforeAutospacing="1" w:after="100" w:afterAutospacing="1" w:line="360" w:lineRule="auto"/>
        <w:ind w:left="567" w:hanging="567"/>
        <w:rPr>
          <w:sz w:val="24"/>
          <w:szCs w:val="24"/>
        </w:rPr>
      </w:pPr>
      <w:r w:rsidRPr="0070500A">
        <w:rPr>
          <w:sz w:val="24"/>
          <w:szCs w:val="24"/>
        </w:rPr>
        <w:t xml:space="preserve">UK Government (2004) </w:t>
      </w:r>
      <w:r w:rsidRPr="0070500A">
        <w:rPr>
          <w:i/>
          <w:iCs/>
          <w:sz w:val="24"/>
          <w:szCs w:val="24"/>
        </w:rPr>
        <w:t>Defining anti-social behaviour</w:t>
      </w:r>
      <w:r w:rsidRPr="0070500A">
        <w:rPr>
          <w:sz w:val="24"/>
          <w:szCs w:val="24"/>
        </w:rPr>
        <w:t xml:space="preserve">. Crown Copyright. Available at: https://assets.publishing.service.gov.uk/government/uploads/system/uploads/attachment_data/file/116655/dpr26.pdf#:~:text=A%20widely%20used%20definition%20of%20anti-social%20behaviour%20is,not%20of%20the%20same%20household%20as%20%28the%20defendant%29.%E2%80%99 (Accessed: March 27, 2023). </w:t>
      </w:r>
    </w:p>
    <w:p w14:paraId="3294046F" w14:textId="77777777" w:rsidR="00C0271E" w:rsidRPr="0070500A" w:rsidRDefault="00C0271E" w:rsidP="00C0271E">
      <w:pPr>
        <w:spacing w:line="360" w:lineRule="auto"/>
        <w:rPr>
          <w:sz w:val="24"/>
          <w:szCs w:val="24"/>
        </w:rPr>
      </w:pPr>
      <w:r w:rsidRPr="0070500A">
        <w:rPr>
          <w:sz w:val="24"/>
          <w:szCs w:val="24"/>
        </w:rPr>
        <w:t xml:space="preserve">UK Government (2015) </w:t>
      </w:r>
      <w:r w:rsidRPr="0070500A">
        <w:rPr>
          <w:i/>
          <w:iCs/>
          <w:sz w:val="24"/>
          <w:szCs w:val="24"/>
        </w:rPr>
        <w:t xml:space="preserve">Youth Crime Prevention </w:t>
      </w:r>
      <w:r w:rsidRPr="0070500A">
        <w:rPr>
          <w:sz w:val="24"/>
          <w:szCs w:val="24"/>
        </w:rPr>
        <w:t xml:space="preserve">Available at: </w:t>
      </w:r>
    </w:p>
    <w:p w14:paraId="737AD93B" w14:textId="77777777" w:rsidR="00C0271E" w:rsidRPr="0070500A" w:rsidRDefault="000C7975" w:rsidP="00C0271E">
      <w:pPr>
        <w:spacing w:line="360" w:lineRule="auto"/>
        <w:ind w:left="720"/>
        <w:rPr>
          <w:color w:val="000000" w:themeColor="text1"/>
          <w:sz w:val="24"/>
          <w:szCs w:val="24"/>
        </w:rPr>
      </w:pPr>
      <w:hyperlink r:id="rId25" w:history="1">
        <w:r w:rsidR="00C0271E" w:rsidRPr="0070500A">
          <w:rPr>
            <w:rStyle w:val="Hyperlink"/>
            <w:sz w:val="24"/>
            <w:szCs w:val="24"/>
          </w:rPr>
          <w:t>https://www.gov.uk/youth-crime-prevention-programmes/what-these-programmes-</w:t>
        </w:r>
      </w:hyperlink>
      <w:r w:rsidR="00C0271E" w:rsidRPr="0070500A">
        <w:rPr>
          <w:color w:val="000000" w:themeColor="text1"/>
          <w:sz w:val="24"/>
          <w:szCs w:val="24"/>
        </w:rPr>
        <w:t>are-and-how-they-work. (Accessed: February 27, 2023)</w:t>
      </w:r>
    </w:p>
    <w:p w14:paraId="4AECB481" w14:textId="77777777" w:rsidR="00C0271E" w:rsidRPr="0070500A" w:rsidRDefault="00C0271E" w:rsidP="00C0271E">
      <w:pPr>
        <w:pStyle w:val="NormalWeb"/>
        <w:spacing w:line="360" w:lineRule="auto"/>
        <w:ind w:left="567" w:hanging="567"/>
        <w:rPr>
          <w:rFonts w:ascii="Arial" w:hAnsi="Arial" w:cs="Arial"/>
        </w:rPr>
      </w:pPr>
      <w:r w:rsidRPr="0070500A">
        <w:rPr>
          <w:rStyle w:val="authors"/>
          <w:rFonts w:ascii="Arial" w:hAnsi="Arial" w:cs="Arial"/>
          <w:shd w:val="clear" w:color="auto" w:fill="FFFFFF"/>
        </w:rPr>
        <w:t>Zhao, J., Schneider, M., &amp; Thurman, Q.</w:t>
      </w:r>
      <w:r w:rsidRPr="0070500A">
        <w:rPr>
          <w:rFonts w:ascii="Arial" w:hAnsi="Arial" w:cs="Arial"/>
          <w:shd w:val="clear" w:color="auto" w:fill="FFFFFF"/>
        </w:rPr>
        <w:t> </w:t>
      </w:r>
      <w:r w:rsidRPr="0070500A">
        <w:rPr>
          <w:rStyle w:val="Date1"/>
          <w:rFonts w:ascii="Arial" w:hAnsi="Arial" w:cs="Arial"/>
          <w:shd w:val="clear" w:color="auto" w:fill="FFFFFF"/>
        </w:rPr>
        <w:t>(2002)</w:t>
      </w:r>
      <w:r w:rsidRPr="0070500A">
        <w:rPr>
          <w:rFonts w:ascii="Arial" w:hAnsi="Arial" w:cs="Arial"/>
          <w:shd w:val="clear" w:color="auto" w:fill="FFFFFF"/>
        </w:rPr>
        <w:t> </w:t>
      </w:r>
      <w:r w:rsidRPr="0070500A">
        <w:rPr>
          <w:rStyle w:val="arttitle"/>
          <w:rFonts w:ascii="Arial" w:hAnsi="Arial" w:cs="Arial"/>
          <w:i/>
          <w:iCs/>
          <w:shd w:val="clear" w:color="auto" w:fill="FFFFFF"/>
        </w:rPr>
        <w:t>The effect of police presence on public fear reduction and satisfaction: A review of the literature,</w:t>
      </w:r>
      <w:r w:rsidRPr="0070500A">
        <w:rPr>
          <w:rFonts w:ascii="Arial" w:hAnsi="Arial" w:cs="Arial"/>
          <w:shd w:val="clear" w:color="auto" w:fill="FFFFFF"/>
        </w:rPr>
        <w:t> </w:t>
      </w:r>
      <w:r w:rsidRPr="0070500A">
        <w:rPr>
          <w:rStyle w:val="serialtitle"/>
          <w:rFonts w:ascii="Arial" w:hAnsi="Arial" w:cs="Arial"/>
          <w:shd w:val="clear" w:color="auto" w:fill="FFFFFF"/>
        </w:rPr>
        <w:t>The Justice Professional,</w:t>
      </w:r>
      <w:r w:rsidRPr="0070500A">
        <w:rPr>
          <w:rFonts w:ascii="Arial" w:hAnsi="Arial" w:cs="Arial"/>
          <w:shd w:val="clear" w:color="auto" w:fill="FFFFFF"/>
        </w:rPr>
        <w:t> </w:t>
      </w:r>
      <w:r w:rsidRPr="0070500A">
        <w:rPr>
          <w:rStyle w:val="volumeissue"/>
          <w:rFonts w:ascii="Arial" w:hAnsi="Arial" w:cs="Arial"/>
          <w:shd w:val="clear" w:color="auto" w:fill="FFFFFF"/>
        </w:rPr>
        <w:t>15:3,</w:t>
      </w:r>
      <w:r w:rsidRPr="0070500A">
        <w:rPr>
          <w:rFonts w:ascii="Arial" w:hAnsi="Arial" w:cs="Arial"/>
          <w:shd w:val="clear" w:color="auto" w:fill="FFFFFF"/>
        </w:rPr>
        <w:t> </w:t>
      </w:r>
      <w:r w:rsidRPr="0070500A">
        <w:rPr>
          <w:rStyle w:val="pagerange"/>
          <w:rFonts w:ascii="Arial" w:hAnsi="Arial" w:cs="Arial"/>
          <w:shd w:val="clear" w:color="auto" w:fill="FFFFFF"/>
        </w:rPr>
        <w:t>273-299,</w:t>
      </w:r>
      <w:r w:rsidRPr="0070500A">
        <w:rPr>
          <w:rFonts w:ascii="Arial" w:hAnsi="Arial" w:cs="Arial"/>
          <w:shd w:val="clear" w:color="auto" w:fill="FFFFFF"/>
        </w:rPr>
        <w:t> </w:t>
      </w:r>
      <w:r w:rsidRPr="0070500A">
        <w:rPr>
          <w:rStyle w:val="doilink"/>
          <w:rFonts w:ascii="Arial" w:hAnsi="Arial" w:cs="Arial"/>
          <w:shd w:val="clear" w:color="auto" w:fill="FFFFFF"/>
        </w:rPr>
        <w:t>DOI: </w:t>
      </w:r>
      <w:hyperlink r:id="rId26" w:history="1">
        <w:r w:rsidRPr="0070500A">
          <w:rPr>
            <w:rStyle w:val="Hyperlink"/>
            <w:rFonts w:ascii="Arial" w:hAnsi="Arial" w:cs="Arial"/>
            <w:shd w:val="clear" w:color="auto" w:fill="FFFFFF"/>
          </w:rPr>
          <w:t>10.1080/0888431021000049471</w:t>
        </w:r>
      </w:hyperlink>
    </w:p>
    <w:p w14:paraId="7100D7CA" w14:textId="77777777" w:rsidR="003E31FD" w:rsidRPr="008D7384" w:rsidRDefault="003E31FD" w:rsidP="004C4035">
      <w:pPr>
        <w:overflowPunct/>
        <w:autoSpaceDE/>
        <w:autoSpaceDN/>
        <w:adjustRightInd/>
        <w:spacing w:line="360" w:lineRule="auto"/>
        <w:ind w:left="720"/>
        <w:textAlignment w:val="auto"/>
        <w:rPr>
          <w:color w:val="000000" w:themeColor="text1"/>
          <w:sz w:val="24"/>
          <w:szCs w:val="24"/>
        </w:rPr>
      </w:pPr>
    </w:p>
    <w:p w14:paraId="4D25FCFE" w14:textId="77777777" w:rsidR="001733DA" w:rsidRPr="009D2A0D" w:rsidRDefault="001733DA" w:rsidP="004C4035">
      <w:pPr>
        <w:overflowPunct/>
        <w:autoSpaceDE/>
        <w:autoSpaceDN/>
        <w:adjustRightInd/>
        <w:spacing w:line="360" w:lineRule="auto"/>
        <w:ind w:left="720"/>
        <w:textAlignment w:val="auto"/>
        <w:rPr>
          <w:rFonts w:ascii="Times New Roman" w:hAnsi="Times New Roman" w:cs="Times New Roman"/>
          <w:color w:val="000000" w:themeColor="text1"/>
          <w:sz w:val="24"/>
          <w:szCs w:val="24"/>
        </w:rPr>
      </w:pPr>
    </w:p>
    <w:p w14:paraId="4A3DBC67" w14:textId="77777777" w:rsidR="00EC6903" w:rsidRPr="00C63A78" w:rsidRDefault="00EC6903" w:rsidP="00EC6903">
      <w:pPr>
        <w:overflowPunct/>
        <w:autoSpaceDE/>
        <w:autoSpaceDN/>
        <w:adjustRightInd/>
        <w:textAlignment w:val="auto"/>
        <w:rPr>
          <w:rFonts w:ascii="Times New Roman" w:hAnsi="Times New Roman" w:cs="Times New Roman"/>
          <w:color w:val="auto"/>
          <w:sz w:val="24"/>
          <w:szCs w:val="24"/>
        </w:rPr>
      </w:pPr>
    </w:p>
    <w:p w14:paraId="2C630780" w14:textId="77777777" w:rsidR="00C63A78" w:rsidRDefault="00C63A78" w:rsidP="00EF29C0">
      <w:pPr>
        <w:pStyle w:val="NormalWeb"/>
        <w:ind w:left="567" w:hanging="567"/>
      </w:pPr>
    </w:p>
    <w:p w14:paraId="704676CE" w14:textId="77777777" w:rsidR="00B1449B" w:rsidRDefault="00B1449B" w:rsidP="00FD3F35">
      <w:pPr>
        <w:pStyle w:val="NormalWeb"/>
        <w:ind w:left="567" w:hanging="567"/>
      </w:pPr>
    </w:p>
    <w:p w14:paraId="78BFD3E9" w14:textId="77777777" w:rsidR="00A278DF" w:rsidRDefault="00A278DF" w:rsidP="0003097B">
      <w:pPr>
        <w:pStyle w:val="NormalWeb"/>
        <w:ind w:left="567" w:hanging="567"/>
      </w:pPr>
    </w:p>
    <w:p w14:paraId="0B9B7ED7" w14:textId="77777777" w:rsidR="008B4711" w:rsidRDefault="008B4711" w:rsidP="00EA28F1">
      <w:pPr>
        <w:keepNext/>
        <w:spacing w:before="240" w:after="60"/>
        <w:ind w:right="237"/>
        <w:jc w:val="both"/>
      </w:pPr>
    </w:p>
    <w:sectPr w:rsidR="008B4711"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DB7AA64" w14:textId="77777777" w:rsidR="00E25151" w:rsidRDefault="00E25151">
      <w:r>
        <w:separator/>
      </w:r>
    </w:p>
  </w:endnote>
  <w:endnote w:type="continuationSeparator" w:id="0">
    <w:p w14:paraId="44C253CF" w14:textId="77777777" w:rsidR="00E25151" w:rsidRDefault="00E2515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90497C" w14:textId="77777777" w:rsidR="001953DC" w:rsidRDefault="001953DC">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983EE76" w14:textId="77777777" w:rsidR="001953DC" w:rsidRDefault="001953D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9AEBEA" w14:textId="77777777" w:rsidR="00E25151" w:rsidRDefault="00E25151">
      <w:r>
        <w:separator/>
      </w:r>
    </w:p>
  </w:footnote>
  <w:footnote w:type="continuationSeparator" w:id="0">
    <w:p w14:paraId="074CCF26" w14:textId="77777777" w:rsidR="00E25151" w:rsidRDefault="00E2515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FFFD92" w14:textId="77777777" w:rsidR="001953DC" w:rsidRDefault="001953DC">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13B7077" w14:textId="77777777" w:rsidR="001953DC" w:rsidRDefault="001953D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FA2138" w14:textId="77777777" w:rsidR="001953DC" w:rsidRDefault="001953DC">
    <w:pPr>
      <w:pStyle w:val="Header"/>
    </w:pPr>
  </w:p>
</w:hdr>
</file>

<file path=word/intelligence2.xml><?xml version="1.0" encoding="utf-8"?>
<int2:intelligence xmlns:int2="http://schemas.microsoft.com/office/intelligence/2020/intelligence">
  <int2:observations>
    <int2:textHash int2:hashCode="CIzEkdJ0/bblq0" int2:id="f+fQUpQP">
      <int2:state int2:type="AugLoop_Text_Critique" int2:value="Rejected"/>
    </int2:textHash>
    <int2:bookmark int2:bookmarkName="_Int_iqtpDieQ" int2:invalidationBookmarkName="" int2:hashCode="D4JDEQ/HN5+s4C" int2:id="cnnUzY7w">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5046EE80"/>
    <w:lvl w:ilvl="0">
      <w:start w:val="1"/>
      <w:numFmt w:val="bullet"/>
      <w:lvlText w:val=""/>
      <w:lvlJc w:val="left"/>
      <w:rPr>
        <w:rFonts w:ascii="Symbol" w:hAnsi="Symbol" w:hint="default"/>
      </w:rPr>
    </w:lvl>
  </w:abstractNum>
  <w:abstractNum w:abstractNumId="1"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FD0CE5"/>
    <w:multiLevelType w:val="hybridMultilevel"/>
    <w:tmpl w:val="1116E5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0343289"/>
    <w:multiLevelType w:val="multilevel"/>
    <w:tmpl w:val="D0CA56E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94CF194"/>
    <w:multiLevelType w:val="hybridMultilevel"/>
    <w:tmpl w:val="1278EB2C"/>
    <w:lvl w:ilvl="0" w:tplc="AD40DE70">
      <w:start w:val="1"/>
      <w:numFmt w:val="decimal"/>
      <w:lvlText w:val="%1."/>
      <w:lvlJc w:val="left"/>
      <w:pPr>
        <w:ind w:left="720" w:hanging="360"/>
      </w:pPr>
    </w:lvl>
    <w:lvl w:ilvl="1" w:tplc="100E5AFC">
      <w:start w:val="1"/>
      <w:numFmt w:val="decimal"/>
      <w:lvlText w:val="%2."/>
      <w:lvlJc w:val="left"/>
      <w:pPr>
        <w:ind w:left="1440" w:hanging="360"/>
      </w:pPr>
    </w:lvl>
    <w:lvl w:ilvl="2" w:tplc="D048DE8C">
      <w:start w:val="1"/>
      <w:numFmt w:val="lowerRoman"/>
      <w:lvlText w:val="%3."/>
      <w:lvlJc w:val="right"/>
      <w:pPr>
        <w:ind w:left="2160" w:hanging="180"/>
      </w:pPr>
    </w:lvl>
    <w:lvl w:ilvl="3" w:tplc="3982AEF6">
      <w:start w:val="1"/>
      <w:numFmt w:val="decimal"/>
      <w:lvlText w:val="%4."/>
      <w:lvlJc w:val="left"/>
      <w:pPr>
        <w:ind w:left="2880" w:hanging="360"/>
      </w:pPr>
    </w:lvl>
    <w:lvl w:ilvl="4" w:tplc="C7F6E006">
      <w:start w:val="1"/>
      <w:numFmt w:val="lowerLetter"/>
      <w:lvlText w:val="%5."/>
      <w:lvlJc w:val="left"/>
      <w:pPr>
        <w:ind w:left="3600" w:hanging="360"/>
      </w:pPr>
    </w:lvl>
    <w:lvl w:ilvl="5" w:tplc="DAE2BD70">
      <w:start w:val="1"/>
      <w:numFmt w:val="lowerRoman"/>
      <w:lvlText w:val="%6."/>
      <w:lvlJc w:val="right"/>
      <w:pPr>
        <w:ind w:left="4320" w:hanging="180"/>
      </w:pPr>
    </w:lvl>
    <w:lvl w:ilvl="6" w:tplc="2C60BA90">
      <w:start w:val="1"/>
      <w:numFmt w:val="decimal"/>
      <w:lvlText w:val="%7."/>
      <w:lvlJc w:val="left"/>
      <w:pPr>
        <w:ind w:left="5040" w:hanging="360"/>
      </w:pPr>
    </w:lvl>
    <w:lvl w:ilvl="7" w:tplc="C7DE3D34">
      <w:start w:val="1"/>
      <w:numFmt w:val="lowerLetter"/>
      <w:lvlText w:val="%8."/>
      <w:lvlJc w:val="left"/>
      <w:pPr>
        <w:ind w:left="5760" w:hanging="360"/>
      </w:pPr>
    </w:lvl>
    <w:lvl w:ilvl="8" w:tplc="6A22FCAE">
      <w:start w:val="1"/>
      <w:numFmt w:val="lowerRoman"/>
      <w:lvlText w:val="%9."/>
      <w:lvlJc w:val="right"/>
      <w:pPr>
        <w:ind w:left="6480" w:hanging="180"/>
      </w:pPr>
    </w:lvl>
  </w:abstractNum>
  <w:abstractNum w:abstractNumId="7"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6"/>
  </w:num>
  <w:num w:numId="2">
    <w:abstractNumId w:val="0"/>
    <w:lvlOverride w:ilvl="0">
      <w:lvl w:ilvl="0">
        <w:start w:val="1"/>
        <w:numFmt w:val="bullet"/>
        <w:lvlText w:val=""/>
        <w:lvlJc w:val="left"/>
        <w:pPr>
          <w:ind w:left="720" w:hanging="360"/>
        </w:pPr>
        <w:rPr>
          <w:rFonts w:ascii="Symbol" w:hAnsi="Symbol" w:hint="default"/>
        </w:rPr>
      </w:lvl>
    </w:lvlOverride>
  </w:num>
  <w:num w:numId="3">
    <w:abstractNumId w:val="1"/>
  </w:num>
  <w:num w:numId="4">
    <w:abstractNumId w:val="5"/>
  </w:num>
  <w:num w:numId="5">
    <w:abstractNumId w:val="4"/>
  </w:num>
  <w:num w:numId="6">
    <w:abstractNumId w:val="7"/>
  </w:num>
  <w:num w:numId="7">
    <w:abstractNumId w:val="3"/>
  </w:num>
  <w:num w:numId="8">
    <w:abstractNumId w:val="2"/>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0124"/>
    <w:rsid w:val="00001BE2"/>
    <w:rsid w:val="00001C2E"/>
    <w:rsid w:val="00003990"/>
    <w:rsid w:val="00003B09"/>
    <w:rsid w:val="000045B8"/>
    <w:rsid w:val="00004BF9"/>
    <w:rsid w:val="00013A3F"/>
    <w:rsid w:val="00013A9D"/>
    <w:rsid w:val="00015AAA"/>
    <w:rsid w:val="000173D1"/>
    <w:rsid w:val="00020EEC"/>
    <w:rsid w:val="0002147E"/>
    <w:rsid w:val="0002359B"/>
    <w:rsid w:val="00025650"/>
    <w:rsid w:val="0002567B"/>
    <w:rsid w:val="0002660A"/>
    <w:rsid w:val="000267D6"/>
    <w:rsid w:val="00026FAB"/>
    <w:rsid w:val="00027B1F"/>
    <w:rsid w:val="0003088B"/>
    <w:rsid w:val="0003097B"/>
    <w:rsid w:val="000325D9"/>
    <w:rsid w:val="000327E4"/>
    <w:rsid w:val="0003416D"/>
    <w:rsid w:val="000349AA"/>
    <w:rsid w:val="00035777"/>
    <w:rsid w:val="000369FC"/>
    <w:rsid w:val="000372B2"/>
    <w:rsid w:val="00037465"/>
    <w:rsid w:val="0004057C"/>
    <w:rsid w:val="0004079F"/>
    <w:rsid w:val="000412FD"/>
    <w:rsid w:val="00041595"/>
    <w:rsid w:val="00045B87"/>
    <w:rsid w:val="00045C07"/>
    <w:rsid w:val="00046D60"/>
    <w:rsid w:val="00047778"/>
    <w:rsid w:val="000478CD"/>
    <w:rsid w:val="00050117"/>
    <w:rsid w:val="00050ABF"/>
    <w:rsid w:val="00055D43"/>
    <w:rsid w:val="00056FAC"/>
    <w:rsid w:val="0005755D"/>
    <w:rsid w:val="00057751"/>
    <w:rsid w:val="00057C17"/>
    <w:rsid w:val="00060361"/>
    <w:rsid w:val="00061B54"/>
    <w:rsid w:val="00062E39"/>
    <w:rsid w:val="000631C2"/>
    <w:rsid w:val="000636CD"/>
    <w:rsid w:val="00063E4A"/>
    <w:rsid w:val="00064553"/>
    <w:rsid w:val="0006580E"/>
    <w:rsid w:val="00066400"/>
    <w:rsid w:val="00066915"/>
    <w:rsid w:val="000712EB"/>
    <w:rsid w:val="00071BAB"/>
    <w:rsid w:val="00071E9B"/>
    <w:rsid w:val="00071FF4"/>
    <w:rsid w:val="000730C2"/>
    <w:rsid w:val="00074635"/>
    <w:rsid w:val="00076955"/>
    <w:rsid w:val="00077412"/>
    <w:rsid w:val="00080E58"/>
    <w:rsid w:val="00080FEC"/>
    <w:rsid w:val="00083D99"/>
    <w:rsid w:val="00084BC6"/>
    <w:rsid w:val="00084EA6"/>
    <w:rsid w:val="00085699"/>
    <w:rsid w:val="00085CCF"/>
    <w:rsid w:val="000864F1"/>
    <w:rsid w:val="00086D53"/>
    <w:rsid w:val="00086DB8"/>
    <w:rsid w:val="00087891"/>
    <w:rsid w:val="00087B97"/>
    <w:rsid w:val="00090E0E"/>
    <w:rsid w:val="0009161C"/>
    <w:rsid w:val="00091F52"/>
    <w:rsid w:val="00092970"/>
    <w:rsid w:val="00092BC7"/>
    <w:rsid w:val="00093720"/>
    <w:rsid w:val="000938E6"/>
    <w:rsid w:val="00093B3C"/>
    <w:rsid w:val="0009488C"/>
    <w:rsid w:val="00095524"/>
    <w:rsid w:val="00095C1B"/>
    <w:rsid w:val="00096DEA"/>
    <w:rsid w:val="000A4240"/>
    <w:rsid w:val="000A469A"/>
    <w:rsid w:val="000A6FE3"/>
    <w:rsid w:val="000A7107"/>
    <w:rsid w:val="000B1E96"/>
    <w:rsid w:val="000B248C"/>
    <w:rsid w:val="000B44C6"/>
    <w:rsid w:val="000B594A"/>
    <w:rsid w:val="000C0DB3"/>
    <w:rsid w:val="000C1133"/>
    <w:rsid w:val="000C182C"/>
    <w:rsid w:val="000C1C40"/>
    <w:rsid w:val="000C2A59"/>
    <w:rsid w:val="000C3761"/>
    <w:rsid w:val="000C378F"/>
    <w:rsid w:val="000C6892"/>
    <w:rsid w:val="000C6FFE"/>
    <w:rsid w:val="000C7975"/>
    <w:rsid w:val="000D0BB6"/>
    <w:rsid w:val="000D7582"/>
    <w:rsid w:val="000E0572"/>
    <w:rsid w:val="000E1212"/>
    <w:rsid w:val="000E1535"/>
    <w:rsid w:val="000E1F33"/>
    <w:rsid w:val="000E26B0"/>
    <w:rsid w:val="000E42EA"/>
    <w:rsid w:val="000E533D"/>
    <w:rsid w:val="000E6CF0"/>
    <w:rsid w:val="000F0740"/>
    <w:rsid w:val="000F1599"/>
    <w:rsid w:val="000F1769"/>
    <w:rsid w:val="000F193B"/>
    <w:rsid w:val="000F1E91"/>
    <w:rsid w:val="000F22D4"/>
    <w:rsid w:val="000F2E7E"/>
    <w:rsid w:val="000F42FA"/>
    <w:rsid w:val="000F6196"/>
    <w:rsid w:val="000F7ECD"/>
    <w:rsid w:val="00102E64"/>
    <w:rsid w:val="0010312C"/>
    <w:rsid w:val="0010496D"/>
    <w:rsid w:val="00104E8E"/>
    <w:rsid w:val="0010546B"/>
    <w:rsid w:val="00106DC7"/>
    <w:rsid w:val="00107067"/>
    <w:rsid w:val="00107B16"/>
    <w:rsid w:val="001100C0"/>
    <w:rsid w:val="0011104E"/>
    <w:rsid w:val="001110EF"/>
    <w:rsid w:val="00112391"/>
    <w:rsid w:val="00112861"/>
    <w:rsid w:val="0011394C"/>
    <w:rsid w:val="00113A63"/>
    <w:rsid w:val="00114F52"/>
    <w:rsid w:val="0012135C"/>
    <w:rsid w:val="0012138B"/>
    <w:rsid w:val="00121568"/>
    <w:rsid w:val="00122EC2"/>
    <w:rsid w:val="00127A22"/>
    <w:rsid w:val="00130B54"/>
    <w:rsid w:val="00130E83"/>
    <w:rsid w:val="00132682"/>
    <w:rsid w:val="00132FBA"/>
    <w:rsid w:val="001331F3"/>
    <w:rsid w:val="001333FF"/>
    <w:rsid w:val="0013418E"/>
    <w:rsid w:val="001345DC"/>
    <w:rsid w:val="001347F8"/>
    <w:rsid w:val="00135102"/>
    <w:rsid w:val="00135855"/>
    <w:rsid w:val="00135D34"/>
    <w:rsid w:val="00135D61"/>
    <w:rsid w:val="00135F36"/>
    <w:rsid w:val="00136AB7"/>
    <w:rsid w:val="00137850"/>
    <w:rsid w:val="00137BB5"/>
    <w:rsid w:val="00137E05"/>
    <w:rsid w:val="0014085D"/>
    <w:rsid w:val="00140A0F"/>
    <w:rsid w:val="00140A17"/>
    <w:rsid w:val="0014124C"/>
    <w:rsid w:val="00141D73"/>
    <w:rsid w:val="001420E0"/>
    <w:rsid w:val="00142614"/>
    <w:rsid w:val="00143B7D"/>
    <w:rsid w:val="00144138"/>
    <w:rsid w:val="00144696"/>
    <w:rsid w:val="001447F6"/>
    <w:rsid w:val="0014492B"/>
    <w:rsid w:val="00145794"/>
    <w:rsid w:val="00147DE3"/>
    <w:rsid w:val="00150794"/>
    <w:rsid w:val="00151503"/>
    <w:rsid w:val="00152B3F"/>
    <w:rsid w:val="001541DD"/>
    <w:rsid w:val="001550A0"/>
    <w:rsid w:val="001550BB"/>
    <w:rsid w:val="00157049"/>
    <w:rsid w:val="001608C4"/>
    <w:rsid w:val="00162DF0"/>
    <w:rsid w:val="001645B7"/>
    <w:rsid w:val="00167B7A"/>
    <w:rsid w:val="00170608"/>
    <w:rsid w:val="00171418"/>
    <w:rsid w:val="00171441"/>
    <w:rsid w:val="00172125"/>
    <w:rsid w:val="00172FCC"/>
    <w:rsid w:val="001731BD"/>
    <w:rsid w:val="001733DA"/>
    <w:rsid w:val="00177866"/>
    <w:rsid w:val="00181784"/>
    <w:rsid w:val="00181BE7"/>
    <w:rsid w:val="001825FF"/>
    <w:rsid w:val="00183273"/>
    <w:rsid w:val="001835F1"/>
    <w:rsid w:val="00183830"/>
    <w:rsid w:val="00183F8E"/>
    <w:rsid w:val="00186684"/>
    <w:rsid w:val="0018690A"/>
    <w:rsid w:val="00190863"/>
    <w:rsid w:val="00190913"/>
    <w:rsid w:val="00193658"/>
    <w:rsid w:val="00193989"/>
    <w:rsid w:val="00194F07"/>
    <w:rsid w:val="001953DC"/>
    <w:rsid w:val="001961CF"/>
    <w:rsid w:val="00196E57"/>
    <w:rsid w:val="00197D39"/>
    <w:rsid w:val="001A0520"/>
    <w:rsid w:val="001A0C16"/>
    <w:rsid w:val="001A5413"/>
    <w:rsid w:val="001A59BB"/>
    <w:rsid w:val="001A6A51"/>
    <w:rsid w:val="001A6A69"/>
    <w:rsid w:val="001A79C4"/>
    <w:rsid w:val="001A7BA9"/>
    <w:rsid w:val="001A7D83"/>
    <w:rsid w:val="001B055F"/>
    <w:rsid w:val="001B0847"/>
    <w:rsid w:val="001B269A"/>
    <w:rsid w:val="001B331A"/>
    <w:rsid w:val="001B3808"/>
    <w:rsid w:val="001B3BA4"/>
    <w:rsid w:val="001B5504"/>
    <w:rsid w:val="001C0E74"/>
    <w:rsid w:val="001C345B"/>
    <w:rsid w:val="001C4183"/>
    <w:rsid w:val="001C4CC2"/>
    <w:rsid w:val="001C5998"/>
    <w:rsid w:val="001C5F76"/>
    <w:rsid w:val="001C6CEC"/>
    <w:rsid w:val="001C7D94"/>
    <w:rsid w:val="001D2035"/>
    <w:rsid w:val="001D229F"/>
    <w:rsid w:val="001D3C74"/>
    <w:rsid w:val="001D56F6"/>
    <w:rsid w:val="001D6162"/>
    <w:rsid w:val="001D6EE0"/>
    <w:rsid w:val="001E4AEE"/>
    <w:rsid w:val="001E5425"/>
    <w:rsid w:val="001E6688"/>
    <w:rsid w:val="001E6FAD"/>
    <w:rsid w:val="001E7592"/>
    <w:rsid w:val="001F2817"/>
    <w:rsid w:val="001F3878"/>
    <w:rsid w:val="001F4552"/>
    <w:rsid w:val="001F533B"/>
    <w:rsid w:val="002004CF"/>
    <w:rsid w:val="002019EB"/>
    <w:rsid w:val="00202494"/>
    <w:rsid w:val="00202C5A"/>
    <w:rsid w:val="00202DA9"/>
    <w:rsid w:val="002030F2"/>
    <w:rsid w:val="00204F90"/>
    <w:rsid w:val="00205051"/>
    <w:rsid w:val="0020698E"/>
    <w:rsid w:val="002072EF"/>
    <w:rsid w:val="002109B8"/>
    <w:rsid w:val="00210CBB"/>
    <w:rsid w:val="00211F65"/>
    <w:rsid w:val="002137C2"/>
    <w:rsid w:val="00213A97"/>
    <w:rsid w:val="002140F7"/>
    <w:rsid w:val="00215577"/>
    <w:rsid w:val="0022001B"/>
    <w:rsid w:val="00220D06"/>
    <w:rsid w:val="002219BA"/>
    <w:rsid w:val="00222DB7"/>
    <w:rsid w:val="002246A0"/>
    <w:rsid w:val="00224AF9"/>
    <w:rsid w:val="00225B1B"/>
    <w:rsid w:val="00225FC2"/>
    <w:rsid w:val="00226FF4"/>
    <w:rsid w:val="00230439"/>
    <w:rsid w:val="00230AE0"/>
    <w:rsid w:val="002318C6"/>
    <w:rsid w:val="00235176"/>
    <w:rsid w:val="00236061"/>
    <w:rsid w:val="00236758"/>
    <w:rsid w:val="00237046"/>
    <w:rsid w:val="0023748E"/>
    <w:rsid w:val="00237EA4"/>
    <w:rsid w:val="0024100E"/>
    <w:rsid w:val="00241C1B"/>
    <w:rsid w:val="00241FC0"/>
    <w:rsid w:val="002423B2"/>
    <w:rsid w:val="0024288B"/>
    <w:rsid w:val="00245EFC"/>
    <w:rsid w:val="002478A5"/>
    <w:rsid w:val="00252944"/>
    <w:rsid w:val="00253CC0"/>
    <w:rsid w:val="00255D8E"/>
    <w:rsid w:val="00256093"/>
    <w:rsid w:val="00257DD7"/>
    <w:rsid w:val="002601F1"/>
    <w:rsid w:val="00260214"/>
    <w:rsid w:val="00263362"/>
    <w:rsid w:val="002657E9"/>
    <w:rsid w:val="00265F80"/>
    <w:rsid w:val="0026665E"/>
    <w:rsid w:val="002674A2"/>
    <w:rsid w:val="00270D38"/>
    <w:rsid w:val="00270EEB"/>
    <w:rsid w:val="0027147E"/>
    <w:rsid w:val="00271800"/>
    <w:rsid w:val="00272629"/>
    <w:rsid w:val="00272970"/>
    <w:rsid w:val="002736D6"/>
    <w:rsid w:val="002738B8"/>
    <w:rsid w:val="00274B31"/>
    <w:rsid w:val="00274DE8"/>
    <w:rsid w:val="00275ACA"/>
    <w:rsid w:val="002761F4"/>
    <w:rsid w:val="0027654C"/>
    <w:rsid w:val="00276AFA"/>
    <w:rsid w:val="00276D6C"/>
    <w:rsid w:val="00276FD7"/>
    <w:rsid w:val="002775E1"/>
    <w:rsid w:val="00277979"/>
    <w:rsid w:val="002808EB"/>
    <w:rsid w:val="0028095D"/>
    <w:rsid w:val="00284BFF"/>
    <w:rsid w:val="002873F7"/>
    <w:rsid w:val="0028743E"/>
    <w:rsid w:val="0029077A"/>
    <w:rsid w:val="00291ADD"/>
    <w:rsid w:val="00293A41"/>
    <w:rsid w:val="00293B86"/>
    <w:rsid w:val="00294699"/>
    <w:rsid w:val="00294868"/>
    <w:rsid w:val="00295CA1"/>
    <w:rsid w:val="002962FF"/>
    <w:rsid w:val="00297BD0"/>
    <w:rsid w:val="002A291A"/>
    <w:rsid w:val="002A55BD"/>
    <w:rsid w:val="002A5604"/>
    <w:rsid w:val="002A79BB"/>
    <w:rsid w:val="002B02D9"/>
    <w:rsid w:val="002B063D"/>
    <w:rsid w:val="002B0D1E"/>
    <w:rsid w:val="002B1124"/>
    <w:rsid w:val="002B1701"/>
    <w:rsid w:val="002B23C3"/>
    <w:rsid w:val="002B2C49"/>
    <w:rsid w:val="002B443A"/>
    <w:rsid w:val="002B4A09"/>
    <w:rsid w:val="002B5B35"/>
    <w:rsid w:val="002C08B3"/>
    <w:rsid w:val="002C256A"/>
    <w:rsid w:val="002C4735"/>
    <w:rsid w:val="002C4869"/>
    <w:rsid w:val="002C496D"/>
    <w:rsid w:val="002C4D80"/>
    <w:rsid w:val="002C5521"/>
    <w:rsid w:val="002C56CF"/>
    <w:rsid w:val="002C6C27"/>
    <w:rsid w:val="002C7769"/>
    <w:rsid w:val="002D05EB"/>
    <w:rsid w:val="002D16DB"/>
    <w:rsid w:val="002D1ECC"/>
    <w:rsid w:val="002D2F29"/>
    <w:rsid w:val="002D2FD3"/>
    <w:rsid w:val="002D3249"/>
    <w:rsid w:val="002D559D"/>
    <w:rsid w:val="002D5A34"/>
    <w:rsid w:val="002D6E75"/>
    <w:rsid w:val="002D7867"/>
    <w:rsid w:val="002D7DB0"/>
    <w:rsid w:val="002E27E3"/>
    <w:rsid w:val="002E2832"/>
    <w:rsid w:val="002E32EE"/>
    <w:rsid w:val="002E32F6"/>
    <w:rsid w:val="002E35E4"/>
    <w:rsid w:val="002E6457"/>
    <w:rsid w:val="002E7017"/>
    <w:rsid w:val="002F0B81"/>
    <w:rsid w:val="002F0C05"/>
    <w:rsid w:val="002F0C84"/>
    <w:rsid w:val="002F0CB9"/>
    <w:rsid w:val="002F16EC"/>
    <w:rsid w:val="002F4F6E"/>
    <w:rsid w:val="002F5AEF"/>
    <w:rsid w:val="002F68B2"/>
    <w:rsid w:val="002F6CA6"/>
    <w:rsid w:val="00300E40"/>
    <w:rsid w:val="003015C3"/>
    <w:rsid w:val="00302F49"/>
    <w:rsid w:val="003031A3"/>
    <w:rsid w:val="003033D5"/>
    <w:rsid w:val="0030625F"/>
    <w:rsid w:val="00306410"/>
    <w:rsid w:val="0030698D"/>
    <w:rsid w:val="003079F2"/>
    <w:rsid w:val="003104E2"/>
    <w:rsid w:val="003128A4"/>
    <w:rsid w:val="0031350A"/>
    <w:rsid w:val="00316815"/>
    <w:rsid w:val="003168CA"/>
    <w:rsid w:val="00317266"/>
    <w:rsid w:val="00321255"/>
    <w:rsid w:val="00321EA1"/>
    <w:rsid w:val="00321EEC"/>
    <w:rsid w:val="0032230D"/>
    <w:rsid w:val="00322A0B"/>
    <w:rsid w:val="00324985"/>
    <w:rsid w:val="00324FE7"/>
    <w:rsid w:val="00326512"/>
    <w:rsid w:val="00327465"/>
    <w:rsid w:val="003276E2"/>
    <w:rsid w:val="00331A95"/>
    <w:rsid w:val="00332D83"/>
    <w:rsid w:val="00332F54"/>
    <w:rsid w:val="003338A0"/>
    <w:rsid w:val="0033503D"/>
    <w:rsid w:val="00335FC5"/>
    <w:rsid w:val="00336172"/>
    <w:rsid w:val="003362ED"/>
    <w:rsid w:val="003400CC"/>
    <w:rsid w:val="00340656"/>
    <w:rsid w:val="00340E9A"/>
    <w:rsid w:val="00341330"/>
    <w:rsid w:val="00346DEB"/>
    <w:rsid w:val="003473FD"/>
    <w:rsid w:val="0035050A"/>
    <w:rsid w:val="003516C0"/>
    <w:rsid w:val="00352E59"/>
    <w:rsid w:val="00354DBE"/>
    <w:rsid w:val="00355210"/>
    <w:rsid w:val="003555D5"/>
    <w:rsid w:val="00357DF8"/>
    <w:rsid w:val="00361C79"/>
    <w:rsid w:val="003633F4"/>
    <w:rsid w:val="00364163"/>
    <w:rsid w:val="00365049"/>
    <w:rsid w:val="00365DF9"/>
    <w:rsid w:val="00366430"/>
    <w:rsid w:val="0036668D"/>
    <w:rsid w:val="00366E81"/>
    <w:rsid w:val="003677CD"/>
    <w:rsid w:val="00367815"/>
    <w:rsid w:val="00372DB4"/>
    <w:rsid w:val="00373536"/>
    <w:rsid w:val="0037490C"/>
    <w:rsid w:val="00375AF5"/>
    <w:rsid w:val="003761BD"/>
    <w:rsid w:val="003768F5"/>
    <w:rsid w:val="003769F6"/>
    <w:rsid w:val="0037731E"/>
    <w:rsid w:val="003805DE"/>
    <w:rsid w:val="00380A48"/>
    <w:rsid w:val="00381315"/>
    <w:rsid w:val="0038383B"/>
    <w:rsid w:val="00385414"/>
    <w:rsid w:val="00385873"/>
    <w:rsid w:val="0038691F"/>
    <w:rsid w:val="00390074"/>
    <w:rsid w:val="003906ED"/>
    <w:rsid w:val="00392FC1"/>
    <w:rsid w:val="00393C64"/>
    <w:rsid w:val="00394EC2"/>
    <w:rsid w:val="00396F29"/>
    <w:rsid w:val="0039762B"/>
    <w:rsid w:val="00397757"/>
    <w:rsid w:val="003A0239"/>
    <w:rsid w:val="003A0986"/>
    <w:rsid w:val="003A0C37"/>
    <w:rsid w:val="003A1B6B"/>
    <w:rsid w:val="003A2F82"/>
    <w:rsid w:val="003A46C0"/>
    <w:rsid w:val="003A47D2"/>
    <w:rsid w:val="003A4ED8"/>
    <w:rsid w:val="003A5CE9"/>
    <w:rsid w:val="003A600E"/>
    <w:rsid w:val="003A6013"/>
    <w:rsid w:val="003A6513"/>
    <w:rsid w:val="003A6C45"/>
    <w:rsid w:val="003A6E53"/>
    <w:rsid w:val="003B10CF"/>
    <w:rsid w:val="003B16C7"/>
    <w:rsid w:val="003B2D66"/>
    <w:rsid w:val="003B5E72"/>
    <w:rsid w:val="003C1003"/>
    <w:rsid w:val="003C19F1"/>
    <w:rsid w:val="003C24F8"/>
    <w:rsid w:val="003C4186"/>
    <w:rsid w:val="003C418D"/>
    <w:rsid w:val="003C458C"/>
    <w:rsid w:val="003C468E"/>
    <w:rsid w:val="003C5618"/>
    <w:rsid w:val="003C6185"/>
    <w:rsid w:val="003C6C63"/>
    <w:rsid w:val="003C7057"/>
    <w:rsid w:val="003D0944"/>
    <w:rsid w:val="003D0D2D"/>
    <w:rsid w:val="003D1BB7"/>
    <w:rsid w:val="003D2805"/>
    <w:rsid w:val="003D4710"/>
    <w:rsid w:val="003E0B0E"/>
    <w:rsid w:val="003E0D41"/>
    <w:rsid w:val="003E16D7"/>
    <w:rsid w:val="003E197E"/>
    <w:rsid w:val="003E2CC7"/>
    <w:rsid w:val="003E31FD"/>
    <w:rsid w:val="003F2FE4"/>
    <w:rsid w:val="003F5052"/>
    <w:rsid w:val="003F57A0"/>
    <w:rsid w:val="003F5F47"/>
    <w:rsid w:val="003F6BEA"/>
    <w:rsid w:val="003F6FFE"/>
    <w:rsid w:val="004046F0"/>
    <w:rsid w:val="00404DD6"/>
    <w:rsid w:val="00405213"/>
    <w:rsid w:val="004057EC"/>
    <w:rsid w:val="0040668F"/>
    <w:rsid w:val="00406BAE"/>
    <w:rsid w:val="00411BD1"/>
    <w:rsid w:val="00412677"/>
    <w:rsid w:val="00414BAE"/>
    <w:rsid w:val="0041567D"/>
    <w:rsid w:val="00416E68"/>
    <w:rsid w:val="004175A9"/>
    <w:rsid w:val="00417925"/>
    <w:rsid w:val="004215B6"/>
    <w:rsid w:val="00427194"/>
    <w:rsid w:val="0042798F"/>
    <w:rsid w:val="00432166"/>
    <w:rsid w:val="004327AB"/>
    <w:rsid w:val="00432E62"/>
    <w:rsid w:val="0043401D"/>
    <w:rsid w:val="004343C4"/>
    <w:rsid w:val="004348AE"/>
    <w:rsid w:val="00435E9A"/>
    <w:rsid w:val="0043720E"/>
    <w:rsid w:val="004376C0"/>
    <w:rsid w:val="0044115F"/>
    <w:rsid w:val="0044223A"/>
    <w:rsid w:val="00442B80"/>
    <w:rsid w:val="00443047"/>
    <w:rsid w:val="0044429C"/>
    <w:rsid w:val="00446792"/>
    <w:rsid w:val="00446F80"/>
    <w:rsid w:val="00447551"/>
    <w:rsid w:val="00450C83"/>
    <w:rsid w:val="00451851"/>
    <w:rsid w:val="004529B8"/>
    <w:rsid w:val="00453343"/>
    <w:rsid w:val="00454149"/>
    <w:rsid w:val="00457A7A"/>
    <w:rsid w:val="00457D0F"/>
    <w:rsid w:val="004608B9"/>
    <w:rsid w:val="00460ADB"/>
    <w:rsid w:val="00462D56"/>
    <w:rsid w:val="00463504"/>
    <w:rsid w:val="004636B0"/>
    <w:rsid w:val="00463A92"/>
    <w:rsid w:val="00465947"/>
    <w:rsid w:val="004666BC"/>
    <w:rsid w:val="00466C24"/>
    <w:rsid w:val="004672A8"/>
    <w:rsid w:val="004672C1"/>
    <w:rsid w:val="004708EE"/>
    <w:rsid w:val="00470BB1"/>
    <w:rsid w:val="00471420"/>
    <w:rsid w:val="004718F7"/>
    <w:rsid w:val="00472AB3"/>
    <w:rsid w:val="00473153"/>
    <w:rsid w:val="004743AF"/>
    <w:rsid w:val="0047461C"/>
    <w:rsid w:val="0047602D"/>
    <w:rsid w:val="00476D00"/>
    <w:rsid w:val="00476F4F"/>
    <w:rsid w:val="00482C17"/>
    <w:rsid w:val="00482CF4"/>
    <w:rsid w:val="00483919"/>
    <w:rsid w:val="00485859"/>
    <w:rsid w:val="0048626E"/>
    <w:rsid w:val="00486C07"/>
    <w:rsid w:val="00486D32"/>
    <w:rsid w:val="0049032A"/>
    <w:rsid w:val="004911B4"/>
    <w:rsid w:val="0049196A"/>
    <w:rsid w:val="004923DA"/>
    <w:rsid w:val="00493434"/>
    <w:rsid w:val="00493879"/>
    <w:rsid w:val="004962F9"/>
    <w:rsid w:val="004968E2"/>
    <w:rsid w:val="004A07F1"/>
    <w:rsid w:val="004A14C4"/>
    <w:rsid w:val="004A15A4"/>
    <w:rsid w:val="004A2A49"/>
    <w:rsid w:val="004A351B"/>
    <w:rsid w:val="004A5F1D"/>
    <w:rsid w:val="004A783B"/>
    <w:rsid w:val="004B2C07"/>
    <w:rsid w:val="004B30CE"/>
    <w:rsid w:val="004B34ED"/>
    <w:rsid w:val="004B3977"/>
    <w:rsid w:val="004B600B"/>
    <w:rsid w:val="004B6822"/>
    <w:rsid w:val="004B69F6"/>
    <w:rsid w:val="004B6DC4"/>
    <w:rsid w:val="004B7534"/>
    <w:rsid w:val="004C0D3E"/>
    <w:rsid w:val="004C2D3A"/>
    <w:rsid w:val="004C4035"/>
    <w:rsid w:val="004C5B7D"/>
    <w:rsid w:val="004C6D4A"/>
    <w:rsid w:val="004C6DA7"/>
    <w:rsid w:val="004C723D"/>
    <w:rsid w:val="004C755A"/>
    <w:rsid w:val="004C7933"/>
    <w:rsid w:val="004C7DD2"/>
    <w:rsid w:val="004C7E5A"/>
    <w:rsid w:val="004D03C4"/>
    <w:rsid w:val="004D09F1"/>
    <w:rsid w:val="004D0B28"/>
    <w:rsid w:val="004D0BF1"/>
    <w:rsid w:val="004D1509"/>
    <w:rsid w:val="004D24D2"/>
    <w:rsid w:val="004D35A4"/>
    <w:rsid w:val="004D3FD3"/>
    <w:rsid w:val="004D445F"/>
    <w:rsid w:val="004D48E6"/>
    <w:rsid w:val="004D5EF4"/>
    <w:rsid w:val="004D63AF"/>
    <w:rsid w:val="004D7FE6"/>
    <w:rsid w:val="004E087B"/>
    <w:rsid w:val="004E0AAD"/>
    <w:rsid w:val="004E0B6D"/>
    <w:rsid w:val="004E1811"/>
    <w:rsid w:val="004E44A4"/>
    <w:rsid w:val="004E4CEC"/>
    <w:rsid w:val="004E578A"/>
    <w:rsid w:val="004E60B7"/>
    <w:rsid w:val="004E63C2"/>
    <w:rsid w:val="004E7B8B"/>
    <w:rsid w:val="004E7BDD"/>
    <w:rsid w:val="004F1E21"/>
    <w:rsid w:val="004F2496"/>
    <w:rsid w:val="004F3985"/>
    <w:rsid w:val="004F4344"/>
    <w:rsid w:val="004F5187"/>
    <w:rsid w:val="004F740D"/>
    <w:rsid w:val="004F79CB"/>
    <w:rsid w:val="004F7B8F"/>
    <w:rsid w:val="00500748"/>
    <w:rsid w:val="005011D6"/>
    <w:rsid w:val="0050167A"/>
    <w:rsid w:val="005042F1"/>
    <w:rsid w:val="0050582E"/>
    <w:rsid w:val="00506B8A"/>
    <w:rsid w:val="005075B9"/>
    <w:rsid w:val="00510D6A"/>
    <w:rsid w:val="00513B1D"/>
    <w:rsid w:val="00513B85"/>
    <w:rsid w:val="00513C7D"/>
    <w:rsid w:val="005169D1"/>
    <w:rsid w:val="00516DDA"/>
    <w:rsid w:val="0052060F"/>
    <w:rsid w:val="00521123"/>
    <w:rsid w:val="00521221"/>
    <w:rsid w:val="00523C2D"/>
    <w:rsid w:val="005244C3"/>
    <w:rsid w:val="00524D47"/>
    <w:rsid w:val="0052668B"/>
    <w:rsid w:val="005278F7"/>
    <w:rsid w:val="0053102F"/>
    <w:rsid w:val="005311E6"/>
    <w:rsid w:val="00533315"/>
    <w:rsid w:val="005334FB"/>
    <w:rsid w:val="00533A0F"/>
    <w:rsid w:val="00533E79"/>
    <w:rsid w:val="00533F80"/>
    <w:rsid w:val="00535564"/>
    <w:rsid w:val="00535780"/>
    <w:rsid w:val="00536FA9"/>
    <w:rsid w:val="0053720F"/>
    <w:rsid w:val="005378F6"/>
    <w:rsid w:val="005407AB"/>
    <w:rsid w:val="005414F4"/>
    <w:rsid w:val="00541528"/>
    <w:rsid w:val="00541C0E"/>
    <w:rsid w:val="00543DB3"/>
    <w:rsid w:val="00543EDE"/>
    <w:rsid w:val="00544A2E"/>
    <w:rsid w:val="005459F7"/>
    <w:rsid w:val="00546187"/>
    <w:rsid w:val="005463F1"/>
    <w:rsid w:val="00547B73"/>
    <w:rsid w:val="00552113"/>
    <w:rsid w:val="00552816"/>
    <w:rsid w:val="00553C33"/>
    <w:rsid w:val="00557D09"/>
    <w:rsid w:val="00557D77"/>
    <w:rsid w:val="00557F43"/>
    <w:rsid w:val="005604BF"/>
    <w:rsid w:val="00560928"/>
    <w:rsid w:val="00561607"/>
    <w:rsid w:val="005616F7"/>
    <w:rsid w:val="005619FB"/>
    <w:rsid w:val="00561CD6"/>
    <w:rsid w:val="00562366"/>
    <w:rsid w:val="00562EAA"/>
    <w:rsid w:val="00563B58"/>
    <w:rsid w:val="00563EE2"/>
    <w:rsid w:val="005640C4"/>
    <w:rsid w:val="00564C53"/>
    <w:rsid w:val="0056684C"/>
    <w:rsid w:val="00567BD8"/>
    <w:rsid w:val="00571387"/>
    <w:rsid w:val="0057157F"/>
    <w:rsid w:val="00572BE9"/>
    <w:rsid w:val="00574328"/>
    <w:rsid w:val="00574A0C"/>
    <w:rsid w:val="00575228"/>
    <w:rsid w:val="005754CB"/>
    <w:rsid w:val="00576389"/>
    <w:rsid w:val="005767DC"/>
    <w:rsid w:val="00576B12"/>
    <w:rsid w:val="00576E4C"/>
    <w:rsid w:val="0057780F"/>
    <w:rsid w:val="00580B4A"/>
    <w:rsid w:val="00581E0A"/>
    <w:rsid w:val="00582870"/>
    <w:rsid w:val="005829FF"/>
    <w:rsid w:val="00582CC9"/>
    <w:rsid w:val="0058349E"/>
    <w:rsid w:val="0058402F"/>
    <w:rsid w:val="00584286"/>
    <w:rsid w:val="00585F5A"/>
    <w:rsid w:val="00586D89"/>
    <w:rsid w:val="00587235"/>
    <w:rsid w:val="00591622"/>
    <w:rsid w:val="005916B8"/>
    <w:rsid w:val="00593934"/>
    <w:rsid w:val="00593D00"/>
    <w:rsid w:val="00595F18"/>
    <w:rsid w:val="00596739"/>
    <w:rsid w:val="00596DC4"/>
    <w:rsid w:val="005A1923"/>
    <w:rsid w:val="005A1B4C"/>
    <w:rsid w:val="005A1BA3"/>
    <w:rsid w:val="005A350E"/>
    <w:rsid w:val="005A3F07"/>
    <w:rsid w:val="005A46EC"/>
    <w:rsid w:val="005A545C"/>
    <w:rsid w:val="005B10CE"/>
    <w:rsid w:val="005B30D0"/>
    <w:rsid w:val="005B5F5E"/>
    <w:rsid w:val="005B60B8"/>
    <w:rsid w:val="005B6E6C"/>
    <w:rsid w:val="005B719C"/>
    <w:rsid w:val="005C016A"/>
    <w:rsid w:val="005C0AE0"/>
    <w:rsid w:val="005C1567"/>
    <w:rsid w:val="005C2517"/>
    <w:rsid w:val="005C4D92"/>
    <w:rsid w:val="005C5427"/>
    <w:rsid w:val="005C67B9"/>
    <w:rsid w:val="005C6CE5"/>
    <w:rsid w:val="005C76DE"/>
    <w:rsid w:val="005D063D"/>
    <w:rsid w:val="005D0F9E"/>
    <w:rsid w:val="005D3F07"/>
    <w:rsid w:val="005D4C1C"/>
    <w:rsid w:val="005D4CA3"/>
    <w:rsid w:val="005D52BA"/>
    <w:rsid w:val="005D583E"/>
    <w:rsid w:val="005E01CC"/>
    <w:rsid w:val="005E08A2"/>
    <w:rsid w:val="005E13EA"/>
    <w:rsid w:val="005E22D7"/>
    <w:rsid w:val="005E26D3"/>
    <w:rsid w:val="005E3492"/>
    <w:rsid w:val="005E4E9A"/>
    <w:rsid w:val="005E53BD"/>
    <w:rsid w:val="005E66E4"/>
    <w:rsid w:val="005F1A59"/>
    <w:rsid w:val="005F4349"/>
    <w:rsid w:val="005F6355"/>
    <w:rsid w:val="00600232"/>
    <w:rsid w:val="006033C8"/>
    <w:rsid w:val="00604314"/>
    <w:rsid w:val="00604577"/>
    <w:rsid w:val="00606E27"/>
    <w:rsid w:val="00607BAF"/>
    <w:rsid w:val="006108C9"/>
    <w:rsid w:val="00613613"/>
    <w:rsid w:val="00614029"/>
    <w:rsid w:val="00615C7E"/>
    <w:rsid w:val="00616DBA"/>
    <w:rsid w:val="0062158D"/>
    <w:rsid w:val="006249A7"/>
    <w:rsid w:val="006300E5"/>
    <w:rsid w:val="00630287"/>
    <w:rsid w:val="00630F39"/>
    <w:rsid w:val="00631176"/>
    <w:rsid w:val="00631E3B"/>
    <w:rsid w:val="006326D1"/>
    <w:rsid w:val="00632E0A"/>
    <w:rsid w:val="00633165"/>
    <w:rsid w:val="006337F6"/>
    <w:rsid w:val="00633ADB"/>
    <w:rsid w:val="006343BC"/>
    <w:rsid w:val="00635013"/>
    <w:rsid w:val="00635BFD"/>
    <w:rsid w:val="00636B6C"/>
    <w:rsid w:val="00640359"/>
    <w:rsid w:val="006447DE"/>
    <w:rsid w:val="00646D78"/>
    <w:rsid w:val="0065276E"/>
    <w:rsid w:val="00653637"/>
    <w:rsid w:val="00654329"/>
    <w:rsid w:val="00654CEC"/>
    <w:rsid w:val="00655507"/>
    <w:rsid w:val="00657AF9"/>
    <w:rsid w:val="00661449"/>
    <w:rsid w:val="0066239E"/>
    <w:rsid w:val="00664DA7"/>
    <w:rsid w:val="006702D7"/>
    <w:rsid w:val="006712A7"/>
    <w:rsid w:val="00671463"/>
    <w:rsid w:val="00671F1C"/>
    <w:rsid w:val="006733CC"/>
    <w:rsid w:val="0067439E"/>
    <w:rsid w:val="00674FC2"/>
    <w:rsid w:val="0067656C"/>
    <w:rsid w:val="00677E42"/>
    <w:rsid w:val="00682334"/>
    <w:rsid w:val="0068295E"/>
    <w:rsid w:val="00682A27"/>
    <w:rsid w:val="0068308F"/>
    <w:rsid w:val="0068419D"/>
    <w:rsid w:val="006846CF"/>
    <w:rsid w:val="00684B16"/>
    <w:rsid w:val="006906C0"/>
    <w:rsid w:val="00693712"/>
    <w:rsid w:val="00694C00"/>
    <w:rsid w:val="006956F0"/>
    <w:rsid w:val="00696F65"/>
    <w:rsid w:val="006A5B7A"/>
    <w:rsid w:val="006A6BE1"/>
    <w:rsid w:val="006A7A6D"/>
    <w:rsid w:val="006B00B1"/>
    <w:rsid w:val="006B07AB"/>
    <w:rsid w:val="006B0BD9"/>
    <w:rsid w:val="006B1143"/>
    <w:rsid w:val="006B23CD"/>
    <w:rsid w:val="006B3C2B"/>
    <w:rsid w:val="006B4050"/>
    <w:rsid w:val="006B44CE"/>
    <w:rsid w:val="006B5E67"/>
    <w:rsid w:val="006B69A3"/>
    <w:rsid w:val="006C2EB5"/>
    <w:rsid w:val="006C314F"/>
    <w:rsid w:val="006C417E"/>
    <w:rsid w:val="006D18A3"/>
    <w:rsid w:val="006D2294"/>
    <w:rsid w:val="006D4930"/>
    <w:rsid w:val="006D5763"/>
    <w:rsid w:val="006D5970"/>
    <w:rsid w:val="006D7938"/>
    <w:rsid w:val="006E0421"/>
    <w:rsid w:val="006E08BE"/>
    <w:rsid w:val="006E09A6"/>
    <w:rsid w:val="006E481E"/>
    <w:rsid w:val="006E5033"/>
    <w:rsid w:val="006E6957"/>
    <w:rsid w:val="006E795F"/>
    <w:rsid w:val="006E7B43"/>
    <w:rsid w:val="006F2F59"/>
    <w:rsid w:val="006F3121"/>
    <w:rsid w:val="006F3D14"/>
    <w:rsid w:val="006F4E72"/>
    <w:rsid w:val="006F5CB4"/>
    <w:rsid w:val="006F652C"/>
    <w:rsid w:val="006F6B69"/>
    <w:rsid w:val="00700249"/>
    <w:rsid w:val="00701027"/>
    <w:rsid w:val="00701C5E"/>
    <w:rsid w:val="0070370D"/>
    <w:rsid w:val="00703D7A"/>
    <w:rsid w:val="00703E1F"/>
    <w:rsid w:val="0070497B"/>
    <w:rsid w:val="0070500A"/>
    <w:rsid w:val="007053E0"/>
    <w:rsid w:val="00705C68"/>
    <w:rsid w:val="0070604C"/>
    <w:rsid w:val="0070642C"/>
    <w:rsid w:val="00706460"/>
    <w:rsid w:val="007069CD"/>
    <w:rsid w:val="00707846"/>
    <w:rsid w:val="0071067B"/>
    <w:rsid w:val="00710D69"/>
    <w:rsid w:val="007110E6"/>
    <w:rsid w:val="00711277"/>
    <w:rsid w:val="00711A70"/>
    <w:rsid w:val="00712E6F"/>
    <w:rsid w:val="00712E90"/>
    <w:rsid w:val="00713B7E"/>
    <w:rsid w:val="00713E84"/>
    <w:rsid w:val="0071499F"/>
    <w:rsid w:val="00717770"/>
    <w:rsid w:val="007203DA"/>
    <w:rsid w:val="007204AE"/>
    <w:rsid w:val="00720CB0"/>
    <w:rsid w:val="007224B0"/>
    <w:rsid w:val="00723480"/>
    <w:rsid w:val="0072678F"/>
    <w:rsid w:val="007278BD"/>
    <w:rsid w:val="00727A91"/>
    <w:rsid w:val="00727C4C"/>
    <w:rsid w:val="00727EAF"/>
    <w:rsid w:val="0073081E"/>
    <w:rsid w:val="00731BD8"/>
    <w:rsid w:val="00733B9D"/>
    <w:rsid w:val="00734809"/>
    <w:rsid w:val="0073644B"/>
    <w:rsid w:val="007369BB"/>
    <w:rsid w:val="007406E1"/>
    <w:rsid w:val="00740CAF"/>
    <w:rsid w:val="00743ABE"/>
    <w:rsid w:val="00743C29"/>
    <w:rsid w:val="00743E40"/>
    <w:rsid w:val="00743FBE"/>
    <w:rsid w:val="00744B3B"/>
    <w:rsid w:val="007461F4"/>
    <w:rsid w:val="00746E97"/>
    <w:rsid w:val="00751263"/>
    <w:rsid w:val="00751D5E"/>
    <w:rsid w:val="00752E3A"/>
    <w:rsid w:val="007530A7"/>
    <w:rsid w:val="00754BC3"/>
    <w:rsid w:val="00755A51"/>
    <w:rsid w:val="0075704F"/>
    <w:rsid w:val="00763B2D"/>
    <w:rsid w:val="00763E3A"/>
    <w:rsid w:val="00763E70"/>
    <w:rsid w:val="00767169"/>
    <w:rsid w:val="00770A0E"/>
    <w:rsid w:val="00772924"/>
    <w:rsid w:val="00773B16"/>
    <w:rsid w:val="00773F87"/>
    <w:rsid w:val="007750DB"/>
    <w:rsid w:val="00775B8F"/>
    <w:rsid w:val="00775FDB"/>
    <w:rsid w:val="007761A8"/>
    <w:rsid w:val="007762CA"/>
    <w:rsid w:val="007768FF"/>
    <w:rsid w:val="00776B5B"/>
    <w:rsid w:val="00776F38"/>
    <w:rsid w:val="007819E3"/>
    <w:rsid w:val="00782726"/>
    <w:rsid w:val="0078286D"/>
    <w:rsid w:val="0078452A"/>
    <w:rsid w:val="00784D4A"/>
    <w:rsid w:val="00784EC4"/>
    <w:rsid w:val="0078542E"/>
    <w:rsid w:val="00786B7F"/>
    <w:rsid w:val="007872F2"/>
    <w:rsid w:val="007874BC"/>
    <w:rsid w:val="00787C2E"/>
    <w:rsid w:val="007908E0"/>
    <w:rsid w:val="00790EF7"/>
    <w:rsid w:val="007913D3"/>
    <w:rsid w:val="00793A43"/>
    <w:rsid w:val="00793EB3"/>
    <w:rsid w:val="00794205"/>
    <w:rsid w:val="00796395"/>
    <w:rsid w:val="00797012"/>
    <w:rsid w:val="007A1F6A"/>
    <w:rsid w:val="007A4861"/>
    <w:rsid w:val="007A4C9F"/>
    <w:rsid w:val="007A6139"/>
    <w:rsid w:val="007A688E"/>
    <w:rsid w:val="007B0DE3"/>
    <w:rsid w:val="007B41B5"/>
    <w:rsid w:val="007B480F"/>
    <w:rsid w:val="007B491F"/>
    <w:rsid w:val="007B562D"/>
    <w:rsid w:val="007B5CB2"/>
    <w:rsid w:val="007B7191"/>
    <w:rsid w:val="007C01CC"/>
    <w:rsid w:val="007C1634"/>
    <w:rsid w:val="007C164F"/>
    <w:rsid w:val="007C1D94"/>
    <w:rsid w:val="007C2879"/>
    <w:rsid w:val="007C31C3"/>
    <w:rsid w:val="007C324D"/>
    <w:rsid w:val="007C4AB7"/>
    <w:rsid w:val="007C53DB"/>
    <w:rsid w:val="007C6A87"/>
    <w:rsid w:val="007C705D"/>
    <w:rsid w:val="007C7D73"/>
    <w:rsid w:val="007D00A0"/>
    <w:rsid w:val="007D0390"/>
    <w:rsid w:val="007D0A07"/>
    <w:rsid w:val="007D0C96"/>
    <w:rsid w:val="007D133D"/>
    <w:rsid w:val="007D1623"/>
    <w:rsid w:val="007D1A7E"/>
    <w:rsid w:val="007D2B53"/>
    <w:rsid w:val="007D389D"/>
    <w:rsid w:val="007D3EB4"/>
    <w:rsid w:val="007D3F16"/>
    <w:rsid w:val="007D4AE3"/>
    <w:rsid w:val="007D6DF9"/>
    <w:rsid w:val="007D78CC"/>
    <w:rsid w:val="007D7E83"/>
    <w:rsid w:val="007E011D"/>
    <w:rsid w:val="007E0276"/>
    <w:rsid w:val="007E17AB"/>
    <w:rsid w:val="007E38FC"/>
    <w:rsid w:val="007E5051"/>
    <w:rsid w:val="007E589C"/>
    <w:rsid w:val="007F109C"/>
    <w:rsid w:val="007F30D4"/>
    <w:rsid w:val="007F311A"/>
    <w:rsid w:val="007F3F7E"/>
    <w:rsid w:val="007F4BDF"/>
    <w:rsid w:val="007F5497"/>
    <w:rsid w:val="007F6272"/>
    <w:rsid w:val="007F7467"/>
    <w:rsid w:val="008019FB"/>
    <w:rsid w:val="0080257E"/>
    <w:rsid w:val="00802831"/>
    <w:rsid w:val="008039AC"/>
    <w:rsid w:val="00803C58"/>
    <w:rsid w:val="00804ECA"/>
    <w:rsid w:val="00812A73"/>
    <w:rsid w:val="00813177"/>
    <w:rsid w:val="00813CEC"/>
    <w:rsid w:val="0081534C"/>
    <w:rsid w:val="00815590"/>
    <w:rsid w:val="00816A48"/>
    <w:rsid w:val="00816B5C"/>
    <w:rsid w:val="00817038"/>
    <w:rsid w:val="008171E4"/>
    <w:rsid w:val="00817AF0"/>
    <w:rsid w:val="008208EA"/>
    <w:rsid w:val="00822200"/>
    <w:rsid w:val="008227FD"/>
    <w:rsid w:val="00822B96"/>
    <w:rsid w:val="00824E67"/>
    <w:rsid w:val="00825A64"/>
    <w:rsid w:val="00826806"/>
    <w:rsid w:val="00826F48"/>
    <w:rsid w:val="00826FF8"/>
    <w:rsid w:val="008308AE"/>
    <w:rsid w:val="0083166E"/>
    <w:rsid w:val="00831DC3"/>
    <w:rsid w:val="008322C7"/>
    <w:rsid w:val="0083295E"/>
    <w:rsid w:val="008341F3"/>
    <w:rsid w:val="00834626"/>
    <w:rsid w:val="00834F1D"/>
    <w:rsid w:val="00835203"/>
    <w:rsid w:val="008359CC"/>
    <w:rsid w:val="00836FEC"/>
    <w:rsid w:val="00841DED"/>
    <w:rsid w:val="00841F9D"/>
    <w:rsid w:val="008420E1"/>
    <w:rsid w:val="00842A3F"/>
    <w:rsid w:val="00843055"/>
    <w:rsid w:val="00843B48"/>
    <w:rsid w:val="00843D58"/>
    <w:rsid w:val="00843EBA"/>
    <w:rsid w:val="00844D98"/>
    <w:rsid w:val="00846D84"/>
    <w:rsid w:val="00847F43"/>
    <w:rsid w:val="00850C12"/>
    <w:rsid w:val="00850E02"/>
    <w:rsid w:val="0085230E"/>
    <w:rsid w:val="0085355E"/>
    <w:rsid w:val="008550A1"/>
    <w:rsid w:val="0085627B"/>
    <w:rsid w:val="00861035"/>
    <w:rsid w:val="00861038"/>
    <w:rsid w:val="00861A29"/>
    <w:rsid w:val="00861DD1"/>
    <w:rsid w:val="00863AD7"/>
    <w:rsid w:val="00865008"/>
    <w:rsid w:val="00866B50"/>
    <w:rsid w:val="00866D95"/>
    <w:rsid w:val="00866E8A"/>
    <w:rsid w:val="0087056C"/>
    <w:rsid w:val="008708F1"/>
    <w:rsid w:val="008718CC"/>
    <w:rsid w:val="00872339"/>
    <w:rsid w:val="00873023"/>
    <w:rsid w:val="00875192"/>
    <w:rsid w:val="0087591E"/>
    <w:rsid w:val="00876FEE"/>
    <w:rsid w:val="00880539"/>
    <w:rsid w:val="00881C80"/>
    <w:rsid w:val="00882B50"/>
    <w:rsid w:val="00882D5B"/>
    <w:rsid w:val="00884826"/>
    <w:rsid w:val="008859E8"/>
    <w:rsid w:val="0088737B"/>
    <w:rsid w:val="00887615"/>
    <w:rsid w:val="0088774F"/>
    <w:rsid w:val="00892716"/>
    <w:rsid w:val="00893067"/>
    <w:rsid w:val="008933DE"/>
    <w:rsid w:val="00894B1B"/>
    <w:rsid w:val="00895FCE"/>
    <w:rsid w:val="008963BD"/>
    <w:rsid w:val="008973AD"/>
    <w:rsid w:val="00897F0C"/>
    <w:rsid w:val="00897F3E"/>
    <w:rsid w:val="008A1358"/>
    <w:rsid w:val="008A1AF1"/>
    <w:rsid w:val="008A1BA8"/>
    <w:rsid w:val="008A21B4"/>
    <w:rsid w:val="008A2304"/>
    <w:rsid w:val="008A3251"/>
    <w:rsid w:val="008A4576"/>
    <w:rsid w:val="008A49A6"/>
    <w:rsid w:val="008A6A37"/>
    <w:rsid w:val="008A7BFE"/>
    <w:rsid w:val="008B0526"/>
    <w:rsid w:val="008B0761"/>
    <w:rsid w:val="008B07DE"/>
    <w:rsid w:val="008B1404"/>
    <w:rsid w:val="008B28E7"/>
    <w:rsid w:val="008B3C3D"/>
    <w:rsid w:val="008B3E67"/>
    <w:rsid w:val="008B4711"/>
    <w:rsid w:val="008B5516"/>
    <w:rsid w:val="008B6DEB"/>
    <w:rsid w:val="008C0C46"/>
    <w:rsid w:val="008C14C7"/>
    <w:rsid w:val="008C2FFB"/>
    <w:rsid w:val="008C3DDC"/>
    <w:rsid w:val="008C6B23"/>
    <w:rsid w:val="008C6EEA"/>
    <w:rsid w:val="008C74CE"/>
    <w:rsid w:val="008D0027"/>
    <w:rsid w:val="008D035D"/>
    <w:rsid w:val="008D11C1"/>
    <w:rsid w:val="008D2C84"/>
    <w:rsid w:val="008D4912"/>
    <w:rsid w:val="008D4A1F"/>
    <w:rsid w:val="008D5813"/>
    <w:rsid w:val="008D634E"/>
    <w:rsid w:val="008D6857"/>
    <w:rsid w:val="008D6F15"/>
    <w:rsid w:val="008D7384"/>
    <w:rsid w:val="008D778A"/>
    <w:rsid w:val="008E04E8"/>
    <w:rsid w:val="008E0BF6"/>
    <w:rsid w:val="008E1069"/>
    <w:rsid w:val="008E1F3B"/>
    <w:rsid w:val="008E373A"/>
    <w:rsid w:val="008E5958"/>
    <w:rsid w:val="008E65CB"/>
    <w:rsid w:val="008F22BD"/>
    <w:rsid w:val="008F5E06"/>
    <w:rsid w:val="008F6A57"/>
    <w:rsid w:val="00900C72"/>
    <w:rsid w:val="00900F06"/>
    <w:rsid w:val="0090224C"/>
    <w:rsid w:val="0090294F"/>
    <w:rsid w:val="00903C1B"/>
    <w:rsid w:val="00907583"/>
    <w:rsid w:val="009079BD"/>
    <w:rsid w:val="00912BD9"/>
    <w:rsid w:val="00913CF4"/>
    <w:rsid w:val="00915A00"/>
    <w:rsid w:val="009161F6"/>
    <w:rsid w:val="0091650E"/>
    <w:rsid w:val="00916CFB"/>
    <w:rsid w:val="0091796E"/>
    <w:rsid w:val="00920ADA"/>
    <w:rsid w:val="00920E5B"/>
    <w:rsid w:val="009215E5"/>
    <w:rsid w:val="009219D3"/>
    <w:rsid w:val="00923730"/>
    <w:rsid w:val="009249F8"/>
    <w:rsid w:val="009253E4"/>
    <w:rsid w:val="009256E8"/>
    <w:rsid w:val="00926436"/>
    <w:rsid w:val="009274E5"/>
    <w:rsid w:val="00927B63"/>
    <w:rsid w:val="0093018C"/>
    <w:rsid w:val="009321BC"/>
    <w:rsid w:val="00932C18"/>
    <w:rsid w:val="00932CCA"/>
    <w:rsid w:val="0093650B"/>
    <w:rsid w:val="00940AE8"/>
    <w:rsid w:val="00941C55"/>
    <w:rsid w:val="0094512F"/>
    <w:rsid w:val="00946A66"/>
    <w:rsid w:val="00947A6A"/>
    <w:rsid w:val="00947C07"/>
    <w:rsid w:val="0095032D"/>
    <w:rsid w:val="00950EC4"/>
    <w:rsid w:val="00953E57"/>
    <w:rsid w:val="0095401A"/>
    <w:rsid w:val="009544C0"/>
    <w:rsid w:val="00954A7D"/>
    <w:rsid w:val="00954FA4"/>
    <w:rsid w:val="00956304"/>
    <w:rsid w:val="00956AE9"/>
    <w:rsid w:val="009617AF"/>
    <w:rsid w:val="00962686"/>
    <w:rsid w:val="00964CC6"/>
    <w:rsid w:val="00964CED"/>
    <w:rsid w:val="00964E0D"/>
    <w:rsid w:val="00967B56"/>
    <w:rsid w:val="00967BA1"/>
    <w:rsid w:val="00967EEC"/>
    <w:rsid w:val="00971A3B"/>
    <w:rsid w:val="009745FD"/>
    <w:rsid w:val="009800EF"/>
    <w:rsid w:val="009801EA"/>
    <w:rsid w:val="00981C61"/>
    <w:rsid w:val="00982A0D"/>
    <w:rsid w:val="00983E8F"/>
    <w:rsid w:val="0098429B"/>
    <w:rsid w:val="00984424"/>
    <w:rsid w:val="00985A60"/>
    <w:rsid w:val="00985BAB"/>
    <w:rsid w:val="00991FDA"/>
    <w:rsid w:val="009927A1"/>
    <w:rsid w:val="00992E80"/>
    <w:rsid w:val="00993BB0"/>
    <w:rsid w:val="0099774D"/>
    <w:rsid w:val="00997BC7"/>
    <w:rsid w:val="009A099E"/>
    <w:rsid w:val="009A2953"/>
    <w:rsid w:val="009A2F88"/>
    <w:rsid w:val="009A310E"/>
    <w:rsid w:val="009A355D"/>
    <w:rsid w:val="009A3A2A"/>
    <w:rsid w:val="009A5099"/>
    <w:rsid w:val="009A5F3B"/>
    <w:rsid w:val="009A728F"/>
    <w:rsid w:val="009A733C"/>
    <w:rsid w:val="009B053D"/>
    <w:rsid w:val="009B0B61"/>
    <w:rsid w:val="009B28C0"/>
    <w:rsid w:val="009B395A"/>
    <w:rsid w:val="009B7136"/>
    <w:rsid w:val="009B7806"/>
    <w:rsid w:val="009C0977"/>
    <w:rsid w:val="009C1A10"/>
    <w:rsid w:val="009C3AC2"/>
    <w:rsid w:val="009C48A8"/>
    <w:rsid w:val="009C50C6"/>
    <w:rsid w:val="009C6700"/>
    <w:rsid w:val="009D0B23"/>
    <w:rsid w:val="009D0BFB"/>
    <w:rsid w:val="009D2A0D"/>
    <w:rsid w:val="009D38D7"/>
    <w:rsid w:val="009D4365"/>
    <w:rsid w:val="009D4E3B"/>
    <w:rsid w:val="009D6431"/>
    <w:rsid w:val="009D6AB6"/>
    <w:rsid w:val="009D6D8F"/>
    <w:rsid w:val="009D7BC9"/>
    <w:rsid w:val="009D7FFD"/>
    <w:rsid w:val="009E0C5A"/>
    <w:rsid w:val="009E16EB"/>
    <w:rsid w:val="009E1982"/>
    <w:rsid w:val="009E2240"/>
    <w:rsid w:val="009E35D5"/>
    <w:rsid w:val="009E4D2C"/>
    <w:rsid w:val="009F06E6"/>
    <w:rsid w:val="009F0709"/>
    <w:rsid w:val="009F0978"/>
    <w:rsid w:val="009F1AB5"/>
    <w:rsid w:val="009F33EC"/>
    <w:rsid w:val="009F3AEC"/>
    <w:rsid w:val="009F6714"/>
    <w:rsid w:val="00A00081"/>
    <w:rsid w:val="00A015F7"/>
    <w:rsid w:val="00A0210E"/>
    <w:rsid w:val="00A06A09"/>
    <w:rsid w:val="00A06ED3"/>
    <w:rsid w:val="00A07FB7"/>
    <w:rsid w:val="00A10D56"/>
    <w:rsid w:val="00A11D2A"/>
    <w:rsid w:val="00A12AAE"/>
    <w:rsid w:val="00A13824"/>
    <w:rsid w:val="00A16236"/>
    <w:rsid w:val="00A16DD1"/>
    <w:rsid w:val="00A1760B"/>
    <w:rsid w:val="00A221AB"/>
    <w:rsid w:val="00A22441"/>
    <w:rsid w:val="00A23E2C"/>
    <w:rsid w:val="00A23F3B"/>
    <w:rsid w:val="00A24406"/>
    <w:rsid w:val="00A25077"/>
    <w:rsid w:val="00A255F8"/>
    <w:rsid w:val="00A25F64"/>
    <w:rsid w:val="00A26F2E"/>
    <w:rsid w:val="00A27434"/>
    <w:rsid w:val="00A278DF"/>
    <w:rsid w:val="00A27CC2"/>
    <w:rsid w:val="00A3085D"/>
    <w:rsid w:val="00A31452"/>
    <w:rsid w:val="00A31585"/>
    <w:rsid w:val="00A3273B"/>
    <w:rsid w:val="00A34220"/>
    <w:rsid w:val="00A359BB"/>
    <w:rsid w:val="00A36C3D"/>
    <w:rsid w:val="00A40ED6"/>
    <w:rsid w:val="00A41F80"/>
    <w:rsid w:val="00A438B5"/>
    <w:rsid w:val="00A445C7"/>
    <w:rsid w:val="00A470EE"/>
    <w:rsid w:val="00A47621"/>
    <w:rsid w:val="00A479CD"/>
    <w:rsid w:val="00A50CFC"/>
    <w:rsid w:val="00A52D21"/>
    <w:rsid w:val="00A52FDD"/>
    <w:rsid w:val="00A5309F"/>
    <w:rsid w:val="00A54421"/>
    <w:rsid w:val="00A545DE"/>
    <w:rsid w:val="00A54D67"/>
    <w:rsid w:val="00A55A3F"/>
    <w:rsid w:val="00A566CB"/>
    <w:rsid w:val="00A56BC4"/>
    <w:rsid w:val="00A574DD"/>
    <w:rsid w:val="00A57A96"/>
    <w:rsid w:val="00A60408"/>
    <w:rsid w:val="00A60443"/>
    <w:rsid w:val="00A6078C"/>
    <w:rsid w:val="00A63C53"/>
    <w:rsid w:val="00A65085"/>
    <w:rsid w:val="00A652F6"/>
    <w:rsid w:val="00A671AF"/>
    <w:rsid w:val="00A67E24"/>
    <w:rsid w:val="00A70E13"/>
    <w:rsid w:val="00A71931"/>
    <w:rsid w:val="00A71EBA"/>
    <w:rsid w:val="00A7274D"/>
    <w:rsid w:val="00A730BC"/>
    <w:rsid w:val="00A732EA"/>
    <w:rsid w:val="00A747DB"/>
    <w:rsid w:val="00A7489E"/>
    <w:rsid w:val="00A762BA"/>
    <w:rsid w:val="00A8015F"/>
    <w:rsid w:val="00A80942"/>
    <w:rsid w:val="00A80BD2"/>
    <w:rsid w:val="00A83167"/>
    <w:rsid w:val="00A83623"/>
    <w:rsid w:val="00A83F40"/>
    <w:rsid w:val="00A84C33"/>
    <w:rsid w:val="00A85039"/>
    <w:rsid w:val="00A851F7"/>
    <w:rsid w:val="00A86C90"/>
    <w:rsid w:val="00A8766A"/>
    <w:rsid w:val="00A906AA"/>
    <w:rsid w:val="00A90E1C"/>
    <w:rsid w:val="00A94C5E"/>
    <w:rsid w:val="00A96EE1"/>
    <w:rsid w:val="00A97E46"/>
    <w:rsid w:val="00AA241A"/>
    <w:rsid w:val="00AA252C"/>
    <w:rsid w:val="00AA2FAB"/>
    <w:rsid w:val="00AA3C5F"/>
    <w:rsid w:val="00AA666E"/>
    <w:rsid w:val="00AA6935"/>
    <w:rsid w:val="00AA738D"/>
    <w:rsid w:val="00AB044C"/>
    <w:rsid w:val="00AB0660"/>
    <w:rsid w:val="00AB2234"/>
    <w:rsid w:val="00AB2BB0"/>
    <w:rsid w:val="00AB5285"/>
    <w:rsid w:val="00AB54F8"/>
    <w:rsid w:val="00AB5518"/>
    <w:rsid w:val="00AB70C1"/>
    <w:rsid w:val="00AC01D4"/>
    <w:rsid w:val="00AC0935"/>
    <w:rsid w:val="00AC164F"/>
    <w:rsid w:val="00AC192C"/>
    <w:rsid w:val="00AC3EEE"/>
    <w:rsid w:val="00AC4A04"/>
    <w:rsid w:val="00AC506A"/>
    <w:rsid w:val="00AC7518"/>
    <w:rsid w:val="00AD0A6F"/>
    <w:rsid w:val="00AD14DE"/>
    <w:rsid w:val="00AD2C3C"/>
    <w:rsid w:val="00AD2E4D"/>
    <w:rsid w:val="00AD336F"/>
    <w:rsid w:val="00AD3550"/>
    <w:rsid w:val="00AD3749"/>
    <w:rsid w:val="00AD4FF9"/>
    <w:rsid w:val="00AD6725"/>
    <w:rsid w:val="00AD67D8"/>
    <w:rsid w:val="00AD7BB7"/>
    <w:rsid w:val="00AE1B52"/>
    <w:rsid w:val="00AE2564"/>
    <w:rsid w:val="00AE2DCB"/>
    <w:rsid w:val="00AE301F"/>
    <w:rsid w:val="00AE3302"/>
    <w:rsid w:val="00AE463D"/>
    <w:rsid w:val="00AE516D"/>
    <w:rsid w:val="00AE53E2"/>
    <w:rsid w:val="00AE628B"/>
    <w:rsid w:val="00AE7077"/>
    <w:rsid w:val="00AE7BEA"/>
    <w:rsid w:val="00AF094A"/>
    <w:rsid w:val="00AF197B"/>
    <w:rsid w:val="00AF1F37"/>
    <w:rsid w:val="00AF5910"/>
    <w:rsid w:val="00AF61C2"/>
    <w:rsid w:val="00AF6A89"/>
    <w:rsid w:val="00AF6CC6"/>
    <w:rsid w:val="00B011CD"/>
    <w:rsid w:val="00B01F3F"/>
    <w:rsid w:val="00B0231D"/>
    <w:rsid w:val="00B0296A"/>
    <w:rsid w:val="00B03557"/>
    <w:rsid w:val="00B035EF"/>
    <w:rsid w:val="00B04E08"/>
    <w:rsid w:val="00B04E5E"/>
    <w:rsid w:val="00B05B05"/>
    <w:rsid w:val="00B05EED"/>
    <w:rsid w:val="00B063F8"/>
    <w:rsid w:val="00B06C30"/>
    <w:rsid w:val="00B074EF"/>
    <w:rsid w:val="00B07D7C"/>
    <w:rsid w:val="00B12295"/>
    <w:rsid w:val="00B1317A"/>
    <w:rsid w:val="00B137BE"/>
    <w:rsid w:val="00B1449B"/>
    <w:rsid w:val="00B144F9"/>
    <w:rsid w:val="00B152F1"/>
    <w:rsid w:val="00B17FA0"/>
    <w:rsid w:val="00B2246D"/>
    <w:rsid w:val="00B22EE2"/>
    <w:rsid w:val="00B23650"/>
    <w:rsid w:val="00B24344"/>
    <w:rsid w:val="00B25ED2"/>
    <w:rsid w:val="00B2608B"/>
    <w:rsid w:val="00B26769"/>
    <w:rsid w:val="00B2729D"/>
    <w:rsid w:val="00B31C91"/>
    <w:rsid w:val="00B31CE6"/>
    <w:rsid w:val="00B32A68"/>
    <w:rsid w:val="00B332A4"/>
    <w:rsid w:val="00B33725"/>
    <w:rsid w:val="00B34195"/>
    <w:rsid w:val="00B3747F"/>
    <w:rsid w:val="00B40B57"/>
    <w:rsid w:val="00B41635"/>
    <w:rsid w:val="00B42FD0"/>
    <w:rsid w:val="00B43194"/>
    <w:rsid w:val="00B44966"/>
    <w:rsid w:val="00B45067"/>
    <w:rsid w:val="00B456FB"/>
    <w:rsid w:val="00B45B19"/>
    <w:rsid w:val="00B45C16"/>
    <w:rsid w:val="00B47734"/>
    <w:rsid w:val="00B47CCC"/>
    <w:rsid w:val="00B50FBA"/>
    <w:rsid w:val="00B51CBB"/>
    <w:rsid w:val="00B51EE9"/>
    <w:rsid w:val="00B54E20"/>
    <w:rsid w:val="00B558EB"/>
    <w:rsid w:val="00B55F3B"/>
    <w:rsid w:val="00B5776F"/>
    <w:rsid w:val="00B577D3"/>
    <w:rsid w:val="00B60466"/>
    <w:rsid w:val="00B62CE4"/>
    <w:rsid w:val="00B64FF4"/>
    <w:rsid w:val="00B6548F"/>
    <w:rsid w:val="00B6559C"/>
    <w:rsid w:val="00B71A1B"/>
    <w:rsid w:val="00B71BE0"/>
    <w:rsid w:val="00B7502A"/>
    <w:rsid w:val="00B75B57"/>
    <w:rsid w:val="00B762BD"/>
    <w:rsid w:val="00B77305"/>
    <w:rsid w:val="00B823F4"/>
    <w:rsid w:val="00B82CC2"/>
    <w:rsid w:val="00B844D1"/>
    <w:rsid w:val="00B84A89"/>
    <w:rsid w:val="00B8641B"/>
    <w:rsid w:val="00B87129"/>
    <w:rsid w:val="00B92247"/>
    <w:rsid w:val="00B92BEF"/>
    <w:rsid w:val="00B9689A"/>
    <w:rsid w:val="00B9742D"/>
    <w:rsid w:val="00B97AB0"/>
    <w:rsid w:val="00BA074B"/>
    <w:rsid w:val="00BA151E"/>
    <w:rsid w:val="00BA1FFA"/>
    <w:rsid w:val="00BA2068"/>
    <w:rsid w:val="00BA2666"/>
    <w:rsid w:val="00BA2D51"/>
    <w:rsid w:val="00BA3520"/>
    <w:rsid w:val="00BA67EE"/>
    <w:rsid w:val="00BA6F1B"/>
    <w:rsid w:val="00BA794B"/>
    <w:rsid w:val="00BA7FF1"/>
    <w:rsid w:val="00BB06CB"/>
    <w:rsid w:val="00BB1079"/>
    <w:rsid w:val="00BB261F"/>
    <w:rsid w:val="00BB2887"/>
    <w:rsid w:val="00BB5AFE"/>
    <w:rsid w:val="00BB5EAA"/>
    <w:rsid w:val="00BB5F11"/>
    <w:rsid w:val="00BC0401"/>
    <w:rsid w:val="00BC04FA"/>
    <w:rsid w:val="00BC1C22"/>
    <w:rsid w:val="00BC28C2"/>
    <w:rsid w:val="00BC2CFE"/>
    <w:rsid w:val="00BC460B"/>
    <w:rsid w:val="00BC48E2"/>
    <w:rsid w:val="00BC4BCD"/>
    <w:rsid w:val="00BC5725"/>
    <w:rsid w:val="00BC5E2A"/>
    <w:rsid w:val="00BC6BA2"/>
    <w:rsid w:val="00BC76F6"/>
    <w:rsid w:val="00BC7AFD"/>
    <w:rsid w:val="00BD1CBC"/>
    <w:rsid w:val="00BD2444"/>
    <w:rsid w:val="00BD2859"/>
    <w:rsid w:val="00BD2E26"/>
    <w:rsid w:val="00BD30B1"/>
    <w:rsid w:val="00BD3D57"/>
    <w:rsid w:val="00BD491B"/>
    <w:rsid w:val="00BD51C1"/>
    <w:rsid w:val="00BD55BE"/>
    <w:rsid w:val="00BE0502"/>
    <w:rsid w:val="00BE0F7B"/>
    <w:rsid w:val="00BE10C2"/>
    <w:rsid w:val="00BE2BB3"/>
    <w:rsid w:val="00BE30B1"/>
    <w:rsid w:val="00BE7F14"/>
    <w:rsid w:val="00BF38C3"/>
    <w:rsid w:val="00BF3E13"/>
    <w:rsid w:val="00BF4898"/>
    <w:rsid w:val="00BF5973"/>
    <w:rsid w:val="00C01D14"/>
    <w:rsid w:val="00C01EE5"/>
    <w:rsid w:val="00C023ED"/>
    <w:rsid w:val="00C025B4"/>
    <w:rsid w:val="00C0271E"/>
    <w:rsid w:val="00C0275F"/>
    <w:rsid w:val="00C0278A"/>
    <w:rsid w:val="00C03BC6"/>
    <w:rsid w:val="00C040EF"/>
    <w:rsid w:val="00C048F1"/>
    <w:rsid w:val="00C057C1"/>
    <w:rsid w:val="00C05D92"/>
    <w:rsid w:val="00C0666A"/>
    <w:rsid w:val="00C0695B"/>
    <w:rsid w:val="00C10283"/>
    <w:rsid w:val="00C10AFE"/>
    <w:rsid w:val="00C118DA"/>
    <w:rsid w:val="00C11F61"/>
    <w:rsid w:val="00C1511C"/>
    <w:rsid w:val="00C15250"/>
    <w:rsid w:val="00C15CE6"/>
    <w:rsid w:val="00C161FD"/>
    <w:rsid w:val="00C174B3"/>
    <w:rsid w:val="00C17C21"/>
    <w:rsid w:val="00C20360"/>
    <w:rsid w:val="00C22105"/>
    <w:rsid w:val="00C23192"/>
    <w:rsid w:val="00C23F17"/>
    <w:rsid w:val="00C245CC"/>
    <w:rsid w:val="00C26A95"/>
    <w:rsid w:val="00C26D0D"/>
    <w:rsid w:val="00C27217"/>
    <w:rsid w:val="00C2756D"/>
    <w:rsid w:val="00C27C95"/>
    <w:rsid w:val="00C300D2"/>
    <w:rsid w:val="00C3270F"/>
    <w:rsid w:val="00C3278B"/>
    <w:rsid w:val="00C32CDF"/>
    <w:rsid w:val="00C33026"/>
    <w:rsid w:val="00C33375"/>
    <w:rsid w:val="00C3397A"/>
    <w:rsid w:val="00C34285"/>
    <w:rsid w:val="00C34C23"/>
    <w:rsid w:val="00C34C4E"/>
    <w:rsid w:val="00C3515D"/>
    <w:rsid w:val="00C367D4"/>
    <w:rsid w:val="00C36C46"/>
    <w:rsid w:val="00C37104"/>
    <w:rsid w:val="00C42005"/>
    <w:rsid w:val="00C430A2"/>
    <w:rsid w:val="00C44446"/>
    <w:rsid w:val="00C446EB"/>
    <w:rsid w:val="00C45257"/>
    <w:rsid w:val="00C4664D"/>
    <w:rsid w:val="00C46A4D"/>
    <w:rsid w:val="00C472AA"/>
    <w:rsid w:val="00C47E27"/>
    <w:rsid w:val="00C50305"/>
    <w:rsid w:val="00C50A05"/>
    <w:rsid w:val="00C5271B"/>
    <w:rsid w:val="00C52AB3"/>
    <w:rsid w:val="00C52DD1"/>
    <w:rsid w:val="00C533F2"/>
    <w:rsid w:val="00C541A8"/>
    <w:rsid w:val="00C54AED"/>
    <w:rsid w:val="00C55B2F"/>
    <w:rsid w:val="00C6010D"/>
    <w:rsid w:val="00C6387C"/>
    <w:rsid w:val="00C63A78"/>
    <w:rsid w:val="00C63D00"/>
    <w:rsid w:val="00C6441B"/>
    <w:rsid w:val="00C7032E"/>
    <w:rsid w:val="00C7108B"/>
    <w:rsid w:val="00C71E66"/>
    <w:rsid w:val="00C72B11"/>
    <w:rsid w:val="00C73B2B"/>
    <w:rsid w:val="00C740C8"/>
    <w:rsid w:val="00C7410D"/>
    <w:rsid w:val="00C75B13"/>
    <w:rsid w:val="00C8089F"/>
    <w:rsid w:val="00C80950"/>
    <w:rsid w:val="00C82C27"/>
    <w:rsid w:val="00C82D5C"/>
    <w:rsid w:val="00C836CC"/>
    <w:rsid w:val="00C84F7B"/>
    <w:rsid w:val="00C853C9"/>
    <w:rsid w:val="00C87A74"/>
    <w:rsid w:val="00C90A71"/>
    <w:rsid w:val="00C91574"/>
    <w:rsid w:val="00C91A1B"/>
    <w:rsid w:val="00C91BC2"/>
    <w:rsid w:val="00C92835"/>
    <w:rsid w:val="00C92C71"/>
    <w:rsid w:val="00C92D7B"/>
    <w:rsid w:val="00C938E5"/>
    <w:rsid w:val="00C93F8F"/>
    <w:rsid w:val="00C94BF2"/>
    <w:rsid w:val="00C9700F"/>
    <w:rsid w:val="00CA05C0"/>
    <w:rsid w:val="00CA0B56"/>
    <w:rsid w:val="00CA1117"/>
    <w:rsid w:val="00CA2100"/>
    <w:rsid w:val="00CA2745"/>
    <w:rsid w:val="00CA3593"/>
    <w:rsid w:val="00CA4D70"/>
    <w:rsid w:val="00CA526E"/>
    <w:rsid w:val="00CA553A"/>
    <w:rsid w:val="00CA6187"/>
    <w:rsid w:val="00CA66B9"/>
    <w:rsid w:val="00CA72B6"/>
    <w:rsid w:val="00CA7F4F"/>
    <w:rsid w:val="00CB0FB5"/>
    <w:rsid w:val="00CB258E"/>
    <w:rsid w:val="00CB3801"/>
    <w:rsid w:val="00CB3BA3"/>
    <w:rsid w:val="00CB3C8F"/>
    <w:rsid w:val="00CB3ED7"/>
    <w:rsid w:val="00CB75CE"/>
    <w:rsid w:val="00CC02F1"/>
    <w:rsid w:val="00CC0E8D"/>
    <w:rsid w:val="00CC0F9E"/>
    <w:rsid w:val="00CC11A6"/>
    <w:rsid w:val="00CC123D"/>
    <w:rsid w:val="00CC135E"/>
    <w:rsid w:val="00CC36B1"/>
    <w:rsid w:val="00CC472B"/>
    <w:rsid w:val="00CC4936"/>
    <w:rsid w:val="00CC635B"/>
    <w:rsid w:val="00CC6CF7"/>
    <w:rsid w:val="00CD09B9"/>
    <w:rsid w:val="00CD0A77"/>
    <w:rsid w:val="00CD112A"/>
    <w:rsid w:val="00CD3CDD"/>
    <w:rsid w:val="00CD4C93"/>
    <w:rsid w:val="00CD5D3F"/>
    <w:rsid w:val="00CE2C1A"/>
    <w:rsid w:val="00CE3204"/>
    <w:rsid w:val="00CE44E9"/>
    <w:rsid w:val="00CE4EC0"/>
    <w:rsid w:val="00CE6798"/>
    <w:rsid w:val="00CF1BAB"/>
    <w:rsid w:val="00CF1E90"/>
    <w:rsid w:val="00CF3DB3"/>
    <w:rsid w:val="00CF3DF2"/>
    <w:rsid w:val="00CF4FCB"/>
    <w:rsid w:val="00CF5F00"/>
    <w:rsid w:val="00CF613C"/>
    <w:rsid w:val="00CF67F6"/>
    <w:rsid w:val="00CF6D2C"/>
    <w:rsid w:val="00CF79D5"/>
    <w:rsid w:val="00D01AA6"/>
    <w:rsid w:val="00D02332"/>
    <w:rsid w:val="00D02B37"/>
    <w:rsid w:val="00D02E58"/>
    <w:rsid w:val="00D04E83"/>
    <w:rsid w:val="00D052BC"/>
    <w:rsid w:val="00D07026"/>
    <w:rsid w:val="00D07100"/>
    <w:rsid w:val="00D07BAB"/>
    <w:rsid w:val="00D07DDD"/>
    <w:rsid w:val="00D11C62"/>
    <w:rsid w:val="00D1311A"/>
    <w:rsid w:val="00D17E32"/>
    <w:rsid w:val="00D202C2"/>
    <w:rsid w:val="00D22C8F"/>
    <w:rsid w:val="00D2336D"/>
    <w:rsid w:val="00D23DF1"/>
    <w:rsid w:val="00D240AC"/>
    <w:rsid w:val="00D24B09"/>
    <w:rsid w:val="00D25CF6"/>
    <w:rsid w:val="00D3054E"/>
    <w:rsid w:val="00D317B5"/>
    <w:rsid w:val="00D31A09"/>
    <w:rsid w:val="00D320D4"/>
    <w:rsid w:val="00D33491"/>
    <w:rsid w:val="00D3599B"/>
    <w:rsid w:val="00D3673C"/>
    <w:rsid w:val="00D4030D"/>
    <w:rsid w:val="00D4400A"/>
    <w:rsid w:val="00D44547"/>
    <w:rsid w:val="00D44F8E"/>
    <w:rsid w:val="00D44FD0"/>
    <w:rsid w:val="00D45DEA"/>
    <w:rsid w:val="00D47B8C"/>
    <w:rsid w:val="00D51134"/>
    <w:rsid w:val="00D51763"/>
    <w:rsid w:val="00D5282F"/>
    <w:rsid w:val="00D55C49"/>
    <w:rsid w:val="00D5733C"/>
    <w:rsid w:val="00D607EF"/>
    <w:rsid w:val="00D60F88"/>
    <w:rsid w:val="00D625E7"/>
    <w:rsid w:val="00D6265D"/>
    <w:rsid w:val="00D646BD"/>
    <w:rsid w:val="00D65FDF"/>
    <w:rsid w:val="00D6711D"/>
    <w:rsid w:val="00D676ED"/>
    <w:rsid w:val="00D70239"/>
    <w:rsid w:val="00D70E4D"/>
    <w:rsid w:val="00D71201"/>
    <w:rsid w:val="00D71867"/>
    <w:rsid w:val="00D71C11"/>
    <w:rsid w:val="00D720C7"/>
    <w:rsid w:val="00D72D0B"/>
    <w:rsid w:val="00D73073"/>
    <w:rsid w:val="00D73DE1"/>
    <w:rsid w:val="00D75687"/>
    <w:rsid w:val="00D76801"/>
    <w:rsid w:val="00D7695A"/>
    <w:rsid w:val="00D77526"/>
    <w:rsid w:val="00D77A04"/>
    <w:rsid w:val="00D800C8"/>
    <w:rsid w:val="00D81596"/>
    <w:rsid w:val="00D81D06"/>
    <w:rsid w:val="00D82A67"/>
    <w:rsid w:val="00D83361"/>
    <w:rsid w:val="00D84215"/>
    <w:rsid w:val="00D84724"/>
    <w:rsid w:val="00D84A5F"/>
    <w:rsid w:val="00D84BC1"/>
    <w:rsid w:val="00D85E8F"/>
    <w:rsid w:val="00D8652C"/>
    <w:rsid w:val="00D86CDF"/>
    <w:rsid w:val="00D876E6"/>
    <w:rsid w:val="00D91D33"/>
    <w:rsid w:val="00D93EB3"/>
    <w:rsid w:val="00D94466"/>
    <w:rsid w:val="00D947C5"/>
    <w:rsid w:val="00D94A8C"/>
    <w:rsid w:val="00D954A0"/>
    <w:rsid w:val="00D95710"/>
    <w:rsid w:val="00D9575D"/>
    <w:rsid w:val="00DA0BAA"/>
    <w:rsid w:val="00DA1025"/>
    <w:rsid w:val="00DA1848"/>
    <w:rsid w:val="00DA1AB0"/>
    <w:rsid w:val="00DA22EC"/>
    <w:rsid w:val="00DA37EC"/>
    <w:rsid w:val="00DA3ED1"/>
    <w:rsid w:val="00DA483E"/>
    <w:rsid w:val="00DA56A1"/>
    <w:rsid w:val="00DA5860"/>
    <w:rsid w:val="00DA6E90"/>
    <w:rsid w:val="00DA7669"/>
    <w:rsid w:val="00DA7E09"/>
    <w:rsid w:val="00DB2767"/>
    <w:rsid w:val="00DB46FE"/>
    <w:rsid w:val="00DB4F61"/>
    <w:rsid w:val="00DB7175"/>
    <w:rsid w:val="00DC1D53"/>
    <w:rsid w:val="00DC25AC"/>
    <w:rsid w:val="00DC2775"/>
    <w:rsid w:val="00DC4729"/>
    <w:rsid w:val="00DC496E"/>
    <w:rsid w:val="00DD2692"/>
    <w:rsid w:val="00DD2E3D"/>
    <w:rsid w:val="00DD3676"/>
    <w:rsid w:val="00DD4CBB"/>
    <w:rsid w:val="00DE023B"/>
    <w:rsid w:val="00DE3AAB"/>
    <w:rsid w:val="00DE4CC1"/>
    <w:rsid w:val="00DE5379"/>
    <w:rsid w:val="00DE556F"/>
    <w:rsid w:val="00DF0292"/>
    <w:rsid w:val="00DF188A"/>
    <w:rsid w:val="00DF6297"/>
    <w:rsid w:val="00DF65B9"/>
    <w:rsid w:val="00E0179C"/>
    <w:rsid w:val="00E024F3"/>
    <w:rsid w:val="00E031E0"/>
    <w:rsid w:val="00E03B6D"/>
    <w:rsid w:val="00E0453E"/>
    <w:rsid w:val="00E04B10"/>
    <w:rsid w:val="00E0649E"/>
    <w:rsid w:val="00E073A7"/>
    <w:rsid w:val="00E107E3"/>
    <w:rsid w:val="00E134FA"/>
    <w:rsid w:val="00E1354E"/>
    <w:rsid w:val="00E137EA"/>
    <w:rsid w:val="00E1397C"/>
    <w:rsid w:val="00E13C9F"/>
    <w:rsid w:val="00E144F4"/>
    <w:rsid w:val="00E15AE4"/>
    <w:rsid w:val="00E17160"/>
    <w:rsid w:val="00E209C2"/>
    <w:rsid w:val="00E228BE"/>
    <w:rsid w:val="00E22AE3"/>
    <w:rsid w:val="00E235E7"/>
    <w:rsid w:val="00E243C2"/>
    <w:rsid w:val="00E25151"/>
    <w:rsid w:val="00E27551"/>
    <w:rsid w:val="00E30DB5"/>
    <w:rsid w:val="00E31961"/>
    <w:rsid w:val="00E326AB"/>
    <w:rsid w:val="00E342BD"/>
    <w:rsid w:val="00E34B53"/>
    <w:rsid w:val="00E35BEC"/>
    <w:rsid w:val="00E36497"/>
    <w:rsid w:val="00E41F94"/>
    <w:rsid w:val="00E43A28"/>
    <w:rsid w:val="00E446CE"/>
    <w:rsid w:val="00E45930"/>
    <w:rsid w:val="00E4731D"/>
    <w:rsid w:val="00E47A3B"/>
    <w:rsid w:val="00E501E0"/>
    <w:rsid w:val="00E50821"/>
    <w:rsid w:val="00E50EF8"/>
    <w:rsid w:val="00E51F91"/>
    <w:rsid w:val="00E55ED2"/>
    <w:rsid w:val="00E57C2C"/>
    <w:rsid w:val="00E64024"/>
    <w:rsid w:val="00E6464F"/>
    <w:rsid w:val="00E651B1"/>
    <w:rsid w:val="00E65807"/>
    <w:rsid w:val="00E66C7F"/>
    <w:rsid w:val="00E676F7"/>
    <w:rsid w:val="00E67F9D"/>
    <w:rsid w:val="00E7086E"/>
    <w:rsid w:val="00E70AE3"/>
    <w:rsid w:val="00E7374A"/>
    <w:rsid w:val="00E73C41"/>
    <w:rsid w:val="00E7598F"/>
    <w:rsid w:val="00E75B90"/>
    <w:rsid w:val="00E769E3"/>
    <w:rsid w:val="00E76F60"/>
    <w:rsid w:val="00E8149D"/>
    <w:rsid w:val="00E82B8C"/>
    <w:rsid w:val="00E8311A"/>
    <w:rsid w:val="00E83D90"/>
    <w:rsid w:val="00E83F28"/>
    <w:rsid w:val="00E83F91"/>
    <w:rsid w:val="00E851AB"/>
    <w:rsid w:val="00E864A1"/>
    <w:rsid w:val="00E86F02"/>
    <w:rsid w:val="00E90D64"/>
    <w:rsid w:val="00E9107A"/>
    <w:rsid w:val="00E911B8"/>
    <w:rsid w:val="00E91F62"/>
    <w:rsid w:val="00E929FD"/>
    <w:rsid w:val="00E93240"/>
    <w:rsid w:val="00E9479B"/>
    <w:rsid w:val="00EA0577"/>
    <w:rsid w:val="00EA080C"/>
    <w:rsid w:val="00EA24A6"/>
    <w:rsid w:val="00EA28F1"/>
    <w:rsid w:val="00EA4D48"/>
    <w:rsid w:val="00EB03D0"/>
    <w:rsid w:val="00EB2173"/>
    <w:rsid w:val="00EB39AE"/>
    <w:rsid w:val="00EB62E6"/>
    <w:rsid w:val="00EB7253"/>
    <w:rsid w:val="00EC3E85"/>
    <w:rsid w:val="00EC6903"/>
    <w:rsid w:val="00ED087D"/>
    <w:rsid w:val="00ED1018"/>
    <w:rsid w:val="00ED1B30"/>
    <w:rsid w:val="00ED2023"/>
    <w:rsid w:val="00ED250E"/>
    <w:rsid w:val="00ED4485"/>
    <w:rsid w:val="00ED632E"/>
    <w:rsid w:val="00ED6535"/>
    <w:rsid w:val="00ED73E1"/>
    <w:rsid w:val="00ED7D0B"/>
    <w:rsid w:val="00EE07D5"/>
    <w:rsid w:val="00EE0CA7"/>
    <w:rsid w:val="00EE1AC1"/>
    <w:rsid w:val="00EE23EC"/>
    <w:rsid w:val="00EE39D6"/>
    <w:rsid w:val="00EE413C"/>
    <w:rsid w:val="00EE43A2"/>
    <w:rsid w:val="00EE52AD"/>
    <w:rsid w:val="00EE5E34"/>
    <w:rsid w:val="00EF1551"/>
    <w:rsid w:val="00EF29C0"/>
    <w:rsid w:val="00EF2E18"/>
    <w:rsid w:val="00EF30E0"/>
    <w:rsid w:val="00EF330B"/>
    <w:rsid w:val="00EF34EE"/>
    <w:rsid w:val="00EF3D4A"/>
    <w:rsid w:val="00EF694C"/>
    <w:rsid w:val="00EF6A70"/>
    <w:rsid w:val="00F01F92"/>
    <w:rsid w:val="00F02768"/>
    <w:rsid w:val="00F02B0E"/>
    <w:rsid w:val="00F043FE"/>
    <w:rsid w:val="00F059F5"/>
    <w:rsid w:val="00F07D4A"/>
    <w:rsid w:val="00F105BF"/>
    <w:rsid w:val="00F10A08"/>
    <w:rsid w:val="00F11137"/>
    <w:rsid w:val="00F115C4"/>
    <w:rsid w:val="00F11FFB"/>
    <w:rsid w:val="00F139CF"/>
    <w:rsid w:val="00F204AD"/>
    <w:rsid w:val="00F22AC5"/>
    <w:rsid w:val="00F22FEE"/>
    <w:rsid w:val="00F23875"/>
    <w:rsid w:val="00F2474E"/>
    <w:rsid w:val="00F254D1"/>
    <w:rsid w:val="00F26473"/>
    <w:rsid w:val="00F26A00"/>
    <w:rsid w:val="00F26F20"/>
    <w:rsid w:val="00F26FFF"/>
    <w:rsid w:val="00F2712B"/>
    <w:rsid w:val="00F2724D"/>
    <w:rsid w:val="00F300B7"/>
    <w:rsid w:val="00F32328"/>
    <w:rsid w:val="00F32B82"/>
    <w:rsid w:val="00F35200"/>
    <w:rsid w:val="00F35EAC"/>
    <w:rsid w:val="00F366A2"/>
    <w:rsid w:val="00F37C6A"/>
    <w:rsid w:val="00F4043E"/>
    <w:rsid w:val="00F40CB5"/>
    <w:rsid w:val="00F41BBC"/>
    <w:rsid w:val="00F41EED"/>
    <w:rsid w:val="00F439E1"/>
    <w:rsid w:val="00F43AFF"/>
    <w:rsid w:val="00F43B9D"/>
    <w:rsid w:val="00F444F0"/>
    <w:rsid w:val="00F44D78"/>
    <w:rsid w:val="00F458C5"/>
    <w:rsid w:val="00F476DB"/>
    <w:rsid w:val="00F50847"/>
    <w:rsid w:val="00F5274F"/>
    <w:rsid w:val="00F53F27"/>
    <w:rsid w:val="00F546D1"/>
    <w:rsid w:val="00F56CD4"/>
    <w:rsid w:val="00F5701C"/>
    <w:rsid w:val="00F574AC"/>
    <w:rsid w:val="00F576F3"/>
    <w:rsid w:val="00F578E1"/>
    <w:rsid w:val="00F6027A"/>
    <w:rsid w:val="00F6039D"/>
    <w:rsid w:val="00F645F1"/>
    <w:rsid w:val="00F6513F"/>
    <w:rsid w:val="00F66272"/>
    <w:rsid w:val="00F6704A"/>
    <w:rsid w:val="00F678E6"/>
    <w:rsid w:val="00F6ACA0"/>
    <w:rsid w:val="00F709C0"/>
    <w:rsid w:val="00F7299B"/>
    <w:rsid w:val="00F74A47"/>
    <w:rsid w:val="00F75314"/>
    <w:rsid w:val="00F76D34"/>
    <w:rsid w:val="00F77E00"/>
    <w:rsid w:val="00F81320"/>
    <w:rsid w:val="00F81829"/>
    <w:rsid w:val="00F82F8E"/>
    <w:rsid w:val="00F8349A"/>
    <w:rsid w:val="00F84C15"/>
    <w:rsid w:val="00F85381"/>
    <w:rsid w:val="00F85990"/>
    <w:rsid w:val="00F8610A"/>
    <w:rsid w:val="00F87BCE"/>
    <w:rsid w:val="00F91AE8"/>
    <w:rsid w:val="00F927A1"/>
    <w:rsid w:val="00F92E4D"/>
    <w:rsid w:val="00F93774"/>
    <w:rsid w:val="00F94392"/>
    <w:rsid w:val="00F959E1"/>
    <w:rsid w:val="00FA16E2"/>
    <w:rsid w:val="00FA2B9F"/>
    <w:rsid w:val="00FA315D"/>
    <w:rsid w:val="00FA3764"/>
    <w:rsid w:val="00FA4054"/>
    <w:rsid w:val="00FA56ED"/>
    <w:rsid w:val="00FA5A97"/>
    <w:rsid w:val="00FA6E07"/>
    <w:rsid w:val="00FB1695"/>
    <w:rsid w:val="00FB1A5F"/>
    <w:rsid w:val="00FB304E"/>
    <w:rsid w:val="00FB43AD"/>
    <w:rsid w:val="00FB47CD"/>
    <w:rsid w:val="00FB4ED4"/>
    <w:rsid w:val="00FB5FA6"/>
    <w:rsid w:val="00FB71A9"/>
    <w:rsid w:val="00FC1310"/>
    <w:rsid w:val="00FC1328"/>
    <w:rsid w:val="00FC2C6B"/>
    <w:rsid w:val="00FC2FF3"/>
    <w:rsid w:val="00FC3058"/>
    <w:rsid w:val="00FC3263"/>
    <w:rsid w:val="00FC3FC4"/>
    <w:rsid w:val="00FC51F9"/>
    <w:rsid w:val="00FC5B40"/>
    <w:rsid w:val="00FC5FF8"/>
    <w:rsid w:val="00FC6167"/>
    <w:rsid w:val="00FC6ADE"/>
    <w:rsid w:val="00FC702B"/>
    <w:rsid w:val="00FC765C"/>
    <w:rsid w:val="00FC7BC5"/>
    <w:rsid w:val="00FD090B"/>
    <w:rsid w:val="00FD1AEF"/>
    <w:rsid w:val="00FD3D7C"/>
    <w:rsid w:val="00FD3F35"/>
    <w:rsid w:val="00FD4F8F"/>
    <w:rsid w:val="00FD4FF1"/>
    <w:rsid w:val="00FD5907"/>
    <w:rsid w:val="00FD5FEA"/>
    <w:rsid w:val="00FD6ABA"/>
    <w:rsid w:val="00FD7600"/>
    <w:rsid w:val="00FD7A3A"/>
    <w:rsid w:val="00FE0C16"/>
    <w:rsid w:val="00FE1205"/>
    <w:rsid w:val="00FE14AD"/>
    <w:rsid w:val="00FE14B1"/>
    <w:rsid w:val="00FE1574"/>
    <w:rsid w:val="00FE1F6A"/>
    <w:rsid w:val="00FE2E91"/>
    <w:rsid w:val="00FE4042"/>
    <w:rsid w:val="00FE42CB"/>
    <w:rsid w:val="00FE5443"/>
    <w:rsid w:val="00FF0070"/>
    <w:rsid w:val="00FF2A6F"/>
    <w:rsid w:val="00FF31BE"/>
    <w:rsid w:val="00FF31EC"/>
    <w:rsid w:val="00FF5F6A"/>
    <w:rsid w:val="00FF6BE0"/>
    <w:rsid w:val="00FF74A4"/>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paragraph" w:styleId="NormalWeb">
    <w:name w:val="Normal (Web)"/>
    <w:basedOn w:val="Normal"/>
    <w:uiPriority w:val="99"/>
    <w:unhideWhenUsed/>
    <w:rsid w:val="00041595"/>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paragraph" w:customStyle="1" w:styleId="legclearfix">
    <w:name w:val="legclearfix"/>
    <w:basedOn w:val="Normal"/>
    <w:rsid w:val="003C418D"/>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legds">
    <w:name w:val="legds"/>
    <w:basedOn w:val="DefaultParagraphFont"/>
    <w:rsid w:val="003C418D"/>
  </w:style>
  <w:style w:type="character" w:customStyle="1" w:styleId="a">
    <w:name w:val="_"/>
    <w:basedOn w:val="DefaultParagraphFont"/>
    <w:rsid w:val="001550BB"/>
  </w:style>
  <w:style w:type="character" w:customStyle="1" w:styleId="fc4">
    <w:name w:val="fc4"/>
    <w:basedOn w:val="DefaultParagraphFont"/>
    <w:rsid w:val="001550BB"/>
  </w:style>
  <w:style w:type="character" w:customStyle="1" w:styleId="lsb">
    <w:name w:val="lsb"/>
    <w:basedOn w:val="DefaultParagraphFont"/>
    <w:rsid w:val="001550BB"/>
  </w:style>
  <w:style w:type="character" w:styleId="FollowedHyperlink">
    <w:name w:val="FollowedHyperlink"/>
    <w:basedOn w:val="DefaultParagraphFont"/>
    <w:uiPriority w:val="99"/>
    <w:semiHidden/>
    <w:unhideWhenUsed/>
    <w:rsid w:val="00236758"/>
    <w:rPr>
      <w:color w:val="954F72" w:themeColor="followedHyperlink"/>
      <w:u w:val="single"/>
    </w:rPr>
  </w:style>
  <w:style w:type="character" w:styleId="UnresolvedMention">
    <w:name w:val="Unresolved Mention"/>
    <w:basedOn w:val="DefaultParagraphFont"/>
    <w:uiPriority w:val="99"/>
    <w:semiHidden/>
    <w:unhideWhenUsed/>
    <w:rsid w:val="00364163"/>
    <w:rPr>
      <w:color w:val="605E5C"/>
      <w:shd w:val="clear" w:color="auto" w:fill="E1DFDD"/>
    </w:rPr>
  </w:style>
  <w:style w:type="character" w:customStyle="1" w:styleId="authors">
    <w:name w:val="authors"/>
    <w:basedOn w:val="DefaultParagraphFont"/>
    <w:rsid w:val="001645B7"/>
  </w:style>
  <w:style w:type="character" w:customStyle="1" w:styleId="Date1">
    <w:name w:val="Date1"/>
    <w:basedOn w:val="DefaultParagraphFont"/>
    <w:rsid w:val="001645B7"/>
  </w:style>
  <w:style w:type="character" w:customStyle="1" w:styleId="arttitle">
    <w:name w:val="art_title"/>
    <w:basedOn w:val="DefaultParagraphFont"/>
    <w:rsid w:val="001645B7"/>
  </w:style>
  <w:style w:type="character" w:customStyle="1" w:styleId="serialtitle">
    <w:name w:val="serial_title"/>
    <w:basedOn w:val="DefaultParagraphFont"/>
    <w:rsid w:val="001645B7"/>
  </w:style>
  <w:style w:type="character" w:customStyle="1" w:styleId="volumeissue">
    <w:name w:val="volume_issue"/>
    <w:basedOn w:val="DefaultParagraphFont"/>
    <w:rsid w:val="001645B7"/>
  </w:style>
  <w:style w:type="character" w:customStyle="1" w:styleId="pagerange">
    <w:name w:val="page_range"/>
    <w:basedOn w:val="DefaultParagraphFont"/>
    <w:rsid w:val="001645B7"/>
  </w:style>
  <w:style w:type="character" w:customStyle="1" w:styleId="doilink">
    <w:name w:val="doi_link"/>
    <w:basedOn w:val="DefaultParagraphFont"/>
    <w:rsid w:val="001645B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790352">
      <w:bodyDiv w:val="1"/>
      <w:marLeft w:val="0"/>
      <w:marRight w:val="0"/>
      <w:marTop w:val="0"/>
      <w:marBottom w:val="0"/>
      <w:divBdr>
        <w:top w:val="none" w:sz="0" w:space="0" w:color="auto"/>
        <w:left w:val="none" w:sz="0" w:space="0" w:color="auto"/>
        <w:bottom w:val="none" w:sz="0" w:space="0" w:color="auto"/>
        <w:right w:val="none" w:sz="0" w:space="0" w:color="auto"/>
      </w:divBdr>
    </w:div>
    <w:div w:id="96751968">
      <w:bodyDiv w:val="1"/>
      <w:marLeft w:val="0"/>
      <w:marRight w:val="0"/>
      <w:marTop w:val="0"/>
      <w:marBottom w:val="0"/>
      <w:divBdr>
        <w:top w:val="none" w:sz="0" w:space="0" w:color="auto"/>
        <w:left w:val="none" w:sz="0" w:space="0" w:color="auto"/>
        <w:bottom w:val="none" w:sz="0" w:space="0" w:color="auto"/>
        <w:right w:val="none" w:sz="0" w:space="0" w:color="auto"/>
      </w:divBdr>
    </w:div>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41773248">
      <w:bodyDiv w:val="1"/>
      <w:marLeft w:val="0"/>
      <w:marRight w:val="0"/>
      <w:marTop w:val="0"/>
      <w:marBottom w:val="0"/>
      <w:divBdr>
        <w:top w:val="none" w:sz="0" w:space="0" w:color="auto"/>
        <w:left w:val="none" w:sz="0" w:space="0" w:color="auto"/>
        <w:bottom w:val="none" w:sz="0" w:space="0" w:color="auto"/>
        <w:right w:val="none" w:sz="0" w:space="0" w:color="auto"/>
      </w:divBdr>
    </w:div>
    <w:div w:id="219559326">
      <w:bodyDiv w:val="1"/>
      <w:marLeft w:val="0"/>
      <w:marRight w:val="0"/>
      <w:marTop w:val="0"/>
      <w:marBottom w:val="0"/>
      <w:divBdr>
        <w:top w:val="none" w:sz="0" w:space="0" w:color="auto"/>
        <w:left w:val="none" w:sz="0" w:space="0" w:color="auto"/>
        <w:bottom w:val="none" w:sz="0" w:space="0" w:color="auto"/>
        <w:right w:val="none" w:sz="0" w:space="0" w:color="auto"/>
      </w:divBdr>
    </w:div>
    <w:div w:id="242645522">
      <w:bodyDiv w:val="1"/>
      <w:marLeft w:val="0"/>
      <w:marRight w:val="0"/>
      <w:marTop w:val="0"/>
      <w:marBottom w:val="0"/>
      <w:divBdr>
        <w:top w:val="none" w:sz="0" w:space="0" w:color="auto"/>
        <w:left w:val="none" w:sz="0" w:space="0" w:color="auto"/>
        <w:bottom w:val="none" w:sz="0" w:space="0" w:color="auto"/>
        <w:right w:val="none" w:sz="0" w:space="0" w:color="auto"/>
      </w:divBdr>
    </w:div>
    <w:div w:id="287198469">
      <w:bodyDiv w:val="1"/>
      <w:marLeft w:val="0"/>
      <w:marRight w:val="0"/>
      <w:marTop w:val="0"/>
      <w:marBottom w:val="0"/>
      <w:divBdr>
        <w:top w:val="none" w:sz="0" w:space="0" w:color="auto"/>
        <w:left w:val="none" w:sz="0" w:space="0" w:color="auto"/>
        <w:bottom w:val="none" w:sz="0" w:space="0" w:color="auto"/>
        <w:right w:val="none" w:sz="0" w:space="0" w:color="auto"/>
      </w:divBdr>
    </w:div>
    <w:div w:id="299845403">
      <w:bodyDiv w:val="1"/>
      <w:marLeft w:val="0"/>
      <w:marRight w:val="0"/>
      <w:marTop w:val="0"/>
      <w:marBottom w:val="0"/>
      <w:divBdr>
        <w:top w:val="none" w:sz="0" w:space="0" w:color="auto"/>
        <w:left w:val="none" w:sz="0" w:space="0" w:color="auto"/>
        <w:bottom w:val="none" w:sz="0" w:space="0" w:color="auto"/>
        <w:right w:val="none" w:sz="0" w:space="0" w:color="auto"/>
      </w:divBdr>
    </w:div>
    <w:div w:id="300622171">
      <w:bodyDiv w:val="1"/>
      <w:marLeft w:val="0"/>
      <w:marRight w:val="0"/>
      <w:marTop w:val="0"/>
      <w:marBottom w:val="0"/>
      <w:divBdr>
        <w:top w:val="none" w:sz="0" w:space="0" w:color="auto"/>
        <w:left w:val="none" w:sz="0" w:space="0" w:color="auto"/>
        <w:bottom w:val="none" w:sz="0" w:space="0" w:color="auto"/>
        <w:right w:val="none" w:sz="0" w:space="0" w:color="auto"/>
      </w:divBdr>
    </w:div>
    <w:div w:id="336427628">
      <w:bodyDiv w:val="1"/>
      <w:marLeft w:val="0"/>
      <w:marRight w:val="0"/>
      <w:marTop w:val="0"/>
      <w:marBottom w:val="0"/>
      <w:divBdr>
        <w:top w:val="none" w:sz="0" w:space="0" w:color="auto"/>
        <w:left w:val="none" w:sz="0" w:space="0" w:color="auto"/>
        <w:bottom w:val="none" w:sz="0" w:space="0" w:color="auto"/>
        <w:right w:val="none" w:sz="0" w:space="0" w:color="auto"/>
      </w:divBdr>
    </w:div>
    <w:div w:id="481656658">
      <w:bodyDiv w:val="1"/>
      <w:marLeft w:val="0"/>
      <w:marRight w:val="0"/>
      <w:marTop w:val="0"/>
      <w:marBottom w:val="0"/>
      <w:divBdr>
        <w:top w:val="none" w:sz="0" w:space="0" w:color="auto"/>
        <w:left w:val="none" w:sz="0" w:space="0" w:color="auto"/>
        <w:bottom w:val="none" w:sz="0" w:space="0" w:color="auto"/>
        <w:right w:val="none" w:sz="0" w:space="0" w:color="auto"/>
      </w:divBdr>
    </w:div>
    <w:div w:id="503084792">
      <w:bodyDiv w:val="1"/>
      <w:marLeft w:val="0"/>
      <w:marRight w:val="0"/>
      <w:marTop w:val="0"/>
      <w:marBottom w:val="0"/>
      <w:divBdr>
        <w:top w:val="none" w:sz="0" w:space="0" w:color="auto"/>
        <w:left w:val="none" w:sz="0" w:space="0" w:color="auto"/>
        <w:bottom w:val="none" w:sz="0" w:space="0" w:color="auto"/>
        <w:right w:val="none" w:sz="0" w:space="0" w:color="auto"/>
      </w:divBdr>
    </w:div>
    <w:div w:id="537275312">
      <w:bodyDiv w:val="1"/>
      <w:marLeft w:val="0"/>
      <w:marRight w:val="0"/>
      <w:marTop w:val="0"/>
      <w:marBottom w:val="0"/>
      <w:divBdr>
        <w:top w:val="none" w:sz="0" w:space="0" w:color="auto"/>
        <w:left w:val="none" w:sz="0" w:space="0" w:color="auto"/>
        <w:bottom w:val="none" w:sz="0" w:space="0" w:color="auto"/>
        <w:right w:val="none" w:sz="0" w:space="0" w:color="auto"/>
      </w:divBdr>
    </w:div>
    <w:div w:id="550770098">
      <w:bodyDiv w:val="1"/>
      <w:marLeft w:val="0"/>
      <w:marRight w:val="0"/>
      <w:marTop w:val="0"/>
      <w:marBottom w:val="0"/>
      <w:divBdr>
        <w:top w:val="none" w:sz="0" w:space="0" w:color="auto"/>
        <w:left w:val="none" w:sz="0" w:space="0" w:color="auto"/>
        <w:bottom w:val="none" w:sz="0" w:space="0" w:color="auto"/>
        <w:right w:val="none" w:sz="0" w:space="0" w:color="auto"/>
      </w:divBdr>
    </w:div>
    <w:div w:id="557520927">
      <w:bodyDiv w:val="1"/>
      <w:marLeft w:val="0"/>
      <w:marRight w:val="0"/>
      <w:marTop w:val="0"/>
      <w:marBottom w:val="0"/>
      <w:divBdr>
        <w:top w:val="none" w:sz="0" w:space="0" w:color="auto"/>
        <w:left w:val="none" w:sz="0" w:space="0" w:color="auto"/>
        <w:bottom w:val="none" w:sz="0" w:space="0" w:color="auto"/>
        <w:right w:val="none" w:sz="0" w:space="0" w:color="auto"/>
      </w:divBdr>
    </w:div>
    <w:div w:id="585647524">
      <w:bodyDiv w:val="1"/>
      <w:marLeft w:val="0"/>
      <w:marRight w:val="0"/>
      <w:marTop w:val="0"/>
      <w:marBottom w:val="0"/>
      <w:divBdr>
        <w:top w:val="none" w:sz="0" w:space="0" w:color="auto"/>
        <w:left w:val="none" w:sz="0" w:space="0" w:color="auto"/>
        <w:bottom w:val="none" w:sz="0" w:space="0" w:color="auto"/>
        <w:right w:val="none" w:sz="0" w:space="0" w:color="auto"/>
      </w:divBdr>
    </w:div>
    <w:div w:id="606274347">
      <w:bodyDiv w:val="1"/>
      <w:marLeft w:val="0"/>
      <w:marRight w:val="0"/>
      <w:marTop w:val="0"/>
      <w:marBottom w:val="0"/>
      <w:divBdr>
        <w:top w:val="none" w:sz="0" w:space="0" w:color="auto"/>
        <w:left w:val="none" w:sz="0" w:space="0" w:color="auto"/>
        <w:bottom w:val="none" w:sz="0" w:space="0" w:color="auto"/>
        <w:right w:val="none" w:sz="0" w:space="0" w:color="auto"/>
      </w:divBdr>
    </w:div>
    <w:div w:id="708916654">
      <w:bodyDiv w:val="1"/>
      <w:marLeft w:val="0"/>
      <w:marRight w:val="0"/>
      <w:marTop w:val="0"/>
      <w:marBottom w:val="0"/>
      <w:divBdr>
        <w:top w:val="none" w:sz="0" w:space="0" w:color="auto"/>
        <w:left w:val="none" w:sz="0" w:space="0" w:color="auto"/>
        <w:bottom w:val="none" w:sz="0" w:space="0" w:color="auto"/>
        <w:right w:val="none" w:sz="0" w:space="0" w:color="auto"/>
      </w:divBdr>
    </w:div>
    <w:div w:id="710106645">
      <w:bodyDiv w:val="1"/>
      <w:marLeft w:val="0"/>
      <w:marRight w:val="0"/>
      <w:marTop w:val="0"/>
      <w:marBottom w:val="0"/>
      <w:divBdr>
        <w:top w:val="none" w:sz="0" w:space="0" w:color="auto"/>
        <w:left w:val="none" w:sz="0" w:space="0" w:color="auto"/>
        <w:bottom w:val="none" w:sz="0" w:space="0" w:color="auto"/>
        <w:right w:val="none" w:sz="0" w:space="0" w:color="auto"/>
      </w:divBdr>
    </w:div>
    <w:div w:id="713310231">
      <w:bodyDiv w:val="1"/>
      <w:marLeft w:val="0"/>
      <w:marRight w:val="0"/>
      <w:marTop w:val="0"/>
      <w:marBottom w:val="0"/>
      <w:divBdr>
        <w:top w:val="none" w:sz="0" w:space="0" w:color="auto"/>
        <w:left w:val="none" w:sz="0" w:space="0" w:color="auto"/>
        <w:bottom w:val="none" w:sz="0" w:space="0" w:color="auto"/>
        <w:right w:val="none" w:sz="0" w:space="0" w:color="auto"/>
      </w:divBdr>
    </w:div>
    <w:div w:id="725449764">
      <w:bodyDiv w:val="1"/>
      <w:marLeft w:val="0"/>
      <w:marRight w:val="0"/>
      <w:marTop w:val="0"/>
      <w:marBottom w:val="0"/>
      <w:divBdr>
        <w:top w:val="none" w:sz="0" w:space="0" w:color="auto"/>
        <w:left w:val="none" w:sz="0" w:space="0" w:color="auto"/>
        <w:bottom w:val="none" w:sz="0" w:space="0" w:color="auto"/>
        <w:right w:val="none" w:sz="0" w:space="0" w:color="auto"/>
      </w:divBdr>
    </w:div>
    <w:div w:id="825513183">
      <w:bodyDiv w:val="1"/>
      <w:marLeft w:val="0"/>
      <w:marRight w:val="0"/>
      <w:marTop w:val="0"/>
      <w:marBottom w:val="0"/>
      <w:divBdr>
        <w:top w:val="none" w:sz="0" w:space="0" w:color="auto"/>
        <w:left w:val="none" w:sz="0" w:space="0" w:color="auto"/>
        <w:bottom w:val="none" w:sz="0" w:space="0" w:color="auto"/>
        <w:right w:val="none" w:sz="0" w:space="0" w:color="auto"/>
      </w:divBdr>
    </w:div>
    <w:div w:id="874464400">
      <w:bodyDiv w:val="1"/>
      <w:marLeft w:val="0"/>
      <w:marRight w:val="0"/>
      <w:marTop w:val="0"/>
      <w:marBottom w:val="0"/>
      <w:divBdr>
        <w:top w:val="none" w:sz="0" w:space="0" w:color="auto"/>
        <w:left w:val="none" w:sz="0" w:space="0" w:color="auto"/>
        <w:bottom w:val="none" w:sz="0" w:space="0" w:color="auto"/>
        <w:right w:val="none" w:sz="0" w:space="0" w:color="auto"/>
      </w:divBdr>
    </w:div>
    <w:div w:id="1027171984">
      <w:bodyDiv w:val="1"/>
      <w:marLeft w:val="0"/>
      <w:marRight w:val="0"/>
      <w:marTop w:val="0"/>
      <w:marBottom w:val="0"/>
      <w:divBdr>
        <w:top w:val="none" w:sz="0" w:space="0" w:color="auto"/>
        <w:left w:val="none" w:sz="0" w:space="0" w:color="auto"/>
        <w:bottom w:val="none" w:sz="0" w:space="0" w:color="auto"/>
        <w:right w:val="none" w:sz="0" w:space="0" w:color="auto"/>
      </w:divBdr>
    </w:div>
    <w:div w:id="104355289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55603730">
      <w:bodyDiv w:val="1"/>
      <w:marLeft w:val="0"/>
      <w:marRight w:val="0"/>
      <w:marTop w:val="0"/>
      <w:marBottom w:val="0"/>
      <w:divBdr>
        <w:top w:val="none" w:sz="0" w:space="0" w:color="auto"/>
        <w:left w:val="none" w:sz="0" w:space="0" w:color="auto"/>
        <w:bottom w:val="none" w:sz="0" w:space="0" w:color="auto"/>
        <w:right w:val="none" w:sz="0" w:space="0" w:color="auto"/>
      </w:divBdr>
      <w:divsChild>
        <w:div w:id="1604923901">
          <w:marLeft w:val="0"/>
          <w:marRight w:val="0"/>
          <w:marTop w:val="0"/>
          <w:marBottom w:val="0"/>
          <w:divBdr>
            <w:top w:val="none" w:sz="0" w:space="0" w:color="auto"/>
            <w:left w:val="none" w:sz="0" w:space="0" w:color="auto"/>
            <w:bottom w:val="none" w:sz="0" w:space="0" w:color="auto"/>
            <w:right w:val="none" w:sz="0" w:space="0" w:color="auto"/>
          </w:divBdr>
        </w:div>
      </w:divsChild>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30192346">
      <w:bodyDiv w:val="1"/>
      <w:marLeft w:val="0"/>
      <w:marRight w:val="0"/>
      <w:marTop w:val="0"/>
      <w:marBottom w:val="0"/>
      <w:divBdr>
        <w:top w:val="none" w:sz="0" w:space="0" w:color="auto"/>
        <w:left w:val="none" w:sz="0" w:space="0" w:color="auto"/>
        <w:bottom w:val="none" w:sz="0" w:space="0" w:color="auto"/>
        <w:right w:val="none" w:sz="0" w:space="0" w:color="auto"/>
      </w:divBdr>
    </w:div>
    <w:div w:id="1249464649">
      <w:bodyDiv w:val="1"/>
      <w:marLeft w:val="0"/>
      <w:marRight w:val="0"/>
      <w:marTop w:val="0"/>
      <w:marBottom w:val="0"/>
      <w:divBdr>
        <w:top w:val="none" w:sz="0" w:space="0" w:color="auto"/>
        <w:left w:val="none" w:sz="0" w:space="0" w:color="auto"/>
        <w:bottom w:val="none" w:sz="0" w:space="0" w:color="auto"/>
        <w:right w:val="none" w:sz="0" w:space="0" w:color="auto"/>
      </w:divBdr>
    </w:div>
    <w:div w:id="1277714673">
      <w:bodyDiv w:val="1"/>
      <w:marLeft w:val="0"/>
      <w:marRight w:val="0"/>
      <w:marTop w:val="0"/>
      <w:marBottom w:val="0"/>
      <w:divBdr>
        <w:top w:val="none" w:sz="0" w:space="0" w:color="auto"/>
        <w:left w:val="none" w:sz="0" w:space="0" w:color="auto"/>
        <w:bottom w:val="none" w:sz="0" w:space="0" w:color="auto"/>
        <w:right w:val="none" w:sz="0" w:space="0" w:color="auto"/>
      </w:divBdr>
    </w:div>
    <w:div w:id="1296984742">
      <w:bodyDiv w:val="1"/>
      <w:marLeft w:val="0"/>
      <w:marRight w:val="0"/>
      <w:marTop w:val="0"/>
      <w:marBottom w:val="0"/>
      <w:divBdr>
        <w:top w:val="none" w:sz="0" w:space="0" w:color="auto"/>
        <w:left w:val="none" w:sz="0" w:space="0" w:color="auto"/>
        <w:bottom w:val="none" w:sz="0" w:space="0" w:color="auto"/>
        <w:right w:val="none" w:sz="0" w:space="0" w:color="auto"/>
      </w:divBdr>
    </w:div>
    <w:div w:id="1320033357">
      <w:bodyDiv w:val="1"/>
      <w:marLeft w:val="0"/>
      <w:marRight w:val="0"/>
      <w:marTop w:val="0"/>
      <w:marBottom w:val="0"/>
      <w:divBdr>
        <w:top w:val="none" w:sz="0" w:space="0" w:color="auto"/>
        <w:left w:val="none" w:sz="0" w:space="0" w:color="auto"/>
        <w:bottom w:val="none" w:sz="0" w:space="0" w:color="auto"/>
        <w:right w:val="none" w:sz="0" w:space="0" w:color="auto"/>
      </w:divBdr>
    </w:div>
    <w:div w:id="1327130168">
      <w:bodyDiv w:val="1"/>
      <w:marLeft w:val="0"/>
      <w:marRight w:val="0"/>
      <w:marTop w:val="0"/>
      <w:marBottom w:val="0"/>
      <w:divBdr>
        <w:top w:val="none" w:sz="0" w:space="0" w:color="auto"/>
        <w:left w:val="none" w:sz="0" w:space="0" w:color="auto"/>
        <w:bottom w:val="none" w:sz="0" w:space="0" w:color="auto"/>
        <w:right w:val="none" w:sz="0" w:space="0" w:color="auto"/>
      </w:divBdr>
    </w:div>
    <w:div w:id="1389303943">
      <w:bodyDiv w:val="1"/>
      <w:marLeft w:val="0"/>
      <w:marRight w:val="0"/>
      <w:marTop w:val="0"/>
      <w:marBottom w:val="0"/>
      <w:divBdr>
        <w:top w:val="none" w:sz="0" w:space="0" w:color="auto"/>
        <w:left w:val="none" w:sz="0" w:space="0" w:color="auto"/>
        <w:bottom w:val="none" w:sz="0" w:space="0" w:color="auto"/>
        <w:right w:val="none" w:sz="0" w:space="0" w:color="auto"/>
      </w:divBdr>
    </w:div>
    <w:div w:id="1390180900">
      <w:bodyDiv w:val="1"/>
      <w:marLeft w:val="0"/>
      <w:marRight w:val="0"/>
      <w:marTop w:val="0"/>
      <w:marBottom w:val="0"/>
      <w:divBdr>
        <w:top w:val="none" w:sz="0" w:space="0" w:color="auto"/>
        <w:left w:val="none" w:sz="0" w:space="0" w:color="auto"/>
        <w:bottom w:val="none" w:sz="0" w:space="0" w:color="auto"/>
        <w:right w:val="none" w:sz="0" w:space="0" w:color="auto"/>
      </w:divBdr>
    </w:div>
    <w:div w:id="1443068537">
      <w:bodyDiv w:val="1"/>
      <w:marLeft w:val="0"/>
      <w:marRight w:val="0"/>
      <w:marTop w:val="0"/>
      <w:marBottom w:val="0"/>
      <w:divBdr>
        <w:top w:val="none" w:sz="0" w:space="0" w:color="auto"/>
        <w:left w:val="none" w:sz="0" w:space="0" w:color="auto"/>
        <w:bottom w:val="none" w:sz="0" w:space="0" w:color="auto"/>
        <w:right w:val="none" w:sz="0" w:space="0" w:color="auto"/>
      </w:divBdr>
    </w:div>
    <w:div w:id="1451317908">
      <w:bodyDiv w:val="1"/>
      <w:marLeft w:val="0"/>
      <w:marRight w:val="0"/>
      <w:marTop w:val="0"/>
      <w:marBottom w:val="0"/>
      <w:divBdr>
        <w:top w:val="none" w:sz="0" w:space="0" w:color="auto"/>
        <w:left w:val="none" w:sz="0" w:space="0" w:color="auto"/>
        <w:bottom w:val="none" w:sz="0" w:space="0" w:color="auto"/>
        <w:right w:val="none" w:sz="0" w:space="0" w:color="auto"/>
      </w:divBdr>
    </w:div>
    <w:div w:id="1516653962">
      <w:bodyDiv w:val="1"/>
      <w:marLeft w:val="0"/>
      <w:marRight w:val="0"/>
      <w:marTop w:val="0"/>
      <w:marBottom w:val="0"/>
      <w:divBdr>
        <w:top w:val="none" w:sz="0" w:space="0" w:color="auto"/>
        <w:left w:val="none" w:sz="0" w:space="0" w:color="auto"/>
        <w:bottom w:val="none" w:sz="0" w:space="0" w:color="auto"/>
        <w:right w:val="none" w:sz="0" w:space="0" w:color="auto"/>
      </w:divBdr>
    </w:div>
    <w:div w:id="1526407761">
      <w:bodyDiv w:val="1"/>
      <w:marLeft w:val="0"/>
      <w:marRight w:val="0"/>
      <w:marTop w:val="0"/>
      <w:marBottom w:val="0"/>
      <w:divBdr>
        <w:top w:val="none" w:sz="0" w:space="0" w:color="auto"/>
        <w:left w:val="none" w:sz="0" w:space="0" w:color="auto"/>
        <w:bottom w:val="none" w:sz="0" w:space="0" w:color="auto"/>
        <w:right w:val="none" w:sz="0" w:space="0" w:color="auto"/>
      </w:divBdr>
    </w:div>
    <w:div w:id="1592474286">
      <w:bodyDiv w:val="1"/>
      <w:marLeft w:val="0"/>
      <w:marRight w:val="0"/>
      <w:marTop w:val="0"/>
      <w:marBottom w:val="0"/>
      <w:divBdr>
        <w:top w:val="none" w:sz="0" w:space="0" w:color="auto"/>
        <w:left w:val="none" w:sz="0" w:space="0" w:color="auto"/>
        <w:bottom w:val="none" w:sz="0" w:space="0" w:color="auto"/>
        <w:right w:val="none" w:sz="0" w:space="0" w:color="auto"/>
      </w:divBdr>
    </w:div>
    <w:div w:id="1614551752">
      <w:bodyDiv w:val="1"/>
      <w:marLeft w:val="0"/>
      <w:marRight w:val="0"/>
      <w:marTop w:val="0"/>
      <w:marBottom w:val="0"/>
      <w:divBdr>
        <w:top w:val="none" w:sz="0" w:space="0" w:color="auto"/>
        <w:left w:val="none" w:sz="0" w:space="0" w:color="auto"/>
        <w:bottom w:val="none" w:sz="0" w:space="0" w:color="auto"/>
        <w:right w:val="none" w:sz="0" w:space="0" w:color="auto"/>
      </w:divBdr>
    </w:div>
    <w:div w:id="1618097449">
      <w:bodyDiv w:val="1"/>
      <w:marLeft w:val="0"/>
      <w:marRight w:val="0"/>
      <w:marTop w:val="0"/>
      <w:marBottom w:val="0"/>
      <w:divBdr>
        <w:top w:val="none" w:sz="0" w:space="0" w:color="auto"/>
        <w:left w:val="none" w:sz="0" w:space="0" w:color="auto"/>
        <w:bottom w:val="none" w:sz="0" w:space="0" w:color="auto"/>
        <w:right w:val="none" w:sz="0" w:space="0" w:color="auto"/>
      </w:divBdr>
    </w:div>
    <w:div w:id="1675262239">
      <w:bodyDiv w:val="1"/>
      <w:marLeft w:val="0"/>
      <w:marRight w:val="0"/>
      <w:marTop w:val="0"/>
      <w:marBottom w:val="0"/>
      <w:divBdr>
        <w:top w:val="none" w:sz="0" w:space="0" w:color="auto"/>
        <w:left w:val="none" w:sz="0" w:space="0" w:color="auto"/>
        <w:bottom w:val="none" w:sz="0" w:space="0" w:color="auto"/>
        <w:right w:val="none" w:sz="0" w:space="0" w:color="auto"/>
      </w:divBdr>
    </w:div>
    <w:div w:id="1732775225">
      <w:bodyDiv w:val="1"/>
      <w:marLeft w:val="0"/>
      <w:marRight w:val="0"/>
      <w:marTop w:val="0"/>
      <w:marBottom w:val="0"/>
      <w:divBdr>
        <w:top w:val="none" w:sz="0" w:space="0" w:color="auto"/>
        <w:left w:val="none" w:sz="0" w:space="0" w:color="auto"/>
        <w:bottom w:val="none" w:sz="0" w:space="0" w:color="auto"/>
        <w:right w:val="none" w:sz="0" w:space="0" w:color="auto"/>
      </w:divBdr>
      <w:divsChild>
        <w:div w:id="1274095191">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779176954">
      <w:bodyDiv w:val="1"/>
      <w:marLeft w:val="0"/>
      <w:marRight w:val="0"/>
      <w:marTop w:val="0"/>
      <w:marBottom w:val="0"/>
      <w:divBdr>
        <w:top w:val="none" w:sz="0" w:space="0" w:color="auto"/>
        <w:left w:val="none" w:sz="0" w:space="0" w:color="auto"/>
        <w:bottom w:val="none" w:sz="0" w:space="0" w:color="auto"/>
        <w:right w:val="none" w:sz="0" w:space="0" w:color="auto"/>
      </w:divBdr>
    </w:div>
    <w:div w:id="1813790288">
      <w:bodyDiv w:val="1"/>
      <w:marLeft w:val="0"/>
      <w:marRight w:val="0"/>
      <w:marTop w:val="0"/>
      <w:marBottom w:val="0"/>
      <w:divBdr>
        <w:top w:val="none" w:sz="0" w:space="0" w:color="auto"/>
        <w:left w:val="none" w:sz="0" w:space="0" w:color="auto"/>
        <w:bottom w:val="none" w:sz="0" w:space="0" w:color="auto"/>
        <w:right w:val="none" w:sz="0" w:space="0" w:color="auto"/>
      </w:divBdr>
    </w:div>
    <w:div w:id="1838880734">
      <w:bodyDiv w:val="1"/>
      <w:marLeft w:val="0"/>
      <w:marRight w:val="0"/>
      <w:marTop w:val="0"/>
      <w:marBottom w:val="0"/>
      <w:divBdr>
        <w:top w:val="none" w:sz="0" w:space="0" w:color="auto"/>
        <w:left w:val="none" w:sz="0" w:space="0" w:color="auto"/>
        <w:bottom w:val="none" w:sz="0" w:space="0" w:color="auto"/>
        <w:right w:val="none" w:sz="0" w:space="0" w:color="auto"/>
      </w:divBdr>
    </w:div>
    <w:div w:id="1901404194">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 w:id="2057971354">
      <w:bodyDiv w:val="1"/>
      <w:marLeft w:val="0"/>
      <w:marRight w:val="0"/>
      <w:marTop w:val="0"/>
      <w:marBottom w:val="0"/>
      <w:divBdr>
        <w:top w:val="none" w:sz="0" w:space="0" w:color="auto"/>
        <w:left w:val="none" w:sz="0" w:space="0" w:color="auto"/>
        <w:bottom w:val="none" w:sz="0" w:space="0" w:color="auto"/>
        <w:right w:val="none" w:sz="0" w:space="0" w:color="auto"/>
      </w:divBdr>
    </w:div>
    <w:div w:id="21280443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image" Target="media/image3.png"/><Relationship Id="rId26" Type="http://schemas.openxmlformats.org/officeDocument/2006/relationships/hyperlink" Target="https://doi.org/10.1080/0888431021000049471" TargetMode="External"/><Relationship Id="rId3" Type="http://schemas.openxmlformats.org/officeDocument/2006/relationships/customXml" Target="../customXml/item3.xml"/><Relationship Id="rId21" Type="http://schemas.openxmlformats.org/officeDocument/2006/relationships/footer" Target="footer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customXml" Target="ink/ink2.xml"/><Relationship Id="rId25" Type="http://schemas.openxmlformats.org/officeDocument/2006/relationships/hyperlink" Target="https://www.gov.uk/youth-crime-prevention-programmes/what-these-programmes-" TargetMode="External"/><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header" Target="header2.xml"/><Relationship Id="rId29"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footer" Target="footer3.xml"/><Relationship Id="rId5" Type="http://schemas.openxmlformats.org/officeDocument/2006/relationships/numbering" Target="numbering.xml"/><Relationship Id="rId15" Type="http://schemas.openxmlformats.org/officeDocument/2006/relationships/customXml" Target="ink/ink1.xml"/><Relationship Id="rId23" Type="http://schemas.openxmlformats.org/officeDocument/2006/relationships/header" Target="header3.xm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footer" Target="footer2.xml"/><Relationship Id="rId27" Type="http://schemas.openxmlformats.org/officeDocument/2006/relationships/fontTable" Target="fontTable.xml"/></Relationship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2T02:08:42.325"/>
    </inkml:context>
    <inkml:brush xml:id="br0">
      <inkml:brushProperty name="width" value="0.05" units="cm"/>
      <inkml:brushProperty name="height" value="0.05" units="cm"/>
    </inkml:brush>
  </inkml:definitions>
  <inkml:trace contextRef="#ctx0" brushRef="#br0">370 1189 24575,'72'-60'0,"123"-78"0,-128 93 0,158-105 0,413-300 0,-621 436 0,12-8 0,-1-1 0,-1-1 0,-1-1 0,42-54 0,-65 75 0,0 0 0,0 0 0,-1-1 0,0 1 0,0-1 0,0 1 0,0-1 0,-1 0 0,2-8 0,-3 10 0,0 1 0,0 0 0,0-1 0,0 1 0,-1-1 0,1 1 0,-1 0 0,0-1 0,1 1 0,-1 0 0,0 0 0,0 0 0,-1 0 0,1 0 0,0 0 0,-1 0 0,1 0 0,-1 0 0,0 0 0,1 1 0,-5-4 0,-3-1 0,0 0 0,0 1 0,0 0 0,-1 1 0,0 0 0,0 0 0,0 1 0,-1 0 0,-12-2 0,-17 0 0,-45 0 0,81 4 0,-93 2 0,1 3 0,-1 5 0,1 3 0,1 5 0,-111 35 0,187-47 0,-4 1 0,1 1 0,0 0 0,0 2 0,1 0 0,0 1 0,-21 15 0,41-25 0,0 1 0,0 0 0,0-1 0,0 1 0,0 0 0,0 0 0,0 0 0,1 0 0,-1 0 0,0 0 0,0 0 0,1 0 0,-1 0 0,1 0 0,-1 0 0,1 0 0,-1 2 0,1-2 0,0 0 0,0 0 0,0-1 0,1 1 0,-1 0 0,0 0 0,0-1 0,1 1 0,-1 0 0,0-1 0,1 1 0,-1 0 0,1-1 0,-1 1 0,1 0 0,-1-1 0,1 1 0,-1-1 0,1 1 0,0-1 0,0 1 0,5 2 0,0 0 0,0 0 0,0 0 0,1-1 0,9 2 0,380 63 0,-216-43 0,-110-14 0,202 36 0,-218-34 0,-1 2 0,97 40 0,-142-51 0,0 1 0,-1 0 0,1 0 0,-1 0 0,0 1 0,0 0 0,-1 1 0,0-1 0,1 1 0,8 12 0,-13-14 0,0 0 0,0-1 0,-1 1 0,1 0 0,-1 0 0,0 0 0,0 1 0,-1-1 0,1 0 0,-1 0 0,0 0 0,0 1 0,0-1 0,0 0 0,-1 0 0,0 0 0,1 0 0,-2 0 0,1 0 0,0 0 0,-1 0 0,0 0 0,-3 5 0,-4 7 0,-1 0 0,-1-1 0,0-1 0,-1 1 0,-18 16 0,-83 63 0,29-36 0,-3-3 0,-2-4 0,-174 73 0,152-82 0,-3-5 0,-1-5 0,-124 19 0,162-39 0,-106 2 0,148-14 0,-1-1 0,1-2 0,1-1 0,-1-2 0,-43-13 0,69 16 0,0 0 0,0 0 0,0-1 0,1 0 0,-1 0 0,1-1 0,0 0 0,0-1 0,1 0 0,0 0 0,0 0 0,-7-8 0,12 10 0,-1-1 0,0 1 0,1-1 0,0 1 0,0-1 0,1 0 0,-1 0 0,1 1 0,0-1 0,0 0 0,1 0 0,-1 0 0,1-1 0,0 1 0,1 0 0,-1 0 0,1 0 0,0 0 0,0 0 0,0 1 0,1-1 0,0 0 0,4-8 0,2-3 0,1 0 0,1 0 0,1 1 0,0 0 0,23-24 0,-1 7 0,50-37 0,-11 17 0,2 3 0,2 4 0,2 3 0,1 3 0,3 4 0,1 3 0,1 4 0,1 4 0,100-16 0,-156 36 0,1 0 0,-1 2 0,1 2 0,-1 0 0,48 8 0,-67-6 0,-1 0 0,0 1 0,0 0 0,0 1 0,0-1 0,-1 2 0,1-1 0,-1 1 0,9 7 0,-12-7 0,0-1 0,0 1 0,-1 0 0,0 1 0,0-1 0,0 0 0,-1 1 0,0 0 0,0 0 0,0 0 0,-1 0 0,0 1 0,0-1 0,2 11 0,-2-2 0,-1 0 0,0 1 0,-1-1 0,-1 1 0,-3 23 0,-23 77 0,8-35 0,17-76 0,1 0 0,0 0 0,1 0 0,-1 0 0,1 0 0,0 0 0,1 6 0,-1-10 0,1 1 0,-1-1 0,1 0 0,0 1 0,-1-1 0,1 0 0,0 1 0,0-1 0,-1 0 0,1 0 0,0 0 0,0 0 0,0 1 0,1-2 0,-1 1 0,0 0 0,0 0 0,1 0 0,-1 0 0,0-1 0,1 1 0,-1-1 0,0 1 0,1-1 0,-1 1 0,1-1 0,-1 0 0,1 0 0,2 0 0,14 1 0,1-2 0,0 0 0,-1-1 0,1-1 0,-1-1 0,23-7 0,-7 2 0,298-76 13,337-76-856,-431 119 752,426-20 1,-472 60 95,1 8 0,325 54 0,-14 54 46,-208-42-1346,-158-42-4656</inkml:trace>
</inkml:ink>
</file>

<file path=word/ink/ink2.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3-02-02T02:08:49.123"/>
    </inkml:context>
    <inkml:brush xml:id="br0">
      <inkml:brushProperty name="width" value="0.05" units="cm"/>
      <inkml:brushProperty name="height" value="0.05" units="cm"/>
    </inkml:brush>
  </inkml:definitions>
  <inkml:trace contextRef="#ctx0" brushRef="#br0">1 0 24575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2.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customXml/itemProps4.xml><?xml version="1.0" encoding="utf-8"?>
<ds:datastoreItem xmlns:ds="http://schemas.openxmlformats.org/officeDocument/2006/customXml" ds:itemID="{44196C97-F485-4AE4-92C3-D9166D7B8A2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3895</TotalTime>
  <Pages>21</Pages>
  <Words>6554</Words>
  <Characters>39140</Characters>
  <Application>Microsoft Office Word</Application>
  <DocSecurity>0</DocSecurity>
  <Lines>326</Lines>
  <Paragraphs>91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45603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Murphy, Gareth</cp:lastModifiedBy>
  <cp:revision>625</cp:revision>
  <cp:lastPrinted>2023-03-27T20:33:00Z</cp:lastPrinted>
  <dcterms:created xsi:type="dcterms:W3CDTF">2023-03-27T16:57:00Z</dcterms:created>
  <dcterms:modified xsi:type="dcterms:W3CDTF">2023-04-01T15:36:00Z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etDate">
    <vt:lpwstr>2022-12-28T15:36:07Z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ec243d01-b4dd-4108-87a9-0e128f63f5d5</vt:lpwstr>
  </property>
  <property fmtid="{D5CDD505-2E9C-101B-9397-08002B2CF9AE}" pid="9" name="MSIP_Label_f2acd28b-79a3-4a0f-b0ff-4b75658b1549_ContentBits">
    <vt:lpwstr>0</vt:lpwstr>
  </property>
</Properties>
</file>