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6F6659" w14:textId="2402E8A9" w:rsidR="004C35D9" w:rsidRDefault="004C35D9" w:rsidP="004C35D9">
      <w:pPr>
        <w:pStyle w:val="NormalWeb"/>
        <w:spacing w:before="0" w:beforeAutospacing="0" w:after="0" w:afterAutospacing="0"/>
        <w:ind w:left="-180" w:right="-334"/>
      </w:pPr>
      <w:r w:rsidRPr="00923C45">
        <w:rPr>
          <w:noProof/>
          <w:lang w:eastAsia="en-GB"/>
        </w:rPr>
        <w:drawing>
          <wp:inline distT="0" distB="0" distL="0" distR="0" wp14:anchorId="5BE63AEC" wp14:editId="0E49104C">
            <wp:extent cx="2055495" cy="855980"/>
            <wp:effectExtent l="0" t="0" r="1905" b="1270"/>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5495" cy="855980"/>
                    </a:xfrm>
                    <a:prstGeom prst="rect">
                      <a:avLst/>
                    </a:prstGeom>
                    <a:noFill/>
                    <a:ln>
                      <a:noFill/>
                    </a:ln>
                  </pic:spPr>
                </pic:pic>
              </a:graphicData>
            </a:graphic>
          </wp:inline>
        </w:drawing>
      </w:r>
    </w:p>
    <w:p w14:paraId="0EB62C6B" w14:textId="77777777" w:rsidR="004C35D9" w:rsidRDefault="004C35D9" w:rsidP="004C35D9">
      <w:pPr>
        <w:pStyle w:val="NormalWeb"/>
        <w:spacing w:before="0" w:beforeAutospacing="0" w:after="0" w:afterAutospacing="0"/>
        <w:ind w:left="-180" w:right="-334"/>
      </w:pPr>
    </w:p>
    <w:p w14:paraId="7DD2AE4E" w14:textId="77777777" w:rsidR="004C35D9" w:rsidRDefault="004C35D9" w:rsidP="004C35D9">
      <w:pPr>
        <w:pStyle w:val="NormalWeb"/>
        <w:spacing w:before="0" w:beforeAutospacing="0" w:after="0" w:afterAutospacing="0"/>
        <w:ind w:left="-180" w:right="-334"/>
      </w:pPr>
    </w:p>
    <w:p w14:paraId="1675D156" w14:textId="77777777" w:rsidR="004C35D9" w:rsidRDefault="004C35D9" w:rsidP="004C35D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0EC9267" w14:textId="77777777" w:rsidR="004C35D9" w:rsidRPr="00230F35" w:rsidRDefault="004C35D9" w:rsidP="004C35D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EB9622B" w14:textId="77777777" w:rsidR="004C35D9" w:rsidRPr="00230F35" w:rsidRDefault="004C35D9" w:rsidP="004C35D9">
      <w:pPr>
        <w:rPr>
          <w:rFonts w:ascii="Arial" w:hAnsi="Arial" w:cs="Arial"/>
          <w:sz w:val="28"/>
          <w:szCs w:val="28"/>
          <w:lang w:val="cy-GB"/>
        </w:rPr>
      </w:pPr>
    </w:p>
    <w:p w14:paraId="38F7E2EA" w14:textId="77777777" w:rsidR="004C35D9" w:rsidRDefault="004C35D9" w:rsidP="004C35D9">
      <w:pPr>
        <w:pStyle w:val="Heading3"/>
        <w:jc w:val="center"/>
        <w:rPr>
          <w:lang w:val="cy-GB"/>
        </w:rPr>
      </w:pPr>
      <w:r>
        <w:rPr>
          <w:lang w:val="cy-GB"/>
        </w:rPr>
        <w:t>THIS SHEET MUST BE THE FIRST PAGE OF THE ASSIGNMENT YOU ARE SUBMITTING  (DO NOT SEND AS A SEPARATE FILE)</w:t>
      </w:r>
    </w:p>
    <w:p w14:paraId="18C8F5F0" w14:textId="77777777" w:rsidR="004C35D9" w:rsidRDefault="004C35D9" w:rsidP="004C35D9">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C35D9" w:rsidRPr="00230F35" w14:paraId="56684002" w14:textId="77777777" w:rsidTr="004D60CA">
        <w:trPr>
          <w:trHeight w:val="614"/>
        </w:trPr>
        <w:tc>
          <w:tcPr>
            <w:tcW w:w="8856" w:type="dxa"/>
            <w:gridSpan w:val="5"/>
          </w:tcPr>
          <w:p w14:paraId="708FC43D" w14:textId="77777777" w:rsidR="004C35D9" w:rsidRPr="00230F35" w:rsidRDefault="004C35D9" w:rsidP="004D60C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C35D9" w:rsidRPr="00230F35" w14:paraId="68919F72" w14:textId="77777777" w:rsidTr="004D60CA">
        <w:trPr>
          <w:trHeight w:val="718"/>
        </w:trPr>
        <w:tc>
          <w:tcPr>
            <w:tcW w:w="8856" w:type="dxa"/>
            <w:gridSpan w:val="5"/>
          </w:tcPr>
          <w:p w14:paraId="786C83A2" w14:textId="2182CE9B" w:rsidR="004C35D9" w:rsidRDefault="004C35D9" w:rsidP="004D6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Marah C. Hager</w:t>
            </w:r>
          </w:p>
          <w:p w14:paraId="7602E82B" w14:textId="77777777" w:rsidR="004C35D9" w:rsidRPr="00230F35" w:rsidRDefault="004C35D9" w:rsidP="004D60CA">
            <w:pPr>
              <w:pStyle w:val="NormalWeb"/>
              <w:spacing w:before="0" w:beforeAutospacing="0" w:after="0" w:afterAutospacing="0"/>
              <w:ind w:right="34"/>
              <w:rPr>
                <w:rFonts w:ascii="Arial" w:hAnsi="Arial" w:cs="Arial"/>
                <w:sz w:val="22"/>
                <w:szCs w:val="22"/>
              </w:rPr>
            </w:pPr>
          </w:p>
        </w:tc>
      </w:tr>
      <w:tr w:rsidR="004C35D9" w:rsidRPr="00230F35" w14:paraId="665C675B" w14:textId="77777777" w:rsidTr="004D60CA">
        <w:trPr>
          <w:trHeight w:val="849"/>
        </w:trPr>
        <w:tc>
          <w:tcPr>
            <w:tcW w:w="4788" w:type="dxa"/>
          </w:tcPr>
          <w:p w14:paraId="359ED2EC" w14:textId="496A7E29" w:rsidR="004C35D9" w:rsidRPr="00230F35" w:rsidRDefault="004C35D9" w:rsidP="004D6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CSEN7027</w:t>
            </w:r>
          </w:p>
          <w:p w14:paraId="290E80E7" w14:textId="77777777" w:rsidR="004C35D9" w:rsidRPr="00230F35" w:rsidRDefault="004C35D9" w:rsidP="004D60CA">
            <w:pPr>
              <w:pStyle w:val="NormalWeb"/>
              <w:spacing w:before="0" w:beforeAutospacing="0" w:after="0" w:afterAutospacing="0"/>
              <w:ind w:right="34"/>
              <w:rPr>
                <w:rFonts w:ascii="Arial" w:hAnsi="Arial" w:cs="Arial"/>
                <w:sz w:val="22"/>
                <w:szCs w:val="22"/>
              </w:rPr>
            </w:pPr>
          </w:p>
          <w:p w14:paraId="2C73D73D" w14:textId="660D193B" w:rsidR="004C35D9" w:rsidRDefault="004C35D9" w:rsidP="004D6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Bodily Distempers and Passions of the Mind: Shakespeare and Donne</w:t>
            </w:r>
          </w:p>
          <w:p w14:paraId="73151746" w14:textId="77777777" w:rsidR="004C35D9" w:rsidRDefault="004C35D9" w:rsidP="004D60CA">
            <w:pPr>
              <w:pStyle w:val="NormalWeb"/>
              <w:spacing w:before="0" w:beforeAutospacing="0" w:after="0" w:afterAutospacing="0"/>
              <w:ind w:right="34"/>
              <w:rPr>
                <w:rFonts w:ascii="Arial" w:hAnsi="Arial" w:cs="Arial"/>
                <w:sz w:val="22"/>
                <w:szCs w:val="22"/>
              </w:rPr>
            </w:pPr>
          </w:p>
          <w:p w14:paraId="0B2AC9A6" w14:textId="77777777" w:rsidR="004C35D9" w:rsidRPr="00230F35" w:rsidRDefault="004C35D9" w:rsidP="004D60CA">
            <w:pPr>
              <w:pStyle w:val="NormalWeb"/>
              <w:spacing w:before="0" w:beforeAutospacing="0" w:after="0" w:afterAutospacing="0"/>
              <w:ind w:right="34"/>
              <w:rPr>
                <w:rFonts w:ascii="Arial" w:hAnsi="Arial" w:cs="Arial"/>
                <w:sz w:val="22"/>
                <w:szCs w:val="22"/>
              </w:rPr>
            </w:pPr>
          </w:p>
        </w:tc>
        <w:tc>
          <w:tcPr>
            <w:tcW w:w="2266" w:type="dxa"/>
            <w:gridSpan w:val="3"/>
          </w:tcPr>
          <w:p w14:paraId="0386AA78" w14:textId="6BCBD627" w:rsidR="004C35D9" w:rsidRPr="00230F35" w:rsidRDefault="004C35D9" w:rsidP="004D6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1601644</w:t>
            </w:r>
          </w:p>
        </w:tc>
        <w:tc>
          <w:tcPr>
            <w:tcW w:w="1802" w:type="dxa"/>
          </w:tcPr>
          <w:p w14:paraId="604663CE" w14:textId="77777777" w:rsidR="004C35D9" w:rsidRPr="00230F35" w:rsidRDefault="004C35D9" w:rsidP="004D6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76FC81B" w14:textId="0D142CF2" w:rsidR="004C35D9" w:rsidRPr="00230F35" w:rsidRDefault="004C35D9" w:rsidP="004D6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4C35D9" w:rsidRPr="00230F35" w14:paraId="0537EACB" w14:textId="77777777" w:rsidTr="004D60CA">
        <w:trPr>
          <w:trHeight w:val="1139"/>
        </w:trPr>
        <w:tc>
          <w:tcPr>
            <w:tcW w:w="8856" w:type="dxa"/>
            <w:gridSpan w:val="5"/>
          </w:tcPr>
          <w:p w14:paraId="01F60D11" w14:textId="1311CD6F" w:rsidR="004C35D9" w:rsidRPr="00230F35" w:rsidRDefault="004C35D9" w:rsidP="004D60CA">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Peter Mitchell</w:t>
            </w:r>
          </w:p>
          <w:p w14:paraId="575FF414" w14:textId="77777777" w:rsidR="004C35D9" w:rsidRPr="00230F35" w:rsidRDefault="004C35D9" w:rsidP="004D60CA">
            <w:pPr>
              <w:pStyle w:val="NormalWeb"/>
              <w:spacing w:before="0" w:beforeAutospacing="0" w:after="0" w:afterAutospacing="0"/>
              <w:ind w:right="34"/>
              <w:rPr>
                <w:rFonts w:ascii="Arial" w:hAnsi="Arial" w:cs="Arial"/>
                <w:sz w:val="22"/>
                <w:szCs w:val="22"/>
              </w:rPr>
            </w:pPr>
          </w:p>
          <w:p w14:paraId="1723983C" w14:textId="77777777" w:rsidR="004C35D9" w:rsidRDefault="004C35D9" w:rsidP="004D60CA">
            <w:pPr>
              <w:pStyle w:val="NormalWeb"/>
              <w:spacing w:before="0" w:beforeAutospacing="0" w:after="0" w:afterAutospacing="0"/>
              <w:ind w:right="34"/>
              <w:rPr>
                <w:rFonts w:ascii="Arial" w:hAnsi="Arial" w:cs="Arial"/>
                <w:sz w:val="22"/>
                <w:szCs w:val="22"/>
              </w:rPr>
            </w:pPr>
          </w:p>
          <w:p w14:paraId="4B93EEAB" w14:textId="124BB22A" w:rsidR="004C35D9" w:rsidRPr="00230F35" w:rsidRDefault="004C35D9" w:rsidP="004D6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17 May 2019</w:t>
            </w:r>
          </w:p>
        </w:tc>
      </w:tr>
      <w:tr w:rsidR="004C35D9" w:rsidRPr="00230F35" w14:paraId="24F12413" w14:textId="77777777" w:rsidTr="004D60CA">
        <w:trPr>
          <w:trHeight w:val="978"/>
        </w:trPr>
        <w:tc>
          <w:tcPr>
            <w:tcW w:w="8856" w:type="dxa"/>
            <w:gridSpan w:val="5"/>
            <w:tcBorders>
              <w:bottom w:val="single" w:sz="4" w:space="0" w:color="000000"/>
            </w:tcBorders>
          </w:tcPr>
          <w:p w14:paraId="4D372AF6" w14:textId="77777777" w:rsidR="004C35D9" w:rsidRDefault="004C35D9" w:rsidP="004D60CA">
            <w:pPr>
              <w:rPr>
                <w:rFonts w:ascii="Arial" w:hAnsi="Arial" w:cs="Arial"/>
                <w:sz w:val="22"/>
              </w:rPr>
            </w:pPr>
            <w:r>
              <w:rPr>
                <w:rFonts w:ascii="Arial" w:hAnsi="Arial" w:cs="Arial"/>
                <w:sz w:val="22"/>
              </w:rPr>
              <w:t>If your module has multiple submissions please indicate which piece of work this is.</w:t>
            </w:r>
          </w:p>
          <w:p w14:paraId="58780891" w14:textId="77777777" w:rsidR="004C35D9" w:rsidRDefault="004C35D9" w:rsidP="004D60CA">
            <w:pPr>
              <w:rPr>
                <w:rFonts w:ascii="Arial" w:hAnsi="Arial" w:cs="Arial"/>
                <w:sz w:val="22"/>
              </w:rPr>
            </w:pPr>
          </w:p>
          <w:p w14:paraId="0FED7D6B" w14:textId="77777777" w:rsidR="004C35D9" w:rsidRPr="00230F35" w:rsidRDefault="004C35D9" w:rsidP="004D60CA">
            <w:pPr>
              <w:rPr>
                <w:rFonts w:ascii="Arial" w:hAnsi="Arial" w:cs="Arial"/>
                <w:sz w:val="22"/>
              </w:rPr>
            </w:pPr>
            <w:r w:rsidRPr="00230F35">
              <w:rPr>
                <w:rFonts w:ascii="Arial" w:hAnsi="Arial" w:cs="Arial"/>
                <w:sz w:val="22"/>
              </w:rPr>
              <w:t>1</w:t>
            </w:r>
            <w:r w:rsidRPr="00230F35">
              <w:rPr>
                <w:rFonts w:ascii="Arial" w:hAnsi="Arial" w:cs="Arial"/>
                <w:sz w:val="22"/>
                <w:vertAlign w:val="superscript"/>
              </w:rPr>
              <w:t xml:space="preserve">st </w:t>
            </w:r>
            <w:r w:rsidRPr="00230F35">
              <w:rPr>
                <w:rFonts w:ascii="Arial" w:hAnsi="Arial" w:cs="Arial"/>
                <w:sz w:val="22"/>
              </w:rPr>
              <w:fldChar w:fldCharType="begin">
                <w:ffData>
                  <w:name w:val="Check13"/>
                  <w:enabled/>
                  <w:calcOnExit w:val="0"/>
                  <w:checkBox>
                    <w:sizeAuto/>
                    <w:default w:val="0"/>
                  </w:checkBox>
                </w:ffData>
              </w:fldChar>
            </w:r>
            <w:bookmarkStart w:id="0" w:name="Check13"/>
            <w:r w:rsidRPr="00230F35">
              <w:rPr>
                <w:rFonts w:ascii="Arial" w:hAnsi="Arial" w:cs="Arial"/>
                <w:sz w:val="22"/>
              </w:rPr>
              <w:instrText xml:space="preserve"> FORMCHECKBOX </w:instrText>
            </w:r>
            <w:r w:rsidR="007C17DE">
              <w:rPr>
                <w:rFonts w:ascii="Arial" w:hAnsi="Arial" w:cs="Arial"/>
                <w:sz w:val="22"/>
              </w:rPr>
            </w:r>
            <w:r w:rsidR="007C17DE">
              <w:rPr>
                <w:rFonts w:ascii="Arial" w:hAnsi="Arial" w:cs="Arial"/>
                <w:sz w:val="22"/>
              </w:rPr>
              <w:fldChar w:fldCharType="separate"/>
            </w:r>
            <w:r w:rsidRPr="00230F35">
              <w:rPr>
                <w:rFonts w:ascii="Arial" w:hAnsi="Arial" w:cs="Arial"/>
                <w:sz w:val="22"/>
              </w:rPr>
              <w:fldChar w:fldCharType="end"/>
            </w:r>
            <w:bookmarkEnd w:id="0"/>
            <w:r w:rsidRPr="00230F35">
              <w:rPr>
                <w:rFonts w:ascii="Arial" w:hAnsi="Arial" w:cs="Arial"/>
                <w:sz w:val="22"/>
              </w:rPr>
              <w:t xml:space="preserve">    2</w:t>
            </w:r>
            <w:r w:rsidRPr="00230F35">
              <w:rPr>
                <w:rFonts w:ascii="Arial" w:hAnsi="Arial" w:cs="Arial"/>
                <w:sz w:val="22"/>
                <w:vertAlign w:val="superscript"/>
              </w:rPr>
              <w:t>nd</w:t>
            </w:r>
            <w:r w:rsidRPr="00230F35">
              <w:rPr>
                <w:rFonts w:ascii="Arial" w:hAnsi="Arial" w:cs="Arial"/>
                <w:sz w:val="22"/>
              </w:rPr>
              <w:t xml:space="preserve">  </w:t>
            </w:r>
            <w:r w:rsidRPr="00230F35">
              <w:rPr>
                <w:rFonts w:ascii="Arial" w:hAnsi="Arial" w:cs="Arial"/>
                <w:sz w:val="22"/>
              </w:rPr>
              <w:fldChar w:fldCharType="begin">
                <w:ffData>
                  <w:name w:val="Check14"/>
                  <w:enabled/>
                  <w:calcOnExit w:val="0"/>
                  <w:checkBox>
                    <w:sizeAuto/>
                    <w:default w:val="0"/>
                  </w:checkBox>
                </w:ffData>
              </w:fldChar>
            </w:r>
            <w:bookmarkStart w:id="1" w:name="Check14"/>
            <w:r w:rsidRPr="00230F35">
              <w:rPr>
                <w:rFonts w:ascii="Arial" w:hAnsi="Arial" w:cs="Arial"/>
                <w:sz w:val="22"/>
              </w:rPr>
              <w:instrText xml:space="preserve"> FORMCHECKBOX </w:instrText>
            </w:r>
            <w:r w:rsidR="007C17DE">
              <w:rPr>
                <w:rFonts w:ascii="Arial" w:hAnsi="Arial" w:cs="Arial"/>
                <w:sz w:val="22"/>
              </w:rPr>
            </w:r>
            <w:r w:rsidR="007C17DE">
              <w:rPr>
                <w:rFonts w:ascii="Arial" w:hAnsi="Arial" w:cs="Arial"/>
                <w:sz w:val="22"/>
              </w:rPr>
              <w:fldChar w:fldCharType="separate"/>
            </w:r>
            <w:r w:rsidRPr="00230F35">
              <w:rPr>
                <w:rFonts w:ascii="Arial" w:hAnsi="Arial" w:cs="Arial"/>
                <w:sz w:val="22"/>
              </w:rPr>
              <w:fldChar w:fldCharType="end"/>
            </w:r>
            <w:bookmarkEnd w:id="1"/>
            <w:r w:rsidRPr="00230F35">
              <w:rPr>
                <w:rFonts w:ascii="Arial" w:hAnsi="Arial" w:cs="Arial"/>
                <w:sz w:val="22"/>
              </w:rPr>
              <w:t xml:space="preserve">     3</w:t>
            </w:r>
            <w:r w:rsidRPr="00230F35">
              <w:rPr>
                <w:rFonts w:ascii="Arial" w:hAnsi="Arial" w:cs="Arial"/>
                <w:sz w:val="22"/>
                <w:vertAlign w:val="superscript"/>
              </w:rPr>
              <w:t>rd</w:t>
            </w:r>
            <w:r w:rsidRPr="00230F35">
              <w:rPr>
                <w:rFonts w:ascii="Arial" w:hAnsi="Arial" w:cs="Arial"/>
                <w:sz w:val="22"/>
              </w:rPr>
              <w:t xml:space="preserve">  </w:t>
            </w:r>
            <w:r w:rsidRPr="00230F35">
              <w:rPr>
                <w:rFonts w:ascii="Arial" w:hAnsi="Arial" w:cs="Arial"/>
                <w:sz w:val="22"/>
              </w:rPr>
              <w:fldChar w:fldCharType="begin">
                <w:ffData>
                  <w:name w:val="Check15"/>
                  <w:enabled/>
                  <w:calcOnExit w:val="0"/>
                  <w:checkBox>
                    <w:sizeAuto/>
                    <w:default w:val="0"/>
                  </w:checkBox>
                </w:ffData>
              </w:fldChar>
            </w:r>
            <w:bookmarkStart w:id="2" w:name="Check15"/>
            <w:r w:rsidRPr="00230F35">
              <w:rPr>
                <w:rFonts w:ascii="Arial" w:hAnsi="Arial" w:cs="Arial"/>
                <w:sz w:val="22"/>
              </w:rPr>
              <w:instrText xml:space="preserve"> FORMCHECKBOX </w:instrText>
            </w:r>
            <w:r w:rsidR="007C17DE">
              <w:rPr>
                <w:rFonts w:ascii="Arial" w:hAnsi="Arial" w:cs="Arial"/>
                <w:sz w:val="22"/>
              </w:rPr>
            </w:r>
            <w:r w:rsidR="007C17DE">
              <w:rPr>
                <w:rFonts w:ascii="Arial" w:hAnsi="Arial" w:cs="Arial"/>
                <w:sz w:val="22"/>
              </w:rPr>
              <w:fldChar w:fldCharType="separate"/>
            </w:r>
            <w:r w:rsidRPr="00230F35">
              <w:rPr>
                <w:rFonts w:ascii="Arial" w:hAnsi="Arial" w:cs="Arial"/>
                <w:sz w:val="22"/>
              </w:rPr>
              <w:fldChar w:fldCharType="end"/>
            </w:r>
            <w:bookmarkEnd w:id="2"/>
            <w:r w:rsidRPr="00230F35">
              <w:rPr>
                <w:rFonts w:ascii="Arial" w:hAnsi="Arial" w:cs="Arial"/>
                <w:sz w:val="22"/>
              </w:rPr>
              <w:t xml:space="preserve">      4</w:t>
            </w:r>
            <w:r w:rsidRPr="00230F35">
              <w:rPr>
                <w:rFonts w:ascii="Arial" w:hAnsi="Arial" w:cs="Arial"/>
                <w:sz w:val="22"/>
                <w:vertAlign w:val="superscript"/>
              </w:rPr>
              <w:t>th</w:t>
            </w:r>
            <w:r w:rsidRPr="00230F35">
              <w:rPr>
                <w:rFonts w:ascii="Arial" w:hAnsi="Arial" w:cs="Arial"/>
                <w:sz w:val="22"/>
              </w:rPr>
              <w:t xml:space="preserve"> </w:t>
            </w:r>
            <w:r w:rsidRPr="00230F35">
              <w:rPr>
                <w:rFonts w:ascii="Arial" w:hAnsi="Arial" w:cs="Arial"/>
                <w:sz w:val="22"/>
              </w:rPr>
              <w:fldChar w:fldCharType="begin">
                <w:ffData>
                  <w:name w:val="Check16"/>
                  <w:enabled/>
                  <w:calcOnExit w:val="0"/>
                  <w:checkBox>
                    <w:sizeAuto/>
                    <w:default w:val="0"/>
                  </w:checkBox>
                </w:ffData>
              </w:fldChar>
            </w:r>
            <w:bookmarkStart w:id="3" w:name="Check16"/>
            <w:r w:rsidRPr="00230F35">
              <w:rPr>
                <w:rFonts w:ascii="Arial" w:hAnsi="Arial" w:cs="Arial"/>
                <w:sz w:val="22"/>
              </w:rPr>
              <w:instrText xml:space="preserve"> FORMCHECKBOX </w:instrText>
            </w:r>
            <w:r w:rsidR="007C17DE">
              <w:rPr>
                <w:rFonts w:ascii="Arial" w:hAnsi="Arial" w:cs="Arial"/>
                <w:sz w:val="22"/>
              </w:rPr>
            </w:r>
            <w:r w:rsidR="007C17DE">
              <w:rPr>
                <w:rFonts w:ascii="Arial" w:hAnsi="Arial" w:cs="Arial"/>
                <w:sz w:val="22"/>
              </w:rPr>
              <w:fldChar w:fldCharType="separate"/>
            </w:r>
            <w:r w:rsidRPr="00230F35">
              <w:rPr>
                <w:rFonts w:ascii="Arial" w:hAnsi="Arial" w:cs="Arial"/>
                <w:sz w:val="22"/>
              </w:rPr>
              <w:fldChar w:fldCharType="end"/>
            </w:r>
            <w:bookmarkEnd w:id="3"/>
            <w:r w:rsidRPr="00230F35">
              <w:rPr>
                <w:rFonts w:ascii="Arial" w:hAnsi="Arial" w:cs="Arial"/>
                <w:sz w:val="22"/>
              </w:rPr>
              <w:t xml:space="preserve">      5</w:t>
            </w:r>
            <w:r w:rsidRPr="00230F35">
              <w:rPr>
                <w:rFonts w:ascii="Arial" w:hAnsi="Arial" w:cs="Arial"/>
                <w:sz w:val="22"/>
                <w:vertAlign w:val="superscript"/>
              </w:rPr>
              <w:t>th</w:t>
            </w:r>
            <w:r w:rsidRPr="00230F35">
              <w:rPr>
                <w:rFonts w:ascii="Arial" w:hAnsi="Arial" w:cs="Arial"/>
                <w:sz w:val="22"/>
              </w:rPr>
              <w:t xml:space="preserve"> </w:t>
            </w:r>
            <w:r w:rsidRPr="00230F35">
              <w:rPr>
                <w:rFonts w:ascii="Arial" w:hAnsi="Arial" w:cs="Arial"/>
                <w:sz w:val="22"/>
              </w:rPr>
              <w:fldChar w:fldCharType="begin">
                <w:ffData>
                  <w:name w:val="Check17"/>
                  <w:enabled/>
                  <w:calcOnExit w:val="0"/>
                  <w:checkBox>
                    <w:sizeAuto/>
                    <w:default w:val="0"/>
                  </w:checkBox>
                </w:ffData>
              </w:fldChar>
            </w:r>
            <w:bookmarkStart w:id="4" w:name="Check17"/>
            <w:r w:rsidRPr="00230F35">
              <w:rPr>
                <w:rFonts w:ascii="Arial" w:hAnsi="Arial" w:cs="Arial"/>
                <w:sz w:val="22"/>
              </w:rPr>
              <w:instrText xml:space="preserve"> FORMCHECKBOX </w:instrText>
            </w:r>
            <w:r w:rsidR="007C17DE">
              <w:rPr>
                <w:rFonts w:ascii="Arial" w:hAnsi="Arial" w:cs="Arial"/>
                <w:sz w:val="22"/>
              </w:rPr>
            </w:r>
            <w:r w:rsidR="007C17DE">
              <w:rPr>
                <w:rFonts w:ascii="Arial" w:hAnsi="Arial" w:cs="Arial"/>
                <w:sz w:val="22"/>
              </w:rPr>
              <w:fldChar w:fldCharType="separate"/>
            </w:r>
            <w:r w:rsidRPr="00230F35">
              <w:rPr>
                <w:rFonts w:ascii="Arial" w:hAnsi="Arial" w:cs="Arial"/>
                <w:sz w:val="22"/>
              </w:rPr>
              <w:fldChar w:fldCharType="end"/>
            </w:r>
            <w:bookmarkEnd w:id="4"/>
            <w:r w:rsidRPr="00230F35">
              <w:rPr>
                <w:rFonts w:ascii="Arial" w:hAnsi="Arial" w:cs="Arial"/>
                <w:sz w:val="22"/>
              </w:rPr>
              <w:t xml:space="preserve">      6</w:t>
            </w:r>
            <w:r w:rsidRPr="00230F35">
              <w:rPr>
                <w:rFonts w:ascii="Arial" w:hAnsi="Arial" w:cs="Arial"/>
                <w:sz w:val="22"/>
                <w:vertAlign w:val="superscript"/>
              </w:rPr>
              <w:t>th</w:t>
            </w:r>
            <w:r w:rsidRPr="00230F35">
              <w:rPr>
                <w:rFonts w:ascii="Arial" w:hAnsi="Arial" w:cs="Arial"/>
                <w:sz w:val="22"/>
              </w:rPr>
              <w:t xml:space="preserve"> </w:t>
            </w:r>
            <w:r w:rsidRPr="00230F35">
              <w:rPr>
                <w:rFonts w:ascii="Arial" w:hAnsi="Arial" w:cs="Arial"/>
                <w:sz w:val="22"/>
              </w:rPr>
              <w:fldChar w:fldCharType="begin">
                <w:ffData>
                  <w:name w:val="Check18"/>
                  <w:enabled/>
                  <w:calcOnExit w:val="0"/>
                  <w:checkBox>
                    <w:sizeAuto/>
                    <w:default w:val="0"/>
                  </w:checkBox>
                </w:ffData>
              </w:fldChar>
            </w:r>
            <w:bookmarkStart w:id="5" w:name="Check18"/>
            <w:r w:rsidRPr="00230F35">
              <w:rPr>
                <w:rFonts w:ascii="Arial" w:hAnsi="Arial" w:cs="Arial"/>
                <w:sz w:val="22"/>
              </w:rPr>
              <w:instrText xml:space="preserve"> FORMCHECKBOX </w:instrText>
            </w:r>
            <w:r w:rsidR="007C17DE">
              <w:rPr>
                <w:rFonts w:ascii="Arial" w:hAnsi="Arial" w:cs="Arial"/>
                <w:sz w:val="22"/>
              </w:rPr>
            </w:r>
            <w:r w:rsidR="007C17DE">
              <w:rPr>
                <w:rFonts w:ascii="Arial" w:hAnsi="Arial" w:cs="Arial"/>
                <w:sz w:val="22"/>
              </w:rPr>
              <w:fldChar w:fldCharType="separate"/>
            </w:r>
            <w:r w:rsidRPr="00230F35">
              <w:rPr>
                <w:rFonts w:ascii="Arial" w:hAnsi="Arial" w:cs="Arial"/>
                <w:sz w:val="22"/>
              </w:rPr>
              <w:fldChar w:fldCharType="end"/>
            </w:r>
            <w:bookmarkEnd w:id="5"/>
          </w:p>
        </w:tc>
      </w:tr>
      <w:tr w:rsidR="004C35D9" w:rsidRPr="00230F35" w14:paraId="54BC72FD" w14:textId="77777777" w:rsidTr="004D60CA">
        <w:trPr>
          <w:trHeight w:val="978"/>
        </w:trPr>
        <w:tc>
          <w:tcPr>
            <w:tcW w:w="8856" w:type="dxa"/>
            <w:gridSpan w:val="5"/>
            <w:shd w:val="clear" w:color="auto" w:fill="D9D9D9"/>
          </w:tcPr>
          <w:p w14:paraId="5201BB34" w14:textId="77777777" w:rsidR="004C35D9" w:rsidRPr="00230F35" w:rsidRDefault="004C35D9" w:rsidP="004D6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7778C9D" w14:textId="304CCAFB" w:rsidR="004C35D9" w:rsidRDefault="004C35D9" w:rsidP="004D60C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noProof/>
              </w:rPr>
              <w:drawing>
                <wp:inline distT="0" distB="0" distL="0" distR="0" wp14:anchorId="72290583" wp14:editId="2AC5605D">
                  <wp:extent cx="2235873" cy="34980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258798" cy="353393"/>
                          </a:xfrm>
                          <a:prstGeom prst="rect">
                            <a:avLst/>
                          </a:prstGeom>
                        </pic:spPr>
                      </pic:pic>
                    </a:graphicData>
                  </a:graphic>
                </wp:inline>
              </w:drawing>
            </w:r>
            <w:r w:rsidRPr="00230F35">
              <w:rPr>
                <w:rFonts w:ascii="Arial" w:hAnsi="Arial" w:cs="Arial"/>
                <w:sz w:val="22"/>
                <w:szCs w:val="22"/>
              </w:rPr>
              <w:t>…………………………………………………</w:t>
            </w:r>
          </w:p>
          <w:p w14:paraId="305A2AE5" w14:textId="77777777" w:rsidR="004C35D9" w:rsidRDefault="004C35D9" w:rsidP="004D60CA">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0E2C4E17" w14:textId="77777777" w:rsidR="004C35D9" w:rsidRPr="00230F35" w:rsidRDefault="004C35D9" w:rsidP="004D60CA">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C35D9" w:rsidRPr="00230F35" w14:paraId="0CF4A294" w14:textId="77777777" w:rsidTr="004D60CA">
        <w:trPr>
          <w:trHeight w:val="3972"/>
        </w:trPr>
        <w:tc>
          <w:tcPr>
            <w:tcW w:w="8856" w:type="dxa"/>
            <w:gridSpan w:val="5"/>
          </w:tcPr>
          <w:p w14:paraId="5C943B4F" w14:textId="77777777" w:rsidR="004C35D9" w:rsidRDefault="004C35D9" w:rsidP="004D60CA">
            <w:pPr>
              <w:rPr>
                <w:rFonts w:ascii="Arial" w:hAnsi="Arial"/>
                <w:b/>
              </w:rPr>
            </w:pPr>
          </w:p>
          <w:p w14:paraId="3DB43904" w14:textId="77777777" w:rsidR="004C35D9" w:rsidRPr="00116CE6" w:rsidRDefault="004C35D9" w:rsidP="004D60C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C35D9" w:rsidRPr="00116CE6" w14:paraId="6CF09DD1" w14:textId="77777777" w:rsidTr="004D60CA">
              <w:tc>
                <w:tcPr>
                  <w:tcW w:w="6970" w:type="dxa"/>
                </w:tcPr>
                <w:p w14:paraId="45FC16D5" w14:textId="77777777" w:rsidR="004C35D9" w:rsidRPr="00116CE6" w:rsidRDefault="004C35D9" w:rsidP="004D60CA">
                  <w:pPr>
                    <w:rPr>
                      <w:rFonts w:ascii="Arial" w:hAnsi="Arial"/>
                      <w:sz w:val="20"/>
                      <w:szCs w:val="20"/>
                    </w:rPr>
                  </w:pPr>
                </w:p>
                <w:p w14:paraId="7304D50C" w14:textId="77777777" w:rsidR="004C35D9" w:rsidRPr="00116CE6" w:rsidRDefault="004C35D9" w:rsidP="004D60C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B6E2E3D" w14:textId="77777777" w:rsidR="004C35D9" w:rsidRPr="00116CE6" w:rsidRDefault="004C35D9" w:rsidP="004D60CA">
                  <w:pPr>
                    <w:rPr>
                      <w:rFonts w:ascii="Arial" w:hAnsi="Arial"/>
                      <w:sz w:val="20"/>
                      <w:szCs w:val="20"/>
                    </w:rPr>
                  </w:pPr>
                </w:p>
              </w:tc>
            </w:tr>
            <w:tr w:rsidR="004C35D9" w:rsidRPr="00116CE6" w14:paraId="1BD71142" w14:textId="77777777" w:rsidTr="004D60CA">
              <w:tc>
                <w:tcPr>
                  <w:tcW w:w="6970" w:type="dxa"/>
                </w:tcPr>
                <w:p w14:paraId="65E35BF3" w14:textId="77777777" w:rsidR="004C35D9" w:rsidRPr="00116CE6" w:rsidRDefault="004C35D9" w:rsidP="004D60CA">
                  <w:pPr>
                    <w:rPr>
                      <w:rFonts w:ascii="Arial" w:hAnsi="Arial"/>
                      <w:sz w:val="20"/>
                      <w:szCs w:val="20"/>
                    </w:rPr>
                  </w:pPr>
                </w:p>
                <w:p w14:paraId="5E4B7163" w14:textId="77777777" w:rsidR="004C35D9" w:rsidRPr="00116CE6" w:rsidRDefault="004C35D9" w:rsidP="004D60C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F49C353" w14:textId="77777777" w:rsidR="004C35D9" w:rsidRPr="00116CE6" w:rsidRDefault="004C35D9" w:rsidP="004D60CA">
                  <w:pPr>
                    <w:rPr>
                      <w:rFonts w:ascii="Arial" w:hAnsi="Arial"/>
                      <w:sz w:val="20"/>
                      <w:szCs w:val="20"/>
                    </w:rPr>
                  </w:pPr>
                </w:p>
              </w:tc>
            </w:tr>
            <w:tr w:rsidR="004C35D9" w:rsidRPr="00116CE6" w14:paraId="680BC493" w14:textId="77777777" w:rsidTr="004D60CA">
              <w:tc>
                <w:tcPr>
                  <w:tcW w:w="6970" w:type="dxa"/>
                </w:tcPr>
                <w:p w14:paraId="24BDDD1B" w14:textId="77777777" w:rsidR="004C35D9" w:rsidRPr="00AA70BC" w:rsidRDefault="004C35D9" w:rsidP="004D60CA">
                  <w:pPr>
                    <w:rPr>
                      <w:rFonts w:ascii="Arial" w:hAnsi="Arial"/>
                      <w:sz w:val="20"/>
                      <w:szCs w:val="20"/>
                    </w:rPr>
                  </w:pPr>
                  <w:r w:rsidRPr="00AA70BC">
                    <w:rPr>
                      <w:rFonts w:ascii="Arial" w:hAnsi="Arial"/>
                      <w:sz w:val="20"/>
                      <w:szCs w:val="20"/>
                    </w:rPr>
                    <w:t xml:space="preserve">Agreed Internal Mark: </w:t>
                  </w:r>
                </w:p>
                <w:p w14:paraId="22D81D44" w14:textId="77777777" w:rsidR="004C35D9" w:rsidRPr="00E14D2E" w:rsidRDefault="004C35D9" w:rsidP="004D60CA">
                  <w:pPr>
                    <w:rPr>
                      <w:rFonts w:ascii="Arial" w:hAnsi="Arial"/>
                      <w:sz w:val="20"/>
                      <w:szCs w:val="20"/>
                      <w:highlight w:val="yellow"/>
                    </w:rPr>
                  </w:pPr>
                </w:p>
              </w:tc>
              <w:tc>
                <w:tcPr>
                  <w:tcW w:w="1660" w:type="dxa"/>
                </w:tcPr>
                <w:p w14:paraId="57E785FB" w14:textId="77777777" w:rsidR="004C35D9" w:rsidRPr="00E14D2E" w:rsidRDefault="004C35D9" w:rsidP="004D60CA">
                  <w:pPr>
                    <w:rPr>
                      <w:rFonts w:ascii="Arial" w:hAnsi="Arial"/>
                      <w:sz w:val="20"/>
                      <w:szCs w:val="20"/>
                      <w:highlight w:val="yellow"/>
                    </w:rPr>
                  </w:pPr>
                </w:p>
              </w:tc>
            </w:tr>
            <w:tr w:rsidR="004C35D9" w:rsidRPr="00116CE6" w14:paraId="324652A0" w14:textId="77777777" w:rsidTr="004D60CA">
              <w:tc>
                <w:tcPr>
                  <w:tcW w:w="6970" w:type="dxa"/>
                </w:tcPr>
                <w:p w14:paraId="268125CD" w14:textId="77777777" w:rsidR="004C35D9" w:rsidRPr="00116CE6" w:rsidRDefault="004C35D9" w:rsidP="004D60CA">
                  <w:pPr>
                    <w:rPr>
                      <w:rFonts w:ascii="Arial" w:hAnsi="Arial"/>
                      <w:sz w:val="20"/>
                      <w:szCs w:val="20"/>
                    </w:rPr>
                  </w:pPr>
                </w:p>
                <w:p w14:paraId="4394009D" w14:textId="77777777" w:rsidR="004C35D9" w:rsidRPr="00116CE6" w:rsidRDefault="004C35D9" w:rsidP="004D60C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FE86A64" w14:textId="77777777" w:rsidR="004C35D9" w:rsidRPr="00116CE6" w:rsidRDefault="004C35D9" w:rsidP="004D60CA">
                  <w:pPr>
                    <w:rPr>
                      <w:rFonts w:ascii="Arial" w:hAnsi="Arial"/>
                      <w:sz w:val="20"/>
                      <w:szCs w:val="20"/>
                    </w:rPr>
                  </w:pPr>
                </w:p>
              </w:tc>
            </w:tr>
            <w:tr w:rsidR="004C35D9" w:rsidRPr="00116CE6" w14:paraId="7BEB917A" w14:textId="77777777" w:rsidTr="004D60CA">
              <w:tc>
                <w:tcPr>
                  <w:tcW w:w="6970" w:type="dxa"/>
                </w:tcPr>
                <w:p w14:paraId="4EDC84DD" w14:textId="77777777" w:rsidR="004C35D9" w:rsidRDefault="004C35D9" w:rsidP="004D60CA">
                  <w:pPr>
                    <w:rPr>
                      <w:rFonts w:ascii="Arial" w:hAnsi="Arial"/>
                      <w:sz w:val="20"/>
                      <w:szCs w:val="20"/>
                    </w:rPr>
                  </w:pPr>
                </w:p>
                <w:p w14:paraId="7CE1E9B9" w14:textId="77777777" w:rsidR="004C35D9" w:rsidRPr="00022345" w:rsidRDefault="004C35D9" w:rsidP="004D60CA">
                  <w:pPr>
                    <w:rPr>
                      <w:rFonts w:ascii="Arial" w:hAnsi="Arial"/>
                      <w:b/>
                      <w:sz w:val="20"/>
                      <w:szCs w:val="20"/>
                    </w:rPr>
                  </w:pPr>
                  <w:r w:rsidRPr="00022345">
                    <w:rPr>
                      <w:rFonts w:ascii="Arial" w:hAnsi="Arial"/>
                      <w:b/>
                      <w:sz w:val="20"/>
                      <w:szCs w:val="20"/>
                    </w:rPr>
                    <w:t>Final Mark</w:t>
                  </w:r>
                </w:p>
                <w:p w14:paraId="01D05D70" w14:textId="77777777" w:rsidR="004C35D9" w:rsidRPr="00116CE6" w:rsidRDefault="004C35D9" w:rsidP="004D60CA">
                  <w:pPr>
                    <w:rPr>
                      <w:rFonts w:ascii="Arial" w:hAnsi="Arial"/>
                      <w:sz w:val="20"/>
                      <w:szCs w:val="20"/>
                    </w:rPr>
                  </w:pPr>
                </w:p>
              </w:tc>
              <w:tc>
                <w:tcPr>
                  <w:tcW w:w="1660" w:type="dxa"/>
                </w:tcPr>
                <w:p w14:paraId="319D55A6" w14:textId="77777777" w:rsidR="004C35D9" w:rsidRPr="00116CE6" w:rsidRDefault="004C35D9" w:rsidP="004D60CA">
                  <w:pPr>
                    <w:rPr>
                      <w:rFonts w:ascii="Arial" w:hAnsi="Arial"/>
                      <w:sz w:val="20"/>
                      <w:szCs w:val="20"/>
                    </w:rPr>
                  </w:pPr>
                </w:p>
              </w:tc>
            </w:tr>
          </w:tbl>
          <w:p w14:paraId="1738F3CD" w14:textId="77777777" w:rsidR="004C35D9" w:rsidRDefault="004C35D9" w:rsidP="004D60CA">
            <w:pPr>
              <w:pStyle w:val="NormalWeb"/>
              <w:spacing w:before="0" w:beforeAutospacing="0" w:after="0" w:afterAutospacing="0"/>
              <w:ind w:left="142" w:right="34"/>
              <w:rPr>
                <w:rFonts w:ascii="Arial" w:hAnsi="Arial" w:cs="Arial"/>
                <w:b/>
                <w:sz w:val="22"/>
                <w:szCs w:val="22"/>
              </w:rPr>
            </w:pPr>
          </w:p>
          <w:p w14:paraId="7EEDCA53" w14:textId="77777777" w:rsidR="004C35D9" w:rsidRPr="00230F35" w:rsidRDefault="004C35D9" w:rsidP="004D60C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377BD9B" w14:textId="77777777" w:rsidR="004C35D9" w:rsidRDefault="004C35D9" w:rsidP="004D60CA">
            <w:pPr>
              <w:pStyle w:val="NormalWeb"/>
              <w:spacing w:before="0" w:beforeAutospacing="0" w:after="0" w:afterAutospacing="0"/>
              <w:rPr>
                <w:rFonts w:ascii="Arial" w:hAnsi="Arial" w:cs="Arial"/>
                <w:b/>
                <w:sz w:val="22"/>
                <w:szCs w:val="22"/>
              </w:rPr>
            </w:pPr>
          </w:p>
          <w:p w14:paraId="23B182B5" w14:textId="77777777" w:rsidR="004C35D9" w:rsidRDefault="004C35D9" w:rsidP="004D60CA">
            <w:pPr>
              <w:pStyle w:val="NormalWeb"/>
              <w:spacing w:before="0" w:beforeAutospacing="0" w:after="0" w:afterAutospacing="0"/>
              <w:rPr>
                <w:rFonts w:ascii="Arial" w:hAnsi="Arial" w:cs="Arial"/>
                <w:b/>
                <w:sz w:val="22"/>
                <w:szCs w:val="22"/>
              </w:rPr>
            </w:pPr>
          </w:p>
          <w:p w14:paraId="6BF01159" w14:textId="77777777" w:rsidR="004C35D9" w:rsidRDefault="004C35D9" w:rsidP="004D60CA">
            <w:pPr>
              <w:pStyle w:val="NormalWeb"/>
              <w:spacing w:before="0" w:beforeAutospacing="0" w:after="0" w:afterAutospacing="0"/>
              <w:rPr>
                <w:rFonts w:ascii="Arial" w:hAnsi="Arial" w:cs="Arial"/>
                <w:b/>
                <w:sz w:val="22"/>
                <w:szCs w:val="22"/>
              </w:rPr>
            </w:pPr>
          </w:p>
          <w:p w14:paraId="73D67AFD" w14:textId="77777777" w:rsidR="004C35D9" w:rsidRDefault="004C35D9" w:rsidP="004D60CA">
            <w:pPr>
              <w:pStyle w:val="NormalWeb"/>
              <w:spacing w:before="0" w:beforeAutospacing="0" w:after="0" w:afterAutospacing="0"/>
              <w:rPr>
                <w:rFonts w:ascii="Arial" w:hAnsi="Arial" w:cs="Arial"/>
                <w:b/>
                <w:sz w:val="22"/>
                <w:szCs w:val="22"/>
              </w:rPr>
            </w:pPr>
          </w:p>
          <w:p w14:paraId="06393F43" w14:textId="77777777" w:rsidR="004C35D9" w:rsidRPr="00230F35" w:rsidRDefault="004C35D9" w:rsidP="004D60C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5D3CB0D9" w14:textId="77777777" w:rsidR="004C35D9" w:rsidRDefault="004C35D9" w:rsidP="004D60C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C5967EB" w14:textId="77777777" w:rsidR="004C35D9" w:rsidRPr="00001C3B" w:rsidRDefault="004C35D9" w:rsidP="004D60CA">
            <w:pPr>
              <w:pStyle w:val="NormalWeb"/>
              <w:rPr>
                <w:rFonts w:ascii="Arial" w:hAnsi="Arial" w:cs="Arial"/>
                <w:sz w:val="22"/>
                <w:szCs w:val="22"/>
              </w:rPr>
            </w:pPr>
          </w:p>
        </w:tc>
      </w:tr>
      <w:tr w:rsidR="004C35D9" w:rsidRPr="00230F35" w14:paraId="0766AA5E" w14:textId="77777777" w:rsidTr="004D60CA">
        <w:trPr>
          <w:trHeight w:val="492"/>
        </w:trPr>
        <w:tc>
          <w:tcPr>
            <w:tcW w:w="6768" w:type="dxa"/>
            <w:gridSpan w:val="3"/>
          </w:tcPr>
          <w:p w14:paraId="200DB327" w14:textId="77777777" w:rsidR="004C35D9" w:rsidRPr="00230F35" w:rsidRDefault="004C35D9" w:rsidP="004D60C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89E992A" w14:textId="77777777" w:rsidR="004C35D9" w:rsidRPr="00230F35" w:rsidRDefault="004C35D9" w:rsidP="004D60CA">
            <w:pPr>
              <w:pStyle w:val="NormalWeb"/>
              <w:spacing w:after="0"/>
              <w:ind w:left="142" w:right="34"/>
              <w:rPr>
                <w:rFonts w:ascii="Arial" w:hAnsi="Arial" w:cs="Arial"/>
                <w:sz w:val="22"/>
                <w:szCs w:val="22"/>
              </w:rPr>
            </w:pPr>
            <w:r w:rsidRPr="00230F35">
              <w:rPr>
                <w:rFonts w:ascii="Arial" w:hAnsi="Arial" w:cs="Arial"/>
                <w:sz w:val="22"/>
                <w:szCs w:val="22"/>
              </w:rPr>
              <w:t>Date:</w:t>
            </w:r>
          </w:p>
        </w:tc>
      </w:tr>
      <w:tr w:rsidR="004C35D9" w:rsidRPr="002F467C" w14:paraId="0027649C" w14:textId="77777777" w:rsidTr="004D60CA">
        <w:tc>
          <w:tcPr>
            <w:tcW w:w="8856" w:type="dxa"/>
            <w:gridSpan w:val="5"/>
          </w:tcPr>
          <w:p w14:paraId="08A27DEA" w14:textId="77777777" w:rsidR="004C35D9" w:rsidRPr="00230F35" w:rsidRDefault="004C35D9" w:rsidP="004D60CA">
            <w:pPr>
              <w:pStyle w:val="NormalWeb"/>
              <w:spacing w:before="0" w:beforeAutospacing="0" w:after="0" w:afterAutospacing="0"/>
              <w:ind w:right="-334"/>
              <w:rPr>
                <w:rFonts w:ascii="Arial" w:hAnsi="Arial" w:cs="Arial"/>
                <w:bCs/>
                <w:i/>
                <w:sz w:val="22"/>
                <w:szCs w:val="22"/>
              </w:rPr>
            </w:pPr>
          </w:p>
          <w:p w14:paraId="5CC54276" w14:textId="77777777" w:rsidR="004C35D9" w:rsidRPr="00230F35" w:rsidRDefault="004C35D9" w:rsidP="004D60C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6939B83" w14:textId="77777777" w:rsidR="004C35D9" w:rsidRPr="00230F35" w:rsidRDefault="004C35D9" w:rsidP="004D60CA">
            <w:pPr>
              <w:pStyle w:val="NormalWeb"/>
              <w:spacing w:before="0" w:beforeAutospacing="0" w:after="0" w:afterAutospacing="0"/>
              <w:ind w:right="-334"/>
              <w:rPr>
                <w:rFonts w:ascii="Arial" w:hAnsi="Arial" w:cs="Arial"/>
                <w:b/>
                <w:bCs/>
                <w:sz w:val="22"/>
                <w:szCs w:val="22"/>
              </w:rPr>
            </w:pPr>
          </w:p>
          <w:p w14:paraId="37C1A09F" w14:textId="77777777" w:rsidR="004C35D9" w:rsidRPr="00230F35" w:rsidRDefault="004C35D9" w:rsidP="004D60C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A3BB7CD" w14:textId="77777777" w:rsidR="004C35D9" w:rsidRPr="00230F35" w:rsidRDefault="004C35D9" w:rsidP="004D60CA">
            <w:pPr>
              <w:pStyle w:val="NormalWeb"/>
              <w:spacing w:before="0" w:beforeAutospacing="0" w:after="0" w:afterAutospacing="0"/>
              <w:ind w:right="-334"/>
              <w:rPr>
                <w:rFonts w:ascii="Arial" w:hAnsi="Arial" w:cs="Arial"/>
                <w:bCs/>
                <w:sz w:val="22"/>
                <w:szCs w:val="22"/>
              </w:rPr>
            </w:pPr>
          </w:p>
          <w:p w14:paraId="0006E441" w14:textId="77777777" w:rsidR="004C35D9" w:rsidRPr="00230F35" w:rsidRDefault="004C35D9" w:rsidP="004D60CA">
            <w:pPr>
              <w:pStyle w:val="NormalWeb"/>
              <w:spacing w:before="0" w:beforeAutospacing="0" w:after="0" w:afterAutospacing="0"/>
              <w:ind w:right="-334"/>
              <w:rPr>
                <w:rFonts w:ascii="Arial" w:hAnsi="Arial" w:cs="Arial"/>
                <w:bCs/>
                <w:sz w:val="22"/>
                <w:szCs w:val="22"/>
              </w:rPr>
            </w:pPr>
          </w:p>
          <w:p w14:paraId="236F4E9B" w14:textId="77777777" w:rsidR="004C35D9" w:rsidRPr="00230F35" w:rsidRDefault="004C35D9" w:rsidP="004D60CA">
            <w:pPr>
              <w:pStyle w:val="NormalWeb"/>
              <w:spacing w:before="0" w:beforeAutospacing="0" w:after="0" w:afterAutospacing="0"/>
              <w:ind w:right="-334"/>
              <w:rPr>
                <w:rFonts w:ascii="Arial" w:hAnsi="Arial" w:cs="Arial"/>
                <w:bCs/>
                <w:sz w:val="22"/>
                <w:szCs w:val="22"/>
              </w:rPr>
            </w:pPr>
          </w:p>
        </w:tc>
      </w:tr>
      <w:tr w:rsidR="004C35D9" w:rsidRPr="002F467C" w14:paraId="593225D0" w14:textId="77777777" w:rsidTr="004D60CA">
        <w:trPr>
          <w:trHeight w:val="720"/>
        </w:trPr>
        <w:tc>
          <w:tcPr>
            <w:tcW w:w="5211" w:type="dxa"/>
            <w:gridSpan w:val="2"/>
          </w:tcPr>
          <w:p w14:paraId="024B5CB0" w14:textId="77777777" w:rsidR="004C35D9" w:rsidRPr="00230F35" w:rsidRDefault="004C35D9" w:rsidP="004D60C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02F7F44" w14:textId="77777777" w:rsidR="004C35D9" w:rsidRPr="00230F35" w:rsidRDefault="004C35D9" w:rsidP="004D60C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C35D9" w:rsidRPr="002F467C" w14:paraId="1F892692" w14:textId="77777777" w:rsidTr="004D60CA">
        <w:trPr>
          <w:trHeight w:val="720"/>
        </w:trPr>
        <w:tc>
          <w:tcPr>
            <w:tcW w:w="8856" w:type="dxa"/>
            <w:gridSpan w:val="5"/>
          </w:tcPr>
          <w:p w14:paraId="73E17982" w14:textId="77777777" w:rsidR="004C35D9" w:rsidRPr="00AA70BC" w:rsidRDefault="004C35D9" w:rsidP="004D60CA">
            <w:pPr>
              <w:rPr>
                <w:rFonts w:ascii="Arial" w:hAnsi="Arial" w:cs="Arial"/>
                <w:b/>
                <w:sz w:val="22"/>
              </w:rPr>
            </w:pPr>
            <w:r w:rsidRPr="00AA70BC">
              <w:rPr>
                <w:rFonts w:ascii="Arial" w:hAnsi="Arial" w:cs="Arial"/>
                <w:b/>
                <w:sz w:val="22"/>
              </w:rPr>
              <w:t>AGREED INTERNAL MARK (where necessary):</w:t>
            </w:r>
          </w:p>
          <w:p w14:paraId="2BFF69C3" w14:textId="77777777" w:rsidR="004C35D9" w:rsidRPr="00AA70BC" w:rsidRDefault="004C35D9" w:rsidP="004D60CA">
            <w:pPr>
              <w:rPr>
                <w:rFonts w:ascii="Arial" w:hAnsi="Arial" w:cs="Arial"/>
                <w:b/>
                <w:sz w:val="22"/>
              </w:rPr>
            </w:pPr>
          </w:p>
          <w:p w14:paraId="0089294C" w14:textId="77777777" w:rsidR="004C35D9" w:rsidRDefault="004C35D9" w:rsidP="004D60CA">
            <w:pPr>
              <w:rPr>
                <w:rFonts w:ascii="Arial" w:hAnsi="Arial" w:cs="Arial"/>
                <w:b/>
                <w:sz w:val="22"/>
              </w:rPr>
            </w:pPr>
            <w:r w:rsidRPr="00AA70BC">
              <w:rPr>
                <w:rFonts w:ascii="Arial" w:hAnsi="Arial" w:cs="Arial"/>
                <w:b/>
                <w:sz w:val="22"/>
              </w:rPr>
              <w:t>Comment on process on arriving at agreed mark:</w:t>
            </w:r>
          </w:p>
          <w:p w14:paraId="2901F8B7" w14:textId="77777777" w:rsidR="004C35D9" w:rsidRDefault="004C35D9" w:rsidP="004D60CA">
            <w:pPr>
              <w:rPr>
                <w:rFonts w:ascii="Arial" w:hAnsi="Arial" w:cs="Arial"/>
                <w:b/>
                <w:sz w:val="22"/>
              </w:rPr>
            </w:pPr>
          </w:p>
          <w:p w14:paraId="4BAF4F7C" w14:textId="77777777" w:rsidR="004C35D9" w:rsidRPr="00B34964" w:rsidRDefault="004C35D9" w:rsidP="004D60CA">
            <w:pPr>
              <w:rPr>
                <w:rFonts w:ascii="Arial" w:hAnsi="Arial" w:cs="Arial"/>
                <w:b/>
                <w:sz w:val="22"/>
              </w:rPr>
            </w:pPr>
          </w:p>
        </w:tc>
      </w:tr>
      <w:tr w:rsidR="004C35D9" w:rsidRPr="002F467C" w14:paraId="076D3BF7" w14:textId="77777777" w:rsidTr="004D60CA">
        <w:trPr>
          <w:trHeight w:val="720"/>
        </w:trPr>
        <w:tc>
          <w:tcPr>
            <w:tcW w:w="8856" w:type="dxa"/>
            <w:gridSpan w:val="5"/>
          </w:tcPr>
          <w:p w14:paraId="6B997B04" w14:textId="77777777" w:rsidR="004C35D9" w:rsidRPr="00B34964" w:rsidRDefault="004C35D9" w:rsidP="004D60CA">
            <w:pPr>
              <w:rPr>
                <w:rFonts w:ascii="Arial" w:hAnsi="Arial" w:cs="Arial"/>
                <w:b/>
                <w:sz w:val="22"/>
              </w:rPr>
            </w:pPr>
            <w:r w:rsidRPr="00B34964">
              <w:rPr>
                <w:rFonts w:ascii="Arial" w:hAnsi="Arial" w:cs="Arial"/>
                <w:b/>
                <w:sz w:val="22"/>
              </w:rPr>
              <w:lastRenderedPageBreak/>
              <w:t>External Examiner’s comments (if relevant)</w:t>
            </w:r>
          </w:p>
          <w:p w14:paraId="7A112955" w14:textId="77777777" w:rsidR="004C35D9" w:rsidRPr="00230F35" w:rsidRDefault="004C35D9" w:rsidP="004D60CA">
            <w:pPr>
              <w:pStyle w:val="NormalWeb"/>
              <w:spacing w:before="0" w:beforeAutospacing="0" w:after="0" w:afterAutospacing="0"/>
              <w:ind w:right="-334"/>
              <w:rPr>
                <w:rFonts w:ascii="Arial" w:hAnsi="Arial" w:cs="Arial"/>
                <w:bCs/>
                <w:sz w:val="22"/>
                <w:szCs w:val="22"/>
              </w:rPr>
            </w:pPr>
          </w:p>
          <w:p w14:paraId="7F6B9CD5" w14:textId="77777777" w:rsidR="004C35D9" w:rsidRPr="00230F35" w:rsidRDefault="004C35D9" w:rsidP="004D60CA">
            <w:pPr>
              <w:pStyle w:val="NormalWeb"/>
              <w:spacing w:before="0" w:beforeAutospacing="0" w:after="0" w:afterAutospacing="0"/>
              <w:ind w:right="-334"/>
              <w:rPr>
                <w:rFonts w:ascii="Arial" w:hAnsi="Arial" w:cs="Arial"/>
                <w:bCs/>
                <w:sz w:val="22"/>
                <w:szCs w:val="22"/>
              </w:rPr>
            </w:pPr>
          </w:p>
          <w:p w14:paraId="5E6C9A6D" w14:textId="77777777" w:rsidR="004C35D9" w:rsidRPr="00230F35" w:rsidRDefault="004C35D9" w:rsidP="004D60CA">
            <w:pPr>
              <w:pStyle w:val="NormalWeb"/>
              <w:spacing w:before="0" w:beforeAutospacing="0" w:after="0" w:afterAutospacing="0"/>
              <w:ind w:right="-334"/>
              <w:rPr>
                <w:rFonts w:ascii="Arial" w:hAnsi="Arial" w:cs="Arial"/>
                <w:bCs/>
                <w:sz w:val="22"/>
                <w:szCs w:val="22"/>
              </w:rPr>
            </w:pPr>
          </w:p>
        </w:tc>
      </w:tr>
      <w:tr w:rsidR="004C35D9" w:rsidRPr="002F467C" w14:paraId="1C454A92" w14:textId="77777777" w:rsidTr="004D60CA">
        <w:trPr>
          <w:trHeight w:val="720"/>
        </w:trPr>
        <w:tc>
          <w:tcPr>
            <w:tcW w:w="5211" w:type="dxa"/>
            <w:gridSpan w:val="2"/>
          </w:tcPr>
          <w:p w14:paraId="04A22995" w14:textId="77777777" w:rsidR="004C35D9" w:rsidRPr="00230F35" w:rsidRDefault="004C35D9" w:rsidP="004D60CA">
            <w:pPr>
              <w:rPr>
                <w:rFonts w:ascii="Arial" w:hAnsi="Arial" w:cs="Arial"/>
                <w:sz w:val="22"/>
              </w:rPr>
            </w:pPr>
            <w:r w:rsidRPr="00230F35">
              <w:rPr>
                <w:rFonts w:ascii="Arial" w:hAnsi="Arial" w:cs="Arial"/>
                <w:sz w:val="22"/>
              </w:rPr>
              <w:t>External Examiner’s Signature:</w:t>
            </w:r>
          </w:p>
        </w:tc>
        <w:tc>
          <w:tcPr>
            <w:tcW w:w="3645" w:type="dxa"/>
            <w:gridSpan w:val="3"/>
          </w:tcPr>
          <w:p w14:paraId="5C21EB1B" w14:textId="77777777" w:rsidR="004C35D9" w:rsidRPr="00230F35" w:rsidRDefault="004C35D9" w:rsidP="004D60CA">
            <w:pPr>
              <w:rPr>
                <w:rFonts w:ascii="Arial" w:hAnsi="Arial" w:cs="Arial"/>
                <w:sz w:val="22"/>
              </w:rPr>
            </w:pPr>
            <w:r w:rsidRPr="00230F35">
              <w:rPr>
                <w:rFonts w:ascii="Arial" w:hAnsi="Arial" w:cs="Arial"/>
                <w:sz w:val="22"/>
              </w:rPr>
              <w:t>Date:</w:t>
            </w:r>
          </w:p>
        </w:tc>
      </w:tr>
    </w:tbl>
    <w:p w14:paraId="294A7BC3" w14:textId="77777777" w:rsidR="004C35D9" w:rsidRPr="00D67BF8" w:rsidRDefault="004C35D9" w:rsidP="004C35D9">
      <w:pPr>
        <w:pStyle w:val="NormalWeb"/>
        <w:spacing w:before="0" w:beforeAutospacing="0" w:after="0" w:afterAutospacing="0"/>
        <w:ind w:right="-334"/>
        <w:rPr>
          <w:rFonts w:ascii="Trebuchet MS" w:hAnsi="Trebuchet MS" w:cs="Tahoma"/>
          <w:bCs/>
          <w:sz w:val="24"/>
          <w:szCs w:val="24"/>
        </w:rPr>
      </w:pPr>
    </w:p>
    <w:p w14:paraId="199CAC1F" w14:textId="1EA465F3" w:rsidR="004C35D9" w:rsidRDefault="004C35D9">
      <w:pPr>
        <w:spacing w:after="160" w:line="259" w:lineRule="auto"/>
      </w:pPr>
      <w:r>
        <w:br w:type="page"/>
      </w:r>
    </w:p>
    <w:p w14:paraId="23E7EADA" w14:textId="77777777" w:rsidR="004C6DB5" w:rsidRDefault="004C6DB5" w:rsidP="007A7E55">
      <w:pPr>
        <w:spacing w:line="240" w:lineRule="auto"/>
      </w:pPr>
    </w:p>
    <w:p w14:paraId="1DC1B121" w14:textId="77777777" w:rsidR="004C6DB5" w:rsidRDefault="004C6DB5" w:rsidP="007A7E55">
      <w:pPr>
        <w:spacing w:line="240" w:lineRule="auto"/>
      </w:pPr>
    </w:p>
    <w:p w14:paraId="7C75BD80" w14:textId="77777777" w:rsidR="004C6DB5" w:rsidRDefault="004C6DB5" w:rsidP="007A7E55">
      <w:pPr>
        <w:spacing w:line="240" w:lineRule="auto"/>
      </w:pPr>
    </w:p>
    <w:p w14:paraId="63EEEE6A" w14:textId="77777777" w:rsidR="004C6DB5" w:rsidRDefault="004C6DB5" w:rsidP="007A7E55">
      <w:pPr>
        <w:spacing w:line="240" w:lineRule="auto"/>
      </w:pPr>
    </w:p>
    <w:p w14:paraId="27036F08" w14:textId="77777777" w:rsidR="004C6DB5" w:rsidRDefault="004C6DB5" w:rsidP="007A7E55">
      <w:pPr>
        <w:spacing w:line="240" w:lineRule="auto"/>
      </w:pPr>
    </w:p>
    <w:p w14:paraId="7DEAF400" w14:textId="77777777" w:rsidR="004C6DB5" w:rsidRDefault="004C6DB5" w:rsidP="007A7E55">
      <w:pPr>
        <w:spacing w:line="240" w:lineRule="auto"/>
      </w:pPr>
    </w:p>
    <w:p w14:paraId="39AAF066" w14:textId="77777777" w:rsidR="004C6DB5" w:rsidRDefault="004C6DB5" w:rsidP="007A7E55">
      <w:pPr>
        <w:spacing w:line="240" w:lineRule="auto"/>
      </w:pPr>
    </w:p>
    <w:p w14:paraId="29F422B9" w14:textId="77777777" w:rsidR="004C6DB5" w:rsidRDefault="004C6DB5" w:rsidP="007A7E55">
      <w:pPr>
        <w:spacing w:line="240" w:lineRule="auto"/>
      </w:pPr>
    </w:p>
    <w:p w14:paraId="057BAFAE" w14:textId="77777777" w:rsidR="004C6DB5" w:rsidRDefault="004C6DB5" w:rsidP="007A7E55">
      <w:pPr>
        <w:spacing w:line="240" w:lineRule="auto"/>
      </w:pPr>
    </w:p>
    <w:p w14:paraId="692A0405" w14:textId="77777777" w:rsidR="004C6DB5" w:rsidRDefault="004C6DB5" w:rsidP="007A7E55">
      <w:pPr>
        <w:spacing w:line="240" w:lineRule="auto"/>
      </w:pPr>
    </w:p>
    <w:p w14:paraId="0B977FD6" w14:textId="77777777" w:rsidR="004C6DB5" w:rsidRDefault="004C6DB5" w:rsidP="007A7E55">
      <w:pPr>
        <w:spacing w:line="240" w:lineRule="auto"/>
      </w:pPr>
    </w:p>
    <w:p w14:paraId="56A5177A" w14:textId="77777777" w:rsidR="004C6DB5" w:rsidRDefault="004C6DB5" w:rsidP="007A7E55">
      <w:pPr>
        <w:spacing w:line="240" w:lineRule="auto"/>
      </w:pPr>
    </w:p>
    <w:p w14:paraId="26E5E11F" w14:textId="77777777" w:rsidR="004C6DB5" w:rsidRDefault="004C6DB5" w:rsidP="007A7E55">
      <w:pPr>
        <w:spacing w:line="240" w:lineRule="auto"/>
      </w:pPr>
    </w:p>
    <w:p w14:paraId="35DEE216" w14:textId="16827C43" w:rsidR="0046625E" w:rsidRDefault="008274FE" w:rsidP="007A7E55">
      <w:pPr>
        <w:spacing w:line="240" w:lineRule="auto"/>
        <w:jc w:val="center"/>
        <w:rPr>
          <w:i/>
        </w:rPr>
      </w:pPr>
      <w:r>
        <w:t>Maternal</w:t>
      </w:r>
      <w:r w:rsidR="00F57776">
        <w:t xml:space="preserve"> Body</w:t>
      </w:r>
      <w:r>
        <w:t xml:space="preserve"> </w:t>
      </w:r>
      <w:r w:rsidR="003543D0">
        <w:t xml:space="preserve">vs. </w:t>
      </w:r>
      <w:r>
        <w:t>Sexual</w:t>
      </w:r>
      <w:r w:rsidR="00F57776">
        <w:t xml:space="preserve"> Body</w:t>
      </w:r>
      <w:r>
        <w:t xml:space="preserve"> in </w:t>
      </w:r>
      <w:r w:rsidR="001D2583">
        <w:t>Shakespeare’s</w:t>
      </w:r>
      <w:r w:rsidR="001D2583" w:rsidRPr="001D2583">
        <w:rPr>
          <w:i/>
        </w:rPr>
        <w:t xml:space="preserve"> Hamlet</w:t>
      </w:r>
    </w:p>
    <w:p w14:paraId="21EB57DB" w14:textId="77777777" w:rsidR="004C6DB5" w:rsidRDefault="004C6DB5" w:rsidP="007A7E55">
      <w:pPr>
        <w:spacing w:line="240" w:lineRule="auto"/>
        <w:jc w:val="center"/>
      </w:pPr>
    </w:p>
    <w:p w14:paraId="09294A7C" w14:textId="77777777" w:rsidR="004C6DB5" w:rsidRDefault="004C6DB5" w:rsidP="007A7E55">
      <w:pPr>
        <w:spacing w:line="240" w:lineRule="auto"/>
        <w:jc w:val="center"/>
      </w:pPr>
    </w:p>
    <w:p w14:paraId="762BB200" w14:textId="5C9632D7" w:rsidR="003543D0" w:rsidRPr="004C6DB5" w:rsidRDefault="004C6DB5" w:rsidP="007A7E55">
      <w:pPr>
        <w:spacing w:line="240" w:lineRule="auto"/>
        <w:jc w:val="center"/>
      </w:pPr>
      <w:r>
        <w:t>Marah Hager</w:t>
      </w:r>
    </w:p>
    <w:p w14:paraId="3C147607" w14:textId="7BA2B4F5" w:rsidR="004C6DB5" w:rsidRDefault="004C6DB5" w:rsidP="007A7E55">
      <w:pPr>
        <w:spacing w:after="160" w:line="240" w:lineRule="auto"/>
        <w:jc w:val="center"/>
      </w:pPr>
    </w:p>
    <w:p w14:paraId="7D6086AB" w14:textId="7B1B3EA9" w:rsidR="004C6DB5" w:rsidRDefault="004C6DB5" w:rsidP="007A7E55">
      <w:pPr>
        <w:spacing w:after="160" w:line="240" w:lineRule="auto"/>
        <w:jc w:val="center"/>
      </w:pPr>
    </w:p>
    <w:p w14:paraId="5F3FD300" w14:textId="2E8E9FB6" w:rsidR="004C6DB5" w:rsidRDefault="004C6DB5" w:rsidP="007A7E55">
      <w:pPr>
        <w:spacing w:after="160" w:line="240" w:lineRule="auto"/>
        <w:jc w:val="center"/>
      </w:pPr>
    </w:p>
    <w:p w14:paraId="3091D47F" w14:textId="6591DBA2" w:rsidR="004C6DB5" w:rsidRDefault="004C6DB5" w:rsidP="007A7E55">
      <w:pPr>
        <w:spacing w:after="160" w:line="240" w:lineRule="auto"/>
        <w:jc w:val="center"/>
      </w:pPr>
    </w:p>
    <w:p w14:paraId="27A3CB57" w14:textId="51BC9B40" w:rsidR="004C6DB5" w:rsidRDefault="004C6DB5" w:rsidP="007A7E55">
      <w:pPr>
        <w:spacing w:after="160" w:line="240" w:lineRule="auto"/>
        <w:jc w:val="center"/>
      </w:pPr>
    </w:p>
    <w:p w14:paraId="4B9CCD80" w14:textId="59848CE0" w:rsidR="004C6DB5" w:rsidRDefault="004C6DB5" w:rsidP="007A7E55">
      <w:pPr>
        <w:spacing w:after="160" w:line="240" w:lineRule="auto"/>
        <w:jc w:val="center"/>
      </w:pPr>
    </w:p>
    <w:p w14:paraId="4D1D645C" w14:textId="7BA00857" w:rsidR="004C6DB5" w:rsidRDefault="004C6DB5" w:rsidP="007A7E55">
      <w:pPr>
        <w:spacing w:after="160" w:line="240" w:lineRule="auto"/>
        <w:jc w:val="center"/>
      </w:pPr>
    </w:p>
    <w:p w14:paraId="456CF987" w14:textId="00AD76B4" w:rsidR="004C6DB5" w:rsidRDefault="004C6DB5" w:rsidP="007A7E55">
      <w:pPr>
        <w:spacing w:after="160" w:line="240" w:lineRule="auto"/>
        <w:jc w:val="center"/>
      </w:pPr>
    </w:p>
    <w:p w14:paraId="19AF95E2" w14:textId="0015C551" w:rsidR="004C6DB5" w:rsidRDefault="004C6DB5" w:rsidP="007A7E55">
      <w:pPr>
        <w:spacing w:after="160" w:line="240" w:lineRule="auto"/>
        <w:jc w:val="center"/>
      </w:pPr>
    </w:p>
    <w:p w14:paraId="5E3F549B" w14:textId="3E9DABE5" w:rsidR="004C6DB5" w:rsidRDefault="004C6DB5" w:rsidP="007A7E55">
      <w:pPr>
        <w:spacing w:after="160" w:line="240" w:lineRule="auto"/>
        <w:jc w:val="center"/>
      </w:pPr>
    </w:p>
    <w:p w14:paraId="41D83713" w14:textId="1EC5A74D" w:rsidR="004C6DB5" w:rsidRDefault="004C6DB5" w:rsidP="007A7E55">
      <w:pPr>
        <w:spacing w:after="160" w:line="240" w:lineRule="auto"/>
        <w:jc w:val="center"/>
      </w:pPr>
    </w:p>
    <w:p w14:paraId="1FAFEED2" w14:textId="30648121" w:rsidR="004C6DB5" w:rsidRDefault="004C6DB5" w:rsidP="007A7E55">
      <w:pPr>
        <w:spacing w:after="160" w:line="240" w:lineRule="auto"/>
        <w:jc w:val="center"/>
      </w:pPr>
      <w:r>
        <w:t>Professor Peter Mitchell</w:t>
      </w:r>
    </w:p>
    <w:p w14:paraId="1ABAA42F" w14:textId="678F0D51" w:rsidR="004C6DB5" w:rsidRDefault="00720B1B" w:rsidP="007A7E55">
      <w:pPr>
        <w:spacing w:after="160" w:line="240" w:lineRule="auto"/>
        <w:jc w:val="center"/>
      </w:pPr>
      <w:r>
        <w:t>CSEN7027</w:t>
      </w:r>
    </w:p>
    <w:p w14:paraId="3ABF6D8F" w14:textId="7852DFA4" w:rsidR="004C6DB5" w:rsidRDefault="004C6DB5" w:rsidP="007A7E55">
      <w:pPr>
        <w:spacing w:after="160" w:line="240" w:lineRule="auto"/>
        <w:jc w:val="center"/>
      </w:pPr>
      <w:r>
        <w:t>University of Wales Trinity Saint David</w:t>
      </w:r>
    </w:p>
    <w:p w14:paraId="1E5AA10C" w14:textId="130B37B3" w:rsidR="004C6DB5" w:rsidRDefault="004C6DB5" w:rsidP="007A7E55">
      <w:pPr>
        <w:spacing w:after="160" w:line="240" w:lineRule="auto"/>
        <w:jc w:val="center"/>
      </w:pPr>
      <w:r>
        <w:t>17 May 2019</w:t>
      </w:r>
    </w:p>
    <w:p w14:paraId="54D44989" w14:textId="77777777" w:rsidR="004C6DB5" w:rsidRDefault="004C6DB5" w:rsidP="007A7E55">
      <w:pPr>
        <w:spacing w:after="160" w:line="259" w:lineRule="auto"/>
      </w:pPr>
      <w:r>
        <w:br w:type="page"/>
      </w:r>
    </w:p>
    <w:p w14:paraId="089D465D" w14:textId="77777777" w:rsidR="0088626F" w:rsidRPr="00A70F6F" w:rsidRDefault="0088626F" w:rsidP="007A7E55">
      <w:pPr>
        <w:ind w:firstLine="720"/>
      </w:pPr>
      <w:r>
        <w:lastRenderedPageBreak/>
        <w:t xml:space="preserve">Shakespeare’s </w:t>
      </w:r>
      <w:r>
        <w:rPr>
          <w:i/>
        </w:rPr>
        <w:t>Hamlet</w:t>
      </w:r>
      <w:r>
        <w:t xml:space="preserve"> is one of the most praised and criticized pieces of literature and dramatic performances. </w:t>
      </w:r>
      <w:r>
        <w:rPr>
          <w:i/>
        </w:rPr>
        <w:t>Hamlet</w:t>
      </w:r>
      <w:r>
        <w:t xml:space="preserve"> is psychologically engaging, emotionally ambiguous, and highlights distinctions of the era of its conception. When analysing a challenging work such as </w:t>
      </w:r>
      <w:r>
        <w:rPr>
          <w:i/>
        </w:rPr>
        <w:t xml:space="preserve">Hamlet, </w:t>
      </w:r>
      <w:r>
        <w:t xml:space="preserve">where there is a plethora of criticism available for study, it is important to acknowledge how certain elements of the work would have been perceived differently following its initial release to the public than to scholars, students, and general readers of present-day society. Critics have developed new ideas about how to regard </w:t>
      </w:r>
      <w:r>
        <w:rPr>
          <w:i/>
        </w:rPr>
        <w:t>Hamlet</w:t>
      </w:r>
      <w:r>
        <w:t xml:space="preserve"> influenced by modern concepts and social movements, which inspires the question whether an individual’s personal perception of the play’s core meaning should be more dependent upon the era it was written or coloured by the eras in which it has aged. Gertrude, for example, receives much critique and praise from critics for her role within the play. Critics, like </w:t>
      </w:r>
      <w:r w:rsidRPr="00167547">
        <w:rPr>
          <w:spacing w:val="-3"/>
          <w:szCs w:val="24"/>
        </w:rPr>
        <w:t>Jacqueline</w:t>
      </w:r>
      <w:r>
        <w:t xml:space="preserve"> Rose, acknowledge Gertrude as a female character who is released in some sense from a classic sexual piety. Other critiques, like those by T.S. Eliot, include that Gertrude’s character is not rounded enough to support the overwhelming importance placed up her by her son, Hamlet. The somewhat disturbing relationship between Gertrude and Hamlet is deeply debated, especially in connection to Sigmund Freud’s work on the Oedipus Complex, where many critics are able to correctly highlight aspects of the play which directly suggest a desire for something beyond the relationship of mother and son. Gertrude’s role within the play is undoubtedly directly correlated to Hamlet’s and it is nearly impossible to analyse Gertrude without also analysing Hamlet. Whether Gertrude lives up to the standard Hamlet so adamantly holds her or how an individual decides to perceive the questionably unhealthy relationship between mother and son may be debated, but the abundance and variety of criticism suggests there will be more analyses proposed rather than conclusions. </w:t>
      </w:r>
      <w:r>
        <w:lastRenderedPageBreak/>
        <w:t xml:space="preserve">However, Gertrude’s identity within </w:t>
      </w:r>
      <w:r>
        <w:rPr>
          <w:i/>
        </w:rPr>
        <w:t>Hamlet</w:t>
      </w:r>
      <w:r>
        <w:t xml:space="preserve"> is a direct documentation of a struggle between two metaphorical bodies—the maternal body and the sexual (female) body. </w:t>
      </w:r>
    </w:p>
    <w:p w14:paraId="14A11EE7" w14:textId="39962F2F" w:rsidR="0088626F" w:rsidRPr="007D5732" w:rsidRDefault="0088626F" w:rsidP="007A7E55">
      <w:pPr>
        <w:ind w:firstLine="720"/>
        <w:rPr>
          <w:rFonts w:ascii="Arial" w:eastAsia="Times New Roman" w:hAnsi="Arial" w:cs="Arial"/>
          <w:sz w:val="32"/>
          <w:szCs w:val="32"/>
          <w:lang w:val="en-US"/>
        </w:rPr>
      </w:pPr>
      <w:r>
        <w:t>Female characters on the Elizabethan and Jacobean stage were held to a different standard than male characters. Femininity was upheld to a parody level, entertaining a 15</w:t>
      </w:r>
      <w:r w:rsidRPr="00CB15A8">
        <w:rPr>
          <w:vertAlign w:val="superscript"/>
        </w:rPr>
        <w:t>th</w:t>
      </w:r>
      <w:r>
        <w:t xml:space="preserve"> century audience with still unshaped ideas of the female body and mind, especially when considering the fact that all female characters were portrayed by young male actors.</w:t>
      </w:r>
      <w:r w:rsidR="00EE7A34">
        <w:rPr>
          <w:vertAlign w:val="superscript"/>
        </w:rPr>
        <w:t>1</w:t>
      </w:r>
      <w:r>
        <w:t xml:space="preserve"> Due to the  influence of this production necessity,</w:t>
      </w:r>
      <w:r w:rsidR="00EE7A34">
        <w:rPr>
          <w:vertAlign w:val="superscript"/>
        </w:rPr>
        <w:t>2</w:t>
      </w:r>
      <w:r>
        <w:t xml:space="preserve"> scenes between male and female characters had to remain relatively desexualized in a physical sense. </w:t>
      </w:r>
      <w:proofErr w:type="spellStart"/>
      <w:r>
        <w:t>Dympna</w:t>
      </w:r>
      <w:proofErr w:type="spellEnd"/>
      <w:r>
        <w:t xml:space="preserve"> Callaghan writes, ‘</w:t>
      </w:r>
      <w:r w:rsidRPr="00675524">
        <w:t>Visible and audible sexual difference, that is, femininity, on the early modern stage comprised a subspecies of masculinity. Femininity was defined in and as a relation to masculinity, and bore only a troublesome and secondary commensurability with women.</w:t>
      </w:r>
      <w:r>
        <w:t>’</w:t>
      </w:r>
      <w:r w:rsidR="00EE7A34">
        <w:rPr>
          <w:vertAlign w:val="superscript"/>
        </w:rPr>
        <w:t>3</w:t>
      </w:r>
      <w:r w:rsidRPr="00675524">
        <w:t xml:space="preserve"> </w:t>
      </w:r>
      <w:r>
        <w:t xml:space="preserve">Words, only, could convey desire—or actors would be placed in perhaps uncomfortable situations. Therefore, female characters were not only slighted by the perceptions of a masculine-dominated society, but also lacked the ability to convey sexuality. However, </w:t>
      </w:r>
      <w:r>
        <w:rPr>
          <w:spacing w:val="-3"/>
          <w:szCs w:val="24"/>
        </w:rPr>
        <w:t xml:space="preserve">Janet Adelman suggests in ‘Man and Wife is One Flesh: </w:t>
      </w:r>
      <w:r>
        <w:rPr>
          <w:i/>
          <w:spacing w:val="-3"/>
          <w:szCs w:val="24"/>
        </w:rPr>
        <w:t>Hamlet</w:t>
      </w:r>
      <w:r>
        <w:rPr>
          <w:spacing w:val="-3"/>
          <w:szCs w:val="24"/>
        </w:rPr>
        <w:t xml:space="preserve"> and the Confrontation with the Maternal Body’ that </w:t>
      </w:r>
      <w:r>
        <w:rPr>
          <w:i/>
          <w:spacing w:val="-3"/>
          <w:szCs w:val="24"/>
        </w:rPr>
        <w:t xml:space="preserve">Hamlet </w:t>
      </w:r>
      <w:r>
        <w:rPr>
          <w:spacing w:val="-3"/>
          <w:szCs w:val="24"/>
        </w:rPr>
        <w:t>is the play which makes audiences confront the factualization of female sexuality; that Shakespeare himself believed sexuality to only have presence in tragedy</w:t>
      </w:r>
      <w:r w:rsidR="00EE7A34">
        <w:rPr>
          <w:spacing w:val="-3"/>
          <w:szCs w:val="24"/>
        </w:rPr>
        <w:t>.</w:t>
      </w:r>
      <w:r w:rsidR="00EE7A34">
        <w:rPr>
          <w:spacing w:val="-3"/>
          <w:szCs w:val="24"/>
          <w:vertAlign w:val="superscript"/>
        </w:rPr>
        <w:t xml:space="preserve">4 </w:t>
      </w:r>
      <w:r>
        <w:rPr>
          <w:spacing w:val="-3"/>
          <w:szCs w:val="24"/>
        </w:rPr>
        <w:t xml:space="preserve">Where others of Shakespeare’s plays, specifically the comedies, only suggested at the consummation of relationships between those of opposite genders, </w:t>
      </w:r>
      <w:r>
        <w:rPr>
          <w:i/>
          <w:spacing w:val="-3"/>
          <w:szCs w:val="24"/>
        </w:rPr>
        <w:t>Hamlet</w:t>
      </w:r>
      <w:r>
        <w:rPr>
          <w:spacing w:val="-3"/>
          <w:szCs w:val="24"/>
        </w:rPr>
        <w:t xml:space="preserve"> is the play that makes it impossible for audiences to ignore the sexual female and the opportunities that may be presented for sexual conduct. Adelman suggests that this is so due to the relationship between Gertrude and Hamlet,</w:t>
      </w:r>
      <w:r w:rsidR="00EE7A34">
        <w:rPr>
          <w:spacing w:val="-3"/>
          <w:szCs w:val="24"/>
          <w:vertAlign w:val="superscript"/>
        </w:rPr>
        <w:t>5</w:t>
      </w:r>
      <w:r>
        <w:rPr>
          <w:spacing w:val="-3"/>
          <w:szCs w:val="24"/>
        </w:rPr>
        <w:t xml:space="preserve"> specifically through the existence of Gertrude’s two metaphorical bodies. Whereas other of Shakespeare’s plays leave out the influence of mother upon the protagonist, </w:t>
      </w:r>
      <w:r>
        <w:rPr>
          <w:i/>
          <w:spacing w:val="-3"/>
          <w:szCs w:val="24"/>
        </w:rPr>
        <w:t>Hamlet</w:t>
      </w:r>
      <w:r>
        <w:rPr>
          <w:spacing w:val="-3"/>
          <w:szCs w:val="24"/>
        </w:rPr>
        <w:t xml:space="preserve"> presents a new maternal relationship and critics are continuously arguing on </w:t>
      </w:r>
      <w:r>
        <w:rPr>
          <w:spacing w:val="-3"/>
          <w:szCs w:val="24"/>
        </w:rPr>
        <w:lastRenderedPageBreak/>
        <w:t xml:space="preserve">how to measure the absurdity within that relationship due to Hamlet’s incredible interest in his mother’s sexuality. </w:t>
      </w:r>
    </w:p>
    <w:p w14:paraId="042B3CFB" w14:textId="3EF71578" w:rsidR="0088626F" w:rsidRDefault="0088626F" w:rsidP="007A7E55">
      <w:pPr>
        <w:ind w:firstLine="720"/>
      </w:pPr>
      <w:r>
        <w:t>Many critics praise Gertrude’s role within the play as a statement towards female independence, something that was only beginning to emerge in literature and performance in the 15</w:t>
      </w:r>
      <w:r w:rsidRPr="00836AEF">
        <w:rPr>
          <w:vertAlign w:val="superscript"/>
        </w:rPr>
        <w:t>th</w:t>
      </w:r>
      <w:r>
        <w:t xml:space="preserve"> century. Whether Shakespeare formed Gertrude around a desire to portray a different type of woman on the stage or not, Gertrude is such. While she is not openly offensive to audiences or makes decidedly shocking actions in her circumstances, the subtle inclusions of female sexuality set her apart from other female characters in Shakespeare’s works and in the era. </w:t>
      </w:r>
      <w:r w:rsidRPr="00167547">
        <w:rPr>
          <w:spacing w:val="-3"/>
          <w:szCs w:val="24"/>
        </w:rPr>
        <w:t>Jacqueline Rose</w:t>
      </w:r>
      <w:r>
        <w:rPr>
          <w:spacing w:val="-3"/>
          <w:szCs w:val="24"/>
        </w:rPr>
        <w:t xml:space="preserve"> discusses in</w:t>
      </w:r>
      <w:r w:rsidRPr="00167547">
        <w:rPr>
          <w:spacing w:val="-3"/>
          <w:szCs w:val="24"/>
        </w:rPr>
        <w:t xml:space="preserve"> 'Sexuality in the </w:t>
      </w:r>
      <w:r>
        <w:rPr>
          <w:spacing w:val="-3"/>
          <w:szCs w:val="24"/>
        </w:rPr>
        <w:t>R</w:t>
      </w:r>
      <w:r w:rsidRPr="00167547">
        <w:rPr>
          <w:spacing w:val="-3"/>
          <w:szCs w:val="24"/>
        </w:rPr>
        <w:t xml:space="preserve">eading of Shakespeare: </w:t>
      </w:r>
      <w:r w:rsidRPr="00167547">
        <w:rPr>
          <w:i/>
          <w:iCs/>
          <w:spacing w:val="-3"/>
          <w:szCs w:val="24"/>
        </w:rPr>
        <w:t>Hamlet</w:t>
      </w:r>
      <w:r w:rsidRPr="00167547">
        <w:rPr>
          <w:spacing w:val="-3"/>
          <w:szCs w:val="24"/>
        </w:rPr>
        <w:t xml:space="preserve"> and </w:t>
      </w:r>
      <w:r w:rsidRPr="00167547">
        <w:rPr>
          <w:i/>
          <w:iCs/>
          <w:spacing w:val="-3"/>
          <w:szCs w:val="24"/>
        </w:rPr>
        <w:t>Measure for Measure</w:t>
      </w:r>
      <w:r>
        <w:rPr>
          <w:spacing w:val="-3"/>
          <w:szCs w:val="24"/>
        </w:rPr>
        <w:t>’ how Gertrude is consistently accused of having too much sexuality</w:t>
      </w:r>
      <w:r w:rsidR="00EE7A34">
        <w:rPr>
          <w:spacing w:val="-3"/>
          <w:szCs w:val="24"/>
        </w:rPr>
        <w:t>.</w:t>
      </w:r>
      <w:r w:rsidR="00EE7A34">
        <w:rPr>
          <w:spacing w:val="-3"/>
          <w:szCs w:val="24"/>
          <w:vertAlign w:val="superscript"/>
        </w:rPr>
        <w:t>6</w:t>
      </w:r>
      <w:r>
        <w:rPr>
          <w:spacing w:val="-3"/>
          <w:szCs w:val="24"/>
        </w:rPr>
        <w:t xml:space="preserve"> Gertrude defies the typical female by references to her sexual ‘appetite’ by Hamlet and ‘lust’ by the Ghost, whereas other of Shakespeare’s female characters did not have outspoken sexual identities, only assumed ones. T.S. Eliot views Gertrude’s oversexualized nature, among other aspects of her character, as one of the most problematic issues of the play which prevent it from achieving absolute aesthetic perfection. Rose writes, ‘S</w:t>
      </w:r>
      <w:r w:rsidRPr="00EB2130">
        <w:rPr>
          <w:spacing w:val="-3"/>
          <w:szCs w:val="24"/>
        </w:rPr>
        <w:t>exuality appears as infringement, and</w:t>
      </w:r>
      <w:r>
        <w:rPr>
          <w:spacing w:val="-3"/>
          <w:szCs w:val="24"/>
        </w:rPr>
        <w:t>…</w:t>
      </w:r>
      <w:r w:rsidRPr="00EB2130">
        <w:rPr>
          <w:spacing w:val="-3"/>
          <w:szCs w:val="24"/>
        </w:rPr>
        <w:t xml:space="preserve"> it is the woman who is the cause. For Hamlet, Gertrude’s blatant sexuality makes her less than human, less even than a beast lacking </w:t>
      </w:r>
      <w:r>
        <w:rPr>
          <w:spacing w:val="-3"/>
          <w:szCs w:val="24"/>
        </w:rPr>
        <w:t>“</w:t>
      </w:r>
      <w:r w:rsidRPr="00EB2130">
        <w:rPr>
          <w:spacing w:val="-3"/>
          <w:szCs w:val="24"/>
        </w:rPr>
        <w:t>discourse of reason</w:t>
      </w:r>
      <w:r w:rsidR="00EE7A34">
        <w:rPr>
          <w:spacing w:val="-3"/>
          <w:szCs w:val="24"/>
        </w:rPr>
        <w:t>.</w:t>
      </w:r>
      <w:r>
        <w:rPr>
          <w:spacing w:val="-3"/>
          <w:szCs w:val="24"/>
        </w:rPr>
        <w:t>”’</w:t>
      </w:r>
      <w:r w:rsidR="00EE7A34">
        <w:rPr>
          <w:spacing w:val="-3"/>
          <w:szCs w:val="24"/>
          <w:vertAlign w:val="superscript"/>
        </w:rPr>
        <w:t>7</w:t>
      </w:r>
      <w:r w:rsidRPr="00986F16">
        <w:rPr>
          <w:spacing w:val="-3"/>
          <w:szCs w:val="24"/>
        </w:rPr>
        <w:t xml:space="preserve"> </w:t>
      </w:r>
      <w:r>
        <w:rPr>
          <w:spacing w:val="-3"/>
          <w:szCs w:val="24"/>
        </w:rPr>
        <w:t>Hamlet first describes his mother’s sexuality at the beginning of the play in relationship to his father, stating ‘</w:t>
      </w:r>
      <w:r w:rsidRPr="00CF4AE4">
        <w:rPr>
          <w:spacing w:val="-3"/>
          <w:szCs w:val="24"/>
        </w:rPr>
        <w:t xml:space="preserve">Why, she should hang on him </w:t>
      </w:r>
      <w:r>
        <w:rPr>
          <w:spacing w:val="-3"/>
          <w:szCs w:val="24"/>
        </w:rPr>
        <w:t xml:space="preserve">/ </w:t>
      </w:r>
      <w:r w:rsidRPr="00CF4AE4">
        <w:rPr>
          <w:spacing w:val="-3"/>
          <w:szCs w:val="24"/>
        </w:rPr>
        <w:t xml:space="preserve">As if increase of appetite had grown </w:t>
      </w:r>
      <w:r>
        <w:rPr>
          <w:spacing w:val="-3"/>
          <w:szCs w:val="24"/>
        </w:rPr>
        <w:t xml:space="preserve">/ </w:t>
      </w:r>
      <w:r w:rsidRPr="00CF4AE4">
        <w:rPr>
          <w:spacing w:val="-3"/>
          <w:szCs w:val="24"/>
        </w:rPr>
        <w:t>By what it fed on</w:t>
      </w:r>
      <w:r>
        <w:rPr>
          <w:spacing w:val="-3"/>
          <w:szCs w:val="24"/>
        </w:rPr>
        <w:t>’</w:t>
      </w:r>
      <w:r w:rsidR="00EE7A34">
        <w:rPr>
          <w:spacing w:val="-3"/>
          <w:szCs w:val="24"/>
          <w:vertAlign w:val="superscript"/>
        </w:rPr>
        <w:t>8</w:t>
      </w:r>
      <w:r>
        <w:rPr>
          <w:spacing w:val="-3"/>
          <w:szCs w:val="24"/>
        </w:rPr>
        <w:t xml:space="preserve"> suggesting that Gertrude was obvious in her sexual ‘appetite’ for her husband. However, later on the Ghost of Hamlet’s father describes Gertrude’s sexuality differently, even suggesting that Gertrude turned to Claudius due to her uncontrollable lust. Richard Levin writes, </w:t>
      </w:r>
      <w:r w:rsidR="00EE7A34">
        <w:rPr>
          <w:spacing w:val="-3"/>
          <w:szCs w:val="24"/>
        </w:rPr>
        <w:t>‘</w:t>
      </w:r>
      <w:r w:rsidRPr="00CF4AE4">
        <w:rPr>
          <w:spacing w:val="-3"/>
          <w:szCs w:val="24"/>
        </w:rPr>
        <w:t xml:space="preserve">Hamlet described her </w:t>
      </w:r>
      <w:r>
        <w:rPr>
          <w:spacing w:val="-3"/>
          <w:szCs w:val="24"/>
        </w:rPr>
        <w:t xml:space="preserve">[Gertrude’s] </w:t>
      </w:r>
      <w:r w:rsidRPr="00CF4AE4">
        <w:rPr>
          <w:spacing w:val="-3"/>
          <w:szCs w:val="24"/>
        </w:rPr>
        <w:t xml:space="preserve">insatiable sexual appetite for her husband, whereas the Ghost asserts that her appetite—which he calls “lust”—had sated itself on him and therefore sought </w:t>
      </w:r>
      <w:r w:rsidRPr="00CF4AE4">
        <w:rPr>
          <w:spacing w:val="-3"/>
          <w:szCs w:val="24"/>
        </w:rPr>
        <w:lastRenderedPageBreak/>
        <w:t>out the gross carnal love of Claudius. The Ghost also calls this carnal love “lust,” which, he later adds, was consummated in “A couch for luxury” (I.v.83), very different from the “celestial bed” that he provided for her.</w:t>
      </w:r>
      <w:r w:rsidR="00EE7A34">
        <w:rPr>
          <w:spacing w:val="-3"/>
          <w:szCs w:val="24"/>
        </w:rPr>
        <w:t>’</w:t>
      </w:r>
      <w:r w:rsidR="00EE7A34">
        <w:rPr>
          <w:spacing w:val="-3"/>
          <w:szCs w:val="24"/>
          <w:vertAlign w:val="superscript"/>
        </w:rPr>
        <w:t>9</w:t>
      </w:r>
      <w:r>
        <w:rPr>
          <w:spacing w:val="-3"/>
          <w:szCs w:val="24"/>
        </w:rPr>
        <w:t xml:space="preserve"> Hamlet only seems to develop this idea of Gertrude as a seductress performing sinful acts by expressing sexual desire, as described in Act III, Scene iv in which Hamlet directly confronts Gertrude with ‘</w:t>
      </w:r>
      <w:r w:rsidRPr="004A59EE">
        <w:rPr>
          <w:spacing w:val="-3"/>
          <w:szCs w:val="24"/>
        </w:rPr>
        <w:t xml:space="preserve">Nay, but to live </w:t>
      </w:r>
      <w:r>
        <w:rPr>
          <w:spacing w:val="-3"/>
          <w:szCs w:val="24"/>
        </w:rPr>
        <w:t xml:space="preserve">/ </w:t>
      </w:r>
      <w:r w:rsidRPr="004A59EE">
        <w:rPr>
          <w:spacing w:val="-3"/>
          <w:szCs w:val="24"/>
        </w:rPr>
        <w:t xml:space="preserve">In the rank sweat of an </w:t>
      </w:r>
      <w:proofErr w:type="spellStart"/>
      <w:r w:rsidRPr="004A59EE">
        <w:rPr>
          <w:spacing w:val="-3"/>
          <w:szCs w:val="24"/>
        </w:rPr>
        <w:t>enseamed</w:t>
      </w:r>
      <w:proofErr w:type="spellEnd"/>
      <w:r w:rsidRPr="004A59EE">
        <w:rPr>
          <w:spacing w:val="-3"/>
          <w:szCs w:val="24"/>
        </w:rPr>
        <w:t xml:space="preserve"> bed, </w:t>
      </w:r>
      <w:r>
        <w:rPr>
          <w:spacing w:val="-3"/>
          <w:szCs w:val="24"/>
        </w:rPr>
        <w:t xml:space="preserve">/ </w:t>
      </w:r>
      <w:proofErr w:type="spellStart"/>
      <w:r w:rsidRPr="004A59EE">
        <w:rPr>
          <w:spacing w:val="-3"/>
          <w:szCs w:val="24"/>
        </w:rPr>
        <w:t>Stew’d</w:t>
      </w:r>
      <w:proofErr w:type="spellEnd"/>
      <w:r w:rsidRPr="004A59EE">
        <w:rPr>
          <w:spacing w:val="-3"/>
          <w:szCs w:val="24"/>
        </w:rPr>
        <w:t xml:space="preserve"> in corruption, honeying and making love</w:t>
      </w:r>
      <w:r>
        <w:rPr>
          <w:spacing w:val="-3"/>
          <w:szCs w:val="24"/>
        </w:rPr>
        <w:t xml:space="preserve"> /</w:t>
      </w:r>
      <w:r w:rsidRPr="004A59EE">
        <w:rPr>
          <w:spacing w:val="-3"/>
          <w:szCs w:val="24"/>
        </w:rPr>
        <w:t xml:space="preserve"> Over the nasty sty</w:t>
      </w:r>
      <w:r>
        <w:rPr>
          <w:spacing w:val="-3"/>
          <w:szCs w:val="24"/>
        </w:rPr>
        <w:t>.</w:t>
      </w:r>
      <w:r w:rsidR="0020396D">
        <w:rPr>
          <w:spacing w:val="-3"/>
          <w:szCs w:val="24"/>
        </w:rPr>
        <w:t>’</w:t>
      </w:r>
      <w:r w:rsidR="00EE7A34">
        <w:rPr>
          <w:spacing w:val="-3"/>
          <w:szCs w:val="24"/>
          <w:vertAlign w:val="superscript"/>
        </w:rPr>
        <w:t>10</w:t>
      </w:r>
      <w:r>
        <w:rPr>
          <w:spacing w:val="-3"/>
          <w:szCs w:val="24"/>
        </w:rPr>
        <w:t xml:space="preserve"> Yet, the question is whether Hamlet and the Ghost’s perceptions are slighted by the supposed personally offensive ‘wrongdoings’ of Gertrude and, more simply, the social perspective towards feminine sexuality of the era. Hamlet may simply be angered by his mother’s actions and chooses to express his disapproval for her through the condemnation of her sexualized womanhood. Or, perhaps</w:t>
      </w:r>
      <w:r>
        <w:t xml:space="preserve"> Hamlet’s negativity towards his mother’s choice to remarry could be a metaphor for a misogynistic society, which may enforce on Gertrude a state of mourning for her husband for the rest of her life—and her decision to remarry at all viewed as misplaced sexual conduct that should have been relinquished upon the absence of her husband.</w:t>
      </w:r>
    </w:p>
    <w:p w14:paraId="09CF15BB" w14:textId="432C93B0" w:rsidR="0088626F" w:rsidRPr="00680C42" w:rsidRDefault="0088626F" w:rsidP="007A7E55">
      <w:pPr>
        <w:ind w:firstLine="720"/>
        <w:rPr>
          <w:b/>
        </w:rPr>
      </w:pPr>
      <w:r>
        <w:t>Gertrude’s mourning period between her husband’s death and her remarriage is widely debated, and specifically fiercely opposed by Hamlet</w:t>
      </w:r>
      <w:r w:rsidRPr="00FE25B8">
        <w:rPr>
          <w:rFonts w:cs="Times New Roman"/>
          <w:szCs w:val="24"/>
        </w:rPr>
        <w:t>. ‘</w:t>
      </w:r>
      <w:r w:rsidRPr="00FE25B8">
        <w:rPr>
          <w:rFonts w:cs="Times New Roman"/>
          <w:color w:val="000000"/>
          <w:szCs w:val="24"/>
        </w:rPr>
        <w:t>That it should come to this! /</w:t>
      </w:r>
      <w:r w:rsidRPr="00FE25B8">
        <w:rPr>
          <w:rFonts w:cs="Times New Roman"/>
          <w:color w:val="000000"/>
          <w:szCs w:val="24"/>
        </w:rPr>
        <w:br/>
        <w:t>But two months dead! Nay, not so much, not two.’</w:t>
      </w:r>
      <w:r w:rsidR="00EE7A34">
        <w:rPr>
          <w:rFonts w:cs="Times New Roman"/>
          <w:color w:val="000000"/>
          <w:szCs w:val="24"/>
          <w:vertAlign w:val="superscript"/>
        </w:rPr>
        <w:t>11</w:t>
      </w:r>
      <w:r>
        <w:rPr>
          <w:b/>
        </w:rPr>
        <w:t xml:space="preserve"> </w:t>
      </w:r>
      <w:r>
        <w:t>However, considering the circumstances of Gertrude’s position, it could be argued that the best course of action for her kingdom was to remarry as soon as possible. Leaving a kingdom without a king presents weakness to enemies, which may take the opportunity to claim new territory. The fact that Gertrude chooses to marry her late husband’s brother is viewed by Hamlet as incest</w:t>
      </w:r>
      <w:r w:rsidRPr="00FE25B8">
        <w:rPr>
          <w:rFonts w:cs="Times New Roman"/>
          <w:szCs w:val="24"/>
        </w:rPr>
        <w:t>—'</w:t>
      </w:r>
      <w:r w:rsidRPr="00FE25B8">
        <w:rPr>
          <w:rFonts w:cs="Times New Roman"/>
          <w:color w:val="000000"/>
          <w:szCs w:val="24"/>
        </w:rPr>
        <w:t>O, most wicked speed, to post /With such dexterity to incestuous sheets!’</w:t>
      </w:r>
      <w:r w:rsidR="00EE7A34">
        <w:rPr>
          <w:rFonts w:cs="Times New Roman"/>
          <w:color w:val="000000"/>
          <w:szCs w:val="24"/>
          <w:vertAlign w:val="superscript"/>
        </w:rPr>
        <w:t xml:space="preserve">12 </w:t>
      </w:r>
      <w:r>
        <w:t xml:space="preserve">which on a purely scientific level is untrue. It makes sense for Gertrude to remarry to someone whom already claims understanding of the kingdom and its </w:t>
      </w:r>
      <w:r>
        <w:lastRenderedPageBreak/>
        <w:t xml:space="preserve">running, as well as a regard for herself and her son. In fact, it is relatively common throughout history itself for widows and widowers to marry unwed relatives of their late spouses. While Hamlet is convinced that it is his uncle that murdered his father, perhaps for the control of the kingdom or in order to claim Gertrude for himself, it is ambiguous as </w:t>
      </w:r>
      <w:r w:rsidR="0020396D">
        <w:t>how</w:t>
      </w:r>
      <w:r>
        <w:t xml:space="preserve"> his father</w:t>
      </w:r>
      <w:r w:rsidR="0020396D">
        <w:t xml:space="preserve"> actually died</w:t>
      </w:r>
      <w:r>
        <w:t>. However, the argument may be made that Gertrude truly has romantic and sexual affection for Claudius</w:t>
      </w:r>
      <w:r>
        <w:rPr>
          <w:b/>
        </w:rPr>
        <w:t xml:space="preserve">. </w:t>
      </w:r>
      <w:r>
        <w:t>Perhaps Gertrude took the opportunity of her husband’s death to seek a marriage with a man she desired, which feminist critics argue as perfectly acceptable conduct for Gertrude; not only is she providing for her kingdom by re-marrying, who is to say that she must be denied happiness for the remainder of her life purely because her husband died unexpectedly? Moreover, it seems unlikely that Gertrude would be connected to the death of her husband due to her strong reaction to Hamlet’s accusations in Act III, Scene iv which suggests she is horrified at the concept that her husband may have been murdered. As</w:t>
      </w:r>
      <w:r>
        <w:rPr>
          <w:spacing w:val="-3"/>
          <w:szCs w:val="24"/>
        </w:rPr>
        <w:t xml:space="preserve"> Robert</w:t>
      </w:r>
      <w:r>
        <w:t xml:space="preserve"> </w:t>
      </w:r>
      <w:r>
        <w:rPr>
          <w:spacing w:val="-3"/>
          <w:szCs w:val="24"/>
        </w:rPr>
        <w:t>Smith points out in “Hamlet and Gertrude, or The Conscience of the Queen’ that although the Ghost suggests that Gertrude committed adultery, there is not explicit statement by the Ghost that Gertrude had anything to do with her husband’s death.</w:t>
      </w:r>
      <w:r w:rsidR="005E4476">
        <w:rPr>
          <w:spacing w:val="-3"/>
          <w:szCs w:val="24"/>
          <w:vertAlign w:val="superscript"/>
        </w:rPr>
        <w:t>13</w:t>
      </w:r>
      <w:r>
        <w:rPr>
          <w:spacing w:val="-3"/>
          <w:szCs w:val="24"/>
        </w:rPr>
        <w:t xml:space="preserve"> In fact, Hamlet is ordered to take revenge upon Claudius only, and leave Gertrude merely to the punishment of her own guilt. If Gertrude had been an accomplice, certainly the Ghost would have included her in the orders of vengeance. After Gertrude’s ‘As kill a king?” line in </w:t>
      </w:r>
      <w:r w:rsidR="0020396D">
        <w:rPr>
          <w:spacing w:val="-3"/>
          <w:szCs w:val="24"/>
        </w:rPr>
        <w:t>Act III, Scene</w:t>
      </w:r>
      <w:r>
        <w:rPr>
          <w:spacing w:val="-3"/>
          <w:szCs w:val="24"/>
        </w:rPr>
        <w:t xml:space="preserve"> iv, Hamlet releases any suspicions of her as the murderer and</w:t>
      </w:r>
      <w:r w:rsidR="0020396D">
        <w:rPr>
          <w:spacing w:val="-3"/>
          <w:szCs w:val="24"/>
        </w:rPr>
        <w:t xml:space="preserve"> ‘</w:t>
      </w:r>
      <w:r>
        <w:rPr>
          <w:spacing w:val="-3"/>
          <w:szCs w:val="24"/>
        </w:rPr>
        <w:t>never makes the charge again</w:t>
      </w:r>
      <w:r w:rsidR="0020396D">
        <w:rPr>
          <w:spacing w:val="-3"/>
          <w:szCs w:val="24"/>
        </w:rPr>
        <w:t>’</w:t>
      </w:r>
      <w:r w:rsidR="005E4476">
        <w:rPr>
          <w:spacing w:val="-3"/>
          <w:szCs w:val="24"/>
          <w:vertAlign w:val="superscript"/>
        </w:rPr>
        <w:t>14</w:t>
      </w:r>
      <w:r>
        <w:rPr>
          <w:spacing w:val="-3"/>
          <w:szCs w:val="24"/>
        </w:rPr>
        <w:t xml:space="preserve"> although he never stops shaming the presence of her sexual body. </w:t>
      </w:r>
    </w:p>
    <w:p w14:paraId="68816D07" w14:textId="6ECDF7E8" w:rsidR="0088626F" w:rsidRPr="00446871" w:rsidRDefault="0088626F" w:rsidP="007A7E55">
      <w:pPr>
        <w:rPr>
          <w:b/>
        </w:rPr>
      </w:pPr>
      <w:r>
        <w:tab/>
        <w:t xml:space="preserve">Hamlet, out of all of Shakespeare’s protagonists, is unquestionably strongly dependent upon the maternal bond. There is a clear attachment to Gertrude on Hamlet’s part and an inclination that Hamlet beholds his mother higher than he views any other. Despite the fact that he is a grown man, his obsession with his mother does not faulter, even as he harshly judges her. </w:t>
      </w:r>
      <w:r>
        <w:lastRenderedPageBreak/>
        <w:t>Yet, T.S. Eliot points out that Gertrude does not seem to live up to the expectations which Hamlet creates for her. Along with her oversexualized nature, Eliot suggests that Gertrude, as a woman and a mother, is unable to uphold the importance placed upon her by Hamlet, leaving Hamlet’s and the audience’s expectations unfulfilled. Eliot suggests that ‘</w:t>
      </w:r>
      <w:r w:rsidRPr="007D1301">
        <w:t>the failing is Gertrude’s, who thus deprives not only her son, but also the play, of the proper emotional support</w:t>
      </w:r>
      <w:r>
        <w:t>.</w:t>
      </w:r>
      <w:r w:rsidR="005E4476">
        <w:t>’</w:t>
      </w:r>
      <w:r w:rsidR="005E4476">
        <w:rPr>
          <w:vertAlign w:val="superscript"/>
        </w:rPr>
        <w:t>15</w:t>
      </w:r>
      <w:r>
        <w:t xml:space="preserve"> In fact, Eliot suggests that the play itself is an ‘artistic failure’ while still being the ‘Mona Lisa of literature</w:t>
      </w:r>
      <w:r w:rsidR="005E4476">
        <w:t>.’</w:t>
      </w:r>
      <w:r w:rsidR="005E4476">
        <w:rPr>
          <w:vertAlign w:val="superscript"/>
        </w:rPr>
        <w:t>16</w:t>
      </w:r>
      <w:r>
        <w:t xml:space="preserve"> Shakespeare is striving to create a tragedy out of a mother’s guilt, but does not allow the mother to be successfully developed to withstand Hamlet’s disgust for her actions, which ultimately ‘envelops and exceeds her</w:t>
      </w:r>
      <w:r w:rsidR="005E4476">
        <w:t>.’</w:t>
      </w:r>
      <w:r w:rsidR="005E4476">
        <w:rPr>
          <w:vertAlign w:val="superscript"/>
        </w:rPr>
        <w:t>17</w:t>
      </w:r>
      <w:r>
        <w:t xml:space="preserve"> However, Eliot suggests that to criminalize Gertrude further throughout the play would force Hamlet into a different emotional state; ‘it is just </w:t>
      </w:r>
      <w:r>
        <w:rPr>
          <w:i/>
        </w:rPr>
        <w:t xml:space="preserve">because </w:t>
      </w:r>
      <w:r>
        <w:t>her character is so negative and insignificant that she arouses in Hamlet the feeling which she is incapable of representing</w:t>
      </w:r>
      <w:r w:rsidR="005E4476">
        <w:t>.</w:t>
      </w:r>
      <w:r w:rsidR="0020396D">
        <w:t>’</w:t>
      </w:r>
      <w:r w:rsidR="005E4476">
        <w:rPr>
          <w:vertAlign w:val="superscript"/>
        </w:rPr>
        <w:t>18</w:t>
      </w:r>
      <w:r>
        <w:t xml:space="preserve"> </w:t>
      </w:r>
      <w:r w:rsidRPr="00167547">
        <w:rPr>
          <w:spacing w:val="-3"/>
          <w:szCs w:val="24"/>
        </w:rPr>
        <w:t>Jacqueline Rose</w:t>
      </w:r>
      <w:r>
        <w:rPr>
          <w:spacing w:val="-3"/>
          <w:szCs w:val="24"/>
        </w:rPr>
        <w:t xml:space="preserve">, however, finds Eliot’s critique of </w:t>
      </w:r>
      <w:r>
        <w:rPr>
          <w:i/>
          <w:spacing w:val="-3"/>
          <w:szCs w:val="24"/>
        </w:rPr>
        <w:t>Hamlet</w:t>
      </w:r>
      <w:r>
        <w:rPr>
          <w:spacing w:val="-3"/>
          <w:szCs w:val="24"/>
        </w:rPr>
        <w:t xml:space="preserve"> also a critique of women rather, for he bases the entirety of </w:t>
      </w:r>
      <w:r>
        <w:rPr>
          <w:i/>
          <w:spacing w:val="-3"/>
          <w:szCs w:val="24"/>
        </w:rPr>
        <w:t>Hamlet</w:t>
      </w:r>
      <w:r>
        <w:rPr>
          <w:spacing w:val="-3"/>
          <w:szCs w:val="24"/>
        </w:rPr>
        <w:t>’s complications on the shoulders of one female character and aligns the question of woman with the question of meaning.</w:t>
      </w:r>
      <w:r w:rsidR="005E4476">
        <w:rPr>
          <w:spacing w:val="-3"/>
          <w:szCs w:val="24"/>
          <w:vertAlign w:val="superscript"/>
        </w:rPr>
        <w:t>19</w:t>
      </w:r>
      <w:r>
        <w:rPr>
          <w:spacing w:val="-3"/>
          <w:szCs w:val="24"/>
        </w:rPr>
        <w:t xml:space="preserve"> Rose writes in response to Eliot, </w:t>
      </w:r>
      <w:r w:rsidR="0020396D">
        <w:rPr>
          <w:spacing w:val="-3"/>
          <w:szCs w:val="24"/>
        </w:rPr>
        <w:t>‘</w:t>
      </w:r>
      <w:r w:rsidRPr="00573639">
        <w:rPr>
          <w:spacing w:val="-3"/>
          <w:szCs w:val="24"/>
        </w:rPr>
        <w:t>What requires explanation, therefore, is not that Gertrude is an inadequate object for the emotions generated in the play, but the fact that she is expected to support them.</w:t>
      </w:r>
      <w:r w:rsidR="0020396D">
        <w:rPr>
          <w:spacing w:val="-3"/>
          <w:szCs w:val="24"/>
        </w:rPr>
        <w:t>’</w:t>
      </w:r>
      <w:r w:rsidR="005E4476">
        <w:rPr>
          <w:spacing w:val="-3"/>
          <w:szCs w:val="24"/>
          <w:vertAlign w:val="superscript"/>
        </w:rPr>
        <w:t>20</w:t>
      </w:r>
      <w:r w:rsidRPr="00573639">
        <w:rPr>
          <w:spacing w:val="-3"/>
          <w:szCs w:val="24"/>
        </w:rPr>
        <w:t xml:space="preserve"> </w:t>
      </w:r>
      <w:r>
        <w:rPr>
          <w:spacing w:val="-3"/>
          <w:szCs w:val="24"/>
        </w:rPr>
        <w:t xml:space="preserve">Beyond Eliot’s and Rose’s critiques, if one is to believe Gertrude the sole responsibility of any perceived lack in the play, it may be due to the influence of Hamlet’s own inability to take responsibility and placing the blame upon Gertrude, her faults as a mother and her faults due to her sexual desire. </w:t>
      </w:r>
      <w:r>
        <w:t xml:space="preserve">Perhaps Hamlet’s deep desire for Gertrude to repent for actions she does not seem to find fault with is connected to his own self-image and emotional inability to disconnect Gertrude’s presence as his mother and as a woman. </w:t>
      </w:r>
    </w:p>
    <w:p w14:paraId="48408FAE" w14:textId="782C3A72" w:rsidR="0088626F" w:rsidRDefault="0088626F" w:rsidP="007A7E55">
      <w:pPr>
        <w:ind w:firstLine="720"/>
      </w:pPr>
      <w:r>
        <w:lastRenderedPageBreak/>
        <w:t xml:space="preserve">However one views Gertrude’s role within </w:t>
      </w:r>
      <w:r>
        <w:rPr>
          <w:i/>
        </w:rPr>
        <w:t xml:space="preserve">Hamlet, </w:t>
      </w:r>
      <w:r>
        <w:t>her relationship to her son remains something of an enigma. For critics in the field of psychoanalysis, Gertrude’s relationship to Hamlet may be easily explained by the Oedipus Complex, a theory developed by Sigmund Freud. The Oedipus Complex suggests that at a point during childhood the maternal bond forms into something of an obsession on behalf of the son onto the mother, which in turn manifests into an obsessive desire for possession of the mother that includes sexual desire. Freud believed that the majority grew beyond this phase, but in the case of some the Oedipus Complex lingered and disturbed the normality of thought process. The Oedipus Complex directly has something to do with ‘</w:t>
      </w:r>
      <w:r w:rsidRPr="004B1616">
        <w:t>the point where the woman is ﬁrst seen to be diﬀerent (Freud 1924, 1925), this moment can then have its eﬀects in that familiar mystiﬁcation (or fetishization) of the woman which makes of her something both perfect and dangerous or obscene (obscene if not perfect).</w:t>
      </w:r>
      <w:r>
        <w:t>’</w:t>
      </w:r>
      <w:r w:rsidR="005E4476">
        <w:rPr>
          <w:vertAlign w:val="superscript"/>
        </w:rPr>
        <w:t>21</w:t>
      </w:r>
      <w:r>
        <w:t xml:space="preserve"> Therefore, Hamlet’s actions of placing his mother on a higher level than others make sense, for the mother is believed to be ‘different’ and capable of ‘perfection’ through the eyes of a child. The maternal body is the centre of the universe, possesses all answers, is the ultimate comfort, and provides all that is needed. When that assumption of the maternal body is altered, the child’s understanding of the world is shattered. Hamlet’s damnation of Gertrude so easily occurs because he believed her incapable of wrongdoing. </w:t>
      </w:r>
    </w:p>
    <w:p w14:paraId="6FD4D82E" w14:textId="60F29624" w:rsidR="0088626F" w:rsidRPr="00CB44BA" w:rsidRDefault="0088626F" w:rsidP="007A7E55">
      <w:pPr>
        <w:ind w:firstLine="720"/>
      </w:pPr>
      <w:r>
        <w:t>Moreover, since Gertrude’s ‘wrongdoings’ are those of a sexual nature, it is even more of a betrayal to Hamlet, who is only accustomed to sharing his mother’s affection with his father. Ernest Jones discusses in ‘</w:t>
      </w:r>
      <w:r>
        <w:rPr>
          <w:spacing w:val="-3"/>
          <w:szCs w:val="24"/>
        </w:rPr>
        <w:t xml:space="preserve">The Oedipus Complex as an explanation of Hamlet’s Mystery: A Study in </w:t>
      </w:r>
      <w:r w:rsidRPr="000E3F80">
        <w:rPr>
          <w:spacing w:val="-3"/>
          <w:szCs w:val="24"/>
        </w:rPr>
        <w:t>Motive</w:t>
      </w:r>
      <w:r>
        <w:rPr>
          <w:iCs/>
          <w:spacing w:val="-3"/>
          <w:szCs w:val="24"/>
        </w:rPr>
        <w:t xml:space="preserve">,’ how a child must be taught how to love and the earliest exposure a child has is the love of the mother.  A child’s ‘earliest dim awakenings are evoked by the intimate physical relations existing between the child and the persons of his immediate environment, above all, therefore, his </w:t>
      </w:r>
      <w:r>
        <w:rPr>
          <w:iCs/>
          <w:spacing w:val="-3"/>
          <w:szCs w:val="24"/>
        </w:rPr>
        <w:lastRenderedPageBreak/>
        <w:t>parents. As Freud has put it, “The mother is the first seductress of her boy.”’</w:t>
      </w:r>
      <w:r w:rsidR="005E4476">
        <w:rPr>
          <w:iCs/>
          <w:spacing w:val="-3"/>
          <w:szCs w:val="24"/>
          <w:vertAlign w:val="superscript"/>
        </w:rPr>
        <w:t>22</w:t>
      </w:r>
      <w:r>
        <w:t xml:space="preserve"> Jones also confers </w:t>
      </w:r>
      <w:r>
        <w:rPr>
          <w:iCs/>
          <w:spacing w:val="-3"/>
          <w:szCs w:val="24"/>
        </w:rPr>
        <w:t>how a son becomes enemies with his father due to the threat he possesses against the son’s ability to claim the full affection of his mother.</w:t>
      </w:r>
      <w:r w:rsidR="005E4476">
        <w:rPr>
          <w:iCs/>
          <w:spacing w:val="-3"/>
          <w:szCs w:val="24"/>
          <w:vertAlign w:val="superscript"/>
        </w:rPr>
        <w:t>23</w:t>
      </w:r>
      <w:r>
        <w:rPr>
          <w:iCs/>
          <w:spacing w:val="-3"/>
          <w:szCs w:val="24"/>
        </w:rPr>
        <w:t xml:space="preserve"> After all, </w:t>
      </w:r>
      <w:r w:rsidRPr="000E3F80">
        <w:t>Hamlet’s</w:t>
      </w:r>
      <w:r>
        <w:t xml:space="preserve"> grief at his father’s death seems to have less to do with the actual death and rather the re-marriage, and thus re-sexualization, of his mother. Perhaps Hamlet believed that once his father died, he would have his mother affection solely, achieving the childhood aspiration of full possession of the mother. Instead, Gertrude outright betrays Hamlet by instead surrendering her affections upon a new man and ‘replacing’ him. The idea of his mother’s sexuality is disgusting to Hamlet, but he is also unable to stop obsessing over it, going to the point of confronting Gertrude and condemning her sexual acts to her face. </w:t>
      </w:r>
      <w:r w:rsidR="005E4476">
        <w:rPr>
          <w:rFonts w:eastAsia="Times New Roman" w:cs="Times New Roman"/>
          <w:szCs w:val="24"/>
          <w:lang w:val="en-US"/>
        </w:rPr>
        <w:t>‘</w:t>
      </w:r>
      <w:r>
        <w:rPr>
          <w:rFonts w:eastAsia="Times New Roman" w:cs="Times New Roman"/>
          <w:szCs w:val="24"/>
          <w:lang w:val="en-US"/>
        </w:rPr>
        <w:t xml:space="preserve">Female sexuality in </w:t>
      </w:r>
      <w:r>
        <w:rPr>
          <w:rFonts w:eastAsia="Times New Roman" w:cs="Times New Roman"/>
          <w:i/>
          <w:szCs w:val="24"/>
          <w:lang w:val="en-US"/>
        </w:rPr>
        <w:t xml:space="preserve">Hamlet </w:t>
      </w:r>
      <w:r>
        <w:rPr>
          <w:rFonts w:eastAsia="Times New Roman" w:cs="Times New Roman"/>
          <w:szCs w:val="24"/>
          <w:lang w:val="en-US"/>
        </w:rPr>
        <w:t>is always maternal sexuality: Gertrude is the only sexualized female body in the play, and we experience her sexuality largely through the imagination of her son.</w:t>
      </w:r>
      <w:r w:rsidR="005E4476">
        <w:rPr>
          <w:rFonts w:eastAsia="Times New Roman" w:cs="Times New Roman"/>
          <w:szCs w:val="24"/>
          <w:lang w:val="en-US"/>
        </w:rPr>
        <w:t>’</w:t>
      </w:r>
      <w:r w:rsidR="005E4476">
        <w:rPr>
          <w:rFonts w:eastAsia="Times New Roman" w:cs="Times New Roman"/>
          <w:szCs w:val="24"/>
          <w:vertAlign w:val="superscript"/>
          <w:lang w:val="en-US"/>
        </w:rPr>
        <w:t>24</w:t>
      </w:r>
      <w:r>
        <w:rPr>
          <w:rFonts w:eastAsia="Times New Roman" w:cs="Times New Roman"/>
          <w:szCs w:val="24"/>
          <w:lang w:val="en-US"/>
        </w:rPr>
        <w:t xml:space="preserve"> </w:t>
      </w:r>
      <w:r>
        <w:t xml:space="preserve">Despite all of the undertones within the play which suggest Hamlet’s Oedipus Complex, he spends the entirety of the play trying to repress any actions which would make his desires known. Some critics have connected Hamlet’s acts to ignore his obsession with his mother to the way in which he treats Ophelia, who is in theory a suitable match. Yet, perhaps one of the reasons Hamlet is unable to commit to Ophelia is due to his inability to release his ‘ownership’ over Gertrude or, as Lacan suggests, Ophelia’s role as a woman and </w:t>
      </w:r>
      <w:r w:rsidR="005E4476">
        <w:t>‘</w:t>
      </w:r>
      <w:r>
        <w:t>childbearer</w:t>
      </w:r>
      <w:r w:rsidR="005E4476">
        <w:t>.’</w:t>
      </w:r>
      <w:r w:rsidR="005E4476">
        <w:rPr>
          <w:vertAlign w:val="superscript"/>
        </w:rPr>
        <w:t>25</w:t>
      </w:r>
      <w:r>
        <w:t xml:space="preserve"> Since Hamlet’s own maternal relationship has faltered and deceived him, Ophelia becomes to him merely the suggestion of continual sin and deceit. Hamlet’s inability to act in general is one of the reasons that </w:t>
      </w:r>
      <w:r w:rsidRPr="00794225">
        <w:rPr>
          <w:i/>
        </w:rPr>
        <w:t xml:space="preserve">Hamlet </w:t>
      </w:r>
      <w:r>
        <w:t>is one of Shakespeare’s longest plays. However, Mark Robson writes, ‘</w:t>
      </w:r>
      <w:r w:rsidRPr="00637E55">
        <w:t xml:space="preserve">Hamlet is able to do anything–except take vengeance on the man who did away with his father and took that father’s place with his mother, the man who shows him the repressed wishes of his own childhood realized. Thus the loathing which should drive him on to revenge is replaced in </w:t>
      </w:r>
      <w:r w:rsidRPr="00637E55">
        <w:lastRenderedPageBreak/>
        <w:t>him by self-reproaches, by scruples of conscience, which remind him that he himself is literally no better than the sinner whom he is to punish.</w:t>
      </w:r>
      <w:r>
        <w:t>’</w:t>
      </w:r>
      <w:r w:rsidR="005E4476">
        <w:rPr>
          <w:vertAlign w:val="superscript"/>
        </w:rPr>
        <w:t>26</w:t>
      </w:r>
      <w:r>
        <w:t xml:space="preserve"> Hamlet may doubt his own cognitive process and refrains from taking any permanent action until that action is forced upon him—by the murder of his mother. </w:t>
      </w:r>
    </w:p>
    <w:p w14:paraId="537651F9" w14:textId="3B4CBBF3" w:rsidR="0088626F" w:rsidRDefault="0088626F" w:rsidP="007A7E55">
      <w:pPr>
        <w:ind w:firstLine="720"/>
        <w:rPr>
          <w:rFonts w:cs="Times New Roman"/>
          <w:color w:val="000000"/>
          <w:szCs w:val="24"/>
        </w:rPr>
      </w:pPr>
      <w:r>
        <w:t xml:space="preserve">Another explanation for the complex relationship between Gertrude and Hamlet is </w:t>
      </w:r>
      <w:r w:rsidRPr="00D12588">
        <w:rPr>
          <w:rFonts w:cs="Times New Roman"/>
          <w:szCs w:val="24"/>
        </w:rPr>
        <w:t xml:space="preserve">directly related to, as Janet Adelman coins it, the ‘Suffocating Mother.’ </w:t>
      </w:r>
      <w:r>
        <w:rPr>
          <w:rFonts w:cs="Times New Roman"/>
          <w:color w:val="000000"/>
          <w:szCs w:val="24"/>
        </w:rPr>
        <w:t xml:space="preserve">Adelman writes that Gertrude’s </w:t>
      </w:r>
      <w:r w:rsidR="00543420">
        <w:rPr>
          <w:rFonts w:cs="Times New Roman"/>
          <w:color w:val="000000"/>
          <w:szCs w:val="24"/>
        </w:rPr>
        <w:t>‘</w:t>
      </w:r>
      <w:r w:rsidRPr="00D12588">
        <w:rPr>
          <w:rFonts w:eastAsia="Times New Roman" w:cs="Times New Roman"/>
          <w:szCs w:val="24"/>
          <w:lang w:val="en-US"/>
        </w:rPr>
        <w:t xml:space="preserve">frailty unleashes for Hamlet, and for Shakespeare, fantasies of maternal malevolence, </w:t>
      </w:r>
      <w:r>
        <w:rPr>
          <w:rFonts w:eastAsia="Times New Roman" w:cs="Times New Roman"/>
          <w:szCs w:val="24"/>
          <w:lang w:val="en-US"/>
        </w:rPr>
        <w:t>o</w:t>
      </w:r>
      <w:r w:rsidRPr="00D12588">
        <w:rPr>
          <w:rFonts w:eastAsia="Times New Roman" w:cs="Times New Roman"/>
          <w:szCs w:val="24"/>
          <w:lang w:val="en-US"/>
        </w:rPr>
        <w:t>f maternal spoiling, that are compelling exactly as they are out of proportion to the character we know, exactly as they seem therefore to reiterate infantile fears and desires rather than an adult apprehension of the mother as a separate person.</w:t>
      </w:r>
      <w:r w:rsidR="00543420">
        <w:rPr>
          <w:rFonts w:eastAsia="Times New Roman" w:cs="Times New Roman"/>
          <w:szCs w:val="24"/>
          <w:lang w:val="en-US"/>
        </w:rPr>
        <w:t>’</w:t>
      </w:r>
      <w:r w:rsidR="00543420">
        <w:rPr>
          <w:rFonts w:eastAsia="Times New Roman" w:cs="Times New Roman"/>
          <w:szCs w:val="24"/>
          <w:vertAlign w:val="superscript"/>
          <w:lang w:val="en-US"/>
        </w:rPr>
        <w:t>27</w:t>
      </w:r>
      <w:r>
        <w:rPr>
          <w:rFonts w:eastAsia="Times New Roman" w:cs="Times New Roman"/>
          <w:szCs w:val="24"/>
          <w:lang w:val="en-US"/>
        </w:rPr>
        <w:t xml:space="preserve"> The death of Hamlet’s father forces him back into a position of a child, who is unable to distinguish himself from the maternal bond or recognize anyone outside of that bond</w:t>
      </w:r>
      <w:r w:rsidR="00543420">
        <w:rPr>
          <w:rFonts w:eastAsia="Times New Roman" w:cs="Times New Roman"/>
          <w:szCs w:val="24"/>
          <w:lang w:val="en-US"/>
        </w:rPr>
        <w:t>.</w:t>
      </w:r>
      <w:r w:rsidR="00543420">
        <w:rPr>
          <w:rFonts w:eastAsia="Times New Roman" w:cs="Times New Roman"/>
          <w:szCs w:val="24"/>
          <w:vertAlign w:val="superscript"/>
          <w:lang w:val="en-US"/>
        </w:rPr>
        <w:t>28</w:t>
      </w:r>
      <w:r>
        <w:rPr>
          <w:rFonts w:eastAsia="Times New Roman" w:cs="Times New Roman"/>
          <w:szCs w:val="24"/>
          <w:lang w:val="en-US"/>
        </w:rPr>
        <w:t xml:space="preserve"> </w:t>
      </w:r>
      <w:r>
        <w:rPr>
          <w:rFonts w:cs="Times New Roman"/>
          <w:szCs w:val="24"/>
        </w:rPr>
        <w:t xml:space="preserve">Hamlet identifies that his point of entrance into the world may also be the centre point of death—the body of his mother. In a sense, the death of his father became the moment of realization of mortality and his mother’s re-marriage became the moment of realization of the contamination of humanity that deserves mortality. Hamlet states that due to the remarriage of his mother, the world has been reduced to </w:t>
      </w:r>
      <w:r w:rsidR="00543420">
        <w:rPr>
          <w:rFonts w:cs="Times New Roman"/>
          <w:szCs w:val="24"/>
        </w:rPr>
        <w:t>‘</w:t>
      </w:r>
      <w:r w:rsidRPr="0074186C">
        <w:rPr>
          <w:rFonts w:cs="Times New Roman"/>
          <w:color w:val="000000"/>
          <w:szCs w:val="24"/>
        </w:rPr>
        <w:t xml:space="preserve">an </w:t>
      </w:r>
      <w:proofErr w:type="spellStart"/>
      <w:r w:rsidRPr="0074186C">
        <w:rPr>
          <w:rFonts w:cs="Times New Roman"/>
          <w:color w:val="000000"/>
          <w:szCs w:val="24"/>
        </w:rPr>
        <w:t>unweeded</w:t>
      </w:r>
      <w:proofErr w:type="spellEnd"/>
      <w:r w:rsidRPr="0074186C">
        <w:rPr>
          <w:rFonts w:cs="Times New Roman"/>
          <w:color w:val="000000"/>
          <w:szCs w:val="24"/>
        </w:rPr>
        <w:t xml:space="preserve"> garden / That grows to seed; things rank and gross in nature /</w:t>
      </w:r>
      <w:r>
        <w:rPr>
          <w:rFonts w:cs="Times New Roman"/>
          <w:color w:val="000000"/>
          <w:szCs w:val="24"/>
        </w:rPr>
        <w:t xml:space="preserve"> </w:t>
      </w:r>
      <w:r w:rsidRPr="0074186C">
        <w:rPr>
          <w:rFonts w:cs="Times New Roman"/>
          <w:color w:val="000000"/>
          <w:szCs w:val="24"/>
        </w:rPr>
        <w:t>Possess it merely</w:t>
      </w:r>
      <w:r w:rsidR="00543420">
        <w:rPr>
          <w:rFonts w:cs="Times New Roman"/>
          <w:color w:val="000000"/>
          <w:szCs w:val="24"/>
        </w:rPr>
        <w:t>.’</w:t>
      </w:r>
      <w:r w:rsidR="00543420">
        <w:rPr>
          <w:rFonts w:cs="Times New Roman"/>
          <w:color w:val="000000"/>
          <w:szCs w:val="24"/>
          <w:vertAlign w:val="superscript"/>
        </w:rPr>
        <w:t>2</w:t>
      </w:r>
      <w:r w:rsidR="00560C46">
        <w:rPr>
          <w:rFonts w:cs="Times New Roman"/>
          <w:color w:val="000000"/>
          <w:szCs w:val="24"/>
          <w:vertAlign w:val="superscript"/>
        </w:rPr>
        <w:t>9</w:t>
      </w:r>
      <w:r>
        <w:rPr>
          <w:rFonts w:cs="Times New Roman"/>
          <w:color w:val="000000"/>
          <w:szCs w:val="24"/>
        </w:rPr>
        <w:t xml:space="preserve">  Adelman suggests that </w:t>
      </w:r>
      <w:r w:rsidR="00543420">
        <w:rPr>
          <w:rFonts w:cs="Times New Roman"/>
          <w:color w:val="000000"/>
          <w:szCs w:val="24"/>
        </w:rPr>
        <w:t>‘</w:t>
      </w:r>
      <w:r>
        <w:rPr>
          <w:rFonts w:cs="Times New Roman"/>
          <w:color w:val="000000"/>
          <w:szCs w:val="24"/>
        </w:rPr>
        <w:t>the enclosed garden—the garden unpossessed—traditionally figures the Virgin Mother, this garden, full of seed, figures his mother’s newly contaminated body; its rank weeds localize what Hamlet will later call the “rank corruption” of her sexuality, the “weeds” that will grow “ranker” if that sexuality is not curbed</w:t>
      </w:r>
      <w:r w:rsidR="00543420">
        <w:rPr>
          <w:rFonts w:cs="Times New Roman"/>
          <w:color w:val="000000"/>
          <w:szCs w:val="24"/>
        </w:rPr>
        <w:t>.’</w:t>
      </w:r>
      <w:r w:rsidR="00F10BD2">
        <w:rPr>
          <w:rFonts w:cs="Times New Roman"/>
          <w:color w:val="000000"/>
          <w:szCs w:val="24"/>
          <w:vertAlign w:val="superscript"/>
        </w:rPr>
        <w:t>30</w:t>
      </w:r>
      <w:r>
        <w:rPr>
          <w:rFonts w:cs="Times New Roman"/>
          <w:color w:val="000000"/>
          <w:szCs w:val="24"/>
        </w:rPr>
        <w:t xml:space="preserve"> Thus, the sexualization of the maternal body becomes the “fall”</w:t>
      </w:r>
      <w:r w:rsidR="00543420">
        <w:rPr>
          <w:rFonts w:cs="Times New Roman"/>
          <w:color w:val="000000"/>
          <w:szCs w:val="24"/>
          <w:vertAlign w:val="superscript"/>
        </w:rPr>
        <w:t>3</w:t>
      </w:r>
      <w:r w:rsidR="00F10BD2">
        <w:rPr>
          <w:rFonts w:cs="Times New Roman"/>
          <w:color w:val="000000"/>
          <w:szCs w:val="24"/>
          <w:vertAlign w:val="superscript"/>
        </w:rPr>
        <w:t>1</w:t>
      </w:r>
      <w:r>
        <w:rPr>
          <w:rFonts w:cs="Times New Roman"/>
          <w:color w:val="000000"/>
          <w:szCs w:val="24"/>
        </w:rPr>
        <w:t xml:space="preserve"> that brings about the death that creates the tragedy. Hamlet views his mother’s inability to curb her sexual desires as the weakness, not only of womanhood, but also of </w:t>
      </w:r>
      <w:r>
        <w:rPr>
          <w:rFonts w:cs="Times New Roman"/>
          <w:color w:val="000000"/>
          <w:szCs w:val="24"/>
        </w:rPr>
        <w:lastRenderedPageBreak/>
        <w:t xml:space="preserve">humanity and creates marriage into a corruption of purity. Hamlet’s reaction to Ophelia may also be attributed to this—as Hamlet saw his mother’s sexuality dominate her into marriage, he fears Ophelia’s introduction into marriage would be the turning point of her corruption. However, since Hamlet is unable to separate himself from the body of his mother, he attributes the ‘contamination’ of her body to also be the contamination of his body. Not only is his mother’s re-marriage tarnishing the memory of his father, but also harming the maternal bond that Hamlet has been engulfed into upon the death of his father. </w:t>
      </w:r>
    </w:p>
    <w:p w14:paraId="7D33A1A2" w14:textId="0D2F3360" w:rsidR="0088626F" w:rsidRDefault="0088626F" w:rsidP="007A7E55">
      <w:pPr>
        <w:ind w:firstLine="720"/>
        <w:rPr>
          <w:rFonts w:eastAsia="Times New Roman" w:cs="Times New Roman"/>
          <w:szCs w:val="24"/>
          <w:lang w:val="en-US"/>
        </w:rPr>
      </w:pPr>
      <w:r>
        <w:rPr>
          <w:rFonts w:eastAsia="Times New Roman" w:cs="Times New Roman"/>
          <w:szCs w:val="24"/>
          <w:lang w:val="en-US"/>
        </w:rPr>
        <w:t xml:space="preserve">Similarly to the Oedipus Complex, Adelman suggests that upon the father’s death, the maternal figure is released from any sexualization, allowing Hamlet to identify Gertrude solely as </w:t>
      </w:r>
      <w:r w:rsidR="00543420">
        <w:rPr>
          <w:rFonts w:eastAsia="Times New Roman" w:cs="Times New Roman"/>
          <w:szCs w:val="24"/>
          <w:lang w:val="en-US"/>
        </w:rPr>
        <w:t>‘</w:t>
      </w:r>
      <w:r>
        <w:rPr>
          <w:rFonts w:eastAsia="Times New Roman" w:cs="Times New Roman"/>
          <w:szCs w:val="24"/>
          <w:lang w:val="en-US"/>
        </w:rPr>
        <w:t>mother</w:t>
      </w:r>
      <w:r w:rsidR="00543420">
        <w:rPr>
          <w:rFonts w:eastAsia="Times New Roman" w:cs="Times New Roman"/>
          <w:szCs w:val="24"/>
          <w:lang w:val="en-US"/>
        </w:rPr>
        <w:t>’</w:t>
      </w:r>
      <w:r>
        <w:rPr>
          <w:rFonts w:eastAsia="Times New Roman" w:cs="Times New Roman"/>
          <w:szCs w:val="24"/>
          <w:lang w:val="en-US"/>
        </w:rPr>
        <w:t xml:space="preserve"> and no longer as his father’s </w:t>
      </w:r>
      <w:r w:rsidR="00543420">
        <w:rPr>
          <w:rFonts w:eastAsia="Times New Roman" w:cs="Times New Roman"/>
          <w:szCs w:val="24"/>
          <w:lang w:val="en-US"/>
        </w:rPr>
        <w:t>‘</w:t>
      </w:r>
      <w:r>
        <w:rPr>
          <w:rFonts w:eastAsia="Times New Roman" w:cs="Times New Roman"/>
          <w:szCs w:val="24"/>
          <w:lang w:val="en-US"/>
        </w:rPr>
        <w:t>wife.</w:t>
      </w:r>
      <w:r w:rsidR="00543420">
        <w:rPr>
          <w:rFonts w:eastAsia="Times New Roman" w:cs="Times New Roman"/>
          <w:szCs w:val="24"/>
          <w:lang w:val="en-US"/>
        </w:rPr>
        <w:t>’</w:t>
      </w:r>
      <w:r>
        <w:rPr>
          <w:rFonts w:eastAsia="Times New Roman" w:cs="Times New Roman"/>
          <w:szCs w:val="24"/>
          <w:lang w:val="en-US"/>
        </w:rPr>
        <w:t xml:space="preserve"> Hamlet blames his father’s death for Gertrude’s decent into sexuality. Yet, Hamlet also blames his mother’s sexuality as the reason for his father’s death. Although there is no actual evidence that Gertrude had any hand in her husband’s death, Hamlet places guilt upon his mother purely due to her sexuality—attributing sexuality to murder. In no way is Gertrude allowed any sexual identity beyond her basic identity of </w:t>
      </w:r>
      <w:r w:rsidR="00543420">
        <w:rPr>
          <w:rFonts w:eastAsia="Times New Roman" w:cs="Times New Roman"/>
          <w:szCs w:val="24"/>
          <w:lang w:val="en-US"/>
        </w:rPr>
        <w:t>‘f</w:t>
      </w:r>
      <w:r>
        <w:rPr>
          <w:rFonts w:eastAsia="Times New Roman" w:cs="Times New Roman"/>
          <w:szCs w:val="24"/>
          <w:lang w:val="en-US"/>
        </w:rPr>
        <w:t>emale</w:t>
      </w:r>
      <w:r w:rsidR="00543420">
        <w:rPr>
          <w:rFonts w:eastAsia="Times New Roman" w:cs="Times New Roman"/>
          <w:szCs w:val="24"/>
          <w:lang w:val="en-US"/>
        </w:rPr>
        <w:t>’</w:t>
      </w:r>
      <w:r>
        <w:rPr>
          <w:rFonts w:eastAsia="Times New Roman" w:cs="Times New Roman"/>
          <w:szCs w:val="24"/>
          <w:lang w:val="en-US"/>
        </w:rPr>
        <w:t xml:space="preserve"> and </w:t>
      </w:r>
      <w:r w:rsidR="00543420">
        <w:rPr>
          <w:rFonts w:eastAsia="Times New Roman" w:cs="Times New Roman"/>
          <w:szCs w:val="24"/>
          <w:lang w:val="en-US"/>
        </w:rPr>
        <w:t>‘</w:t>
      </w:r>
      <w:r>
        <w:rPr>
          <w:rFonts w:eastAsia="Times New Roman" w:cs="Times New Roman"/>
          <w:szCs w:val="24"/>
          <w:lang w:val="en-US"/>
        </w:rPr>
        <w:t>mother.</w:t>
      </w:r>
      <w:r w:rsidR="00543420">
        <w:rPr>
          <w:rFonts w:eastAsia="Times New Roman" w:cs="Times New Roman"/>
          <w:szCs w:val="24"/>
          <w:lang w:val="en-US"/>
        </w:rPr>
        <w:t>’</w:t>
      </w:r>
      <w:r>
        <w:rPr>
          <w:rFonts w:eastAsia="Times New Roman" w:cs="Times New Roman"/>
          <w:szCs w:val="24"/>
          <w:lang w:val="en-US"/>
        </w:rPr>
        <w:t xml:space="preserve"> Adelman connects this briefly to the idea of the Virgin Mother; that a purified son will only be born from a de-sexualized woman that is the basis of all maternal image. Hamlet, as a son, is only ‘pure’ as long as his mother remains ‘pure’ as well. Yet, Hamlet’s metaphor for his mother’s body as </w:t>
      </w:r>
      <w:r w:rsidR="00543420">
        <w:rPr>
          <w:rFonts w:eastAsia="Times New Roman" w:cs="Times New Roman"/>
          <w:szCs w:val="24"/>
          <w:lang w:val="en-US"/>
        </w:rPr>
        <w:t>‘</w:t>
      </w:r>
      <w:r>
        <w:rPr>
          <w:rFonts w:eastAsia="Times New Roman" w:cs="Times New Roman"/>
          <w:szCs w:val="24"/>
          <w:lang w:val="en-US"/>
        </w:rPr>
        <w:t xml:space="preserve">an enclosed garden newly breached, it implies the presence of a formerly </w:t>
      </w:r>
      <w:proofErr w:type="spellStart"/>
      <w:r>
        <w:rPr>
          <w:rFonts w:eastAsia="Times New Roman" w:cs="Times New Roman"/>
          <w:szCs w:val="24"/>
          <w:lang w:val="en-US"/>
        </w:rPr>
        <w:t>unbreached</w:t>
      </w:r>
      <w:proofErr w:type="spellEnd"/>
      <w:r>
        <w:rPr>
          <w:rFonts w:eastAsia="Times New Roman" w:cs="Times New Roman"/>
          <w:szCs w:val="24"/>
          <w:lang w:val="en-US"/>
        </w:rPr>
        <w:t xml:space="preserve"> garden; the alternatives that govern Hamlet’s imagination of his mother’s body are familiar ones of virgin and whole, closed or open</w:t>
      </w:r>
      <w:r w:rsidR="00543420">
        <w:rPr>
          <w:rFonts w:eastAsia="Times New Roman" w:cs="Times New Roman"/>
          <w:szCs w:val="24"/>
          <w:lang w:val="en-US"/>
        </w:rPr>
        <w:t>.’</w:t>
      </w:r>
      <w:r w:rsidR="00543420">
        <w:rPr>
          <w:rFonts w:eastAsia="Times New Roman" w:cs="Times New Roman"/>
          <w:szCs w:val="24"/>
          <w:vertAlign w:val="superscript"/>
          <w:lang w:val="en-US"/>
        </w:rPr>
        <w:t>3</w:t>
      </w:r>
      <w:r w:rsidR="00F10BD2">
        <w:rPr>
          <w:rFonts w:eastAsia="Times New Roman" w:cs="Times New Roman"/>
          <w:szCs w:val="24"/>
          <w:vertAlign w:val="superscript"/>
          <w:lang w:val="en-US"/>
        </w:rPr>
        <w:t>2</w:t>
      </w:r>
      <w:r>
        <w:rPr>
          <w:rFonts w:eastAsia="Times New Roman" w:cs="Times New Roman"/>
          <w:szCs w:val="24"/>
          <w:lang w:val="en-US"/>
        </w:rPr>
        <w:t xml:space="preserve"> Gertrude is so well-defined by her position as Hamlet’s mother that, arguably, it is not Hamlet that is unable to separate his identity from hers, but rather he refuses to allow Gertrude to have an identity outside of his. Gertrude is expected to maintain the maternal body with the purity of the Virgin Mother, sacrificing all other </w:t>
      </w:r>
      <w:r>
        <w:rPr>
          <w:rFonts w:eastAsia="Times New Roman" w:cs="Times New Roman"/>
          <w:szCs w:val="24"/>
          <w:lang w:val="en-US"/>
        </w:rPr>
        <w:lastRenderedPageBreak/>
        <w:t>(sexual) inclinations when embracing the maternal body. When Gertrude does not abide by these terms, instead allowing herself a sexual body along with her maternal body, she is viewed as a traitor and whore by the very son whom she birthed. By the time of Gertrude’s death, it is unclear whether she is relieved of her supposed sinfulness, but Hamlet perhaps recalls the careful maternal care of the ‘pure’ mother he once idolized as a child.</w:t>
      </w:r>
    </w:p>
    <w:p w14:paraId="40CCBE6F" w14:textId="3B273867" w:rsidR="0088626F" w:rsidRDefault="0088626F" w:rsidP="007A7E55">
      <w:r>
        <w:rPr>
          <w:b/>
        </w:rPr>
        <w:tab/>
      </w:r>
      <w:r>
        <w:rPr>
          <w:rFonts w:cs="Times New Roman"/>
          <w:color w:val="000000"/>
          <w:szCs w:val="24"/>
        </w:rPr>
        <w:t xml:space="preserve">Although Gertrude seems to have two bodies, her sexual body and her maternal body, she ultimately chooses the maternal over sexual. </w:t>
      </w:r>
      <w:r>
        <w:t xml:space="preserve">Despite Hamlet’s continued doubting of his mother’s loyalty, the majority of Gertrude’s actions directly align her with her son over Claudius. In Act I, Scene ii, Gertrude understands Hamlet’s reluctance to be in any contact with Claudius and gently encourages him to </w:t>
      </w:r>
      <w:r w:rsidRPr="00FF31B3">
        <w:rPr>
          <w:rFonts w:cs="Times New Roman"/>
          <w:szCs w:val="24"/>
        </w:rPr>
        <w:t>stay for her; ‘</w:t>
      </w:r>
      <w:bookmarkStart w:id="6" w:name="321"/>
      <w:bookmarkEnd w:id="6"/>
      <w:r w:rsidRPr="00FF31B3">
        <w:rPr>
          <w:rFonts w:cs="Times New Roman"/>
          <w:color w:val="000000"/>
          <w:szCs w:val="24"/>
        </w:rPr>
        <w:t>Let not thy mother lose her prayers, Hamlet.</w:t>
      </w:r>
      <w:r w:rsidRPr="00543420">
        <w:rPr>
          <w:rFonts w:cs="Times New Roman"/>
          <w:color w:val="000000"/>
          <w:szCs w:val="24"/>
          <w:vertAlign w:val="superscript"/>
        </w:rPr>
        <w:t>’</w:t>
      </w:r>
      <w:r w:rsidR="00543420">
        <w:rPr>
          <w:rFonts w:cs="Times New Roman"/>
          <w:color w:val="000000"/>
          <w:szCs w:val="24"/>
          <w:vertAlign w:val="superscript"/>
        </w:rPr>
        <w:t>3</w:t>
      </w:r>
      <w:r w:rsidR="00F10BD2">
        <w:rPr>
          <w:rFonts w:cs="Times New Roman"/>
          <w:color w:val="000000"/>
          <w:szCs w:val="24"/>
          <w:vertAlign w:val="superscript"/>
        </w:rPr>
        <w:t>3</w:t>
      </w:r>
      <w:r w:rsidR="00543420" w:rsidRPr="00543420">
        <w:rPr>
          <w:rFonts w:cs="Times New Roman"/>
          <w:color w:val="000000"/>
          <w:szCs w:val="24"/>
        </w:rPr>
        <w:t xml:space="preserve"> </w:t>
      </w:r>
      <w:r w:rsidRPr="00543420">
        <w:rPr>
          <w:rFonts w:cs="Times New Roman"/>
          <w:color w:val="000000"/>
          <w:szCs w:val="24"/>
        </w:rPr>
        <w:t>Adelman</w:t>
      </w:r>
      <w:r>
        <w:rPr>
          <w:rFonts w:cs="Times New Roman"/>
          <w:color w:val="000000"/>
          <w:szCs w:val="24"/>
        </w:rPr>
        <w:t xml:space="preserve"> writes, </w:t>
      </w:r>
      <w:r w:rsidR="0020396D">
        <w:rPr>
          <w:rFonts w:cs="Times New Roman"/>
          <w:color w:val="000000"/>
          <w:szCs w:val="24"/>
        </w:rPr>
        <w:t>‘</w:t>
      </w:r>
      <w:r>
        <w:rPr>
          <w:rFonts w:cs="Times New Roman"/>
          <w:color w:val="000000"/>
          <w:szCs w:val="24"/>
        </w:rPr>
        <w:t>She seems to enact every son’s scenario for the good mother, choosing his interests over her husband’s.</w:t>
      </w:r>
      <w:r w:rsidR="0020396D">
        <w:rPr>
          <w:rFonts w:cs="Times New Roman"/>
          <w:color w:val="000000"/>
          <w:szCs w:val="24"/>
        </w:rPr>
        <w:t>’</w:t>
      </w:r>
      <w:r w:rsidR="00543420">
        <w:rPr>
          <w:rFonts w:cs="Times New Roman"/>
          <w:color w:val="000000"/>
          <w:szCs w:val="24"/>
          <w:vertAlign w:val="superscript"/>
        </w:rPr>
        <w:t>3</w:t>
      </w:r>
      <w:r w:rsidR="00F10BD2">
        <w:rPr>
          <w:rFonts w:cs="Times New Roman"/>
          <w:color w:val="000000"/>
          <w:szCs w:val="24"/>
          <w:vertAlign w:val="superscript"/>
        </w:rPr>
        <w:t xml:space="preserve">4 </w:t>
      </w:r>
      <w:r>
        <w:rPr>
          <w:rFonts w:cs="Times New Roman"/>
          <w:color w:val="000000"/>
          <w:szCs w:val="24"/>
        </w:rPr>
        <w:t xml:space="preserve">Gertrude recognizes her role as Hamlet’s primary caregiver following the death of her husband and takes on that role by endeavouring to persuade Hamlet into staying close by and encouraging his affections towards Ophelia. Gertrude </w:t>
      </w:r>
      <w:r w:rsidR="00543420">
        <w:rPr>
          <w:rFonts w:cs="Times New Roman"/>
          <w:color w:val="000000"/>
          <w:szCs w:val="24"/>
        </w:rPr>
        <w:t xml:space="preserve">understands </w:t>
      </w:r>
      <w:r>
        <w:rPr>
          <w:rFonts w:cs="Times New Roman"/>
          <w:color w:val="000000"/>
          <w:szCs w:val="24"/>
        </w:rPr>
        <w:t xml:space="preserve">her faults from Hamlet’s perspective and although she does not apologize for those faults she strives to treat Hamlet as well as she is able within her role. Perhaps her goal is to create one body out of her sexual and maternal identities. Neither the Oedipus Complex nor the ‘Suffocating Mother’ theories provide an acceptable narrative for Gertrude which provides her with a full identity outside of either of her supposed bodies. However, Gertrude’s ‘official’ choice of the maternal over the sexual comes towards the end of the play. During Hamlet’s duel, Gertrude blatantly disregards the wishes of her husband not to drink from the chalice and instead drinks for Hamlet’s health—choosing Hamlet over Claudius. Adelman suggests  of Gertrude that even </w:t>
      </w:r>
      <w:r w:rsidR="00543420">
        <w:rPr>
          <w:rFonts w:cs="Times New Roman"/>
          <w:color w:val="000000"/>
          <w:szCs w:val="24"/>
        </w:rPr>
        <w:t>‘</w:t>
      </w:r>
      <w:r>
        <w:rPr>
          <w:rFonts w:cs="Times New Roman"/>
          <w:color w:val="000000"/>
          <w:szCs w:val="24"/>
        </w:rPr>
        <w:t xml:space="preserve">her death is not quite her own to define. Is it a suicide designed to keep Hamlet from danger by </w:t>
      </w:r>
      <w:r>
        <w:rPr>
          <w:rFonts w:cs="Times New Roman"/>
          <w:color w:val="000000"/>
          <w:szCs w:val="24"/>
        </w:rPr>
        <w:lastRenderedPageBreak/>
        <w:t>dying in his place? She knows that Claudius has prepared the cup for Hamlet, and she shows unusual determination in disobeying Claudius’s command not to drink</w:t>
      </w:r>
      <w:r w:rsidR="00543420">
        <w:rPr>
          <w:rFonts w:cs="Times New Roman"/>
          <w:color w:val="000000"/>
          <w:szCs w:val="24"/>
        </w:rPr>
        <w:t>.’</w:t>
      </w:r>
      <w:r w:rsidR="00543420">
        <w:rPr>
          <w:rFonts w:cs="Times New Roman"/>
          <w:color w:val="000000"/>
          <w:szCs w:val="24"/>
          <w:vertAlign w:val="superscript"/>
        </w:rPr>
        <w:t>3</w:t>
      </w:r>
      <w:r w:rsidR="00F10BD2">
        <w:rPr>
          <w:rFonts w:cs="Times New Roman"/>
          <w:color w:val="000000"/>
          <w:szCs w:val="24"/>
          <w:vertAlign w:val="superscript"/>
        </w:rPr>
        <w:t>5</w:t>
      </w:r>
      <w:r>
        <w:rPr>
          <w:rFonts w:cs="Times New Roman"/>
          <w:color w:val="000000"/>
          <w:szCs w:val="24"/>
        </w:rPr>
        <w:t xml:space="preserve"> Whether Gertrude is somehow aware of the poison within the chalice or not, her action of disobeying Claudius in favour of Hamlet is choosing the maternal over the sexual. </w:t>
      </w:r>
      <w:r>
        <w:t>Despite her efforts, Gertrude is unable to claim an identity that is simultaneously a woman capable of sexuality and a woman capable of maintaining a nourishing maternal bond. Instead, Gertrude is reduced to what is the only acceptable ending of the play: the maternal body overtaking the sexual body.</w:t>
      </w:r>
    </w:p>
    <w:p w14:paraId="5202E774" w14:textId="77777777" w:rsidR="0088626F" w:rsidRDefault="0088626F" w:rsidP="007A7E55">
      <w:pPr>
        <w:spacing w:after="160" w:line="259" w:lineRule="auto"/>
      </w:pPr>
      <w:r>
        <w:br w:type="page"/>
      </w:r>
    </w:p>
    <w:p w14:paraId="09A721F6" w14:textId="5B8680AA" w:rsidR="00D06E53" w:rsidRDefault="00D06E53" w:rsidP="007A7E55">
      <w:pPr>
        <w:spacing w:after="160" w:line="259" w:lineRule="auto"/>
        <w:jc w:val="center"/>
      </w:pPr>
      <w:r>
        <w:lastRenderedPageBreak/>
        <w:t>Endnotes</w:t>
      </w:r>
    </w:p>
    <w:p w14:paraId="2FF124E5" w14:textId="0E635CC5" w:rsidR="00D06E53" w:rsidRPr="00560C46" w:rsidRDefault="00312611" w:rsidP="007A7E55">
      <w:pPr>
        <w:suppressAutoHyphens/>
      </w:pPr>
      <w:r>
        <w:rPr>
          <w:vertAlign w:val="superscript"/>
        </w:rPr>
        <w:t>1</w:t>
      </w:r>
      <w:r w:rsidR="00F10BD2">
        <w:rPr>
          <w:spacing w:val="-3"/>
          <w:szCs w:val="24"/>
        </w:rPr>
        <w:t xml:space="preserve">Stanley Wells, ‘Boys Should be Girls: Shakespeare’s Female Roles and the Boy Players’, </w:t>
      </w:r>
      <w:r w:rsidR="00F10BD2">
        <w:rPr>
          <w:i/>
          <w:spacing w:val="-3"/>
          <w:szCs w:val="24"/>
        </w:rPr>
        <w:t xml:space="preserve">New Theatre Quarterly, </w:t>
      </w:r>
      <w:r w:rsidR="00F10BD2">
        <w:rPr>
          <w:spacing w:val="-3"/>
          <w:szCs w:val="24"/>
        </w:rPr>
        <w:t xml:space="preserve">2 (2009), p. 174. </w:t>
      </w:r>
    </w:p>
    <w:p w14:paraId="30B951F2" w14:textId="0CB03E0A" w:rsidR="00312611" w:rsidRPr="00560C46" w:rsidRDefault="00312611" w:rsidP="007A7E55">
      <w:pPr>
        <w:suppressAutoHyphens/>
      </w:pPr>
      <w:r>
        <w:rPr>
          <w:vertAlign w:val="superscript"/>
        </w:rPr>
        <w:t>2</w:t>
      </w:r>
      <w:r w:rsidR="00F10BD2">
        <w:rPr>
          <w:spacing w:val="-3"/>
          <w:szCs w:val="24"/>
        </w:rPr>
        <w:t xml:space="preserve">Dympha Callaghan, ‘The Castrator’s Song: Female Impersonation on the Early Modern Stage’, in </w:t>
      </w:r>
      <w:r w:rsidR="00F10BD2">
        <w:rPr>
          <w:i/>
          <w:spacing w:val="-3"/>
          <w:szCs w:val="24"/>
        </w:rPr>
        <w:t>Shakespeare Without Women</w:t>
      </w:r>
      <w:r w:rsidR="00F10BD2">
        <w:rPr>
          <w:spacing w:val="-3"/>
          <w:szCs w:val="24"/>
        </w:rPr>
        <w:t>, (Taylor &amp; Francis Books, 1999), p.</w:t>
      </w:r>
      <w:r w:rsidR="00560C46">
        <w:t xml:space="preserve"> 51</w:t>
      </w:r>
      <w:r w:rsidR="00F10BD2">
        <w:t>.</w:t>
      </w:r>
    </w:p>
    <w:p w14:paraId="64935063" w14:textId="71A7FCEF" w:rsidR="00312611" w:rsidRPr="00560C46" w:rsidRDefault="00312611" w:rsidP="007A7E55">
      <w:pPr>
        <w:spacing w:after="160" w:line="259" w:lineRule="auto"/>
      </w:pPr>
      <w:r>
        <w:rPr>
          <w:vertAlign w:val="superscript"/>
        </w:rPr>
        <w:t>3</w:t>
      </w:r>
      <w:r w:rsidR="00F10BD2">
        <w:t>C</w:t>
      </w:r>
      <w:r w:rsidR="00560C46">
        <w:t>allaghan</w:t>
      </w:r>
      <w:r w:rsidR="00F10BD2">
        <w:t>, p. 51.</w:t>
      </w:r>
    </w:p>
    <w:p w14:paraId="000B5781" w14:textId="2B216A0D" w:rsidR="00312611" w:rsidRPr="00560C46" w:rsidRDefault="00312611" w:rsidP="007A7E55">
      <w:pPr>
        <w:suppressAutoHyphens/>
      </w:pPr>
      <w:r>
        <w:rPr>
          <w:vertAlign w:val="superscript"/>
        </w:rPr>
        <w:t>4</w:t>
      </w:r>
      <w:r w:rsidR="00F10BD2" w:rsidRPr="004A1496">
        <w:rPr>
          <w:spacing w:val="-3"/>
          <w:szCs w:val="24"/>
        </w:rPr>
        <w:t>Janet Adelman,</w:t>
      </w:r>
      <w:r w:rsidR="00F10BD2">
        <w:rPr>
          <w:spacing w:val="-3"/>
          <w:szCs w:val="24"/>
        </w:rPr>
        <w:t xml:space="preserve"> </w:t>
      </w:r>
      <w:r w:rsidR="00F10BD2" w:rsidRPr="004A1496">
        <w:rPr>
          <w:spacing w:val="-3"/>
          <w:szCs w:val="24"/>
        </w:rPr>
        <w:t xml:space="preserve"> 'Man and Wife Is One Flesh: </w:t>
      </w:r>
      <w:r w:rsidR="00F10BD2" w:rsidRPr="004A1496">
        <w:rPr>
          <w:i/>
          <w:iCs/>
          <w:spacing w:val="-3"/>
          <w:szCs w:val="24"/>
        </w:rPr>
        <w:t>Hamlet</w:t>
      </w:r>
      <w:r w:rsidR="00F10BD2" w:rsidRPr="004A1496">
        <w:rPr>
          <w:spacing w:val="-3"/>
          <w:szCs w:val="24"/>
        </w:rPr>
        <w:t xml:space="preserve"> and the Confrontation with the Maternal Body', in </w:t>
      </w:r>
      <w:r w:rsidR="00F10BD2" w:rsidRPr="004A1496">
        <w:rPr>
          <w:i/>
          <w:iCs/>
          <w:spacing w:val="-3"/>
          <w:szCs w:val="24"/>
        </w:rPr>
        <w:t>Suffocating Mothers: Fantasies of Maternal Origin in Shakespeare's Plays, ‘Hamlet’ to ‘The Tempest’</w:t>
      </w:r>
      <w:r w:rsidR="00F10BD2" w:rsidRPr="004A1496">
        <w:rPr>
          <w:spacing w:val="-3"/>
          <w:szCs w:val="24"/>
        </w:rPr>
        <w:t xml:space="preserve"> (London: Routledge, 1992), p</w:t>
      </w:r>
      <w:r w:rsidR="00F10BD2">
        <w:rPr>
          <w:spacing w:val="-3"/>
          <w:szCs w:val="24"/>
        </w:rPr>
        <w:t>. 25.</w:t>
      </w:r>
    </w:p>
    <w:p w14:paraId="7270EF92" w14:textId="11635786" w:rsidR="00312611" w:rsidRDefault="00312611" w:rsidP="007A7E55">
      <w:pPr>
        <w:spacing w:after="160" w:line="259" w:lineRule="auto"/>
        <w:rPr>
          <w:vertAlign w:val="superscript"/>
        </w:rPr>
      </w:pPr>
      <w:r>
        <w:rPr>
          <w:vertAlign w:val="superscript"/>
        </w:rPr>
        <w:t>5</w:t>
      </w:r>
      <w:r w:rsidR="00F10BD2">
        <w:t>Adelman, p.</w:t>
      </w:r>
      <w:r w:rsidR="00560C46" w:rsidRPr="00F10BD2">
        <w:t xml:space="preserve"> 380</w:t>
      </w:r>
      <w:r w:rsidR="00F10BD2">
        <w:t>.</w:t>
      </w:r>
    </w:p>
    <w:p w14:paraId="188460C7" w14:textId="6721A928" w:rsidR="00312611" w:rsidRPr="00F10BD2" w:rsidRDefault="00312611" w:rsidP="007A7E55">
      <w:pPr>
        <w:suppressAutoHyphens/>
        <w:rPr>
          <w:spacing w:val="-3"/>
          <w:szCs w:val="24"/>
        </w:rPr>
      </w:pPr>
      <w:r>
        <w:rPr>
          <w:vertAlign w:val="superscript"/>
        </w:rPr>
        <w:t>6</w:t>
      </w:r>
      <w:r w:rsidR="00F10BD2" w:rsidRPr="004A1496">
        <w:rPr>
          <w:spacing w:val="-3"/>
          <w:szCs w:val="24"/>
        </w:rPr>
        <w:t>Jacqueline</w:t>
      </w:r>
      <w:r w:rsidR="00F10BD2" w:rsidRPr="00F10BD2">
        <w:rPr>
          <w:spacing w:val="-3"/>
          <w:szCs w:val="24"/>
        </w:rPr>
        <w:t xml:space="preserve"> </w:t>
      </w:r>
      <w:r w:rsidR="00F10BD2" w:rsidRPr="004A1496">
        <w:rPr>
          <w:spacing w:val="-3"/>
          <w:szCs w:val="24"/>
        </w:rPr>
        <w:t>Rose</w:t>
      </w:r>
      <w:r w:rsidR="00F10BD2">
        <w:rPr>
          <w:spacing w:val="-3"/>
          <w:szCs w:val="24"/>
        </w:rPr>
        <w:t>,</w:t>
      </w:r>
      <w:r w:rsidR="00F10BD2" w:rsidRPr="004A1496">
        <w:rPr>
          <w:spacing w:val="-3"/>
          <w:szCs w:val="24"/>
        </w:rPr>
        <w:t xml:space="preserve"> 'Sexuality in the Reading of Shakespeare: </w:t>
      </w:r>
      <w:r w:rsidR="00F10BD2" w:rsidRPr="004A1496">
        <w:rPr>
          <w:i/>
          <w:iCs/>
          <w:spacing w:val="-3"/>
          <w:szCs w:val="24"/>
        </w:rPr>
        <w:t>Hamlet</w:t>
      </w:r>
      <w:r w:rsidR="00F10BD2" w:rsidRPr="004A1496">
        <w:rPr>
          <w:spacing w:val="-3"/>
          <w:szCs w:val="24"/>
        </w:rPr>
        <w:t xml:space="preserve"> and </w:t>
      </w:r>
      <w:r w:rsidR="00F10BD2" w:rsidRPr="004A1496">
        <w:rPr>
          <w:i/>
          <w:iCs/>
          <w:spacing w:val="-3"/>
          <w:szCs w:val="24"/>
        </w:rPr>
        <w:t>Measure for Measure</w:t>
      </w:r>
      <w:r w:rsidR="00F10BD2" w:rsidRPr="004A1496">
        <w:rPr>
          <w:spacing w:val="-3"/>
          <w:szCs w:val="24"/>
        </w:rPr>
        <w:t xml:space="preserve">', in John </w:t>
      </w:r>
      <w:proofErr w:type="spellStart"/>
      <w:r w:rsidR="00F10BD2" w:rsidRPr="004A1496">
        <w:rPr>
          <w:spacing w:val="-3"/>
          <w:szCs w:val="24"/>
        </w:rPr>
        <w:t>Drakakis</w:t>
      </w:r>
      <w:proofErr w:type="spellEnd"/>
      <w:r w:rsidR="00F10BD2" w:rsidRPr="004A1496">
        <w:rPr>
          <w:spacing w:val="-3"/>
          <w:szCs w:val="24"/>
        </w:rPr>
        <w:t xml:space="preserve">, ed., </w:t>
      </w:r>
      <w:r w:rsidR="00F10BD2" w:rsidRPr="004A1496">
        <w:rPr>
          <w:i/>
          <w:iCs/>
          <w:spacing w:val="-3"/>
          <w:szCs w:val="24"/>
        </w:rPr>
        <w:t xml:space="preserve">Alternative </w:t>
      </w:r>
      <w:proofErr w:type="spellStart"/>
      <w:r w:rsidR="00F10BD2" w:rsidRPr="004A1496">
        <w:rPr>
          <w:i/>
          <w:iCs/>
          <w:spacing w:val="-3"/>
          <w:szCs w:val="24"/>
        </w:rPr>
        <w:t>Shakespeares</w:t>
      </w:r>
      <w:proofErr w:type="spellEnd"/>
      <w:r w:rsidR="00F10BD2" w:rsidRPr="004A1496">
        <w:rPr>
          <w:spacing w:val="-3"/>
          <w:szCs w:val="24"/>
        </w:rPr>
        <w:t>, New Accents Series (</w:t>
      </w:r>
      <w:smartTag w:uri="urn:schemas-microsoft-com:office:smarttags" w:element="place">
        <w:r w:rsidR="00F10BD2" w:rsidRPr="004A1496">
          <w:rPr>
            <w:spacing w:val="-3"/>
            <w:szCs w:val="24"/>
          </w:rPr>
          <w:t>London</w:t>
        </w:r>
      </w:smartTag>
      <w:r w:rsidR="00F10BD2" w:rsidRPr="004A1496">
        <w:rPr>
          <w:spacing w:val="-3"/>
          <w:szCs w:val="24"/>
        </w:rPr>
        <w:t xml:space="preserve">: </w:t>
      </w:r>
      <w:smartTag w:uri="urn:schemas-microsoft-com:office:smarttags" w:element="place">
        <w:r w:rsidR="00F10BD2" w:rsidRPr="004A1496">
          <w:rPr>
            <w:spacing w:val="-3"/>
            <w:szCs w:val="24"/>
          </w:rPr>
          <w:t>Methuen</w:t>
        </w:r>
      </w:smartTag>
      <w:r w:rsidR="00F10BD2" w:rsidRPr="004A1496">
        <w:rPr>
          <w:spacing w:val="-3"/>
          <w:szCs w:val="24"/>
        </w:rPr>
        <w:t xml:space="preserve">, 1985; </w:t>
      </w:r>
      <w:proofErr w:type="spellStart"/>
      <w:r w:rsidR="00F10BD2" w:rsidRPr="004A1496">
        <w:rPr>
          <w:spacing w:val="-3"/>
          <w:szCs w:val="24"/>
        </w:rPr>
        <w:t>repr</w:t>
      </w:r>
      <w:proofErr w:type="spellEnd"/>
      <w:r w:rsidR="00F10BD2" w:rsidRPr="004A1496">
        <w:rPr>
          <w:spacing w:val="-3"/>
          <w:szCs w:val="24"/>
        </w:rPr>
        <w:t>. Routledge, 1986), p</w:t>
      </w:r>
      <w:r w:rsidR="00F10BD2">
        <w:rPr>
          <w:spacing w:val="-3"/>
          <w:szCs w:val="24"/>
        </w:rPr>
        <w:t xml:space="preserve">. </w:t>
      </w:r>
      <w:r w:rsidR="00560C46" w:rsidRPr="00F10BD2">
        <w:t>98</w:t>
      </w:r>
      <w:r w:rsidR="00F10BD2">
        <w:t>.</w:t>
      </w:r>
    </w:p>
    <w:p w14:paraId="5463977C" w14:textId="35A735C5" w:rsidR="00312611" w:rsidRDefault="00312611" w:rsidP="007A7E55">
      <w:pPr>
        <w:spacing w:after="160" w:line="259" w:lineRule="auto"/>
        <w:rPr>
          <w:vertAlign w:val="superscript"/>
        </w:rPr>
      </w:pPr>
      <w:r>
        <w:rPr>
          <w:vertAlign w:val="superscript"/>
        </w:rPr>
        <w:t>7</w:t>
      </w:r>
      <w:r w:rsidR="00F10BD2">
        <w:rPr>
          <w:vertAlign w:val="superscript"/>
        </w:rPr>
        <w:t xml:space="preserve"> </w:t>
      </w:r>
      <w:r w:rsidR="00F10BD2">
        <w:t>R</w:t>
      </w:r>
      <w:r w:rsidR="00560C46" w:rsidRPr="00F10BD2">
        <w:t>ose</w:t>
      </w:r>
      <w:r w:rsidR="00F10BD2">
        <w:t>, p.</w:t>
      </w:r>
      <w:r w:rsidR="00560C46" w:rsidRPr="00F10BD2">
        <w:t xml:space="preserve"> 99</w:t>
      </w:r>
      <w:r w:rsidR="00F10BD2">
        <w:t>.</w:t>
      </w:r>
    </w:p>
    <w:p w14:paraId="7AC52BAD" w14:textId="57F9BC93" w:rsidR="00312611" w:rsidRPr="004B3D28" w:rsidRDefault="00312611" w:rsidP="004B3D28">
      <w:pPr>
        <w:suppressAutoHyphens/>
        <w:rPr>
          <w:spacing w:val="-3"/>
          <w:szCs w:val="24"/>
        </w:rPr>
      </w:pPr>
      <w:r>
        <w:rPr>
          <w:vertAlign w:val="superscript"/>
        </w:rPr>
        <w:t>8</w:t>
      </w:r>
      <w:bookmarkStart w:id="7" w:name="_GoBack"/>
      <w:bookmarkEnd w:id="7"/>
      <w:r w:rsidR="004B3D28" w:rsidRPr="004A1496">
        <w:rPr>
          <w:spacing w:val="-3"/>
          <w:szCs w:val="24"/>
        </w:rPr>
        <w:t>William</w:t>
      </w:r>
      <w:r w:rsidR="00796438">
        <w:rPr>
          <w:spacing w:val="-3"/>
          <w:szCs w:val="24"/>
        </w:rPr>
        <w:t xml:space="preserve"> </w:t>
      </w:r>
      <w:r w:rsidR="00796438" w:rsidRPr="004A1496">
        <w:rPr>
          <w:spacing w:val="-3"/>
          <w:szCs w:val="24"/>
        </w:rPr>
        <w:t>Shakespeare</w:t>
      </w:r>
      <w:r w:rsidR="00796438">
        <w:rPr>
          <w:spacing w:val="-3"/>
          <w:szCs w:val="24"/>
        </w:rPr>
        <w:t>,</w:t>
      </w:r>
      <w:r w:rsidR="00796438" w:rsidRPr="004A1496">
        <w:rPr>
          <w:spacing w:val="-3"/>
          <w:szCs w:val="24"/>
        </w:rPr>
        <w:t xml:space="preserve"> </w:t>
      </w:r>
      <w:r w:rsidR="004B3D28" w:rsidRPr="004A1496">
        <w:rPr>
          <w:spacing w:val="-3"/>
          <w:szCs w:val="24"/>
        </w:rPr>
        <w:t xml:space="preserve">‘Hamlet,’ in </w:t>
      </w:r>
      <w:r w:rsidR="004B3D28">
        <w:rPr>
          <w:spacing w:val="-3"/>
          <w:szCs w:val="24"/>
        </w:rPr>
        <w:t xml:space="preserve">Germaine Greer and Anthony Burgess ed. </w:t>
      </w:r>
      <w:r w:rsidR="004B3D28" w:rsidRPr="004A1496">
        <w:rPr>
          <w:i/>
          <w:spacing w:val="-3"/>
          <w:szCs w:val="24"/>
        </w:rPr>
        <w:t>The Complete Works of William Shakespeare</w:t>
      </w:r>
      <w:r w:rsidR="004B3D28" w:rsidRPr="004A1496">
        <w:rPr>
          <w:spacing w:val="-3"/>
          <w:szCs w:val="24"/>
        </w:rPr>
        <w:t>, (</w:t>
      </w:r>
      <w:r w:rsidR="004B3D28">
        <w:rPr>
          <w:spacing w:val="-3"/>
          <w:szCs w:val="24"/>
        </w:rPr>
        <w:t>Glasgow</w:t>
      </w:r>
      <w:r w:rsidR="004B3D28" w:rsidRPr="004A1496">
        <w:rPr>
          <w:spacing w:val="-3"/>
          <w:szCs w:val="24"/>
        </w:rPr>
        <w:t xml:space="preserve">: </w:t>
      </w:r>
      <w:r w:rsidR="004B3D28">
        <w:rPr>
          <w:spacing w:val="-3"/>
          <w:szCs w:val="24"/>
        </w:rPr>
        <w:t>HarperCollins Publishers</w:t>
      </w:r>
      <w:r w:rsidR="004B3D28" w:rsidRPr="004A1496">
        <w:rPr>
          <w:spacing w:val="-3"/>
          <w:szCs w:val="24"/>
        </w:rPr>
        <w:t xml:space="preserve">, </w:t>
      </w:r>
      <w:r w:rsidR="004B3D28">
        <w:rPr>
          <w:spacing w:val="-3"/>
          <w:szCs w:val="24"/>
        </w:rPr>
        <w:t>1994</w:t>
      </w:r>
      <w:r w:rsidR="004B3D28" w:rsidRPr="004A1496">
        <w:rPr>
          <w:spacing w:val="-3"/>
          <w:szCs w:val="24"/>
        </w:rPr>
        <w:t>),</w:t>
      </w:r>
      <w:r w:rsidR="00560C46" w:rsidRPr="00F10BD2">
        <w:t xml:space="preserve"> II.ii.347-49</w:t>
      </w:r>
      <w:r w:rsidR="004B3D28">
        <w:t>.</w:t>
      </w:r>
    </w:p>
    <w:p w14:paraId="4D04BDEB" w14:textId="708AF0EB" w:rsidR="00312611" w:rsidRPr="00F10BD2" w:rsidRDefault="00312611" w:rsidP="007A7E55">
      <w:r>
        <w:rPr>
          <w:vertAlign w:val="superscript"/>
        </w:rPr>
        <w:t>9</w:t>
      </w:r>
      <w:r w:rsidR="00F10BD2">
        <w:rPr>
          <w:vertAlign w:val="superscript"/>
        </w:rPr>
        <w:t xml:space="preserve"> </w:t>
      </w:r>
      <w:r w:rsidR="00F10BD2" w:rsidRPr="004A1496">
        <w:t xml:space="preserve">Richard Levin, “Gertrude’s Elusive Libido and Shakespeare’s Unreliable Narrators’, </w:t>
      </w:r>
      <w:r w:rsidR="00F10BD2" w:rsidRPr="004A1496">
        <w:rPr>
          <w:i/>
        </w:rPr>
        <w:t xml:space="preserve">Studies in English </w:t>
      </w:r>
      <w:r w:rsidR="00F10BD2" w:rsidRPr="004A1496">
        <w:t xml:space="preserve">Literature, 2 (2008), </w:t>
      </w:r>
      <w:r w:rsidR="00F10BD2">
        <w:t xml:space="preserve">p. </w:t>
      </w:r>
      <w:r w:rsidR="00560C46" w:rsidRPr="00F10BD2">
        <w:t>307</w:t>
      </w:r>
      <w:r w:rsidR="00F10BD2">
        <w:t>.</w:t>
      </w:r>
    </w:p>
    <w:p w14:paraId="7871EAE2" w14:textId="1D494D5A" w:rsidR="00312611" w:rsidRDefault="00312611" w:rsidP="007A7E55">
      <w:pPr>
        <w:spacing w:after="160" w:line="259" w:lineRule="auto"/>
        <w:rPr>
          <w:vertAlign w:val="superscript"/>
        </w:rPr>
      </w:pPr>
      <w:r>
        <w:rPr>
          <w:vertAlign w:val="superscript"/>
        </w:rPr>
        <w:t>10</w:t>
      </w:r>
      <w:r w:rsidR="00F10BD2">
        <w:rPr>
          <w:vertAlign w:val="superscript"/>
        </w:rPr>
        <w:t xml:space="preserve"> </w:t>
      </w:r>
      <w:r w:rsidR="00F10BD2">
        <w:t>S</w:t>
      </w:r>
      <w:r w:rsidR="00560C46" w:rsidRPr="00F10BD2">
        <w:t>hakespeare</w:t>
      </w:r>
      <w:r w:rsidR="00F10BD2">
        <w:t>,</w:t>
      </w:r>
      <w:r w:rsidR="00560C46" w:rsidRPr="00F10BD2">
        <w:t xml:space="preserve"> III.iv.2485</w:t>
      </w:r>
      <w:r w:rsidR="00F10BD2">
        <w:t>.</w:t>
      </w:r>
    </w:p>
    <w:p w14:paraId="3D3ED015" w14:textId="2029316A" w:rsidR="00312611" w:rsidRPr="00F10BD2" w:rsidRDefault="00312611" w:rsidP="007A7E55">
      <w:pPr>
        <w:spacing w:after="160" w:line="259" w:lineRule="auto"/>
      </w:pPr>
      <w:r>
        <w:rPr>
          <w:vertAlign w:val="superscript"/>
        </w:rPr>
        <w:t>11</w:t>
      </w:r>
      <w:r w:rsidR="00F10BD2">
        <w:rPr>
          <w:vertAlign w:val="superscript"/>
        </w:rPr>
        <w:t xml:space="preserve"> </w:t>
      </w:r>
      <w:r w:rsidR="00F10BD2">
        <w:t>S</w:t>
      </w:r>
      <w:r w:rsidR="00560C46" w:rsidRPr="00F10BD2">
        <w:t>hakespeare</w:t>
      </w:r>
      <w:r w:rsidR="00F10BD2">
        <w:t>,</w:t>
      </w:r>
      <w:r w:rsidR="00560C46" w:rsidRPr="00F10BD2">
        <w:t xml:space="preserve"> I.ii.341-42</w:t>
      </w:r>
      <w:r w:rsidR="00F10BD2">
        <w:t>.</w:t>
      </w:r>
    </w:p>
    <w:p w14:paraId="16C9B4E0" w14:textId="6759806E" w:rsidR="00312611" w:rsidRDefault="00312611" w:rsidP="007A7E55">
      <w:pPr>
        <w:spacing w:after="160" w:line="259" w:lineRule="auto"/>
        <w:rPr>
          <w:vertAlign w:val="superscript"/>
        </w:rPr>
      </w:pPr>
      <w:r>
        <w:rPr>
          <w:vertAlign w:val="superscript"/>
        </w:rPr>
        <w:t>12</w:t>
      </w:r>
      <w:r w:rsidR="00F10BD2">
        <w:rPr>
          <w:vertAlign w:val="superscript"/>
        </w:rPr>
        <w:t xml:space="preserve"> </w:t>
      </w:r>
      <w:r w:rsidR="00F10BD2">
        <w:t>S</w:t>
      </w:r>
      <w:r w:rsidR="00560C46" w:rsidRPr="00F10BD2">
        <w:t>hakespeare</w:t>
      </w:r>
      <w:r w:rsidR="00F10BD2">
        <w:t>,</w:t>
      </w:r>
      <w:r w:rsidR="00560C46" w:rsidRPr="00F10BD2">
        <w:t xml:space="preserve"> I.ii.360-61</w:t>
      </w:r>
      <w:r w:rsidR="00F10BD2">
        <w:t>.</w:t>
      </w:r>
    </w:p>
    <w:p w14:paraId="02BC3375" w14:textId="6FA0DC64" w:rsidR="00312611" w:rsidRDefault="00312611" w:rsidP="007A7E55">
      <w:pPr>
        <w:suppressAutoHyphens/>
        <w:rPr>
          <w:vertAlign w:val="superscript"/>
        </w:rPr>
      </w:pPr>
      <w:r>
        <w:rPr>
          <w:vertAlign w:val="superscript"/>
        </w:rPr>
        <w:t>13</w:t>
      </w:r>
      <w:r w:rsidR="00F10BD2" w:rsidRPr="004A1496">
        <w:rPr>
          <w:spacing w:val="-3"/>
          <w:szCs w:val="24"/>
        </w:rPr>
        <w:t>Robert</w:t>
      </w:r>
      <w:r w:rsidR="00F10BD2">
        <w:rPr>
          <w:spacing w:val="-3"/>
          <w:szCs w:val="24"/>
        </w:rPr>
        <w:t xml:space="preserve"> </w:t>
      </w:r>
      <w:r w:rsidR="00F10BD2" w:rsidRPr="004A1496">
        <w:rPr>
          <w:spacing w:val="-3"/>
          <w:szCs w:val="24"/>
        </w:rPr>
        <w:t xml:space="preserve">Smith, “Hamlet and Gertrude, or The Conscience of the Queen’, </w:t>
      </w:r>
      <w:r w:rsidR="00F10BD2" w:rsidRPr="004A1496">
        <w:rPr>
          <w:i/>
          <w:spacing w:val="-3"/>
          <w:szCs w:val="24"/>
        </w:rPr>
        <w:t>Shakespeare Association Bulletin</w:t>
      </w:r>
      <w:r w:rsidR="00F10BD2" w:rsidRPr="004A1496">
        <w:rPr>
          <w:spacing w:val="-3"/>
          <w:szCs w:val="24"/>
        </w:rPr>
        <w:t>, 11 (1936), p</w:t>
      </w:r>
      <w:r w:rsidR="00F10BD2">
        <w:rPr>
          <w:spacing w:val="-3"/>
          <w:szCs w:val="24"/>
        </w:rPr>
        <w:t>.</w:t>
      </w:r>
      <w:r w:rsidR="00560C46" w:rsidRPr="00F10BD2">
        <w:t xml:space="preserve"> 88</w:t>
      </w:r>
      <w:r w:rsidR="00F10BD2">
        <w:t>.</w:t>
      </w:r>
    </w:p>
    <w:p w14:paraId="5C9DF448" w14:textId="5090CBA0" w:rsidR="00312611" w:rsidRDefault="00312611" w:rsidP="007A7E55">
      <w:pPr>
        <w:spacing w:after="160" w:line="259" w:lineRule="auto"/>
        <w:rPr>
          <w:vertAlign w:val="superscript"/>
        </w:rPr>
      </w:pPr>
      <w:r>
        <w:rPr>
          <w:vertAlign w:val="superscript"/>
        </w:rPr>
        <w:t>14</w:t>
      </w:r>
      <w:r w:rsidR="00F10BD2">
        <w:rPr>
          <w:vertAlign w:val="superscript"/>
        </w:rPr>
        <w:t xml:space="preserve"> </w:t>
      </w:r>
      <w:r w:rsidR="00F10BD2">
        <w:t>S</w:t>
      </w:r>
      <w:r w:rsidR="00560C46" w:rsidRPr="00F10BD2">
        <w:t>mith</w:t>
      </w:r>
      <w:r w:rsidR="00F10BD2">
        <w:t>, p.</w:t>
      </w:r>
      <w:r w:rsidR="00560C46" w:rsidRPr="00F10BD2">
        <w:t xml:space="preserve"> 89</w:t>
      </w:r>
      <w:r w:rsidR="00F10BD2">
        <w:t>.</w:t>
      </w:r>
    </w:p>
    <w:p w14:paraId="6065E7BA" w14:textId="37BB188C" w:rsidR="00312611" w:rsidRDefault="00312611" w:rsidP="007A7E55">
      <w:pPr>
        <w:spacing w:after="160" w:line="259" w:lineRule="auto"/>
        <w:rPr>
          <w:vertAlign w:val="superscript"/>
        </w:rPr>
      </w:pPr>
      <w:r>
        <w:rPr>
          <w:vertAlign w:val="superscript"/>
        </w:rPr>
        <w:t>15</w:t>
      </w:r>
      <w:r w:rsidR="00F10BD2">
        <w:rPr>
          <w:vertAlign w:val="superscript"/>
        </w:rPr>
        <w:t xml:space="preserve"> </w:t>
      </w:r>
      <w:r w:rsidR="00F10BD2">
        <w:t>R</w:t>
      </w:r>
      <w:r w:rsidR="00560C46" w:rsidRPr="00F10BD2">
        <w:t>ose</w:t>
      </w:r>
      <w:r w:rsidR="00F10BD2">
        <w:t>, p.</w:t>
      </w:r>
      <w:r w:rsidR="00560C46" w:rsidRPr="00F10BD2">
        <w:t xml:space="preserve"> 98</w:t>
      </w:r>
      <w:r w:rsidR="00F10BD2">
        <w:t>.</w:t>
      </w:r>
    </w:p>
    <w:p w14:paraId="7C08F0C8" w14:textId="0C891741" w:rsidR="00312611" w:rsidRDefault="00312611" w:rsidP="007A7E55">
      <w:pPr>
        <w:rPr>
          <w:vertAlign w:val="superscript"/>
        </w:rPr>
      </w:pPr>
      <w:r>
        <w:rPr>
          <w:vertAlign w:val="superscript"/>
        </w:rPr>
        <w:lastRenderedPageBreak/>
        <w:t>16</w:t>
      </w:r>
      <w:r w:rsidR="00F10BD2">
        <w:rPr>
          <w:vertAlign w:val="superscript"/>
        </w:rPr>
        <w:t xml:space="preserve"> </w:t>
      </w:r>
      <w:r w:rsidR="007A7E55" w:rsidRPr="004A1496">
        <w:t xml:space="preserve">T.S. Eliot, </w:t>
      </w:r>
      <w:r w:rsidR="007A7E55">
        <w:t xml:space="preserve">‘Hamlet and His Problems’, </w:t>
      </w:r>
      <w:r w:rsidR="007A7E55" w:rsidRPr="004A1496">
        <w:rPr>
          <w:i/>
        </w:rPr>
        <w:t>Selected Essays</w:t>
      </w:r>
      <w:r w:rsidR="007A7E55" w:rsidRPr="004A1496">
        <w:t xml:space="preserve"> (New York: Harcourt, Brace and Company, 1932)</w:t>
      </w:r>
      <w:r w:rsidR="007A7E55">
        <w:t xml:space="preserve">, p. </w:t>
      </w:r>
      <w:r w:rsidR="00560C46" w:rsidRPr="00F10BD2">
        <w:t>123</w:t>
      </w:r>
      <w:r w:rsidR="007A7E55">
        <w:t>.</w:t>
      </w:r>
    </w:p>
    <w:p w14:paraId="2BD14F0D" w14:textId="63FF852D" w:rsidR="00312611" w:rsidRDefault="00312611" w:rsidP="007A7E55">
      <w:pPr>
        <w:spacing w:after="160" w:line="259" w:lineRule="auto"/>
        <w:rPr>
          <w:vertAlign w:val="superscript"/>
        </w:rPr>
      </w:pPr>
      <w:r>
        <w:rPr>
          <w:vertAlign w:val="superscript"/>
        </w:rPr>
        <w:t>17</w:t>
      </w:r>
      <w:r w:rsidR="00F10BD2">
        <w:rPr>
          <w:vertAlign w:val="superscript"/>
        </w:rPr>
        <w:t xml:space="preserve"> </w:t>
      </w:r>
      <w:r w:rsidR="00F10BD2">
        <w:t>E</w:t>
      </w:r>
      <w:r w:rsidR="00560C46" w:rsidRPr="00F10BD2">
        <w:t>liot</w:t>
      </w:r>
      <w:r w:rsidR="00F10BD2">
        <w:t>, p.</w:t>
      </w:r>
      <w:r w:rsidR="00560C46" w:rsidRPr="00F10BD2">
        <w:t xml:space="preserve"> 125</w:t>
      </w:r>
      <w:r w:rsidR="00F10BD2">
        <w:t>.</w:t>
      </w:r>
    </w:p>
    <w:p w14:paraId="2A25A2BE" w14:textId="5CA50236" w:rsidR="00312611" w:rsidRDefault="00312611" w:rsidP="007A7E55">
      <w:pPr>
        <w:spacing w:after="160" w:line="259" w:lineRule="auto"/>
        <w:rPr>
          <w:vertAlign w:val="superscript"/>
        </w:rPr>
      </w:pPr>
      <w:r>
        <w:rPr>
          <w:vertAlign w:val="superscript"/>
        </w:rPr>
        <w:t>18</w:t>
      </w:r>
      <w:r w:rsidR="00F10BD2">
        <w:rPr>
          <w:vertAlign w:val="superscript"/>
        </w:rPr>
        <w:t xml:space="preserve"> </w:t>
      </w:r>
      <w:r w:rsidR="00F10BD2">
        <w:t>E</w:t>
      </w:r>
      <w:r w:rsidR="00560C46" w:rsidRPr="00F10BD2">
        <w:t>liot</w:t>
      </w:r>
      <w:r w:rsidR="00F10BD2">
        <w:t>, p.</w:t>
      </w:r>
      <w:r w:rsidR="00560C46" w:rsidRPr="00F10BD2">
        <w:t xml:space="preserve"> 125</w:t>
      </w:r>
      <w:r w:rsidR="00F10BD2">
        <w:t>.</w:t>
      </w:r>
    </w:p>
    <w:p w14:paraId="77AA95CF" w14:textId="4152BCEA" w:rsidR="00312611" w:rsidRDefault="00312611" w:rsidP="007A7E55">
      <w:pPr>
        <w:spacing w:after="160" w:line="259" w:lineRule="auto"/>
        <w:rPr>
          <w:vertAlign w:val="superscript"/>
        </w:rPr>
      </w:pPr>
      <w:r>
        <w:rPr>
          <w:vertAlign w:val="superscript"/>
        </w:rPr>
        <w:t>19</w:t>
      </w:r>
      <w:r w:rsidR="00F10BD2">
        <w:rPr>
          <w:vertAlign w:val="superscript"/>
        </w:rPr>
        <w:t xml:space="preserve"> </w:t>
      </w:r>
      <w:r w:rsidR="00F10BD2">
        <w:t>R</w:t>
      </w:r>
      <w:r w:rsidR="00560C46" w:rsidRPr="00F10BD2">
        <w:t>ose</w:t>
      </w:r>
      <w:r w:rsidR="00F10BD2">
        <w:t>, p.</w:t>
      </w:r>
      <w:r w:rsidR="00560C46" w:rsidRPr="00F10BD2">
        <w:t xml:space="preserve"> 100</w:t>
      </w:r>
      <w:r w:rsidR="00F10BD2">
        <w:t>.</w:t>
      </w:r>
    </w:p>
    <w:p w14:paraId="059AB6A6" w14:textId="1E263B0C" w:rsidR="00312611" w:rsidRPr="00F10BD2" w:rsidRDefault="00312611" w:rsidP="007A7E55">
      <w:pPr>
        <w:spacing w:after="160" w:line="259" w:lineRule="auto"/>
      </w:pPr>
      <w:r w:rsidRPr="00F10BD2">
        <w:rPr>
          <w:vertAlign w:val="superscript"/>
        </w:rPr>
        <w:t>20</w:t>
      </w:r>
      <w:r w:rsidR="00F10BD2" w:rsidRPr="00F10BD2">
        <w:rPr>
          <w:vertAlign w:val="subscript"/>
        </w:rPr>
        <w:t xml:space="preserve"> </w:t>
      </w:r>
      <w:r w:rsidR="00F10BD2">
        <w:t>R</w:t>
      </w:r>
      <w:r w:rsidR="00560C46" w:rsidRPr="00F10BD2">
        <w:t>ose</w:t>
      </w:r>
      <w:r w:rsidR="00F10BD2">
        <w:t>, p.</w:t>
      </w:r>
      <w:r w:rsidR="00560C46" w:rsidRPr="00F10BD2">
        <w:t xml:space="preserve"> 103</w:t>
      </w:r>
      <w:r w:rsidR="00F10BD2">
        <w:t>.</w:t>
      </w:r>
    </w:p>
    <w:p w14:paraId="7AE33BDD" w14:textId="3BB3ED43" w:rsidR="00543420" w:rsidRDefault="00543420" w:rsidP="007A7E55">
      <w:pPr>
        <w:spacing w:after="160" w:line="259" w:lineRule="auto"/>
        <w:rPr>
          <w:vertAlign w:val="superscript"/>
        </w:rPr>
      </w:pPr>
      <w:r>
        <w:rPr>
          <w:vertAlign w:val="superscript"/>
        </w:rPr>
        <w:t>21</w:t>
      </w:r>
      <w:r w:rsidR="00F10BD2">
        <w:rPr>
          <w:vertAlign w:val="superscript"/>
        </w:rPr>
        <w:t xml:space="preserve"> </w:t>
      </w:r>
      <w:r w:rsidR="00F10BD2">
        <w:t>R</w:t>
      </w:r>
      <w:r w:rsidR="00560C46" w:rsidRPr="00F10BD2">
        <w:t>ose</w:t>
      </w:r>
      <w:r w:rsidR="00F10BD2">
        <w:t>, p.</w:t>
      </w:r>
      <w:r w:rsidR="00560C46" w:rsidRPr="00F10BD2">
        <w:t xml:space="preserve"> 102</w:t>
      </w:r>
      <w:r w:rsidR="00F10BD2">
        <w:t>.</w:t>
      </w:r>
    </w:p>
    <w:p w14:paraId="1CFAA612" w14:textId="343E874A" w:rsidR="00543420" w:rsidRPr="007A7E55" w:rsidRDefault="00543420" w:rsidP="007A7E55">
      <w:pPr>
        <w:suppressAutoHyphens/>
        <w:rPr>
          <w:spacing w:val="-3"/>
          <w:szCs w:val="24"/>
        </w:rPr>
      </w:pPr>
      <w:r>
        <w:rPr>
          <w:vertAlign w:val="superscript"/>
        </w:rPr>
        <w:t>22</w:t>
      </w:r>
      <w:r w:rsidR="00F10BD2">
        <w:rPr>
          <w:vertAlign w:val="superscript"/>
        </w:rPr>
        <w:t xml:space="preserve"> </w:t>
      </w:r>
      <w:r w:rsidR="007A7E55" w:rsidRPr="004A1496">
        <w:rPr>
          <w:spacing w:val="-3"/>
          <w:szCs w:val="24"/>
        </w:rPr>
        <w:t>Ernest Jones,</w:t>
      </w:r>
      <w:r w:rsidR="007A7E55">
        <w:rPr>
          <w:spacing w:val="-3"/>
          <w:szCs w:val="24"/>
        </w:rPr>
        <w:t xml:space="preserve"> </w:t>
      </w:r>
      <w:r w:rsidR="007A7E55" w:rsidRPr="004A1496">
        <w:rPr>
          <w:spacing w:val="-3"/>
          <w:szCs w:val="24"/>
        </w:rPr>
        <w:t>‘The Oedipus Complex as an explanation of Hamlet’s Mystery: A Study in Motive</w:t>
      </w:r>
      <w:r w:rsidR="007A7E55" w:rsidRPr="004A1496">
        <w:rPr>
          <w:i/>
          <w:iCs/>
          <w:spacing w:val="-3"/>
          <w:szCs w:val="24"/>
        </w:rPr>
        <w:t>’</w:t>
      </w:r>
      <w:r w:rsidR="007A7E55" w:rsidRPr="004A1496">
        <w:rPr>
          <w:spacing w:val="-3"/>
          <w:szCs w:val="24"/>
        </w:rPr>
        <w:t xml:space="preserve">, </w:t>
      </w:r>
      <w:r w:rsidR="007A7E55" w:rsidRPr="004A1496">
        <w:rPr>
          <w:i/>
          <w:spacing w:val="-3"/>
          <w:szCs w:val="24"/>
        </w:rPr>
        <w:t xml:space="preserve">The American Journal of Psychology, </w:t>
      </w:r>
      <w:r w:rsidR="007A7E55" w:rsidRPr="004A1496">
        <w:rPr>
          <w:spacing w:val="-3"/>
          <w:szCs w:val="24"/>
        </w:rPr>
        <w:t>21 (1910), p</w:t>
      </w:r>
      <w:r w:rsidR="007A7E55">
        <w:rPr>
          <w:spacing w:val="-3"/>
          <w:szCs w:val="24"/>
        </w:rPr>
        <w:t>.</w:t>
      </w:r>
      <w:r w:rsidR="00560C46" w:rsidRPr="00F10BD2">
        <w:t xml:space="preserve"> 96</w:t>
      </w:r>
      <w:r w:rsidR="007A7E55">
        <w:t>.</w:t>
      </w:r>
    </w:p>
    <w:p w14:paraId="6D254F7E" w14:textId="09504D20" w:rsidR="00543420" w:rsidRDefault="00543420" w:rsidP="007A7E55">
      <w:pPr>
        <w:spacing w:after="160" w:line="259" w:lineRule="auto"/>
        <w:rPr>
          <w:vertAlign w:val="superscript"/>
        </w:rPr>
      </w:pPr>
      <w:r>
        <w:rPr>
          <w:vertAlign w:val="superscript"/>
        </w:rPr>
        <w:t>23</w:t>
      </w:r>
      <w:r w:rsidR="00F10BD2">
        <w:rPr>
          <w:vertAlign w:val="superscript"/>
        </w:rPr>
        <w:t xml:space="preserve"> </w:t>
      </w:r>
      <w:r w:rsidR="00F10BD2">
        <w:t>Jones, p.</w:t>
      </w:r>
      <w:r w:rsidR="00560C46" w:rsidRPr="00F10BD2">
        <w:t xml:space="preserve"> 95</w:t>
      </w:r>
      <w:r w:rsidR="00F10BD2">
        <w:t>.</w:t>
      </w:r>
    </w:p>
    <w:p w14:paraId="3806E808" w14:textId="57DA3D2F" w:rsidR="00543420" w:rsidRDefault="00543420" w:rsidP="007A7E55">
      <w:pPr>
        <w:spacing w:after="160" w:line="259" w:lineRule="auto"/>
        <w:rPr>
          <w:vertAlign w:val="superscript"/>
        </w:rPr>
      </w:pPr>
      <w:r>
        <w:rPr>
          <w:vertAlign w:val="superscript"/>
        </w:rPr>
        <w:t>24</w:t>
      </w:r>
      <w:r w:rsidR="00F10BD2">
        <w:rPr>
          <w:vertAlign w:val="superscript"/>
        </w:rPr>
        <w:t xml:space="preserve"> </w:t>
      </w:r>
      <w:r w:rsidR="00F10BD2">
        <w:t>Adelman, p.</w:t>
      </w:r>
      <w:r w:rsidR="00560C46" w:rsidRPr="00F10BD2">
        <w:t xml:space="preserve"> 38</w:t>
      </w:r>
      <w:r w:rsidR="00F10BD2">
        <w:t>.</w:t>
      </w:r>
    </w:p>
    <w:p w14:paraId="6E17248B" w14:textId="06C1683A" w:rsidR="00543420" w:rsidRPr="007A7E55" w:rsidRDefault="00543420" w:rsidP="007A7E55">
      <w:pPr>
        <w:suppressAutoHyphens/>
        <w:rPr>
          <w:spacing w:val="-3"/>
          <w:szCs w:val="24"/>
        </w:rPr>
      </w:pPr>
      <w:r>
        <w:rPr>
          <w:vertAlign w:val="superscript"/>
        </w:rPr>
        <w:t>25</w:t>
      </w:r>
      <w:r w:rsidR="007A7E55" w:rsidRPr="004A1496">
        <w:rPr>
          <w:spacing w:val="-3"/>
          <w:szCs w:val="24"/>
        </w:rPr>
        <w:t xml:space="preserve">Lacan, Jacques, ‘Desire and the Interpretation of Desire in </w:t>
      </w:r>
      <w:r w:rsidR="007A7E55" w:rsidRPr="004A1496">
        <w:rPr>
          <w:i/>
          <w:spacing w:val="-3"/>
          <w:szCs w:val="24"/>
        </w:rPr>
        <w:t>Hamlet’</w:t>
      </w:r>
      <w:r w:rsidR="007A7E55" w:rsidRPr="004A1496">
        <w:rPr>
          <w:spacing w:val="-3"/>
          <w:szCs w:val="24"/>
        </w:rPr>
        <w:t xml:space="preserve">, in </w:t>
      </w:r>
      <w:r w:rsidR="007A7E55" w:rsidRPr="004A1496">
        <w:rPr>
          <w:i/>
          <w:spacing w:val="-3"/>
          <w:szCs w:val="24"/>
        </w:rPr>
        <w:t>Literature and Psychoanalysis: The Question of Reading Otherwise</w:t>
      </w:r>
      <w:r w:rsidR="007A7E55" w:rsidRPr="004A1496">
        <w:rPr>
          <w:spacing w:val="-3"/>
          <w:szCs w:val="24"/>
        </w:rPr>
        <w:t xml:space="preserve">, ed. by Shoshana </w:t>
      </w:r>
      <w:proofErr w:type="spellStart"/>
      <w:r w:rsidR="007A7E55" w:rsidRPr="004A1496">
        <w:rPr>
          <w:spacing w:val="-3"/>
          <w:szCs w:val="24"/>
        </w:rPr>
        <w:t>Felman</w:t>
      </w:r>
      <w:proofErr w:type="spellEnd"/>
      <w:r w:rsidR="007A7E55" w:rsidRPr="004A1496">
        <w:rPr>
          <w:spacing w:val="-3"/>
          <w:szCs w:val="24"/>
        </w:rPr>
        <w:t xml:space="preserve"> (Baltimore and London: Johns Hopkins University Press, 1982; </w:t>
      </w:r>
      <w:proofErr w:type="spellStart"/>
      <w:r w:rsidR="007A7E55" w:rsidRPr="004A1496">
        <w:rPr>
          <w:spacing w:val="-3"/>
          <w:szCs w:val="24"/>
        </w:rPr>
        <w:t>repr</w:t>
      </w:r>
      <w:proofErr w:type="spellEnd"/>
      <w:r w:rsidR="007A7E55" w:rsidRPr="004A1496">
        <w:rPr>
          <w:spacing w:val="-3"/>
          <w:szCs w:val="24"/>
        </w:rPr>
        <w:t>. 1993</w:t>
      </w:r>
      <w:r w:rsidR="007A7E55">
        <w:rPr>
          <w:spacing w:val="-3"/>
          <w:szCs w:val="24"/>
        </w:rPr>
        <w:t xml:space="preserve">), pp. </w:t>
      </w:r>
      <w:r w:rsidR="00560C46" w:rsidRPr="00F10BD2">
        <w:t>22-24</w:t>
      </w:r>
      <w:r w:rsidR="007A7E55">
        <w:t>.</w:t>
      </w:r>
    </w:p>
    <w:p w14:paraId="73F22E42" w14:textId="3CA00B68" w:rsidR="00543420" w:rsidRPr="007A7E55" w:rsidRDefault="00543420" w:rsidP="007A7E55">
      <w:r>
        <w:rPr>
          <w:vertAlign w:val="superscript"/>
        </w:rPr>
        <w:t>26</w:t>
      </w:r>
      <w:r w:rsidR="00F10BD2">
        <w:rPr>
          <w:vertAlign w:val="superscript"/>
        </w:rPr>
        <w:t xml:space="preserve"> </w:t>
      </w:r>
      <w:r w:rsidR="007A7E55">
        <w:t xml:space="preserve">Mark Robson, ‘Oedipal Visuality: Freud, Romanticism, </w:t>
      </w:r>
      <w:r w:rsidR="007A7E55">
        <w:rPr>
          <w:i/>
        </w:rPr>
        <w:t>Hamlet</w:t>
      </w:r>
      <w:r w:rsidR="007A7E55">
        <w:t xml:space="preserve">’, </w:t>
      </w:r>
      <w:r w:rsidR="007A7E55">
        <w:rPr>
          <w:i/>
        </w:rPr>
        <w:t xml:space="preserve">Romanticism </w:t>
      </w:r>
      <w:r w:rsidR="007A7E55">
        <w:t xml:space="preserve">1 (2009), p. </w:t>
      </w:r>
      <w:r w:rsidR="00560C46" w:rsidRPr="00F10BD2">
        <w:t>55</w:t>
      </w:r>
      <w:r w:rsidR="007A7E55">
        <w:t>.</w:t>
      </w:r>
    </w:p>
    <w:p w14:paraId="4700A52D" w14:textId="3BE3129A" w:rsidR="00543420" w:rsidRDefault="00543420" w:rsidP="007A7E55">
      <w:pPr>
        <w:spacing w:after="160" w:line="259" w:lineRule="auto"/>
        <w:rPr>
          <w:vertAlign w:val="superscript"/>
        </w:rPr>
      </w:pPr>
      <w:r>
        <w:rPr>
          <w:vertAlign w:val="superscript"/>
        </w:rPr>
        <w:t>27</w:t>
      </w:r>
      <w:r w:rsidR="00F10BD2">
        <w:rPr>
          <w:vertAlign w:val="superscript"/>
        </w:rPr>
        <w:t xml:space="preserve"> </w:t>
      </w:r>
      <w:r w:rsidR="00F10BD2">
        <w:t xml:space="preserve">Adelman, </w:t>
      </w:r>
      <w:r w:rsidR="00560C46" w:rsidRPr="00F10BD2">
        <w:t>27</w:t>
      </w:r>
      <w:r w:rsidR="00F10BD2">
        <w:t>.</w:t>
      </w:r>
    </w:p>
    <w:p w14:paraId="2573B865" w14:textId="47FF1601" w:rsidR="00543420" w:rsidRDefault="00543420" w:rsidP="007A7E55">
      <w:pPr>
        <w:spacing w:after="160" w:line="259" w:lineRule="auto"/>
        <w:rPr>
          <w:vertAlign w:val="superscript"/>
        </w:rPr>
      </w:pPr>
      <w:r>
        <w:rPr>
          <w:vertAlign w:val="superscript"/>
        </w:rPr>
        <w:t>28</w:t>
      </w:r>
      <w:r w:rsidR="00F10BD2">
        <w:rPr>
          <w:vertAlign w:val="superscript"/>
        </w:rPr>
        <w:t xml:space="preserve"> </w:t>
      </w:r>
      <w:r w:rsidR="00F10BD2">
        <w:t>A</w:t>
      </w:r>
      <w:r w:rsidR="00F10BD2" w:rsidRPr="00F10BD2">
        <w:t>delman</w:t>
      </w:r>
      <w:r w:rsidR="00F10BD2">
        <w:t xml:space="preserve">, p. </w:t>
      </w:r>
      <w:r w:rsidR="00560C46" w:rsidRPr="00F10BD2">
        <w:t>28</w:t>
      </w:r>
      <w:r w:rsidR="00F10BD2">
        <w:t>.</w:t>
      </w:r>
    </w:p>
    <w:p w14:paraId="473A20A2" w14:textId="1FFC0B51" w:rsidR="00543420" w:rsidRDefault="00543420" w:rsidP="007A7E55">
      <w:pPr>
        <w:spacing w:after="160" w:line="259" w:lineRule="auto"/>
        <w:rPr>
          <w:vertAlign w:val="superscript"/>
        </w:rPr>
      </w:pPr>
      <w:r>
        <w:rPr>
          <w:vertAlign w:val="superscript"/>
        </w:rPr>
        <w:t>29</w:t>
      </w:r>
      <w:r w:rsidR="00F10BD2">
        <w:rPr>
          <w:vertAlign w:val="superscript"/>
        </w:rPr>
        <w:t xml:space="preserve"> </w:t>
      </w:r>
      <w:r w:rsidR="00F10BD2" w:rsidRPr="00F10BD2">
        <w:t>Shakespeare</w:t>
      </w:r>
      <w:r w:rsidR="00F10BD2">
        <w:t xml:space="preserve">, </w:t>
      </w:r>
      <w:r w:rsidR="00560C46" w:rsidRPr="00F10BD2">
        <w:t>I.ii.339-41</w:t>
      </w:r>
      <w:r w:rsidR="00F10BD2">
        <w:t>.</w:t>
      </w:r>
    </w:p>
    <w:p w14:paraId="12B32D2E" w14:textId="46F5E732" w:rsidR="00543420" w:rsidRDefault="00543420" w:rsidP="007A7E55">
      <w:pPr>
        <w:spacing w:after="160" w:line="259" w:lineRule="auto"/>
        <w:rPr>
          <w:vertAlign w:val="superscript"/>
        </w:rPr>
      </w:pPr>
      <w:r>
        <w:rPr>
          <w:vertAlign w:val="superscript"/>
        </w:rPr>
        <w:t>30</w:t>
      </w:r>
      <w:r w:rsidR="00F10BD2">
        <w:rPr>
          <w:vertAlign w:val="superscript"/>
        </w:rPr>
        <w:t xml:space="preserve"> </w:t>
      </w:r>
      <w:r w:rsidR="00F10BD2">
        <w:t xml:space="preserve">Adelman, p. </w:t>
      </w:r>
      <w:r w:rsidR="00560C46" w:rsidRPr="00F10BD2">
        <w:t>28</w:t>
      </w:r>
      <w:r w:rsidR="00F10BD2">
        <w:t>.</w:t>
      </w:r>
    </w:p>
    <w:p w14:paraId="50A95836" w14:textId="3EE40D5C" w:rsidR="00543420" w:rsidRPr="00F10BD2" w:rsidRDefault="00543420" w:rsidP="007A7E55">
      <w:pPr>
        <w:spacing w:after="160" w:line="259" w:lineRule="auto"/>
      </w:pPr>
      <w:r>
        <w:rPr>
          <w:vertAlign w:val="superscript"/>
        </w:rPr>
        <w:t>31</w:t>
      </w:r>
      <w:r w:rsidR="00F10BD2">
        <w:rPr>
          <w:vertAlign w:val="superscript"/>
        </w:rPr>
        <w:t xml:space="preserve"> </w:t>
      </w:r>
      <w:r w:rsidR="00F10BD2">
        <w:t>A</w:t>
      </w:r>
      <w:r w:rsidR="00560C46" w:rsidRPr="00F10BD2">
        <w:t>d</w:t>
      </w:r>
      <w:r w:rsidR="00F10BD2">
        <w:t>el</w:t>
      </w:r>
      <w:r w:rsidR="00560C46" w:rsidRPr="00F10BD2">
        <w:t>man</w:t>
      </w:r>
      <w:r w:rsidR="00F10BD2">
        <w:t xml:space="preserve">, p. </w:t>
      </w:r>
      <w:r w:rsidR="00560C46" w:rsidRPr="00F10BD2">
        <w:t>28</w:t>
      </w:r>
      <w:r w:rsidR="00F10BD2">
        <w:t>.</w:t>
      </w:r>
    </w:p>
    <w:p w14:paraId="58B7FD64" w14:textId="3CA26D17" w:rsidR="00543420" w:rsidRDefault="00543420" w:rsidP="007A7E55">
      <w:pPr>
        <w:spacing w:after="160" w:line="259" w:lineRule="auto"/>
        <w:rPr>
          <w:vertAlign w:val="superscript"/>
        </w:rPr>
      </w:pPr>
      <w:r>
        <w:rPr>
          <w:vertAlign w:val="superscript"/>
        </w:rPr>
        <w:t>32</w:t>
      </w:r>
      <w:r w:rsidR="00F10BD2">
        <w:rPr>
          <w:vertAlign w:val="superscript"/>
        </w:rPr>
        <w:t xml:space="preserve"> </w:t>
      </w:r>
      <w:r w:rsidR="00F10BD2">
        <w:t>A</w:t>
      </w:r>
      <w:r w:rsidR="00560C46" w:rsidRPr="00F10BD2">
        <w:t>d</w:t>
      </w:r>
      <w:r w:rsidR="00F10BD2">
        <w:t>e</w:t>
      </w:r>
      <w:r w:rsidR="00560C46" w:rsidRPr="00F10BD2">
        <w:t>lman</w:t>
      </w:r>
      <w:r w:rsidR="00F10BD2">
        <w:t>, p.</w:t>
      </w:r>
      <w:r w:rsidR="00560C46" w:rsidRPr="00F10BD2">
        <w:t xml:space="preserve"> 30</w:t>
      </w:r>
      <w:r w:rsidR="00F10BD2">
        <w:t>.</w:t>
      </w:r>
    </w:p>
    <w:p w14:paraId="20EDD528" w14:textId="42AC3E3E" w:rsidR="00543420" w:rsidRDefault="00543420" w:rsidP="007A7E55">
      <w:pPr>
        <w:spacing w:after="160" w:line="259" w:lineRule="auto"/>
        <w:rPr>
          <w:vertAlign w:val="superscript"/>
        </w:rPr>
      </w:pPr>
      <w:r>
        <w:rPr>
          <w:vertAlign w:val="superscript"/>
        </w:rPr>
        <w:t>33</w:t>
      </w:r>
      <w:r w:rsidR="00F10BD2">
        <w:rPr>
          <w:vertAlign w:val="superscript"/>
        </w:rPr>
        <w:t xml:space="preserve"> </w:t>
      </w:r>
      <w:r w:rsidR="00F10BD2">
        <w:t>S</w:t>
      </w:r>
      <w:r w:rsidR="00560C46" w:rsidRPr="00F10BD2">
        <w:t>hakespeare</w:t>
      </w:r>
      <w:r w:rsidR="00F10BD2">
        <w:t xml:space="preserve">, </w:t>
      </w:r>
      <w:r w:rsidR="00560C46" w:rsidRPr="00F10BD2">
        <w:t>I.ii.321</w:t>
      </w:r>
      <w:r w:rsidR="00F10BD2">
        <w:t>.</w:t>
      </w:r>
    </w:p>
    <w:p w14:paraId="30FA650A" w14:textId="0E703FEE" w:rsidR="00543420" w:rsidRPr="00F10BD2" w:rsidRDefault="00543420" w:rsidP="007A7E55">
      <w:pPr>
        <w:spacing w:after="160" w:line="259" w:lineRule="auto"/>
      </w:pPr>
      <w:r>
        <w:rPr>
          <w:vertAlign w:val="superscript"/>
        </w:rPr>
        <w:t>34</w:t>
      </w:r>
      <w:r w:rsidR="00F10BD2">
        <w:rPr>
          <w:vertAlign w:val="superscript"/>
        </w:rPr>
        <w:t xml:space="preserve"> </w:t>
      </w:r>
      <w:r w:rsidR="00F10BD2">
        <w:t>Adelman, p. 26.</w:t>
      </w:r>
    </w:p>
    <w:p w14:paraId="0336EAB0" w14:textId="7C5B8A7C" w:rsidR="00D06E53" w:rsidRDefault="00F10BD2" w:rsidP="007A7E55">
      <w:pPr>
        <w:spacing w:after="160" w:line="259" w:lineRule="auto"/>
      </w:pPr>
      <w:r>
        <w:rPr>
          <w:vertAlign w:val="superscript"/>
        </w:rPr>
        <w:t>35</w:t>
      </w:r>
      <w:r>
        <w:t>Adelman, p. 26.</w:t>
      </w:r>
      <w:r w:rsidR="00D06E53">
        <w:br w:type="page"/>
      </w:r>
    </w:p>
    <w:p w14:paraId="42943E08" w14:textId="51213D3B" w:rsidR="001D2583" w:rsidRPr="004A1496" w:rsidRDefault="001D2583" w:rsidP="007A7E55">
      <w:pPr>
        <w:jc w:val="center"/>
      </w:pPr>
      <w:r w:rsidRPr="004A1496">
        <w:lastRenderedPageBreak/>
        <w:t>Bibliography</w:t>
      </w:r>
    </w:p>
    <w:p w14:paraId="4C1CA327" w14:textId="77D8EE40" w:rsidR="001D2583" w:rsidRPr="004A1496" w:rsidRDefault="001D2583" w:rsidP="007A7E55">
      <w:pPr>
        <w:suppressAutoHyphens/>
        <w:ind w:left="720" w:hanging="720"/>
        <w:rPr>
          <w:spacing w:val="-3"/>
          <w:szCs w:val="24"/>
        </w:rPr>
      </w:pPr>
      <w:r w:rsidRPr="004A1496">
        <w:rPr>
          <w:spacing w:val="-3"/>
          <w:szCs w:val="24"/>
        </w:rPr>
        <w:t xml:space="preserve">Adelman, Janet,  'Man and Wife Is One Flesh: </w:t>
      </w:r>
      <w:r w:rsidRPr="004A1496">
        <w:rPr>
          <w:i/>
          <w:iCs/>
          <w:spacing w:val="-3"/>
          <w:szCs w:val="24"/>
        </w:rPr>
        <w:t>Hamlet</w:t>
      </w:r>
      <w:r w:rsidRPr="004A1496">
        <w:rPr>
          <w:spacing w:val="-3"/>
          <w:szCs w:val="24"/>
        </w:rPr>
        <w:t xml:space="preserve"> and the Confrontation with the Maternal Body', in </w:t>
      </w:r>
      <w:r w:rsidRPr="004A1496">
        <w:rPr>
          <w:i/>
          <w:iCs/>
          <w:spacing w:val="-3"/>
          <w:szCs w:val="24"/>
        </w:rPr>
        <w:t>Suffocating Mothers: Fantasies of Maternal Origin in Shakespeare's Plays, ‘Hamlet’ to ‘The Tempest’</w:t>
      </w:r>
      <w:r w:rsidRPr="004A1496">
        <w:rPr>
          <w:spacing w:val="-3"/>
          <w:szCs w:val="24"/>
        </w:rPr>
        <w:t xml:space="preserve"> (London: Routledge, 1992), pp. 11-37</w:t>
      </w:r>
      <w:r w:rsidR="00EB2130" w:rsidRPr="004A1496">
        <w:rPr>
          <w:spacing w:val="-3"/>
          <w:szCs w:val="24"/>
        </w:rPr>
        <w:t xml:space="preserve">. </w:t>
      </w:r>
    </w:p>
    <w:p w14:paraId="6E98CD8B" w14:textId="77777777" w:rsidR="009E3304" w:rsidRDefault="009E3304" w:rsidP="007A7E55">
      <w:pPr>
        <w:suppressAutoHyphens/>
        <w:ind w:left="720" w:hanging="720"/>
        <w:rPr>
          <w:spacing w:val="-3"/>
          <w:szCs w:val="24"/>
        </w:rPr>
      </w:pPr>
      <w:r>
        <w:rPr>
          <w:spacing w:val="-3"/>
          <w:szCs w:val="24"/>
        </w:rPr>
        <w:t xml:space="preserve">Callaghan, Dympha, ‘The Castrator’s Song: Female Impersonation on the Early Modern Stage’, in </w:t>
      </w:r>
      <w:r>
        <w:rPr>
          <w:i/>
          <w:spacing w:val="-3"/>
          <w:szCs w:val="24"/>
        </w:rPr>
        <w:t>Shakespeare Without Women</w:t>
      </w:r>
      <w:r>
        <w:rPr>
          <w:spacing w:val="-3"/>
          <w:szCs w:val="24"/>
        </w:rPr>
        <w:t>, (Taylor &amp; Francis Books, 1999), pp. 49-74.</w:t>
      </w:r>
    </w:p>
    <w:p w14:paraId="1BD8ED13" w14:textId="2FDC10B7" w:rsidR="00D06E53" w:rsidRPr="004A1496" w:rsidRDefault="00D06E53" w:rsidP="007A7E55">
      <w:pPr>
        <w:ind w:left="720" w:hanging="720"/>
      </w:pPr>
      <w:r w:rsidRPr="004A1496">
        <w:t xml:space="preserve">Eliot, T.S. </w:t>
      </w:r>
      <w:r w:rsidR="009E3304">
        <w:t>‘</w:t>
      </w:r>
      <w:r w:rsidR="007A7E55">
        <w:t>Hamlet and His Problems</w:t>
      </w:r>
      <w:r w:rsidR="009E3304">
        <w:t xml:space="preserve">’, </w:t>
      </w:r>
      <w:r w:rsidRPr="004A1496">
        <w:rPr>
          <w:i/>
        </w:rPr>
        <w:t>Selected Essays</w:t>
      </w:r>
      <w:r w:rsidRPr="004A1496">
        <w:t xml:space="preserve"> (New York: Harcourt, Brace and Company, 1932). </w:t>
      </w:r>
    </w:p>
    <w:p w14:paraId="3E585DE5" w14:textId="7910C022" w:rsidR="001D2583" w:rsidRPr="004A1496" w:rsidRDefault="001D2583" w:rsidP="007A7E55">
      <w:pPr>
        <w:suppressAutoHyphens/>
        <w:ind w:left="720" w:hanging="720"/>
        <w:rPr>
          <w:spacing w:val="-3"/>
          <w:szCs w:val="24"/>
        </w:rPr>
      </w:pPr>
      <w:r w:rsidRPr="004A1496">
        <w:rPr>
          <w:spacing w:val="-3"/>
          <w:szCs w:val="24"/>
        </w:rPr>
        <w:t xml:space="preserve">Jones, Ernest, </w:t>
      </w:r>
      <w:r w:rsidR="00D87624" w:rsidRPr="004A1496">
        <w:rPr>
          <w:spacing w:val="-3"/>
          <w:szCs w:val="24"/>
        </w:rPr>
        <w:t>‘The Oedipus Complex as an explanation of Hamlet’s Myster</w:t>
      </w:r>
      <w:r w:rsidR="001E6C53" w:rsidRPr="004A1496">
        <w:rPr>
          <w:spacing w:val="-3"/>
          <w:szCs w:val="24"/>
        </w:rPr>
        <w:t>y: A Study in Motive</w:t>
      </w:r>
      <w:r w:rsidRPr="004A1496">
        <w:rPr>
          <w:i/>
          <w:iCs/>
          <w:spacing w:val="-3"/>
          <w:szCs w:val="24"/>
        </w:rPr>
        <w:t>’</w:t>
      </w:r>
      <w:r w:rsidRPr="004A1496">
        <w:rPr>
          <w:spacing w:val="-3"/>
          <w:szCs w:val="24"/>
        </w:rPr>
        <w:t xml:space="preserve">, </w:t>
      </w:r>
      <w:r w:rsidR="001E6C53" w:rsidRPr="004A1496">
        <w:rPr>
          <w:i/>
          <w:spacing w:val="-3"/>
          <w:szCs w:val="24"/>
        </w:rPr>
        <w:t>The American Journal of Psychology</w:t>
      </w:r>
      <w:r w:rsidR="007A7E55">
        <w:rPr>
          <w:i/>
          <w:spacing w:val="-3"/>
          <w:szCs w:val="24"/>
        </w:rPr>
        <w:t xml:space="preserve"> </w:t>
      </w:r>
      <w:r w:rsidR="001E6C53" w:rsidRPr="004A1496">
        <w:rPr>
          <w:spacing w:val="-3"/>
          <w:szCs w:val="24"/>
        </w:rPr>
        <w:t>21 (1910), pp. 72-113.</w:t>
      </w:r>
    </w:p>
    <w:p w14:paraId="5F16EDBD" w14:textId="1166F117" w:rsidR="001D2583" w:rsidRPr="004A1496" w:rsidRDefault="001C56E6" w:rsidP="007A7E55">
      <w:pPr>
        <w:suppressAutoHyphens/>
        <w:ind w:left="720" w:hanging="720"/>
        <w:rPr>
          <w:spacing w:val="-3"/>
          <w:szCs w:val="24"/>
        </w:rPr>
      </w:pPr>
      <w:r w:rsidRPr="004A1496">
        <w:rPr>
          <w:spacing w:val="-3"/>
          <w:szCs w:val="24"/>
        </w:rPr>
        <w:t xml:space="preserve">Lacan, Jacques, ‘Desire and the Interpretation of Desire in </w:t>
      </w:r>
      <w:r w:rsidRPr="004A1496">
        <w:rPr>
          <w:i/>
          <w:spacing w:val="-3"/>
          <w:szCs w:val="24"/>
        </w:rPr>
        <w:t>Hamlet’</w:t>
      </w:r>
      <w:r w:rsidRPr="004A1496">
        <w:rPr>
          <w:spacing w:val="-3"/>
          <w:szCs w:val="24"/>
        </w:rPr>
        <w:t xml:space="preserve">, </w:t>
      </w:r>
      <w:r w:rsidR="001D2583" w:rsidRPr="004A1496">
        <w:rPr>
          <w:spacing w:val="-3"/>
          <w:szCs w:val="24"/>
        </w:rPr>
        <w:t xml:space="preserve">in </w:t>
      </w:r>
      <w:r w:rsidR="001D2583" w:rsidRPr="004A1496">
        <w:rPr>
          <w:i/>
          <w:spacing w:val="-3"/>
          <w:szCs w:val="24"/>
        </w:rPr>
        <w:t>Literature and Psychoanalysis: The Question of Reading Otherwise</w:t>
      </w:r>
      <w:r w:rsidR="001D2583" w:rsidRPr="004A1496">
        <w:rPr>
          <w:spacing w:val="-3"/>
          <w:szCs w:val="24"/>
        </w:rPr>
        <w:t xml:space="preserve">, ed. by Shoshana </w:t>
      </w:r>
      <w:proofErr w:type="spellStart"/>
      <w:r w:rsidR="001D2583" w:rsidRPr="004A1496">
        <w:rPr>
          <w:spacing w:val="-3"/>
          <w:szCs w:val="24"/>
        </w:rPr>
        <w:t>Felman</w:t>
      </w:r>
      <w:proofErr w:type="spellEnd"/>
      <w:r w:rsidR="001D2583" w:rsidRPr="004A1496">
        <w:rPr>
          <w:spacing w:val="-3"/>
          <w:szCs w:val="24"/>
        </w:rPr>
        <w:t xml:space="preserve"> (Baltimore and London: Johns Hopkins University Press, 1982; </w:t>
      </w:r>
      <w:proofErr w:type="spellStart"/>
      <w:r w:rsidR="001D2583" w:rsidRPr="004A1496">
        <w:rPr>
          <w:spacing w:val="-3"/>
          <w:szCs w:val="24"/>
        </w:rPr>
        <w:t>repr</w:t>
      </w:r>
      <w:proofErr w:type="spellEnd"/>
      <w:r w:rsidR="001D2583" w:rsidRPr="004A1496">
        <w:rPr>
          <w:spacing w:val="-3"/>
          <w:szCs w:val="24"/>
        </w:rPr>
        <w:t>. 1993)</w:t>
      </w:r>
    </w:p>
    <w:p w14:paraId="626E5666" w14:textId="44C8213B" w:rsidR="00D06E53" w:rsidRDefault="00D06E53" w:rsidP="007A7E55">
      <w:pPr>
        <w:ind w:left="720" w:hanging="720"/>
      </w:pPr>
      <w:r w:rsidRPr="004A1496">
        <w:t xml:space="preserve">Levin, Richard, “Gertrude’s Elusive Libido and Shakespeare’s Unreliable Narrators’, </w:t>
      </w:r>
      <w:r w:rsidRPr="004A1496">
        <w:rPr>
          <w:i/>
        </w:rPr>
        <w:t xml:space="preserve">Studies in English </w:t>
      </w:r>
      <w:r w:rsidRPr="004A1496">
        <w:t xml:space="preserve">Literature, 2 (2008), pp. 305-326. </w:t>
      </w:r>
    </w:p>
    <w:p w14:paraId="4CAFBC0F" w14:textId="300931E4" w:rsidR="007A7E55" w:rsidRPr="007A7E55" w:rsidRDefault="007A7E55" w:rsidP="007A7E55">
      <w:pPr>
        <w:ind w:left="720" w:hanging="720"/>
      </w:pPr>
      <w:r>
        <w:t xml:space="preserve">Robson, Mark, ‘Oedipal Visuality: Freud, Romanticism, </w:t>
      </w:r>
      <w:r>
        <w:rPr>
          <w:i/>
        </w:rPr>
        <w:t>Hamlet</w:t>
      </w:r>
      <w:r>
        <w:t xml:space="preserve">’, </w:t>
      </w:r>
      <w:r>
        <w:rPr>
          <w:i/>
        </w:rPr>
        <w:t xml:space="preserve">Romanticism </w:t>
      </w:r>
      <w:r>
        <w:t>1 (2009), pp. 54-64.</w:t>
      </w:r>
    </w:p>
    <w:p w14:paraId="0DAB4A73" w14:textId="6E98D44E" w:rsidR="001D2583" w:rsidRPr="004A1496" w:rsidRDefault="001D2583" w:rsidP="007A7E55">
      <w:pPr>
        <w:suppressAutoHyphens/>
        <w:ind w:left="720" w:hanging="720"/>
        <w:rPr>
          <w:spacing w:val="-3"/>
          <w:szCs w:val="24"/>
        </w:rPr>
      </w:pPr>
      <w:r w:rsidRPr="004A1496">
        <w:rPr>
          <w:spacing w:val="-3"/>
          <w:szCs w:val="24"/>
        </w:rPr>
        <w:t xml:space="preserve">Rose, Jacqueline, 'Sexuality in the Reading of Shakespeare: </w:t>
      </w:r>
      <w:r w:rsidRPr="004A1496">
        <w:rPr>
          <w:i/>
          <w:iCs/>
          <w:spacing w:val="-3"/>
          <w:szCs w:val="24"/>
        </w:rPr>
        <w:t>Hamlet</w:t>
      </w:r>
      <w:r w:rsidRPr="004A1496">
        <w:rPr>
          <w:spacing w:val="-3"/>
          <w:szCs w:val="24"/>
        </w:rPr>
        <w:t xml:space="preserve"> and </w:t>
      </w:r>
      <w:r w:rsidRPr="004A1496">
        <w:rPr>
          <w:i/>
          <w:iCs/>
          <w:spacing w:val="-3"/>
          <w:szCs w:val="24"/>
        </w:rPr>
        <w:t>Measure for Measure</w:t>
      </w:r>
      <w:r w:rsidRPr="004A1496">
        <w:rPr>
          <w:spacing w:val="-3"/>
          <w:szCs w:val="24"/>
        </w:rPr>
        <w:t xml:space="preserve">', in John </w:t>
      </w:r>
      <w:proofErr w:type="spellStart"/>
      <w:r w:rsidRPr="004A1496">
        <w:rPr>
          <w:spacing w:val="-3"/>
          <w:szCs w:val="24"/>
        </w:rPr>
        <w:t>Drakakis</w:t>
      </w:r>
      <w:proofErr w:type="spellEnd"/>
      <w:r w:rsidRPr="004A1496">
        <w:rPr>
          <w:spacing w:val="-3"/>
          <w:szCs w:val="24"/>
        </w:rPr>
        <w:t xml:space="preserve">, ed., </w:t>
      </w:r>
      <w:r w:rsidRPr="004A1496">
        <w:rPr>
          <w:i/>
          <w:iCs/>
          <w:spacing w:val="-3"/>
          <w:szCs w:val="24"/>
        </w:rPr>
        <w:t xml:space="preserve">Alternative </w:t>
      </w:r>
      <w:proofErr w:type="spellStart"/>
      <w:r w:rsidRPr="004A1496">
        <w:rPr>
          <w:i/>
          <w:iCs/>
          <w:spacing w:val="-3"/>
          <w:szCs w:val="24"/>
        </w:rPr>
        <w:t>Shakespeares</w:t>
      </w:r>
      <w:proofErr w:type="spellEnd"/>
      <w:r w:rsidRPr="004A1496">
        <w:rPr>
          <w:spacing w:val="-3"/>
          <w:szCs w:val="24"/>
        </w:rPr>
        <w:t>, New Accents Series (</w:t>
      </w:r>
      <w:smartTag w:uri="urn:schemas-microsoft-com:office:smarttags" w:element="place">
        <w:r w:rsidRPr="004A1496">
          <w:rPr>
            <w:spacing w:val="-3"/>
            <w:szCs w:val="24"/>
          </w:rPr>
          <w:t>London</w:t>
        </w:r>
      </w:smartTag>
      <w:r w:rsidRPr="004A1496">
        <w:rPr>
          <w:spacing w:val="-3"/>
          <w:szCs w:val="24"/>
        </w:rPr>
        <w:t xml:space="preserve">: </w:t>
      </w:r>
      <w:smartTag w:uri="urn:schemas-microsoft-com:office:smarttags" w:element="place">
        <w:r w:rsidRPr="004A1496">
          <w:rPr>
            <w:spacing w:val="-3"/>
            <w:szCs w:val="24"/>
          </w:rPr>
          <w:t>Methuen</w:t>
        </w:r>
      </w:smartTag>
      <w:r w:rsidRPr="004A1496">
        <w:rPr>
          <w:spacing w:val="-3"/>
          <w:szCs w:val="24"/>
        </w:rPr>
        <w:t xml:space="preserve">, 1985; </w:t>
      </w:r>
      <w:proofErr w:type="spellStart"/>
      <w:r w:rsidRPr="004A1496">
        <w:rPr>
          <w:spacing w:val="-3"/>
          <w:szCs w:val="24"/>
        </w:rPr>
        <w:t>repr</w:t>
      </w:r>
      <w:proofErr w:type="spellEnd"/>
      <w:r w:rsidRPr="004A1496">
        <w:rPr>
          <w:spacing w:val="-3"/>
          <w:szCs w:val="24"/>
        </w:rPr>
        <w:t>. Routledge, 1986), pp. 95-118</w:t>
      </w:r>
      <w:r w:rsidR="006760B6" w:rsidRPr="004A1496">
        <w:rPr>
          <w:spacing w:val="-3"/>
          <w:szCs w:val="24"/>
        </w:rPr>
        <w:t xml:space="preserve"> </w:t>
      </w:r>
    </w:p>
    <w:p w14:paraId="5798F26C" w14:textId="51D6A63E" w:rsidR="001D2583" w:rsidRDefault="00CB7C84" w:rsidP="007A7E55">
      <w:pPr>
        <w:suppressAutoHyphens/>
        <w:ind w:left="720" w:hanging="720"/>
        <w:rPr>
          <w:spacing w:val="-3"/>
          <w:szCs w:val="24"/>
        </w:rPr>
      </w:pPr>
      <w:r w:rsidRPr="004A1496">
        <w:rPr>
          <w:spacing w:val="-3"/>
          <w:szCs w:val="24"/>
        </w:rPr>
        <w:t>Shakespeare, William, ‘Hamlet,’ in</w:t>
      </w:r>
      <w:r w:rsidR="00187D40" w:rsidRPr="004A1496">
        <w:rPr>
          <w:spacing w:val="-3"/>
          <w:szCs w:val="24"/>
        </w:rPr>
        <w:t xml:space="preserve"> </w:t>
      </w:r>
      <w:r w:rsidR="00BA0472">
        <w:rPr>
          <w:spacing w:val="-3"/>
          <w:szCs w:val="24"/>
        </w:rPr>
        <w:t xml:space="preserve">Germaine Greer and Anthony Burgess ed. </w:t>
      </w:r>
      <w:r w:rsidRPr="004A1496">
        <w:rPr>
          <w:i/>
          <w:spacing w:val="-3"/>
          <w:szCs w:val="24"/>
        </w:rPr>
        <w:t>The Complete Works of William Shakespeare</w:t>
      </w:r>
      <w:r w:rsidR="00187D40" w:rsidRPr="004A1496">
        <w:rPr>
          <w:spacing w:val="-3"/>
          <w:szCs w:val="24"/>
        </w:rPr>
        <w:t>, (</w:t>
      </w:r>
      <w:r w:rsidR="00BA0472">
        <w:rPr>
          <w:spacing w:val="-3"/>
          <w:szCs w:val="24"/>
        </w:rPr>
        <w:t>Glasgow</w:t>
      </w:r>
      <w:r w:rsidR="00187D40" w:rsidRPr="004A1496">
        <w:rPr>
          <w:spacing w:val="-3"/>
          <w:szCs w:val="24"/>
        </w:rPr>
        <w:t xml:space="preserve">: </w:t>
      </w:r>
      <w:r w:rsidR="00BA0472">
        <w:rPr>
          <w:spacing w:val="-3"/>
          <w:szCs w:val="24"/>
        </w:rPr>
        <w:t>HarperCollins Publishers</w:t>
      </w:r>
      <w:r w:rsidR="00187D40" w:rsidRPr="004A1496">
        <w:rPr>
          <w:spacing w:val="-3"/>
          <w:szCs w:val="24"/>
        </w:rPr>
        <w:t xml:space="preserve">, </w:t>
      </w:r>
      <w:r w:rsidR="00BA0472">
        <w:rPr>
          <w:spacing w:val="-3"/>
          <w:szCs w:val="24"/>
        </w:rPr>
        <w:t>1994</w:t>
      </w:r>
      <w:r w:rsidR="00187D40" w:rsidRPr="004A1496">
        <w:rPr>
          <w:spacing w:val="-3"/>
          <w:szCs w:val="24"/>
        </w:rPr>
        <w:t>), pp.</w:t>
      </w:r>
      <w:r w:rsidR="00187D40">
        <w:rPr>
          <w:spacing w:val="-3"/>
          <w:szCs w:val="24"/>
        </w:rPr>
        <w:t xml:space="preserve"> </w:t>
      </w:r>
      <w:r w:rsidR="00BA0472">
        <w:rPr>
          <w:spacing w:val="-3"/>
          <w:szCs w:val="24"/>
        </w:rPr>
        <w:t>1079-1126.</w:t>
      </w:r>
    </w:p>
    <w:p w14:paraId="599C54A0" w14:textId="5D6761C7" w:rsidR="009E3304" w:rsidRPr="004A1496" w:rsidRDefault="009E3304" w:rsidP="007A7E55">
      <w:pPr>
        <w:suppressAutoHyphens/>
        <w:ind w:left="720" w:hanging="720"/>
        <w:rPr>
          <w:spacing w:val="-3"/>
          <w:szCs w:val="24"/>
        </w:rPr>
      </w:pPr>
      <w:r w:rsidRPr="004A1496">
        <w:rPr>
          <w:spacing w:val="-3"/>
          <w:szCs w:val="24"/>
        </w:rPr>
        <w:lastRenderedPageBreak/>
        <w:t xml:space="preserve">Smith, Robert, “Hamlet and Gertrude, or The Conscience of the Queen’, </w:t>
      </w:r>
      <w:r w:rsidRPr="004A1496">
        <w:rPr>
          <w:i/>
          <w:spacing w:val="-3"/>
          <w:szCs w:val="24"/>
        </w:rPr>
        <w:t>Shakespeare Association Bulletin</w:t>
      </w:r>
      <w:r w:rsidRPr="004A1496">
        <w:rPr>
          <w:spacing w:val="-3"/>
          <w:szCs w:val="24"/>
        </w:rPr>
        <w:t xml:space="preserve">, 11 (1936), pp. 84-92. </w:t>
      </w:r>
    </w:p>
    <w:p w14:paraId="1CB67B5F" w14:textId="77777777" w:rsidR="00624A2A" w:rsidRDefault="00624A2A" w:rsidP="00624A2A">
      <w:pPr>
        <w:suppressAutoHyphens/>
        <w:ind w:left="720" w:hanging="720"/>
        <w:rPr>
          <w:spacing w:val="-3"/>
          <w:szCs w:val="24"/>
        </w:rPr>
      </w:pPr>
      <w:r>
        <w:rPr>
          <w:spacing w:val="-3"/>
          <w:szCs w:val="24"/>
        </w:rPr>
        <w:t xml:space="preserve">Wells, </w:t>
      </w:r>
      <w:proofErr w:type="spellStart"/>
      <w:r>
        <w:rPr>
          <w:spacing w:val="-3"/>
          <w:szCs w:val="24"/>
        </w:rPr>
        <w:t>Standley</w:t>
      </w:r>
      <w:proofErr w:type="spellEnd"/>
      <w:r>
        <w:rPr>
          <w:spacing w:val="-3"/>
          <w:szCs w:val="24"/>
        </w:rPr>
        <w:t xml:space="preserve"> ‘Boys Should be Girls: Shakespeare’s Female Roles and the Boy Players’, </w:t>
      </w:r>
      <w:r>
        <w:rPr>
          <w:i/>
          <w:spacing w:val="-3"/>
          <w:szCs w:val="24"/>
        </w:rPr>
        <w:t xml:space="preserve">New Theatre Quarterly, </w:t>
      </w:r>
      <w:r>
        <w:rPr>
          <w:spacing w:val="-3"/>
          <w:szCs w:val="24"/>
        </w:rPr>
        <w:t xml:space="preserve">2 (2009), pp. 172-177. </w:t>
      </w:r>
    </w:p>
    <w:p w14:paraId="5D98254B" w14:textId="77777777" w:rsidR="009E3304" w:rsidRPr="00DD5995" w:rsidRDefault="009E3304" w:rsidP="009E3304">
      <w:pPr>
        <w:suppressAutoHyphens/>
        <w:ind w:left="720" w:hanging="720"/>
        <w:jc w:val="both"/>
        <w:rPr>
          <w:spacing w:val="-3"/>
          <w:szCs w:val="24"/>
        </w:rPr>
      </w:pPr>
    </w:p>
    <w:p w14:paraId="2198F639" w14:textId="77777777" w:rsidR="001D2583" w:rsidRPr="001D2583" w:rsidRDefault="001D2583" w:rsidP="001D2583">
      <w:pPr>
        <w:suppressAutoHyphens/>
        <w:spacing w:line="240" w:lineRule="atLeast"/>
        <w:jc w:val="both"/>
        <w:rPr>
          <w:spacing w:val="-3"/>
          <w:szCs w:val="24"/>
        </w:rPr>
      </w:pPr>
    </w:p>
    <w:sectPr w:rsidR="001D2583" w:rsidRPr="001D2583">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BA3D8" w14:textId="77777777" w:rsidR="007C17DE" w:rsidRDefault="007C17DE" w:rsidP="00F80956">
      <w:pPr>
        <w:spacing w:line="240" w:lineRule="auto"/>
      </w:pPr>
      <w:r>
        <w:separator/>
      </w:r>
    </w:p>
  </w:endnote>
  <w:endnote w:type="continuationSeparator" w:id="0">
    <w:p w14:paraId="0AC0BE38" w14:textId="77777777" w:rsidR="007C17DE" w:rsidRDefault="007C17DE" w:rsidP="00F809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798F6D" w14:textId="77777777" w:rsidR="007C17DE" w:rsidRDefault="007C17DE" w:rsidP="00F80956">
      <w:pPr>
        <w:spacing w:line="240" w:lineRule="auto"/>
      </w:pPr>
      <w:r>
        <w:separator/>
      </w:r>
    </w:p>
  </w:footnote>
  <w:footnote w:type="continuationSeparator" w:id="0">
    <w:p w14:paraId="33CEF9A5" w14:textId="77777777" w:rsidR="007C17DE" w:rsidRDefault="007C17DE" w:rsidP="00F809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9632439"/>
      <w:docPartObj>
        <w:docPartGallery w:val="Page Numbers (Top of Page)"/>
        <w:docPartUnique/>
      </w:docPartObj>
    </w:sdtPr>
    <w:sdtEndPr>
      <w:rPr>
        <w:noProof/>
      </w:rPr>
    </w:sdtEndPr>
    <w:sdtContent>
      <w:p w14:paraId="478BE09A" w14:textId="5D53ECCB" w:rsidR="00F80956" w:rsidRDefault="00F8095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8B28455" w14:textId="77777777" w:rsidR="00F80956" w:rsidRDefault="00F809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738D4"/>
    <w:multiLevelType w:val="hybridMultilevel"/>
    <w:tmpl w:val="BEE63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2D6181"/>
    <w:multiLevelType w:val="hybridMultilevel"/>
    <w:tmpl w:val="D786B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583"/>
    <w:rsid w:val="0002703A"/>
    <w:rsid w:val="000563C8"/>
    <w:rsid w:val="00077EBF"/>
    <w:rsid w:val="00086D8B"/>
    <w:rsid w:val="000A0F7F"/>
    <w:rsid w:val="000A7C39"/>
    <w:rsid w:val="000E3F80"/>
    <w:rsid w:val="000F54C3"/>
    <w:rsid w:val="00106E9C"/>
    <w:rsid w:val="00127B35"/>
    <w:rsid w:val="00140D44"/>
    <w:rsid w:val="001637F0"/>
    <w:rsid w:val="00183846"/>
    <w:rsid w:val="00187D40"/>
    <w:rsid w:val="0019732B"/>
    <w:rsid w:val="001C56E6"/>
    <w:rsid w:val="001C7555"/>
    <w:rsid w:val="001D2583"/>
    <w:rsid w:val="001E560B"/>
    <w:rsid w:val="001E6C53"/>
    <w:rsid w:val="001E6D5F"/>
    <w:rsid w:val="0020396D"/>
    <w:rsid w:val="00250A79"/>
    <w:rsid w:val="00252556"/>
    <w:rsid w:val="00275CF4"/>
    <w:rsid w:val="00282ABB"/>
    <w:rsid w:val="002A77FD"/>
    <w:rsid w:val="002C0D93"/>
    <w:rsid w:val="00312611"/>
    <w:rsid w:val="003543D0"/>
    <w:rsid w:val="00363CFD"/>
    <w:rsid w:val="003B1AA5"/>
    <w:rsid w:val="003C1688"/>
    <w:rsid w:val="003D3F67"/>
    <w:rsid w:val="003F4B03"/>
    <w:rsid w:val="00421B2E"/>
    <w:rsid w:val="00430561"/>
    <w:rsid w:val="00433EC2"/>
    <w:rsid w:val="00446871"/>
    <w:rsid w:val="0045535E"/>
    <w:rsid w:val="0046625E"/>
    <w:rsid w:val="00470828"/>
    <w:rsid w:val="00485A53"/>
    <w:rsid w:val="00491343"/>
    <w:rsid w:val="004A1496"/>
    <w:rsid w:val="004A59EE"/>
    <w:rsid w:val="004B1616"/>
    <w:rsid w:val="004B3D28"/>
    <w:rsid w:val="004B561F"/>
    <w:rsid w:val="004B6D79"/>
    <w:rsid w:val="004C35D9"/>
    <w:rsid w:val="004C6DB5"/>
    <w:rsid w:val="005131DE"/>
    <w:rsid w:val="00543420"/>
    <w:rsid w:val="00560C46"/>
    <w:rsid w:val="00561655"/>
    <w:rsid w:val="00573639"/>
    <w:rsid w:val="005B467A"/>
    <w:rsid w:val="005C3EA8"/>
    <w:rsid w:val="005E4476"/>
    <w:rsid w:val="005E7C57"/>
    <w:rsid w:val="00613F14"/>
    <w:rsid w:val="00624A2A"/>
    <w:rsid w:val="00631D12"/>
    <w:rsid w:val="00637E55"/>
    <w:rsid w:val="00675524"/>
    <w:rsid w:val="0067557A"/>
    <w:rsid w:val="006760B6"/>
    <w:rsid w:val="00680AD7"/>
    <w:rsid w:val="00680C42"/>
    <w:rsid w:val="006D0F78"/>
    <w:rsid w:val="006D350D"/>
    <w:rsid w:val="006D64FA"/>
    <w:rsid w:val="006E7CB8"/>
    <w:rsid w:val="007019CE"/>
    <w:rsid w:val="007022BE"/>
    <w:rsid w:val="0070615E"/>
    <w:rsid w:val="00720B1B"/>
    <w:rsid w:val="007210CD"/>
    <w:rsid w:val="0074186C"/>
    <w:rsid w:val="0076161F"/>
    <w:rsid w:val="00794225"/>
    <w:rsid w:val="00796438"/>
    <w:rsid w:val="007A7E55"/>
    <w:rsid w:val="007C17DE"/>
    <w:rsid w:val="007C2389"/>
    <w:rsid w:val="007D1301"/>
    <w:rsid w:val="007D5732"/>
    <w:rsid w:val="007E253B"/>
    <w:rsid w:val="007F15AB"/>
    <w:rsid w:val="007F59B3"/>
    <w:rsid w:val="008274FE"/>
    <w:rsid w:val="00836AEF"/>
    <w:rsid w:val="00847D33"/>
    <w:rsid w:val="0085259E"/>
    <w:rsid w:val="008606A2"/>
    <w:rsid w:val="00876840"/>
    <w:rsid w:val="0088626F"/>
    <w:rsid w:val="008C6D57"/>
    <w:rsid w:val="008D61E7"/>
    <w:rsid w:val="00900F70"/>
    <w:rsid w:val="0096335F"/>
    <w:rsid w:val="00986F16"/>
    <w:rsid w:val="009916AB"/>
    <w:rsid w:val="00993ABD"/>
    <w:rsid w:val="009B2088"/>
    <w:rsid w:val="009D75CD"/>
    <w:rsid w:val="009E3304"/>
    <w:rsid w:val="00A17F2B"/>
    <w:rsid w:val="00A31D3F"/>
    <w:rsid w:val="00A3555C"/>
    <w:rsid w:val="00A42076"/>
    <w:rsid w:val="00A502C5"/>
    <w:rsid w:val="00A611A2"/>
    <w:rsid w:val="00A7029B"/>
    <w:rsid w:val="00A70F6F"/>
    <w:rsid w:val="00AA38BB"/>
    <w:rsid w:val="00AE1C47"/>
    <w:rsid w:val="00B24AA0"/>
    <w:rsid w:val="00B256D2"/>
    <w:rsid w:val="00B6187C"/>
    <w:rsid w:val="00B64012"/>
    <w:rsid w:val="00B92C49"/>
    <w:rsid w:val="00BA0472"/>
    <w:rsid w:val="00C20ED5"/>
    <w:rsid w:val="00C36FC1"/>
    <w:rsid w:val="00CA5D10"/>
    <w:rsid w:val="00CB12B2"/>
    <w:rsid w:val="00CB15A8"/>
    <w:rsid w:val="00CB44BA"/>
    <w:rsid w:val="00CB7C84"/>
    <w:rsid w:val="00CC0F70"/>
    <w:rsid w:val="00CC357D"/>
    <w:rsid w:val="00CE48CF"/>
    <w:rsid w:val="00CF0D07"/>
    <w:rsid w:val="00CF4AE4"/>
    <w:rsid w:val="00D03DF2"/>
    <w:rsid w:val="00D06E53"/>
    <w:rsid w:val="00D12588"/>
    <w:rsid w:val="00D258D2"/>
    <w:rsid w:val="00D743D6"/>
    <w:rsid w:val="00D838F6"/>
    <w:rsid w:val="00D87624"/>
    <w:rsid w:val="00D929D1"/>
    <w:rsid w:val="00DA29C0"/>
    <w:rsid w:val="00DD23F7"/>
    <w:rsid w:val="00DD5249"/>
    <w:rsid w:val="00DD556B"/>
    <w:rsid w:val="00DD5995"/>
    <w:rsid w:val="00DD5B0C"/>
    <w:rsid w:val="00E0512F"/>
    <w:rsid w:val="00E27585"/>
    <w:rsid w:val="00E35656"/>
    <w:rsid w:val="00E53738"/>
    <w:rsid w:val="00E81C19"/>
    <w:rsid w:val="00E82063"/>
    <w:rsid w:val="00E82CC2"/>
    <w:rsid w:val="00E84D18"/>
    <w:rsid w:val="00EA014A"/>
    <w:rsid w:val="00EB2130"/>
    <w:rsid w:val="00ED2A60"/>
    <w:rsid w:val="00EE6452"/>
    <w:rsid w:val="00EE684E"/>
    <w:rsid w:val="00EE7A34"/>
    <w:rsid w:val="00EF1987"/>
    <w:rsid w:val="00EF33F2"/>
    <w:rsid w:val="00EF439D"/>
    <w:rsid w:val="00F07176"/>
    <w:rsid w:val="00F10BD2"/>
    <w:rsid w:val="00F57776"/>
    <w:rsid w:val="00F57EAD"/>
    <w:rsid w:val="00F77C5B"/>
    <w:rsid w:val="00F80956"/>
    <w:rsid w:val="00FA263C"/>
    <w:rsid w:val="00FA6626"/>
    <w:rsid w:val="00FD417D"/>
    <w:rsid w:val="00FD4990"/>
    <w:rsid w:val="00FE25B8"/>
    <w:rsid w:val="00FE7554"/>
    <w:rsid w:val="00FF31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741ACD32"/>
  <w15:chartTrackingRefBased/>
  <w15:docId w15:val="{98DEF4C0-756D-4FDF-AADD-CC2F9ED1A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CB8"/>
    <w:pPr>
      <w:spacing w:after="0" w:line="480" w:lineRule="auto"/>
    </w:pPr>
    <w:rPr>
      <w:rFonts w:ascii="Times New Roman" w:hAnsi="Times New Roman"/>
      <w:sz w:val="24"/>
      <w:lang w:val="en-GB"/>
    </w:rPr>
  </w:style>
  <w:style w:type="paragraph" w:styleId="Heading3">
    <w:name w:val="heading 3"/>
    <w:basedOn w:val="Normal"/>
    <w:link w:val="Heading3Char"/>
    <w:qFormat/>
    <w:rsid w:val="004C35D9"/>
    <w:pPr>
      <w:keepNext/>
      <w:spacing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0561"/>
    <w:pPr>
      <w:ind w:left="720"/>
      <w:contextualSpacing/>
    </w:pPr>
  </w:style>
  <w:style w:type="character" w:customStyle="1" w:styleId="playlinenum">
    <w:name w:val="playlinenum"/>
    <w:basedOn w:val="DefaultParagraphFont"/>
    <w:rsid w:val="00FE25B8"/>
  </w:style>
  <w:style w:type="paragraph" w:styleId="Header">
    <w:name w:val="header"/>
    <w:basedOn w:val="Normal"/>
    <w:link w:val="HeaderChar"/>
    <w:uiPriority w:val="99"/>
    <w:unhideWhenUsed/>
    <w:rsid w:val="00F80956"/>
    <w:pPr>
      <w:tabs>
        <w:tab w:val="center" w:pos="4680"/>
        <w:tab w:val="right" w:pos="9360"/>
      </w:tabs>
      <w:spacing w:line="240" w:lineRule="auto"/>
    </w:pPr>
  </w:style>
  <w:style w:type="character" w:customStyle="1" w:styleId="HeaderChar">
    <w:name w:val="Header Char"/>
    <w:basedOn w:val="DefaultParagraphFont"/>
    <w:link w:val="Header"/>
    <w:uiPriority w:val="99"/>
    <w:rsid w:val="00F80956"/>
    <w:rPr>
      <w:rFonts w:ascii="Times New Roman" w:hAnsi="Times New Roman"/>
      <w:sz w:val="24"/>
      <w:lang w:val="en-GB"/>
    </w:rPr>
  </w:style>
  <w:style w:type="paragraph" w:styleId="Footer">
    <w:name w:val="footer"/>
    <w:basedOn w:val="Normal"/>
    <w:link w:val="FooterChar"/>
    <w:uiPriority w:val="99"/>
    <w:unhideWhenUsed/>
    <w:rsid w:val="00F80956"/>
    <w:pPr>
      <w:tabs>
        <w:tab w:val="center" w:pos="4680"/>
        <w:tab w:val="right" w:pos="9360"/>
      </w:tabs>
      <w:spacing w:line="240" w:lineRule="auto"/>
    </w:pPr>
  </w:style>
  <w:style w:type="character" w:customStyle="1" w:styleId="FooterChar">
    <w:name w:val="Footer Char"/>
    <w:basedOn w:val="DefaultParagraphFont"/>
    <w:link w:val="Footer"/>
    <w:uiPriority w:val="99"/>
    <w:rsid w:val="00F80956"/>
    <w:rPr>
      <w:rFonts w:ascii="Times New Roman" w:hAnsi="Times New Roman"/>
      <w:sz w:val="24"/>
      <w:lang w:val="en-GB"/>
    </w:rPr>
  </w:style>
  <w:style w:type="character" w:customStyle="1" w:styleId="Heading3Char">
    <w:name w:val="Heading 3 Char"/>
    <w:basedOn w:val="DefaultParagraphFont"/>
    <w:link w:val="Heading3"/>
    <w:rsid w:val="004C35D9"/>
    <w:rPr>
      <w:rFonts w:ascii="Tahoma" w:eastAsia="SimSun" w:hAnsi="Tahoma" w:cs="Tahoma"/>
      <w:b/>
      <w:bCs/>
      <w:sz w:val="20"/>
      <w:szCs w:val="20"/>
      <w:lang w:val="en-GB" w:eastAsia="zh-CN"/>
    </w:rPr>
  </w:style>
  <w:style w:type="paragraph" w:styleId="NormalWeb">
    <w:name w:val="Normal (Web)"/>
    <w:basedOn w:val="Normal"/>
    <w:rsid w:val="004C35D9"/>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4586559">
      <w:bodyDiv w:val="1"/>
      <w:marLeft w:val="0"/>
      <w:marRight w:val="0"/>
      <w:marTop w:val="0"/>
      <w:marBottom w:val="0"/>
      <w:divBdr>
        <w:top w:val="none" w:sz="0" w:space="0" w:color="auto"/>
        <w:left w:val="none" w:sz="0" w:space="0" w:color="auto"/>
        <w:bottom w:val="none" w:sz="0" w:space="0" w:color="auto"/>
        <w:right w:val="none" w:sz="0" w:space="0" w:color="auto"/>
      </w:divBdr>
    </w:div>
    <w:div w:id="850990908">
      <w:bodyDiv w:val="1"/>
      <w:marLeft w:val="0"/>
      <w:marRight w:val="0"/>
      <w:marTop w:val="0"/>
      <w:marBottom w:val="0"/>
      <w:divBdr>
        <w:top w:val="none" w:sz="0" w:space="0" w:color="auto"/>
        <w:left w:val="none" w:sz="0" w:space="0" w:color="auto"/>
        <w:bottom w:val="none" w:sz="0" w:space="0" w:color="auto"/>
        <w:right w:val="none" w:sz="0" w:space="0" w:color="auto"/>
      </w:divBdr>
    </w:div>
    <w:div w:id="184492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5144</TotalTime>
  <Pages>20</Pages>
  <Words>4461</Words>
  <Characters>25432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Marah Hager</dc:creator>
  <cp:keywords/>
  <dc:description/>
  <cp:lastModifiedBy>Marah Hager</cp:lastModifiedBy>
  <cp:revision>118</cp:revision>
  <dcterms:created xsi:type="dcterms:W3CDTF">2019-04-16T17:46:00Z</dcterms:created>
  <dcterms:modified xsi:type="dcterms:W3CDTF">2019-05-17T16:36:00Z</dcterms:modified>
</cp:coreProperties>
</file>