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FAA979" w14:textId="1794271C" w:rsidR="26ADC691" w:rsidRDefault="26ADC691" w:rsidP="320D6D55">
      <w:pPr>
        <w:spacing w:after="165" w:line="360" w:lineRule="auto"/>
        <w:rPr>
          <w:rFonts w:ascii="Calibri" w:eastAsia="Calibri" w:hAnsi="Calibri" w:cs="Calibri"/>
          <w:color w:val="000000" w:themeColor="text1"/>
        </w:rPr>
      </w:pPr>
      <w:r>
        <w:rPr>
          <w:noProof/>
        </w:rPr>
        <w:drawing>
          <wp:inline distT="0" distB="0" distL="0" distR="0" wp14:anchorId="555B30DB" wp14:editId="4F5F7426">
            <wp:extent cx="2209800" cy="742950"/>
            <wp:effectExtent l="0" t="0" r="0" b="0"/>
            <wp:docPr id="622421995" name="drawing"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421995" name=""/>
                    <pic:cNvPicPr/>
                  </pic:nvPicPr>
                  <pic:blipFill>
                    <a:blip r:embed="rId8">
                      <a:extLst>
                        <a:ext uri="{28A0092B-C50C-407E-A947-70E740481C1C}">
                          <a14:useLocalDpi xmlns:a14="http://schemas.microsoft.com/office/drawing/2010/main" val="0"/>
                        </a:ext>
                      </a:extLst>
                    </a:blip>
                    <a:stretch>
                      <a:fillRect/>
                    </a:stretch>
                  </pic:blipFill>
                  <pic:spPr>
                    <a:xfrm>
                      <a:off x="0" y="0"/>
                      <a:ext cx="2209800" cy="742950"/>
                    </a:xfrm>
                    <a:prstGeom prst="rect">
                      <a:avLst/>
                    </a:prstGeom>
                  </pic:spPr>
                </pic:pic>
              </a:graphicData>
            </a:graphic>
          </wp:inline>
        </w:drawing>
      </w:r>
    </w:p>
    <w:p w14:paraId="0A05D5A3" w14:textId="08A0569D" w:rsidR="26ADC691" w:rsidRDefault="26ADC691" w:rsidP="320D6D55">
      <w:pPr>
        <w:spacing w:after="165" w:line="360" w:lineRule="auto"/>
        <w:jc w:val="center"/>
        <w:rPr>
          <w:rFonts w:ascii="Calibri" w:eastAsia="Calibri" w:hAnsi="Calibri" w:cs="Calibri"/>
          <w:color w:val="000000" w:themeColor="text1"/>
        </w:rPr>
      </w:pPr>
      <w:r w:rsidRPr="320D6D55">
        <w:rPr>
          <w:rFonts w:ascii="Calibri" w:eastAsia="Calibri" w:hAnsi="Calibri" w:cs="Calibri"/>
          <w:color w:val="000000" w:themeColor="text1"/>
        </w:rPr>
        <w:t>Applied Leadership and Management in the Workplace</w:t>
      </w:r>
      <w:r>
        <w:br/>
      </w:r>
      <w:r w:rsidRPr="320D6D55">
        <w:rPr>
          <w:rFonts w:ascii="Calibri" w:eastAsia="Calibri" w:hAnsi="Calibri" w:cs="Calibri"/>
          <w:color w:val="000000" w:themeColor="text1"/>
        </w:rPr>
        <w:t xml:space="preserve">Module Assignment Submission </w:t>
      </w:r>
      <w:r>
        <w:br/>
      </w: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3435"/>
        <w:gridCol w:w="6045"/>
      </w:tblGrid>
      <w:tr w:rsidR="320D6D55" w14:paraId="203D91E0" w14:textId="77777777" w:rsidTr="320D6D55">
        <w:trPr>
          <w:trHeight w:val="300"/>
        </w:trPr>
        <w:tc>
          <w:tcPr>
            <w:tcW w:w="34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58F76F19" w14:textId="05A8624A" w:rsidR="320D6D55" w:rsidRDefault="320D6D55" w:rsidP="320D6D55">
            <w:pPr>
              <w:spacing w:before="120" w:after="120" w:line="360" w:lineRule="auto"/>
              <w:rPr>
                <w:rFonts w:ascii="Calibri" w:eastAsia="Calibri" w:hAnsi="Calibri" w:cs="Calibri"/>
              </w:rPr>
            </w:pPr>
            <w:r w:rsidRPr="320D6D55">
              <w:rPr>
                <w:rFonts w:ascii="Calibri" w:eastAsia="Calibri" w:hAnsi="Calibri" w:cs="Calibri"/>
              </w:rPr>
              <w:t>Student Name:</w:t>
            </w:r>
          </w:p>
        </w:tc>
        <w:tc>
          <w:tcPr>
            <w:tcW w:w="60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4CB0DD95" w14:textId="74AFBB9F" w:rsidR="320D6D55" w:rsidRDefault="320D6D55" w:rsidP="320D6D55">
            <w:pPr>
              <w:spacing w:before="120" w:after="120" w:line="360" w:lineRule="auto"/>
              <w:rPr>
                <w:rFonts w:ascii="Calibri" w:eastAsia="Calibri" w:hAnsi="Calibri" w:cs="Calibri"/>
              </w:rPr>
            </w:pPr>
            <w:r w:rsidRPr="320D6D55">
              <w:rPr>
                <w:rFonts w:ascii="Calibri" w:eastAsia="Calibri" w:hAnsi="Calibri" w:cs="Calibri"/>
              </w:rPr>
              <w:t>Lisa Williams</w:t>
            </w:r>
          </w:p>
        </w:tc>
      </w:tr>
      <w:tr w:rsidR="320D6D55" w14:paraId="16D11E7D" w14:textId="77777777" w:rsidTr="320D6D55">
        <w:trPr>
          <w:trHeight w:val="300"/>
        </w:trPr>
        <w:tc>
          <w:tcPr>
            <w:tcW w:w="34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213D76F1" w14:textId="7E23861C" w:rsidR="320D6D55" w:rsidRDefault="320D6D55" w:rsidP="320D6D55">
            <w:pPr>
              <w:spacing w:before="120" w:after="120" w:line="360" w:lineRule="auto"/>
              <w:rPr>
                <w:rFonts w:ascii="Calibri" w:eastAsia="Calibri" w:hAnsi="Calibri" w:cs="Calibri"/>
              </w:rPr>
            </w:pPr>
            <w:r w:rsidRPr="320D6D55">
              <w:rPr>
                <w:rFonts w:ascii="Calibri" w:eastAsia="Calibri" w:hAnsi="Calibri" w:cs="Calibri"/>
              </w:rPr>
              <w:t>Student Number:</w:t>
            </w:r>
          </w:p>
        </w:tc>
        <w:tc>
          <w:tcPr>
            <w:tcW w:w="60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4FC82376" w14:textId="1951CFFF" w:rsidR="320D6D55" w:rsidRDefault="320D6D55" w:rsidP="320D6D55">
            <w:pPr>
              <w:spacing w:before="120" w:after="120" w:line="360" w:lineRule="auto"/>
              <w:rPr>
                <w:rFonts w:ascii="Calibri" w:eastAsia="Calibri" w:hAnsi="Calibri" w:cs="Calibri"/>
              </w:rPr>
            </w:pPr>
            <w:r w:rsidRPr="320D6D55">
              <w:rPr>
                <w:rFonts w:ascii="Calibri" w:eastAsia="Calibri" w:hAnsi="Calibri" w:cs="Calibri"/>
              </w:rPr>
              <w:t>2309068</w:t>
            </w:r>
          </w:p>
        </w:tc>
      </w:tr>
      <w:tr w:rsidR="320D6D55" w14:paraId="612D26AF" w14:textId="77777777" w:rsidTr="320D6D55">
        <w:trPr>
          <w:trHeight w:val="300"/>
        </w:trPr>
        <w:tc>
          <w:tcPr>
            <w:tcW w:w="34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6043CC19" w14:textId="49501814" w:rsidR="320D6D55" w:rsidRDefault="320D6D55" w:rsidP="320D6D55">
            <w:pPr>
              <w:spacing w:before="120" w:after="120" w:line="360" w:lineRule="auto"/>
              <w:rPr>
                <w:rFonts w:ascii="Calibri" w:eastAsia="Calibri" w:hAnsi="Calibri" w:cs="Calibri"/>
              </w:rPr>
            </w:pPr>
            <w:r w:rsidRPr="320D6D55">
              <w:rPr>
                <w:rFonts w:ascii="Calibri" w:eastAsia="Calibri" w:hAnsi="Calibri" w:cs="Calibri"/>
              </w:rPr>
              <w:t>Module No:</w:t>
            </w:r>
          </w:p>
        </w:tc>
        <w:tc>
          <w:tcPr>
            <w:tcW w:w="60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5CA9916" w14:textId="16D2D056" w:rsidR="320D6D55" w:rsidRDefault="320D6D55" w:rsidP="320D6D55">
            <w:pPr>
              <w:spacing w:before="120" w:after="120" w:line="360" w:lineRule="auto"/>
              <w:rPr>
                <w:rFonts w:ascii="Calibri" w:eastAsia="Calibri" w:hAnsi="Calibri" w:cs="Calibri"/>
              </w:rPr>
            </w:pPr>
            <w:r w:rsidRPr="320D6D55">
              <w:rPr>
                <w:rFonts w:ascii="Calibri" w:eastAsia="Calibri" w:hAnsi="Calibri" w:cs="Calibri"/>
              </w:rPr>
              <w:t>BMSK50</w:t>
            </w:r>
            <w:r w:rsidR="401864FF" w:rsidRPr="320D6D55">
              <w:rPr>
                <w:rFonts w:ascii="Calibri" w:eastAsia="Calibri" w:hAnsi="Calibri" w:cs="Calibri"/>
              </w:rPr>
              <w:t>10</w:t>
            </w:r>
          </w:p>
        </w:tc>
      </w:tr>
      <w:tr w:rsidR="320D6D55" w14:paraId="2E6575B3" w14:textId="77777777" w:rsidTr="320D6D55">
        <w:trPr>
          <w:trHeight w:val="300"/>
        </w:trPr>
        <w:tc>
          <w:tcPr>
            <w:tcW w:w="34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151D8F1E" w14:textId="0C268A7D" w:rsidR="320D6D55" w:rsidRDefault="320D6D55" w:rsidP="320D6D55">
            <w:pPr>
              <w:spacing w:before="120" w:after="120" w:line="360" w:lineRule="auto"/>
              <w:rPr>
                <w:rFonts w:ascii="Calibri" w:eastAsia="Calibri" w:hAnsi="Calibri" w:cs="Calibri"/>
              </w:rPr>
            </w:pPr>
            <w:r w:rsidRPr="320D6D55">
              <w:rPr>
                <w:rFonts w:ascii="Calibri" w:eastAsia="Calibri" w:hAnsi="Calibri" w:cs="Calibri"/>
              </w:rPr>
              <w:t>Module Title:</w:t>
            </w:r>
          </w:p>
        </w:tc>
        <w:tc>
          <w:tcPr>
            <w:tcW w:w="60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6EFA33A3" w14:textId="36B3574C" w:rsidR="353BD348" w:rsidRDefault="353BD348" w:rsidP="320D6D55">
            <w:pPr>
              <w:spacing w:before="120" w:after="120" w:line="360" w:lineRule="auto"/>
              <w:rPr>
                <w:rFonts w:ascii="Calibri" w:eastAsia="Calibri" w:hAnsi="Calibri" w:cs="Calibri"/>
              </w:rPr>
            </w:pPr>
            <w:r w:rsidRPr="320D6D55">
              <w:rPr>
                <w:rFonts w:ascii="Calibri" w:eastAsia="Calibri" w:hAnsi="Calibri" w:cs="Calibri"/>
              </w:rPr>
              <w:t xml:space="preserve">Developing a Learning Organisation </w:t>
            </w:r>
          </w:p>
        </w:tc>
      </w:tr>
    </w:tbl>
    <w:p w14:paraId="4C2F2E9E" w14:textId="1C2A6DE3" w:rsidR="320D6D55" w:rsidRDefault="320D6D55" w:rsidP="320D6D55">
      <w:pPr>
        <w:spacing w:before="120" w:after="120" w:line="360" w:lineRule="auto"/>
        <w:rPr>
          <w:rFonts w:ascii="Calibri" w:eastAsia="Calibri" w:hAnsi="Calibri" w:cs="Calibri"/>
          <w:color w:val="FF0000"/>
        </w:rPr>
      </w:pPr>
    </w:p>
    <w:p w14:paraId="6A716C1D" w14:textId="45A3ECC3" w:rsidR="26ADC691" w:rsidRDefault="26ADC691" w:rsidP="320D6D55">
      <w:pPr>
        <w:spacing w:before="120" w:after="120" w:line="360" w:lineRule="auto"/>
        <w:rPr>
          <w:rFonts w:ascii="Calibri" w:eastAsia="Calibri" w:hAnsi="Calibri" w:cs="Calibri"/>
          <w:color w:val="000000" w:themeColor="text1"/>
        </w:rPr>
      </w:pPr>
      <w:r w:rsidRPr="320D6D55">
        <w:rPr>
          <w:rFonts w:ascii="Calibri" w:eastAsia="Calibri" w:hAnsi="Calibri" w:cs="Calibri"/>
          <w:b/>
          <w:bCs/>
          <w:color w:val="000000" w:themeColor="text1"/>
        </w:rPr>
        <w:t>Statement of Confirmation of Authenticity</w:t>
      </w:r>
    </w:p>
    <w:p w14:paraId="79A35C3C" w14:textId="62428036" w:rsidR="26ADC691" w:rsidRDefault="26ADC691" w:rsidP="320D6D55">
      <w:pPr>
        <w:spacing w:before="120" w:after="120" w:line="360" w:lineRule="auto"/>
        <w:rPr>
          <w:rFonts w:ascii="Calibri" w:eastAsia="Calibri" w:hAnsi="Calibri" w:cs="Calibri"/>
          <w:color w:val="000000" w:themeColor="text1"/>
        </w:rPr>
      </w:pPr>
      <w:r w:rsidRPr="320D6D55">
        <w:rPr>
          <w:rFonts w:ascii="Calibri" w:eastAsia="Calibri" w:hAnsi="Calibri" w:cs="Calibri"/>
          <w:color w:val="000000" w:themeColor="text1"/>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42CF8E9" w14:textId="5BA5C00B" w:rsidR="26ADC691" w:rsidRDefault="26ADC691" w:rsidP="320D6D55">
      <w:pPr>
        <w:spacing w:before="120" w:after="120" w:line="360" w:lineRule="auto"/>
        <w:rPr>
          <w:rFonts w:ascii="Calibri" w:eastAsia="Calibri" w:hAnsi="Calibri" w:cs="Calibri"/>
          <w:color w:val="000000" w:themeColor="text1"/>
        </w:rPr>
      </w:pPr>
      <w:r w:rsidRPr="320D6D55">
        <w:rPr>
          <w:rFonts w:ascii="Calibri" w:eastAsia="Calibri" w:hAnsi="Calibri" w:cs="Calibri"/>
          <w:color w:val="000000" w:themeColor="text1"/>
        </w:rPr>
        <w:t>Attention is drawn to the plagiarism and unfair practice policies of both the University and of ILM.</w:t>
      </w:r>
    </w:p>
    <w:p w14:paraId="5E0B4DAA" w14:textId="104D738F" w:rsidR="320D6D55" w:rsidRDefault="320D6D55" w:rsidP="320D6D55">
      <w:pPr>
        <w:spacing w:before="120" w:after="120" w:line="360" w:lineRule="auto"/>
        <w:rPr>
          <w:rFonts w:ascii="Calibri" w:eastAsia="Calibri" w:hAnsi="Calibri" w:cs="Calibri"/>
          <w:color w:val="000000" w:themeColor="text1"/>
        </w:rPr>
      </w:pPr>
    </w:p>
    <w:p w14:paraId="2A3DD87D" w14:textId="4689B578" w:rsidR="320D6D55" w:rsidRDefault="320D6D55" w:rsidP="320D6D55">
      <w:pPr>
        <w:spacing w:before="120" w:after="120" w:line="360" w:lineRule="auto"/>
        <w:rPr>
          <w:rFonts w:ascii="Calibri" w:eastAsia="Calibri" w:hAnsi="Calibri" w:cs="Calibri"/>
          <w:color w:val="000000" w:themeColor="text1"/>
        </w:rPr>
      </w:pPr>
    </w:p>
    <w:p w14:paraId="08D7B323" w14:textId="71ED2892" w:rsidR="320D6D55" w:rsidRDefault="320D6D55" w:rsidP="320D6D55">
      <w:pPr>
        <w:spacing w:before="120" w:after="120" w:line="360" w:lineRule="auto"/>
        <w:rPr>
          <w:rFonts w:ascii="Calibri" w:eastAsia="Calibri" w:hAnsi="Calibri" w:cs="Calibri"/>
          <w:color w:val="000000" w:themeColor="text1"/>
        </w:rPr>
      </w:pPr>
    </w:p>
    <w:p w14:paraId="4ED5512F" w14:textId="4E271B12" w:rsidR="320D6D55" w:rsidRDefault="320D6D55" w:rsidP="320D6D55">
      <w:pPr>
        <w:spacing w:before="120" w:after="120" w:line="360" w:lineRule="auto"/>
        <w:rPr>
          <w:rFonts w:ascii="Calibri" w:eastAsia="Calibri" w:hAnsi="Calibri" w:cs="Calibri"/>
          <w:color w:val="000000" w:themeColor="text1"/>
        </w:rPr>
      </w:pPr>
    </w:p>
    <w:p w14:paraId="645837A5" w14:textId="77777777" w:rsidR="005124D6" w:rsidRDefault="005124D6" w:rsidP="320D6D55">
      <w:pPr>
        <w:spacing w:before="120" w:after="120" w:line="360" w:lineRule="auto"/>
        <w:rPr>
          <w:rFonts w:ascii="Calibri" w:eastAsia="Calibri" w:hAnsi="Calibri" w:cs="Calibri"/>
          <w:color w:val="000000" w:themeColor="text1"/>
        </w:rPr>
      </w:pPr>
    </w:p>
    <w:sdt>
      <w:sdtPr>
        <w:rPr>
          <w:rFonts w:asciiTheme="minorHAnsi" w:eastAsiaTheme="minorEastAsia" w:hAnsiTheme="minorHAnsi" w:cstheme="minorBidi"/>
          <w:color w:val="auto"/>
          <w:sz w:val="24"/>
          <w:szCs w:val="24"/>
          <w:lang w:val="en-GB" w:eastAsia="ja-JP"/>
        </w:rPr>
        <w:id w:val="191657484"/>
        <w:docPartObj>
          <w:docPartGallery w:val="Table of Contents"/>
          <w:docPartUnique/>
        </w:docPartObj>
      </w:sdtPr>
      <w:sdtEndPr>
        <w:rPr>
          <w:b/>
          <w:bCs/>
          <w:noProof/>
        </w:rPr>
      </w:sdtEndPr>
      <w:sdtContent>
        <w:p w14:paraId="2C8E50E6" w14:textId="00097410" w:rsidR="005124D6" w:rsidRDefault="005124D6">
          <w:pPr>
            <w:pStyle w:val="TOCHeading"/>
          </w:pPr>
          <w:r>
            <w:t>Table of Contents</w:t>
          </w:r>
        </w:p>
        <w:p w14:paraId="5B3CD421" w14:textId="394822D2" w:rsidR="009517E3" w:rsidRPr="009517E3" w:rsidRDefault="005124D6">
          <w:pPr>
            <w:pStyle w:val="TOC1"/>
            <w:tabs>
              <w:tab w:val="right" w:leader="dot" w:pos="9016"/>
            </w:tabs>
            <w:rPr>
              <w:noProof/>
              <w:kern w:val="2"/>
              <w:sz w:val="18"/>
              <w:szCs w:val="18"/>
              <w:lang w:eastAsia="en-GB"/>
              <w14:ligatures w14:val="standardContextual"/>
            </w:rPr>
          </w:pPr>
          <w:r w:rsidRPr="00207225">
            <w:rPr>
              <w:sz w:val="18"/>
              <w:szCs w:val="18"/>
            </w:rPr>
            <w:fldChar w:fldCharType="begin"/>
          </w:r>
          <w:r w:rsidRPr="00207225">
            <w:rPr>
              <w:sz w:val="18"/>
              <w:szCs w:val="18"/>
            </w:rPr>
            <w:instrText xml:space="preserve"> TOC \o "1-3" \h \z \u </w:instrText>
          </w:r>
          <w:r w:rsidRPr="00207225">
            <w:rPr>
              <w:sz w:val="18"/>
              <w:szCs w:val="18"/>
            </w:rPr>
            <w:fldChar w:fldCharType="separate"/>
          </w:r>
          <w:hyperlink w:anchor="_Toc210917595" w:history="1">
            <w:r w:rsidR="009517E3" w:rsidRPr="009517E3">
              <w:rPr>
                <w:rStyle w:val="Hyperlink"/>
                <w:rFonts w:eastAsia="Calibri"/>
                <w:noProof/>
                <w:sz w:val="18"/>
                <w:szCs w:val="18"/>
              </w:rPr>
              <w:t>Introduction</w:t>
            </w:r>
            <w:r w:rsidR="009517E3" w:rsidRPr="009517E3">
              <w:rPr>
                <w:noProof/>
                <w:webHidden/>
                <w:sz w:val="18"/>
                <w:szCs w:val="18"/>
              </w:rPr>
              <w:tab/>
            </w:r>
            <w:r w:rsidR="009517E3" w:rsidRPr="009517E3">
              <w:rPr>
                <w:noProof/>
                <w:webHidden/>
                <w:sz w:val="18"/>
                <w:szCs w:val="18"/>
              </w:rPr>
              <w:fldChar w:fldCharType="begin"/>
            </w:r>
            <w:r w:rsidR="009517E3" w:rsidRPr="009517E3">
              <w:rPr>
                <w:noProof/>
                <w:webHidden/>
                <w:sz w:val="18"/>
                <w:szCs w:val="18"/>
              </w:rPr>
              <w:instrText xml:space="preserve"> PAGEREF _Toc210917595 \h </w:instrText>
            </w:r>
            <w:r w:rsidR="009517E3" w:rsidRPr="009517E3">
              <w:rPr>
                <w:noProof/>
                <w:webHidden/>
                <w:sz w:val="18"/>
                <w:szCs w:val="18"/>
              </w:rPr>
            </w:r>
            <w:r w:rsidR="009517E3" w:rsidRPr="009517E3">
              <w:rPr>
                <w:noProof/>
                <w:webHidden/>
                <w:sz w:val="18"/>
                <w:szCs w:val="18"/>
              </w:rPr>
              <w:fldChar w:fldCharType="separate"/>
            </w:r>
            <w:r w:rsidR="007501DC">
              <w:rPr>
                <w:noProof/>
                <w:webHidden/>
                <w:sz w:val="18"/>
                <w:szCs w:val="18"/>
              </w:rPr>
              <w:t>3</w:t>
            </w:r>
            <w:r w:rsidR="009517E3" w:rsidRPr="009517E3">
              <w:rPr>
                <w:noProof/>
                <w:webHidden/>
                <w:sz w:val="18"/>
                <w:szCs w:val="18"/>
              </w:rPr>
              <w:fldChar w:fldCharType="end"/>
            </w:r>
          </w:hyperlink>
        </w:p>
        <w:p w14:paraId="47A2E09C" w14:textId="25FA8C56" w:rsidR="009517E3" w:rsidRPr="009517E3" w:rsidRDefault="009517E3">
          <w:pPr>
            <w:pStyle w:val="TOC1"/>
            <w:tabs>
              <w:tab w:val="right" w:leader="dot" w:pos="9016"/>
            </w:tabs>
            <w:rPr>
              <w:noProof/>
              <w:kern w:val="2"/>
              <w:sz w:val="18"/>
              <w:szCs w:val="18"/>
              <w:lang w:eastAsia="en-GB"/>
              <w14:ligatures w14:val="standardContextual"/>
            </w:rPr>
          </w:pPr>
          <w:hyperlink w:anchor="_Toc210917596" w:history="1">
            <w:r w:rsidRPr="009517E3">
              <w:rPr>
                <w:rStyle w:val="Hyperlink"/>
                <w:rFonts w:ascii="Calibri" w:eastAsia="Calibri" w:hAnsi="Calibri" w:cs="Calibri"/>
                <w:noProof/>
                <w:sz w:val="18"/>
                <w:szCs w:val="18"/>
              </w:rPr>
              <w:t>Potential benefits to the organisation when developing individuals in the workplace.</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_Toc210917596 \h </w:instrText>
            </w:r>
            <w:r w:rsidRPr="009517E3">
              <w:rPr>
                <w:noProof/>
                <w:webHidden/>
                <w:sz w:val="18"/>
                <w:szCs w:val="18"/>
              </w:rPr>
            </w:r>
            <w:r w:rsidRPr="009517E3">
              <w:rPr>
                <w:noProof/>
                <w:webHidden/>
                <w:sz w:val="18"/>
                <w:szCs w:val="18"/>
              </w:rPr>
              <w:fldChar w:fldCharType="separate"/>
            </w:r>
            <w:r w:rsidR="007501DC">
              <w:rPr>
                <w:noProof/>
                <w:webHidden/>
                <w:sz w:val="18"/>
                <w:szCs w:val="18"/>
              </w:rPr>
              <w:t>3</w:t>
            </w:r>
            <w:r w:rsidRPr="009517E3">
              <w:rPr>
                <w:noProof/>
                <w:webHidden/>
                <w:sz w:val="18"/>
                <w:szCs w:val="18"/>
              </w:rPr>
              <w:fldChar w:fldCharType="end"/>
            </w:r>
          </w:hyperlink>
        </w:p>
        <w:p w14:paraId="4E8FACB8" w14:textId="01C2AC61" w:rsidR="009517E3" w:rsidRPr="009517E3" w:rsidRDefault="009517E3">
          <w:pPr>
            <w:pStyle w:val="TOC2"/>
            <w:tabs>
              <w:tab w:val="right" w:leader="dot" w:pos="9016"/>
            </w:tabs>
            <w:rPr>
              <w:noProof/>
              <w:kern w:val="2"/>
              <w:sz w:val="18"/>
              <w:szCs w:val="18"/>
              <w:lang w:eastAsia="en-GB"/>
              <w14:ligatures w14:val="standardContextual"/>
            </w:rPr>
          </w:pPr>
          <w:hyperlink w:anchor="_Toc210917597" w:history="1">
            <w:r w:rsidRPr="009517E3">
              <w:rPr>
                <w:rStyle w:val="Hyperlink"/>
                <w:rFonts w:ascii="Calibri" w:eastAsia="Calibri" w:hAnsi="Calibri" w:cs="Calibri"/>
                <w:noProof/>
                <w:sz w:val="18"/>
                <w:szCs w:val="18"/>
              </w:rPr>
              <w:t>Innovation</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_Toc210917597 \h </w:instrText>
            </w:r>
            <w:r w:rsidRPr="009517E3">
              <w:rPr>
                <w:noProof/>
                <w:webHidden/>
                <w:sz w:val="18"/>
                <w:szCs w:val="18"/>
              </w:rPr>
            </w:r>
            <w:r w:rsidRPr="009517E3">
              <w:rPr>
                <w:noProof/>
                <w:webHidden/>
                <w:sz w:val="18"/>
                <w:szCs w:val="18"/>
              </w:rPr>
              <w:fldChar w:fldCharType="separate"/>
            </w:r>
            <w:r w:rsidR="007501DC">
              <w:rPr>
                <w:noProof/>
                <w:webHidden/>
                <w:sz w:val="18"/>
                <w:szCs w:val="18"/>
              </w:rPr>
              <w:t>3</w:t>
            </w:r>
            <w:r w:rsidRPr="009517E3">
              <w:rPr>
                <w:noProof/>
                <w:webHidden/>
                <w:sz w:val="18"/>
                <w:szCs w:val="18"/>
              </w:rPr>
              <w:fldChar w:fldCharType="end"/>
            </w:r>
          </w:hyperlink>
        </w:p>
        <w:p w14:paraId="78E1E5D5" w14:textId="6BA7EEB9" w:rsidR="009517E3" w:rsidRPr="009517E3" w:rsidRDefault="009517E3">
          <w:pPr>
            <w:pStyle w:val="TOC2"/>
            <w:tabs>
              <w:tab w:val="right" w:leader="dot" w:pos="9016"/>
            </w:tabs>
            <w:rPr>
              <w:noProof/>
              <w:kern w:val="2"/>
              <w:sz w:val="18"/>
              <w:szCs w:val="18"/>
              <w:lang w:eastAsia="en-GB"/>
              <w14:ligatures w14:val="standardContextual"/>
            </w:rPr>
          </w:pPr>
          <w:hyperlink w:anchor="_Toc210917598" w:history="1">
            <w:r w:rsidRPr="009517E3">
              <w:rPr>
                <w:rStyle w:val="Hyperlink"/>
                <w:rFonts w:ascii="Calibri" w:eastAsia="Calibri" w:hAnsi="Calibri" w:cs="Calibri"/>
                <w:noProof/>
                <w:sz w:val="18"/>
                <w:szCs w:val="18"/>
              </w:rPr>
              <w:t>Long term cost saving</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_Toc210917598 \h </w:instrText>
            </w:r>
            <w:r w:rsidRPr="009517E3">
              <w:rPr>
                <w:noProof/>
                <w:webHidden/>
                <w:sz w:val="18"/>
                <w:szCs w:val="18"/>
              </w:rPr>
            </w:r>
            <w:r w:rsidRPr="009517E3">
              <w:rPr>
                <w:noProof/>
                <w:webHidden/>
                <w:sz w:val="18"/>
                <w:szCs w:val="18"/>
              </w:rPr>
              <w:fldChar w:fldCharType="separate"/>
            </w:r>
            <w:r w:rsidR="007501DC">
              <w:rPr>
                <w:noProof/>
                <w:webHidden/>
                <w:sz w:val="18"/>
                <w:szCs w:val="18"/>
              </w:rPr>
              <w:t>4</w:t>
            </w:r>
            <w:r w:rsidRPr="009517E3">
              <w:rPr>
                <w:noProof/>
                <w:webHidden/>
                <w:sz w:val="18"/>
                <w:szCs w:val="18"/>
              </w:rPr>
              <w:fldChar w:fldCharType="end"/>
            </w:r>
          </w:hyperlink>
        </w:p>
        <w:p w14:paraId="0D3B182A" w14:textId="17EAC119" w:rsidR="009517E3" w:rsidRPr="009517E3" w:rsidRDefault="009517E3">
          <w:pPr>
            <w:pStyle w:val="TOC2"/>
            <w:tabs>
              <w:tab w:val="right" w:leader="dot" w:pos="9016"/>
            </w:tabs>
            <w:rPr>
              <w:noProof/>
              <w:kern w:val="2"/>
              <w:sz w:val="18"/>
              <w:szCs w:val="18"/>
              <w:lang w:eastAsia="en-GB"/>
              <w14:ligatures w14:val="standardContextual"/>
            </w:rPr>
          </w:pPr>
          <w:hyperlink w:anchor="_Toc210917599" w:history="1">
            <w:r w:rsidRPr="009517E3">
              <w:rPr>
                <w:rStyle w:val="Hyperlink"/>
                <w:rFonts w:ascii="Calibri" w:eastAsia="Calibri" w:hAnsi="Calibri" w:cs="Calibri"/>
                <w:noProof/>
                <w:sz w:val="18"/>
                <w:szCs w:val="18"/>
              </w:rPr>
              <w:t>Knowledge</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_Toc210917599 \h </w:instrText>
            </w:r>
            <w:r w:rsidRPr="009517E3">
              <w:rPr>
                <w:noProof/>
                <w:webHidden/>
                <w:sz w:val="18"/>
                <w:szCs w:val="18"/>
              </w:rPr>
            </w:r>
            <w:r w:rsidRPr="009517E3">
              <w:rPr>
                <w:noProof/>
                <w:webHidden/>
                <w:sz w:val="18"/>
                <w:szCs w:val="18"/>
              </w:rPr>
              <w:fldChar w:fldCharType="separate"/>
            </w:r>
            <w:r w:rsidR="007501DC">
              <w:rPr>
                <w:noProof/>
                <w:webHidden/>
                <w:sz w:val="18"/>
                <w:szCs w:val="18"/>
              </w:rPr>
              <w:t>4</w:t>
            </w:r>
            <w:r w:rsidRPr="009517E3">
              <w:rPr>
                <w:noProof/>
                <w:webHidden/>
                <w:sz w:val="18"/>
                <w:szCs w:val="18"/>
              </w:rPr>
              <w:fldChar w:fldCharType="end"/>
            </w:r>
          </w:hyperlink>
        </w:p>
        <w:p w14:paraId="2F1AB96F" w14:textId="7A79B43A" w:rsidR="009517E3" w:rsidRPr="009517E3" w:rsidRDefault="009517E3">
          <w:pPr>
            <w:pStyle w:val="TOC2"/>
            <w:tabs>
              <w:tab w:val="right" w:leader="dot" w:pos="9016"/>
            </w:tabs>
            <w:rPr>
              <w:noProof/>
              <w:kern w:val="2"/>
              <w:sz w:val="18"/>
              <w:szCs w:val="18"/>
              <w:lang w:eastAsia="en-GB"/>
              <w14:ligatures w14:val="standardContextual"/>
            </w:rPr>
          </w:pPr>
          <w:hyperlink w:anchor="_Toc210917600" w:history="1">
            <w:r w:rsidRPr="009517E3">
              <w:rPr>
                <w:rStyle w:val="Hyperlink"/>
                <w:rFonts w:ascii="Calibri" w:eastAsia="Calibri" w:hAnsi="Calibri" w:cs="Calibri"/>
                <w:noProof/>
                <w:sz w:val="18"/>
                <w:szCs w:val="18"/>
              </w:rPr>
              <w:t>Closer alignment with vision, mission and strategy</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_Toc210917600 \h </w:instrText>
            </w:r>
            <w:r w:rsidRPr="009517E3">
              <w:rPr>
                <w:noProof/>
                <w:webHidden/>
                <w:sz w:val="18"/>
                <w:szCs w:val="18"/>
              </w:rPr>
            </w:r>
            <w:r w:rsidRPr="009517E3">
              <w:rPr>
                <w:noProof/>
                <w:webHidden/>
                <w:sz w:val="18"/>
                <w:szCs w:val="18"/>
              </w:rPr>
              <w:fldChar w:fldCharType="separate"/>
            </w:r>
            <w:r w:rsidR="007501DC">
              <w:rPr>
                <w:noProof/>
                <w:webHidden/>
                <w:sz w:val="18"/>
                <w:szCs w:val="18"/>
              </w:rPr>
              <w:t>5</w:t>
            </w:r>
            <w:r w:rsidRPr="009517E3">
              <w:rPr>
                <w:noProof/>
                <w:webHidden/>
                <w:sz w:val="18"/>
                <w:szCs w:val="18"/>
              </w:rPr>
              <w:fldChar w:fldCharType="end"/>
            </w:r>
          </w:hyperlink>
        </w:p>
        <w:p w14:paraId="2F489750" w14:textId="7838610A" w:rsidR="009517E3" w:rsidRPr="009517E3" w:rsidRDefault="009517E3">
          <w:pPr>
            <w:pStyle w:val="TOC2"/>
            <w:tabs>
              <w:tab w:val="right" w:leader="dot" w:pos="9016"/>
            </w:tabs>
            <w:rPr>
              <w:noProof/>
              <w:kern w:val="2"/>
              <w:sz w:val="18"/>
              <w:szCs w:val="18"/>
              <w:lang w:eastAsia="en-GB"/>
              <w14:ligatures w14:val="standardContextual"/>
            </w:rPr>
          </w:pPr>
          <w:hyperlink w:anchor="_Toc210917601" w:history="1">
            <w:r w:rsidRPr="009517E3">
              <w:rPr>
                <w:rStyle w:val="Hyperlink"/>
                <w:rFonts w:ascii="Calibri" w:eastAsia="Calibri" w:hAnsi="Calibri" w:cs="Calibri"/>
                <w:noProof/>
                <w:sz w:val="18"/>
                <w:szCs w:val="18"/>
              </w:rPr>
              <w:t>Improved workplace culture</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_Toc210917601 \h </w:instrText>
            </w:r>
            <w:r w:rsidRPr="009517E3">
              <w:rPr>
                <w:noProof/>
                <w:webHidden/>
                <w:sz w:val="18"/>
                <w:szCs w:val="18"/>
              </w:rPr>
            </w:r>
            <w:r w:rsidRPr="009517E3">
              <w:rPr>
                <w:noProof/>
                <w:webHidden/>
                <w:sz w:val="18"/>
                <w:szCs w:val="18"/>
              </w:rPr>
              <w:fldChar w:fldCharType="separate"/>
            </w:r>
            <w:r w:rsidR="007501DC">
              <w:rPr>
                <w:noProof/>
                <w:webHidden/>
                <w:sz w:val="18"/>
                <w:szCs w:val="18"/>
              </w:rPr>
              <w:t>5</w:t>
            </w:r>
            <w:r w:rsidRPr="009517E3">
              <w:rPr>
                <w:noProof/>
                <w:webHidden/>
                <w:sz w:val="18"/>
                <w:szCs w:val="18"/>
              </w:rPr>
              <w:fldChar w:fldCharType="end"/>
            </w:r>
          </w:hyperlink>
        </w:p>
        <w:p w14:paraId="0EE1B68D" w14:textId="79854B8D" w:rsidR="009517E3" w:rsidRPr="009517E3" w:rsidRDefault="009517E3">
          <w:pPr>
            <w:pStyle w:val="TOC1"/>
            <w:tabs>
              <w:tab w:val="right" w:leader="dot" w:pos="9016"/>
            </w:tabs>
            <w:rPr>
              <w:noProof/>
              <w:kern w:val="2"/>
              <w:sz w:val="18"/>
              <w:szCs w:val="18"/>
              <w:lang w:eastAsia="en-GB"/>
              <w14:ligatures w14:val="standardContextual"/>
            </w:rPr>
          </w:pPr>
          <w:hyperlink w:anchor="_Toc210917602" w:history="1">
            <w:r w:rsidRPr="009517E3">
              <w:rPr>
                <w:rStyle w:val="Hyperlink"/>
                <w:rFonts w:ascii="Calibri" w:eastAsia="Calibri" w:hAnsi="Calibri" w:cs="Calibri"/>
                <w:noProof/>
                <w:sz w:val="18"/>
                <w:szCs w:val="18"/>
              </w:rPr>
              <w:t>Managing an individual’s expectations in respect of personal development</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_Toc210917602 \h </w:instrText>
            </w:r>
            <w:r w:rsidRPr="009517E3">
              <w:rPr>
                <w:noProof/>
                <w:webHidden/>
                <w:sz w:val="18"/>
                <w:szCs w:val="18"/>
              </w:rPr>
            </w:r>
            <w:r w:rsidRPr="009517E3">
              <w:rPr>
                <w:noProof/>
                <w:webHidden/>
                <w:sz w:val="18"/>
                <w:szCs w:val="18"/>
              </w:rPr>
              <w:fldChar w:fldCharType="separate"/>
            </w:r>
            <w:r w:rsidR="007501DC">
              <w:rPr>
                <w:noProof/>
                <w:webHidden/>
                <w:sz w:val="18"/>
                <w:szCs w:val="18"/>
              </w:rPr>
              <w:t>6</w:t>
            </w:r>
            <w:r w:rsidRPr="009517E3">
              <w:rPr>
                <w:noProof/>
                <w:webHidden/>
                <w:sz w:val="18"/>
                <w:szCs w:val="18"/>
              </w:rPr>
              <w:fldChar w:fldCharType="end"/>
            </w:r>
          </w:hyperlink>
        </w:p>
        <w:p w14:paraId="0424F493" w14:textId="4E8FA5FF" w:rsidR="009517E3" w:rsidRPr="009517E3" w:rsidRDefault="009517E3">
          <w:pPr>
            <w:pStyle w:val="TOC2"/>
            <w:tabs>
              <w:tab w:val="right" w:leader="dot" w:pos="9016"/>
            </w:tabs>
            <w:rPr>
              <w:noProof/>
              <w:kern w:val="2"/>
              <w:sz w:val="18"/>
              <w:szCs w:val="18"/>
              <w:lang w:eastAsia="en-GB"/>
              <w14:ligatures w14:val="standardContextual"/>
            </w:rPr>
          </w:pPr>
          <w:hyperlink w:anchor="_Toc210917603" w:history="1">
            <w:r w:rsidRPr="009517E3">
              <w:rPr>
                <w:rStyle w:val="Hyperlink"/>
                <w:rFonts w:ascii="Calibri" w:eastAsia="Calibri" w:hAnsi="Calibri" w:cs="Calibri"/>
                <w:noProof/>
                <w:sz w:val="18"/>
                <w:szCs w:val="18"/>
              </w:rPr>
              <w:t>Wants and Needs</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_Toc210917603 \h </w:instrText>
            </w:r>
            <w:r w:rsidRPr="009517E3">
              <w:rPr>
                <w:noProof/>
                <w:webHidden/>
                <w:sz w:val="18"/>
                <w:szCs w:val="18"/>
              </w:rPr>
            </w:r>
            <w:r w:rsidRPr="009517E3">
              <w:rPr>
                <w:noProof/>
                <w:webHidden/>
                <w:sz w:val="18"/>
                <w:szCs w:val="18"/>
              </w:rPr>
              <w:fldChar w:fldCharType="separate"/>
            </w:r>
            <w:r w:rsidR="007501DC">
              <w:rPr>
                <w:noProof/>
                <w:webHidden/>
                <w:sz w:val="18"/>
                <w:szCs w:val="18"/>
              </w:rPr>
              <w:t>6</w:t>
            </w:r>
            <w:r w:rsidRPr="009517E3">
              <w:rPr>
                <w:noProof/>
                <w:webHidden/>
                <w:sz w:val="18"/>
                <w:szCs w:val="18"/>
              </w:rPr>
              <w:fldChar w:fldCharType="end"/>
            </w:r>
          </w:hyperlink>
        </w:p>
        <w:p w14:paraId="18C76B78" w14:textId="689F8BBD" w:rsidR="009517E3" w:rsidRPr="009517E3" w:rsidRDefault="009517E3">
          <w:pPr>
            <w:pStyle w:val="TOC2"/>
            <w:tabs>
              <w:tab w:val="right" w:leader="dot" w:pos="9016"/>
            </w:tabs>
            <w:rPr>
              <w:noProof/>
              <w:kern w:val="2"/>
              <w:sz w:val="18"/>
              <w:szCs w:val="18"/>
              <w:lang w:eastAsia="en-GB"/>
              <w14:ligatures w14:val="standardContextual"/>
            </w:rPr>
          </w:pPr>
          <w:hyperlink w:anchor="_Toc210917604" w:history="1">
            <w:r w:rsidRPr="009517E3">
              <w:rPr>
                <w:rStyle w:val="Hyperlink"/>
                <w:rFonts w:ascii="Calibri" w:eastAsia="Calibri" w:hAnsi="Calibri" w:cs="Calibri"/>
                <w:noProof/>
                <w:sz w:val="18"/>
                <w:szCs w:val="18"/>
              </w:rPr>
              <w:t>Conflict</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_Toc210917604 \h </w:instrText>
            </w:r>
            <w:r w:rsidRPr="009517E3">
              <w:rPr>
                <w:noProof/>
                <w:webHidden/>
                <w:sz w:val="18"/>
                <w:szCs w:val="18"/>
              </w:rPr>
            </w:r>
            <w:r w:rsidRPr="009517E3">
              <w:rPr>
                <w:noProof/>
                <w:webHidden/>
                <w:sz w:val="18"/>
                <w:szCs w:val="18"/>
              </w:rPr>
              <w:fldChar w:fldCharType="separate"/>
            </w:r>
            <w:r w:rsidR="007501DC">
              <w:rPr>
                <w:noProof/>
                <w:webHidden/>
                <w:sz w:val="18"/>
                <w:szCs w:val="18"/>
              </w:rPr>
              <w:t>6</w:t>
            </w:r>
            <w:r w:rsidRPr="009517E3">
              <w:rPr>
                <w:noProof/>
                <w:webHidden/>
                <w:sz w:val="18"/>
                <w:szCs w:val="18"/>
              </w:rPr>
              <w:fldChar w:fldCharType="end"/>
            </w:r>
          </w:hyperlink>
        </w:p>
        <w:p w14:paraId="357299AF" w14:textId="3D34B47F" w:rsidR="009517E3" w:rsidRPr="009517E3" w:rsidRDefault="009517E3">
          <w:pPr>
            <w:pStyle w:val="TOC2"/>
            <w:tabs>
              <w:tab w:val="right" w:leader="dot" w:pos="9016"/>
            </w:tabs>
            <w:rPr>
              <w:noProof/>
              <w:kern w:val="2"/>
              <w:sz w:val="18"/>
              <w:szCs w:val="18"/>
              <w:lang w:eastAsia="en-GB"/>
              <w14:ligatures w14:val="standardContextual"/>
            </w:rPr>
          </w:pPr>
          <w:hyperlink w:anchor="_Toc210917605" w:history="1">
            <w:r w:rsidRPr="009517E3">
              <w:rPr>
                <w:rStyle w:val="Hyperlink"/>
                <w:rFonts w:ascii="Calibri" w:eastAsia="Calibri" w:hAnsi="Calibri" w:cs="Calibri"/>
                <w:noProof/>
                <w:sz w:val="18"/>
                <w:szCs w:val="18"/>
              </w:rPr>
              <w:t>Costs</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_Toc210917605 \h </w:instrText>
            </w:r>
            <w:r w:rsidRPr="009517E3">
              <w:rPr>
                <w:noProof/>
                <w:webHidden/>
                <w:sz w:val="18"/>
                <w:szCs w:val="18"/>
              </w:rPr>
            </w:r>
            <w:r w:rsidRPr="009517E3">
              <w:rPr>
                <w:noProof/>
                <w:webHidden/>
                <w:sz w:val="18"/>
                <w:szCs w:val="18"/>
              </w:rPr>
              <w:fldChar w:fldCharType="separate"/>
            </w:r>
            <w:r w:rsidR="007501DC">
              <w:rPr>
                <w:noProof/>
                <w:webHidden/>
                <w:sz w:val="18"/>
                <w:szCs w:val="18"/>
              </w:rPr>
              <w:t>7</w:t>
            </w:r>
            <w:r w:rsidRPr="009517E3">
              <w:rPr>
                <w:noProof/>
                <w:webHidden/>
                <w:sz w:val="18"/>
                <w:szCs w:val="18"/>
              </w:rPr>
              <w:fldChar w:fldCharType="end"/>
            </w:r>
          </w:hyperlink>
        </w:p>
        <w:p w14:paraId="087EA62B" w14:textId="71CBF803" w:rsidR="009517E3" w:rsidRPr="009517E3" w:rsidRDefault="009517E3">
          <w:pPr>
            <w:pStyle w:val="TOC2"/>
            <w:tabs>
              <w:tab w:val="right" w:leader="dot" w:pos="9016"/>
            </w:tabs>
            <w:rPr>
              <w:noProof/>
              <w:kern w:val="2"/>
              <w:sz w:val="18"/>
              <w:szCs w:val="18"/>
              <w:lang w:eastAsia="en-GB"/>
              <w14:ligatures w14:val="standardContextual"/>
            </w:rPr>
          </w:pPr>
          <w:hyperlink w:anchor="_Toc210917606" w:history="1">
            <w:r w:rsidRPr="009517E3">
              <w:rPr>
                <w:rStyle w:val="Hyperlink"/>
                <w:rFonts w:ascii="Calibri" w:eastAsia="Calibri" w:hAnsi="Calibri" w:cs="Calibri"/>
                <w:noProof/>
                <w:sz w:val="18"/>
                <w:szCs w:val="18"/>
              </w:rPr>
              <w:t>Opportunities</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_Toc210917606 \h </w:instrText>
            </w:r>
            <w:r w:rsidRPr="009517E3">
              <w:rPr>
                <w:noProof/>
                <w:webHidden/>
                <w:sz w:val="18"/>
                <w:szCs w:val="18"/>
              </w:rPr>
            </w:r>
            <w:r w:rsidRPr="009517E3">
              <w:rPr>
                <w:noProof/>
                <w:webHidden/>
                <w:sz w:val="18"/>
                <w:szCs w:val="18"/>
              </w:rPr>
              <w:fldChar w:fldCharType="separate"/>
            </w:r>
            <w:r w:rsidR="007501DC">
              <w:rPr>
                <w:noProof/>
                <w:webHidden/>
                <w:sz w:val="18"/>
                <w:szCs w:val="18"/>
              </w:rPr>
              <w:t>7</w:t>
            </w:r>
            <w:r w:rsidRPr="009517E3">
              <w:rPr>
                <w:noProof/>
                <w:webHidden/>
                <w:sz w:val="18"/>
                <w:szCs w:val="18"/>
              </w:rPr>
              <w:fldChar w:fldCharType="end"/>
            </w:r>
          </w:hyperlink>
        </w:p>
        <w:p w14:paraId="7DB9800E" w14:textId="617EF9B4" w:rsidR="009517E3" w:rsidRPr="009517E3" w:rsidRDefault="009517E3">
          <w:pPr>
            <w:pStyle w:val="TOC2"/>
            <w:tabs>
              <w:tab w:val="right" w:leader="dot" w:pos="9016"/>
            </w:tabs>
            <w:rPr>
              <w:noProof/>
              <w:kern w:val="2"/>
              <w:sz w:val="18"/>
              <w:szCs w:val="18"/>
              <w:lang w:eastAsia="en-GB"/>
              <w14:ligatures w14:val="standardContextual"/>
            </w:rPr>
          </w:pPr>
          <w:hyperlink w:anchor="_Toc210917607" w:history="1">
            <w:r w:rsidRPr="009517E3">
              <w:rPr>
                <w:rStyle w:val="Hyperlink"/>
                <w:rFonts w:ascii="Calibri" w:eastAsia="Calibri" w:hAnsi="Calibri" w:cs="Calibri"/>
                <w:noProof/>
                <w:sz w:val="18"/>
                <w:szCs w:val="18"/>
              </w:rPr>
              <w:t>Scope</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_Toc210917607 \h </w:instrText>
            </w:r>
            <w:r w:rsidRPr="009517E3">
              <w:rPr>
                <w:noProof/>
                <w:webHidden/>
                <w:sz w:val="18"/>
                <w:szCs w:val="18"/>
              </w:rPr>
            </w:r>
            <w:r w:rsidRPr="009517E3">
              <w:rPr>
                <w:noProof/>
                <w:webHidden/>
                <w:sz w:val="18"/>
                <w:szCs w:val="18"/>
              </w:rPr>
              <w:fldChar w:fldCharType="separate"/>
            </w:r>
            <w:r w:rsidR="007501DC">
              <w:rPr>
                <w:noProof/>
                <w:webHidden/>
                <w:sz w:val="18"/>
                <w:szCs w:val="18"/>
              </w:rPr>
              <w:t>8</w:t>
            </w:r>
            <w:r w:rsidRPr="009517E3">
              <w:rPr>
                <w:noProof/>
                <w:webHidden/>
                <w:sz w:val="18"/>
                <w:szCs w:val="18"/>
              </w:rPr>
              <w:fldChar w:fldCharType="end"/>
            </w:r>
          </w:hyperlink>
        </w:p>
        <w:p w14:paraId="5072A161" w14:textId="7626116B" w:rsidR="009517E3" w:rsidRPr="009517E3" w:rsidRDefault="009517E3">
          <w:pPr>
            <w:pStyle w:val="TOC2"/>
            <w:tabs>
              <w:tab w:val="right" w:leader="dot" w:pos="9016"/>
            </w:tabs>
            <w:rPr>
              <w:noProof/>
              <w:kern w:val="2"/>
              <w:sz w:val="18"/>
              <w:szCs w:val="18"/>
              <w:lang w:eastAsia="en-GB"/>
              <w14:ligatures w14:val="standardContextual"/>
            </w:rPr>
          </w:pPr>
          <w:hyperlink w:anchor="_Toc210917608" w:history="1">
            <w:r w:rsidRPr="009517E3">
              <w:rPr>
                <w:rStyle w:val="Hyperlink"/>
                <w:rFonts w:ascii="Calibri" w:eastAsia="Calibri" w:hAnsi="Calibri" w:cs="Calibri"/>
                <w:noProof/>
                <w:sz w:val="18"/>
                <w:szCs w:val="18"/>
              </w:rPr>
              <w:t>Time</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_Toc210917608 \h </w:instrText>
            </w:r>
            <w:r w:rsidRPr="009517E3">
              <w:rPr>
                <w:noProof/>
                <w:webHidden/>
                <w:sz w:val="18"/>
                <w:szCs w:val="18"/>
              </w:rPr>
            </w:r>
            <w:r w:rsidRPr="009517E3">
              <w:rPr>
                <w:noProof/>
                <w:webHidden/>
                <w:sz w:val="18"/>
                <w:szCs w:val="18"/>
              </w:rPr>
              <w:fldChar w:fldCharType="separate"/>
            </w:r>
            <w:r w:rsidR="007501DC">
              <w:rPr>
                <w:noProof/>
                <w:webHidden/>
                <w:sz w:val="18"/>
                <w:szCs w:val="18"/>
              </w:rPr>
              <w:t>8</w:t>
            </w:r>
            <w:r w:rsidRPr="009517E3">
              <w:rPr>
                <w:noProof/>
                <w:webHidden/>
                <w:sz w:val="18"/>
                <w:szCs w:val="18"/>
              </w:rPr>
              <w:fldChar w:fldCharType="end"/>
            </w:r>
          </w:hyperlink>
        </w:p>
        <w:p w14:paraId="58A5EFA9" w14:textId="4F7C7E94" w:rsidR="009517E3" w:rsidRPr="009517E3" w:rsidRDefault="009517E3">
          <w:pPr>
            <w:pStyle w:val="TOC1"/>
            <w:tabs>
              <w:tab w:val="right" w:leader="dot" w:pos="9016"/>
            </w:tabs>
            <w:rPr>
              <w:noProof/>
              <w:kern w:val="2"/>
              <w:sz w:val="18"/>
              <w:szCs w:val="18"/>
              <w:lang w:eastAsia="en-GB"/>
              <w14:ligatures w14:val="standardContextual"/>
            </w:rPr>
          </w:pPr>
          <w:hyperlink w:anchor="_Toc210917609" w:history="1">
            <w:r w:rsidRPr="009517E3">
              <w:rPr>
                <w:rStyle w:val="Hyperlink"/>
                <w:rFonts w:ascii="Calibri" w:eastAsia="Calibri" w:hAnsi="Calibri" w:cs="Calibri"/>
                <w:noProof/>
                <w:sz w:val="18"/>
                <w:szCs w:val="18"/>
              </w:rPr>
              <w:t>Evaluating development vehicles available to the organisation appropriate to the development needs of the individual.</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_Toc210917609 \h </w:instrText>
            </w:r>
            <w:r w:rsidRPr="009517E3">
              <w:rPr>
                <w:noProof/>
                <w:webHidden/>
                <w:sz w:val="18"/>
                <w:szCs w:val="18"/>
              </w:rPr>
            </w:r>
            <w:r w:rsidRPr="009517E3">
              <w:rPr>
                <w:noProof/>
                <w:webHidden/>
                <w:sz w:val="18"/>
                <w:szCs w:val="18"/>
              </w:rPr>
              <w:fldChar w:fldCharType="separate"/>
            </w:r>
            <w:r w:rsidR="007501DC">
              <w:rPr>
                <w:noProof/>
                <w:webHidden/>
                <w:sz w:val="18"/>
                <w:szCs w:val="18"/>
              </w:rPr>
              <w:t>9</w:t>
            </w:r>
            <w:r w:rsidRPr="009517E3">
              <w:rPr>
                <w:noProof/>
                <w:webHidden/>
                <w:sz w:val="18"/>
                <w:szCs w:val="18"/>
              </w:rPr>
              <w:fldChar w:fldCharType="end"/>
            </w:r>
          </w:hyperlink>
        </w:p>
        <w:p w14:paraId="70E81609" w14:textId="0095037D" w:rsidR="009517E3" w:rsidRPr="009517E3" w:rsidRDefault="009517E3">
          <w:pPr>
            <w:pStyle w:val="TOC2"/>
            <w:tabs>
              <w:tab w:val="right" w:leader="dot" w:pos="9016"/>
            </w:tabs>
            <w:rPr>
              <w:noProof/>
              <w:kern w:val="2"/>
              <w:sz w:val="18"/>
              <w:szCs w:val="18"/>
              <w:lang w:eastAsia="en-GB"/>
              <w14:ligatures w14:val="standardContextual"/>
            </w:rPr>
          </w:pPr>
          <w:hyperlink w:anchor="_Toc210917610" w:history="1">
            <w:r w:rsidRPr="009517E3">
              <w:rPr>
                <w:rStyle w:val="Hyperlink"/>
                <w:rFonts w:ascii="Calibri" w:eastAsia="Calibri" w:hAnsi="Calibri" w:cs="Calibri"/>
                <w:noProof/>
                <w:sz w:val="18"/>
                <w:szCs w:val="18"/>
              </w:rPr>
              <w:t>Available Vehicles;</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_Toc210917610 \h </w:instrText>
            </w:r>
            <w:r w:rsidRPr="009517E3">
              <w:rPr>
                <w:noProof/>
                <w:webHidden/>
                <w:sz w:val="18"/>
                <w:szCs w:val="18"/>
              </w:rPr>
            </w:r>
            <w:r w:rsidRPr="009517E3">
              <w:rPr>
                <w:noProof/>
                <w:webHidden/>
                <w:sz w:val="18"/>
                <w:szCs w:val="18"/>
              </w:rPr>
              <w:fldChar w:fldCharType="separate"/>
            </w:r>
            <w:r w:rsidR="007501DC">
              <w:rPr>
                <w:noProof/>
                <w:webHidden/>
                <w:sz w:val="18"/>
                <w:szCs w:val="18"/>
              </w:rPr>
              <w:t>9</w:t>
            </w:r>
            <w:r w:rsidRPr="009517E3">
              <w:rPr>
                <w:noProof/>
                <w:webHidden/>
                <w:sz w:val="18"/>
                <w:szCs w:val="18"/>
              </w:rPr>
              <w:fldChar w:fldCharType="end"/>
            </w:r>
          </w:hyperlink>
        </w:p>
        <w:p w14:paraId="12A249D7" w14:textId="561B5C04" w:rsidR="009517E3" w:rsidRPr="009517E3" w:rsidRDefault="009517E3">
          <w:pPr>
            <w:pStyle w:val="TOC3"/>
            <w:tabs>
              <w:tab w:val="right" w:leader="dot" w:pos="9016"/>
            </w:tabs>
            <w:rPr>
              <w:noProof/>
              <w:kern w:val="2"/>
              <w:sz w:val="18"/>
              <w:szCs w:val="18"/>
              <w:lang w:eastAsia="en-GB"/>
              <w14:ligatures w14:val="standardContextual"/>
            </w:rPr>
          </w:pPr>
          <w:hyperlink w:anchor="_Toc210917611" w:history="1">
            <w:r w:rsidRPr="009517E3">
              <w:rPr>
                <w:rStyle w:val="Hyperlink"/>
                <w:rFonts w:ascii="Calibri" w:eastAsia="Calibri" w:hAnsi="Calibri" w:cs="Calibri"/>
                <w:noProof/>
                <w:sz w:val="18"/>
                <w:szCs w:val="18"/>
              </w:rPr>
              <w:t>Mentoring</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_Toc210917611 \h </w:instrText>
            </w:r>
            <w:r w:rsidRPr="009517E3">
              <w:rPr>
                <w:noProof/>
                <w:webHidden/>
                <w:sz w:val="18"/>
                <w:szCs w:val="18"/>
              </w:rPr>
            </w:r>
            <w:r w:rsidRPr="009517E3">
              <w:rPr>
                <w:noProof/>
                <w:webHidden/>
                <w:sz w:val="18"/>
                <w:szCs w:val="18"/>
              </w:rPr>
              <w:fldChar w:fldCharType="separate"/>
            </w:r>
            <w:r w:rsidR="007501DC">
              <w:rPr>
                <w:noProof/>
                <w:webHidden/>
                <w:sz w:val="18"/>
                <w:szCs w:val="18"/>
              </w:rPr>
              <w:t>9</w:t>
            </w:r>
            <w:r w:rsidRPr="009517E3">
              <w:rPr>
                <w:noProof/>
                <w:webHidden/>
                <w:sz w:val="18"/>
                <w:szCs w:val="18"/>
              </w:rPr>
              <w:fldChar w:fldCharType="end"/>
            </w:r>
          </w:hyperlink>
        </w:p>
        <w:p w14:paraId="76F7663D" w14:textId="60BECE8E" w:rsidR="009517E3" w:rsidRPr="009517E3" w:rsidRDefault="009517E3">
          <w:pPr>
            <w:pStyle w:val="TOC3"/>
            <w:tabs>
              <w:tab w:val="right" w:leader="dot" w:pos="9016"/>
            </w:tabs>
            <w:rPr>
              <w:noProof/>
              <w:kern w:val="2"/>
              <w:sz w:val="18"/>
              <w:szCs w:val="18"/>
              <w:lang w:eastAsia="en-GB"/>
              <w14:ligatures w14:val="standardContextual"/>
            </w:rPr>
          </w:pPr>
          <w:hyperlink w:anchor="_Toc210917612" w:history="1">
            <w:r w:rsidRPr="009517E3">
              <w:rPr>
                <w:rStyle w:val="Hyperlink"/>
                <w:rFonts w:ascii="Calibri" w:eastAsia="Calibri" w:hAnsi="Calibri" w:cs="Calibri"/>
                <w:noProof/>
                <w:sz w:val="18"/>
                <w:szCs w:val="18"/>
              </w:rPr>
              <w:t>Shadowing</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_Toc210917612 \h </w:instrText>
            </w:r>
            <w:r w:rsidRPr="009517E3">
              <w:rPr>
                <w:noProof/>
                <w:webHidden/>
                <w:sz w:val="18"/>
                <w:szCs w:val="18"/>
              </w:rPr>
            </w:r>
            <w:r w:rsidRPr="009517E3">
              <w:rPr>
                <w:noProof/>
                <w:webHidden/>
                <w:sz w:val="18"/>
                <w:szCs w:val="18"/>
              </w:rPr>
              <w:fldChar w:fldCharType="separate"/>
            </w:r>
            <w:r w:rsidR="007501DC">
              <w:rPr>
                <w:noProof/>
                <w:webHidden/>
                <w:sz w:val="18"/>
                <w:szCs w:val="18"/>
              </w:rPr>
              <w:t>9</w:t>
            </w:r>
            <w:r w:rsidRPr="009517E3">
              <w:rPr>
                <w:noProof/>
                <w:webHidden/>
                <w:sz w:val="18"/>
                <w:szCs w:val="18"/>
              </w:rPr>
              <w:fldChar w:fldCharType="end"/>
            </w:r>
          </w:hyperlink>
        </w:p>
        <w:p w14:paraId="0C1A27A7" w14:textId="0E6E5557" w:rsidR="009517E3" w:rsidRPr="009517E3" w:rsidRDefault="009517E3">
          <w:pPr>
            <w:pStyle w:val="TOC3"/>
            <w:tabs>
              <w:tab w:val="right" w:leader="dot" w:pos="9016"/>
            </w:tabs>
            <w:rPr>
              <w:noProof/>
              <w:kern w:val="2"/>
              <w:sz w:val="18"/>
              <w:szCs w:val="18"/>
              <w:lang w:eastAsia="en-GB"/>
              <w14:ligatures w14:val="standardContextual"/>
            </w:rPr>
          </w:pPr>
          <w:hyperlink w:anchor="_Toc210917613" w:history="1">
            <w:r w:rsidRPr="009517E3">
              <w:rPr>
                <w:rStyle w:val="Hyperlink"/>
                <w:rFonts w:ascii="Calibri" w:eastAsia="Calibri" w:hAnsi="Calibri" w:cs="Calibri"/>
                <w:noProof/>
                <w:sz w:val="18"/>
                <w:szCs w:val="18"/>
              </w:rPr>
              <w:t>Courses</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_Toc210917613 \h </w:instrText>
            </w:r>
            <w:r w:rsidRPr="009517E3">
              <w:rPr>
                <w:noProof/>
                <w:webHidden/>
                <w:sz w:val="18"/>
                <w:szCs w:val="18"/>
              </w:rPr>
            </w:r>
            <w:r w:rsidRPr="009517E3">
              <w:rPr>
                <w:noProof/>
                <w:webHidden/>
                <w:sz w:val="18"/>
                <w:szCs w:val="18"/>
              </w:rPr>
              <w:fldChar w:fldCharType="separate"/>
            </w:r>
            <w:r w:rsidR="007501DC">
              <w:rPr>
                <w:noProof/>
                <w:webHidden/>
                <w:sz w:val="18"/>
                <w:szCs w:val="18"/>
              </w:rPr>
              <w:t>10</w:t>
            </w:r>
            <w:r w:rsidRPr="009517E3">
              <w:rPr>
                <w:noProof/>
                <w:webHidden/>
                <w:sz w:val="18"/>
                <w:szCs w:val="18"/>
              </w:rPr>
              <w:fldChar w:fldCharType="end"/>
            </w:r>
          </w:hyperlink>
        </w:p>
        <w:p w14:paraId="626FDDF3" w14:textId="7B438D01" w:rsidR="009517E3" w:rsidRPr="009517E3" w:rsidRDefault="009517E3">
          <w:pPr>
            <w:pStyle w:val="TOC2"/>
            <w:tabs>
              <w:tab w:val="right" w:leader="dot" w:pos="9016"/>
            </w:tabs>
            <w:rPr>
              <w:noProof/>
              <w:kern w:val="2"/>
              <w:sz w:val="18"/>
              <w:szCs w:val="18"/>
              <w:lang w:eastAsia="en-GB"/>
              <w14:ligatures w14:val="standardContextual"/>
            </w:rPr>
          </w:pPr>
          <w:hyperlink w:anchor="_Toc210917614" w:history="1">
            <w:r w:rsidRPr="009517E3">
              <w:rPr>
                <w:rStyle w:val="Hyperlink"/>
                <w:rFonts w:ascii="Calibri" w:eastAsia="Calibri" w:hAnsi="Calibri" w:cs="Calibri"/>
                <w:noProof/>
                <w:sz w:val="18"/>
                <w:szCs w:val="18"/>
              </w:rPr>
              <w:t>Which vehicle best suits the organisation?</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_Toc210917614 \h </w:instrText>
            </w:r>
            <w:r w:rsidRPr="009517E3">
              <w:rPr>
                <w:noProof/>
                <w:webHidden/>
                <w:sz w:val="18"/>
                <w:szCs w:val="18"/>
              </w:rPr>
            </w:r>
            <w:r w:rsidRPr="009517E3">
              <w:rPr>
                <w:noProof/>
                <w:webHidden/>
                <w:sz w:val="18"/>
                <w:szCs w:val="18"/>
              </w:rPr>
              <w:fldChar w:fldCharType="separate"/>
            </w:r>
            <w:r w:rsidR="007501DC">
              <w:rPr>
                <w:noProof/>
                <w:webHidden/>
                <w:sz w:val="18"/>
                <w:szCs w:val="18"/>
              </w:rPr>
              <w:t>10</w:t>
            </w:r>
            <w:r w:rsidRPr="009517E3">
              <w:rPr>
                <w:noProof/>
                <w:webHidden/>
                <w:sz w:val="18"/>
                <w:szCs w:val="18"/>
              </w:rPr>
              <w:fldChar w:fldCharType="end"/>
            </w:r>
          </w:hyperlink>
        </w:p>
        <w:p w14:paraId="78A29A87" w14:textId="398B33A2" w:rsidR="009517E3" w:rsidRPr="009517E3" w:rsidRDefault="009517E3">
          <w:pPr>
            <w:pStyle w:val="TOC3"/>
            <w:tabs>
              <w:tab w:val="right" w:leader="dot" w:pos="9016"/>
            </w:tabs>
            <w:rPr>
              <w:noProof/>
              <w:kern w:val="2"/>
              <w:sz w:val="18"/>
              <w:szCs w:val="18"/>
              <w:lang w:eastAsia="en-GB"/>
              <w14:ligatures w14:val="standardContextual"/>
            </w:rPr>
          </w:pPr>
          <w:hyperlink w:anchor="_Toc210917615" w:history="1">
            <w:r w:rsidRPr="009517E3">
              <w:rPr>
                <w:rStyle w:val="Hyperlink"/>
                <w:rFonts w:ascii="Calibri" w:eastAsia="Calibri" w:hAnsi="Calibri" w:cs="Calibri"/>
                <w:noProof/>
                <w:sz w:val="18"/>
                <w:szCs w:val="18"/>
              </w:rPr>
              <w:t>Knowledge</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_Toc210917615 \h </w:instrText>
            </w:r>
            <w:r w:rsidRPr="009517E3">
              <w:rPr>
                <w:noProof/>
                <w:webHidden/>
                <w:sz w:val="18"/>
                <w:szCs w:val="18"/>
              </w:rPr>
            </w:r>
            <w:r w:rsidRPr="009517E3">
              <w:rPr>
                <w:noProof/>
                <w:webHidden/>
                <w:sz w:val="18"/>
                <w:szCs w:val="18"/>
              </w:rPr>
              <w:fldChar w:fldCharType="separate"/>
            </w:r>
            <w:r w:rsidR="007501DC">
              <w:rPr>
                <w:noProof/>
                <w:webHidden/>
                <w:sz w:val="18"/>
                <w:szCs w:val="18"/>
              </w:rPr>
              <w:t>11</w:t>
            </w:r>
            <w:r w:rsidRPr="009517E3">
              <w:rPr>
                <w:noProof/>
                <w:webHidden/>
                <w:sz w:val="18"/>
                <w:szCs w:val="18"/>
              </w:rPr>
              <w:fldChar w:fldCharType="end"/>
            </w:r>
          </w:hyperlink>
        </w:p>
        <w:p w14:paraId="110F126D" w14:textId="7BC3128B" w:rsidR="009517E3" w:rsidRPr="009517E3" w:rsidRDefault="009517E3">
          <w:pPr>
            <w:pStyle w:val="TOC3"/>
            <w:tabs>
              <w:tab w:val="right" w:leader="dot" w:pos="9016"/>
            </w:tabs>
            <w:rPr>
              <w:noProof/>
              <w:kern w:val="2"/>
              <w:sz w:val="18"/>
              <w:szCs w:val="18"/>
              <w:lang w:eastAsia="en-GB"/>
              <w14:ligatures w14:val="standardContextual"/>
            </w:rPr>
          </w:pPr>
          <w:hyperlink w:anchor="_Toc210917616" w:history="1">
            <w:r w:rsidRPr="009517E3">
              <w:rPr>
                <w:rStyle w:val="Hyperlink"/>
                <w:rFonts w:ascii="Calibri" w:eastAsia="Calibri" w:hAnsi="Calibri" w:cs="Calibri"/>
                <w:noProof/>
                <w:sz w:val="18"/>
                <w:szCs w:val="18"/>
              </w:rPr>
              <w:t>Resources</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_Toc210917616 \h </w:instrText>
            </w:r>
            <w:r w:rsidRPr="009517E3">
              <w:rPr>
                <w:noProof/>
                <w:webHidden/>
                <w:sz w:val="18"/>
                <w:szCs w:val="18"/>
              </w:rPr>
            </w:r>
            <w:r w:rsidRPr="009517E3">
              <w:rPr>
                <w:noProof/>
                <w:webHidden/>
                <w:sz w:val="18"/>
                <w:szCs w:val="18"/>
              </w:rPr>
              <w:fldChar w:fldCharType="separate"/>
            </w:r>
            <w:r w:rsidR="007501DC">
              <w:rPr>
                <w:noProof/>
                <w:webHidden/>
                <w:sz w:val="18"/>
                <w:szCs w:val="18"/>
              </w:rPr>
              <w:t>11</w:t>
            </w:r>
            <w:r w:rsidRPr="009517E3">
              <w:rPr>
                <w:noProof/>
                <w:webHidden/>
                <w:sz w:val="18"/>
                <w:szCs w:val="18"/>
              </w:rPr>
              <w:fldChar w:fldCharType="end"/>
            </w:r>
          </w:hyperlink>
        </w:p>
        <w:p w14:paraId="0A4289F0" w14:textId="1C5993D0" w:rsidR="009517E3" w:rsidRPr="009517E3" w:rsidRDefault="009517E3">
          <w:pPr>
            <w:pStyle w:val="TOC3"/>
            <w:tabs>
              <w:tab w:val="right" w:leader="dot" w:pos="9016"/>
            </w:tabs>
            <w:rPr>
              <w:noProof/>
              <w:kern w:val="2"/>
              <w:sz w:val="18"/>
              <w:szCs w:val="18"/>
              <w:lang w:eastAsia="en-GB"/>
              <w14:ligatures w14:val="standardContextual"/>
            </w:rPr>
          </w:pPr>
          <w:hyperlink w:anchor="_Toc210917617" w:history="1">
            <w:r w:rsidRPr="009517E3">
              <w:rPr>
                <w:rStyle w:val="Hyperlink"/>
                <w:rFonts w:ascii="Calibri" w:eastAsia="Calibri" w:hAnsi="Calibri" w:cs="Calibri"/>
                <w:noProof/>
                <w:sz w:val="18"/>
                <w:szCs w:val="18"/>
              </w:rPr>
              <w:t>Vision / Mission / Strategy</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_Toc210917617 \h </w:instrText>
            </w:r>
            <w:r w:rsidRPr="009517E3">
              <w:rPr>
                <w:noProof/>
                <w:webHidden/>
                <w:sz w:val="18"/>
                <w:szCs w:val="18"/>
              </w:rPr>
            </w:r>
            <w:r w:rsidRPr="009517E3">
              <w:rPr>
                <w:noProof/>
                <w:webHidden/>
                <w:sz w:val="18"/>
                <w:szCs w:val="18"/>
              </w:rPr>
              <w:fldChar w:fldCharType="separate"/>
            </w:r>
            <w:r w:rsidR="007501DC">
              <w:rPr>
                <w:noProof/>
                <w:webHidden/>
                <w:sz w:val="18"/>
                <w:szCs w:val="18"/>
              </w:rPr>
              <w:t>12</w:t>
            </w:r>
            <w:r w:rsidRPr="009517E3">
              <w:rPr>
                <w:noProof/>
                <w:webHidden/>
                <w:sz w:val="18"/>
                <w:szCs w:val="18"/>
              </w:rPr>
              <w:fldChar w:fldCharType="end"/>
            </w:r>
          </w:hyperlink>
        </w:p>
        <w:p w14:paraId="35B2615A" w14:textId="0DCE60FD" w:rsidR="009517E3" w:rsidRPr="009517E3" w:rsidRDefault="009517E3">
          <w:pPr>
            <w:pStyle w:val="TOC3"/>
            <w:tabs>
              <w:tab w:val="right" w:leader="dot" w:pos="9016"/>
            </w:tabs>
            <w:rPr>
              <w:noProof/>
              <w:kern w:val="2"/>
              <w:sz w:val="18"/>
              <w:szCs w:val="18"/>
              <w:lang w:eastAsia="en-GB"/>
              <w14:ligatures w14:val="standardContextual"/>
            </w:rPr>
          </w:pPr>
          <w:hyperlink w:anchor="_Toc210917618" w:history="1">
            <w:r w:rsidRPr="009517E3">
              <w:rPr>
                <w:rStyle w:val="Hyperlink"/>
                <w:rFonts w:ascii="Calibri" w:eastAsia="Calibri" w:hAnsi="Calibri" w:cs="Calibri"/>
                <w:noProof/>
                <w:sz w:val="18"/>
                <w:szCs w:val="18"/>
              </w:rPr>
              <w:t>Organisational Culture and long-term sustainability</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_Toc210917618 \h </w:instrText>
            </w:r>
            <w:r w:rsidRPr="009517E3">
              <w:rPr>
                <w:noProof/>
                <w:webHidden/>
                <w:sz w:val="18"/>
                <w:szCs w:val="18"/>
              </w:rPr>
            </w:r>
            <w:r w:rsidRPr="009517E3">
              <w:rPr>
                <w:noProof/>
                <w:webHidden/>
                <w:sz w:val="18"/>
                <w:szCs w:val="18"/>
              </w:rPr>
              <w:fldChar w:fldCharType="separate"/>
            </w:r>
            <w:r w:rsidR="007501DC">
              <w:rPr>
                <w:noProof/>
                <w:webHidden/>
                <w:sz w:val="18"/>
                <w:szCs w:val="18"/>
              </w:rPr>
              <w:t>12</w:t>
            </w:r>
            <w:r w:rsidRPr="009517E3">
              <w:rPr>
                <w:noProof/>
                <w:webHidden/>
                <w:sz w:val="18"/>
                <w:szCs w:val="18"/>
              </w:rPr>
              <w:fldChar w:fldCharType="end"/>
            </w:r>
          </w:hyperlink>
        </w:p>
        <w:p w14:paraId="174D9722" w14:textId="55EC5729" w:rsidR="009517E3" w:rsidRPr="009517E3" w:rsidRDefault="009517E3">
          <w:pPr>
            <w:pStyle w:val="TOC1"/>
            <w:tabs>
              <w:tab w:val="right" w:leader="dot" w:pos="9016"/>
            </w:tabs>
            <w:rPr>
              <w:noProof/>
              <w:kern w:val="2"/>
              <w:sz w:val="18"/>
              <w:szCs w:val="18"/>
              <w:lang w:eastAsia="en-GB"/>
              <w14:ligatures w14:val="standardContextual"/>
            </w:rPr>
          </w:pPr>
          <w:hyperlink w:anchor="_Toc210917619" w:history="1">
            <w:r w:rsidRPr="009517E3">
              <w:rPr>
                <w:rStyle w:val="Hyperlink"/>
                <w:rFonts w:ascii="Calibri" w:eastAsia="Calibri" w:hAnsi="Calibri" w:cs="Calibri"/>
                <w:noProof/>
                <w:sz w:val="18"/>
                <w:szCs w:val="18"/>
              </w:rPr>
              <w:t>Plans to meet the identified development needs of the individual in the workplace and how it’s used to manage performance.</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_Toc210917619 \h </w:instrText>
            </w:r>
            <w:r w:rsidRPr="009517E3">
              <w:rPr>
                <w:noProof/>
                <w:webHidden/>
                <w:sz w:val="18"/>
                <w:szCs w:val="18"/>
              </w:rPr>
            </w:r>
            <w:r w:rsidRPr="009517E3">
              <w:rPr>
                <w:noProof/>
                <w:webHidden/>
                <w:sz w:val="18"/>
                <w:szCs w:val="18"/>
              </w:rPr>
              <w:fldChar w:fldCharType="separate"/>
            </w:r>
            <w:r w:rsidR="007501DC">
              <w:rPr>
                <w:noProof/>
                <w:webHidden/>
                <w:sz w:val="18"/>
                <w:szCs w:val="18"/>
              </w:rPr>
              <w:t>13</w:t>
            </w:r>
            <w:r w:rsidRPr="009517E3">
              <w:rPr>
                <w:noProof/>
                <w:webHidden/>
                <w:sz w:val="18"/>
                <w:szCs w:val="18"/>
              </w:rPr>
              <w:fldChar w:fldCharType="end"/>
            </w:r>
          </w:hyperlink>
        </w:p>
        <w:p w14:paraId="16ABBA3D" w14:textId="1D8EBE7B" w:rsidR="009517E3" w:rsidRPr="009517E3" w:rsidRDefault="009517E3">
          <w:pPr>
            <w:pStyle w:val="TOC2"/>
            <w:tabs>
              <w:tab w:val="right" w:leader="dot" w:pos="9016"/>
            </w:tabs>
            <w:rPr>
              <w:noProof/>
              <w:kern w:val="2"/>
              <w:sz w:val="18"/>
              <w:szCs w:val="18"/>
              <w:lang w:eastAsia="en-GB"/>
              <w14:ligatures w14:val="standardContextual"/>
            </w:rPr>
          </w:pPr>
          <w:hyperlink w:anchor="_Toc210917620" w:history="1">
            <w:r w:rsidRPr="009517E3">
              <w:rPr>
                <w:rStyle w:val="Hyperlink"/>
                <w:rFonts w:ascii="Calibri" w:eastAsia="Calibri" w:hAnsi="Calibri" w:cs="Calibri"/>
                <w:noProof/>
                <w:sz w:val="18"/>
                <w:szCs w:val="18"/>
              </w:rPr>
              <w:t>Gap Analysis</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_Toc210917620 \h </w:instrText>
            </w:r>
            <w:r w:rsidRPr="009517E3">
              <w:rPr>
                <w:noProof/>
                <w:webHidden/>
                <w:sz w:val="18"/>
                <w:szCs w:val="18"/>
              </w:rPr>
            </w:r>
            <w:r w:rsidRPr="009517E3">
              <w:rPr>
                <w:noProof/>
                <w:webHidden/>
                <w:sz w:val="18"/>
                <w:szCs w:val="18"/>
              </w:rPr>
              <w:fldChar w:fldCharType="separate"/>
            </w:r>
            <w:r w:rsidR="007501DC">
              <w:rPr>
                <w:noProof/>
                <w:webHidden/>
                <w:sz w:val="18"/>
                <w:szCs w:val="18"/>
              </w:rPr>
              <w:t>13</w:t>
            </w:r>
            <w:r w:rsidRPr="009517E3">
              <w:rPr>
                <w:noProof/>
                <w:webHidden/>
                <w:sz w:val="18"/>
                <w:szCs w:val="18"/>
              </w:rPr>
              <w:fldChar w:fldCharType="end"/>
            </w:r>
          </w:hyperlink>
        </w:p>
        <w:p w14:paraId="55146331" w14:textId="70EF3A39" w:rsidR="009517E3" w:rsidRPr="009517E3" w:rsidRDefault="009517E3">
          <w:pPr>
            <w:pStyle w:val="TOC2"/>
            <w:tabs>
              <w:tab w:val="right" w:leader="dot" w:pos="9016"/>
            </w:tabs>
            <w:rPr>
              <w:noProof/>
              <w:kern w:val="2"/>
              <w:sz w:val="18"/>
              <w:szCs w:val="18"/>
              <w:lang w:eastAsia="en-GB"/>
              <w14:ligatures w14:val="standardContextual"/>
            </w:rPr>
          </w:pPr>
          <w:hyperlink w:anchor="_Toc210917621" w:history="1">
            <w:r w:rsidRPr="009517E3">
              <w:rPr>
                <w:rStyle w:val="Hyperlink"/>
                <w:rFonts w:ascii="Calibri" w:eastAsia="Calibri" w:hAnsi="Calibri" w:cs="Calibri"/>
                <w:noProof/>
                <w:sz w:val="18"/>
                <w:szCs w:val="18"/>
              </w:rPr>
              <w:t>Personal Development Plan (PDP)</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_Toc210917621 \h </w:instrText>
            </w:r>
            <w:r w:rsidRPr="009517E3">
              <w:rPr>
                <w:noProof/>
                <w:webHidden/>
                <w:sz w:val="18"/>
                <w:szCs w:val="18"/>
              </w:rPr>
            </w:r>
            <w:r w:rsidRPr="009517E3">
              <w:rPr>
                <w:noProof/>
                <w:webHidden/>
                <w:sz w:val="18"/>
                <w:szCs w:val="18"/>
              </w:rPr>
              <w:fldChar w:fldCharType="separate"/>
            </w:r>
            <w:r w:rsidR="007501DC">
              <w:rPr>
                <w:noProof/>
                <w:webHidden/>
                <w:sz w:val="18"/>
                <w:szCs w:val="18"/>
              </w:rPr>
              <w:t>13</w:t>
            </w:r>
            <w:r w:rsidRPr="009517E3">
              <w:rPr>
                <w:noProof/>
                <w:webHidden/>
                <w:sz w:val="18"/>
                <w:szCs w:val="18"/>
              </w:rPr>
              <w:fldChar w:fldCharType="end"/>
            </w:r>
          </w:hyperlink>
        </w:p>
        <w:p w14:paraId="0A2E2F03" w14:textId="33031587" w:rsidR="009517E3" w:rsidRPr="009517E3" w:rsidRDefault="009517E3">
          <w:pPr>
            <w:pStyle w:val="TOC2"/>
            <w:tabs>
              <w:tab w:val="right" w:leader="dot" w:pos="9016"/>
            </w:tabs>
            <w:rPr>
              <w:noProof/>
              <w:kern w:val="2"/>
              <w:sz w:val="18"/>
              <w:szCs w:val="18"/>
              <w:lang w:eastAsia="en-GB"/>
              <w14:ligatures w14:val="standardContextual"/>
            </w:rPr>
          </w:pPr>
          <w:hyperlink w:anchor="_Toc210917622" w:history="1">
            <w:r w:rsidRPr="009517E3">
              <w:rPr>
                <w:rStyle w:val="Hyperlink"/>
                <w:rFonts w:ascii="Calibri" w:eastAsia="Calibri" w:hAnsi="Calibri" w:cs="Calibri"/>
                <w:noProof/>
                <w:sz w:val="18"/>
                <w:szCs w:val="18"/>
              </w:rPr>
              <w:t>SMART</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_Toc210917622 \h </w:instrText>
            </w:r>
            <w:r w:rsidRPr="009517E3">
              <w:rPr>
                <w:noProof/>
                <w:webHidden/>
                <w:sz w:val="18"/>
                <w:szCs w:val="18"/>
              </w:rPr>
            </w:r>
            <w:r w:rsidRPr="009517E3">
              <w:rPr>
                <w:noProof/>
                <w:webHidden/>
                <w:sz w:val="18"/>
                <w:szCs w:val="18"/>
              </w:rPr>
              <w:fldChar w:fldCharType="separate"/>
            </w:r>
            <w:r w:rsidR="007501DC">
              <w:rPr>
                <w:noProof/>
                <w:webHidden/>
                <w:sz w:val="18"/>
                <w:szCs w:val="18"/>
              </w:rPr>
              <w:t>13</w:t>
            </w:r>
            <w:r w:rsidRPr="009517E3">
              <w:rPr>
                <w:noProof/>
                <w:webHidden/>
                <w:sz w:val="18"/>
                <w:szCs w:val="18"/>
              </w:rPr>
              <w:fldChar w:fldCharType="end"/>
            </w:r>
          </w:hyperlink>
        </w:p>
        <w:p w14:paraId="28CE4242" w14:textId="5F3F8374" w:rsidR="009517E3" w:rsidRPr="009517E3" w:rsidRDefault="009517E3">
          <w:pPr>
            <w:pStyle w:val="TOC1"/>
            <w:tabs>
              <w:tab w:val="right" w:leader="dot" w:pos="9016"/>
            </w:tabs>
            <w:rPr>
              <w:noProof/>
              <w:kern w:val="2"/>
              <w:sz w:val="18"/>
              <w:szCs w:val="18"/>
              <w:lang w:eastAsia="en-GB"/>
              <w14:ligatures w14:val="standardContextual"/>
            </w:rPr>
          </w:pPr>
          <w:hyperlink w:anchor="_Toc210917623" w:history="1">
            <w:r w:rsidRPr="009517E3">
              <w:rPr>
                <w:rStyle w:val="Hyperlink"/>
                <w:rFonts w:ascii="Calibri" w:eastAsia="Calibri" w:hAnsi="Calibri" w:cs="Calibri"/>
                <w:noProof/>
                <w:sz w:val="18"/>
                <w:szCs w:val="18"/>
              </w:rPr>
              <w:t>Conclusion</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_Toc210917623 \h </w:instrText>
            </w:r>
            <w:r w:rsidRPr="009517E3">
              <w:rPr>
                <w:noProof/>
                <w:webHidden/>
                <w:sz w:val="18"/>
                <w:szCs w:val="18"/>
              </w:rPr>
            </w:r>
            <w:r w:rsidRPr="009517E3">
              <w:rPr>
                <w:noProof/>
                <w:webHidden/>
                <w:sz w:val="18"/>
                <w:szCs w:val="18"/>
              </w:rPr>
              <w:fldChar w:fldCharType="separate"/>
            </w:r>
            <w:r w:rsidR="007501DC">
              <w:rPr>
                <w:noProof/>
                <w:webHidden/>
                <w:sz w:val="18"/>
                <w:szCs w:val="18"/>
              </w:rPr>
              <w:t>13</w:t>
            </w:r>
            <w:r w:rsidRPr="009517E3">
              <w:rPr>
                <w:noProof/>
                <w:webHidden/>
                <w:sz w:val="18"/>
                <w:szCs w:val="18"/>
              </w:rPr>
              <w:fldChar w:fldCharType="end"/>
            </w:r>
          </w:hyperlink>
        </w:p>
        <w:p w14:paraId="0BD0B259" w14:textId="5B149DE6" w:rsidR="009517E3" w:rsidRPr="009517E3" w:rsidRDefault="009517E3">
          <w:pPr>
            <w:pStyle w:val="TOC1"/>
            <w:tabs>
              <w:tab w:val="right" w:leader="dot" w:pos="9016"/>
            </w:tabs>
            <w:rPr>
              <w:noProof/>
              <w:kern w:val="2"/>
              <w:sz w:val="18"/>
              <w:szCs w:val="18"/>
              <w:lang w:eastAsia="en-GB"/>
              <w14:ligatures w14:val="standardContextual"/>
            </w:rPr>
          </w:pPr>
          <w:hyperlink w:anchor="_Toc210917624" w:history="1">
            <w:r w:rsidRPr="009517E3">
              <w:rPr>
                <w:rStyle w:val="Hyperlink"/>
                <w:noProof/>
                <w:sz w:val="18"/>
                <w:szCs w:val="18"/>
              </w:rPr>
              <w:t>References</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_Toc210917624 \h </w:instrText>
            </w:r>
            <w:r w:rsidRPr="009517E3">
              <w:rPr>
                <w:noProof/>
                <w:webHidden/>
                <w:sz w:val="18"/>
                <w:szCs w:val="18"/>
              </w:rPr>
            </w:r>
            <w:r w:rsidRPr="009517E3">
              <w:rPr>
                <w:noProof/>
                <w:webHidden/>
                <w:sz w:val="18"/>
                <w:szCs w:val="18"/>
              </w:rPr>
              <w:fldChar w:fldCharType="separate"/>
            </w:r>
            <w:r w:rsidR="007501DC">
              <w:rPr>
                <w:noProof/>
                <w:webHidden/>
                <w:sz w:val="18"/>
                <w:szCs w:val="18"/>
              </w:rPr>
              <w:t>15</w:t>
            </w:r>
            <w:r w:rsidRPr="009517E3">
              <w:rPr>
                <w:noProof/>
                <w:webHidden/>
                <w:sz w:val="18"/>
                <w:szCs w:val="18"/>
              </w:rPr>
              <w:fldChar w:fldCharType="end"/>
            </w:r>
          </w:hyperlink>
        </w:p>
        <w:p w14:paraId="6056C809" w14:textId="60703A98" w:rsidR="009517E3" w:rsidRPr="009517E3" w:rsidRDefault="009517E3">
          <w:pPr>
            <w:pStyle w:val="TOC1"/>
            <w:tabs>
              <w:tab w:val="right" w:leader="dot" w:pos="9016"/>
            </w:tabs>
            <w:rPr>
              <w:noProof/>
              <w:kern w:val="2"/>
              <w:sz w:val="18"/>
              <w:szCs w:val="18"/>
              <w:lang w:eastAsia="en-GB"/>
              <w14:ligatures w14:val="standardContextual"/>
            </w:rPr>
          </w:pPr>
          <w:hyperlink w:anchor="_Toc210917625" w:history="1">
            <w:r w:rsidRPr="009517E3">
              <w:rPr>
                <w:rStyle w:val="Hyperlink"/>
                <w:noProof/>
                <w:sz w:val="18"/>
                <w:szCs w:val="18"/>
              </w:rPr>
              <w:t>Appendix A</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_Toc210917625 \h </w:instrText>
            </w:r>
            <w:r w:rsidRPr="009517E3">
              <w:rPr>
                <w:noProof/>
                <w:webHidden/>
                <w:sz w:val="18"/>
                <w:szCs w:val="18"/>
              </w:rPr>
            </w:r>
            <w:r w:rsidRPr="009517E3">
              <w:rPr>
                <w:noProof/>
                <w:webHidden/>
                <w:sz w:val="18"/>
                <w:szCs w:val="18"/>
              </w:rPr>
              <w:fldChar w:fldCharType="separate"/>
            </w:r>
            <w:r w:rsidR="007501DC">
              <w:rPr>
                <w:noProof/>
                <w:webHidden/>
                <w:sz w:val="18"/>
                <w:szCs w:val="18"/>
              </w:rPr>
              <w:t>16</w:t>
            </w:r>
            <w:r w:rsidRPr="009517E3">
              <w:rPr>
                <w:noProof/>
                <w:webHidden/>
                <w:sz w:val="18"/>
                <w:szCs w:val="18"/>
              </w:rPr>
              <w:fldChar w:fldCharType="end"/>
            </w:r>
          </w:hyperlink>
        </w:p>
        <w:p w14:paraId="7C44FAF3" w14:textId="1B0F6A07" w:rsidR="009517E3" w:rsidRPr="009517E3" w:rsidRDefault="009517E3">
          <w:pPr>
            <w:pStyle w:val="TOC1"/>
            <w:tabs>
              <w:tab w:val="right" w:leader="dot" w:pos="9016"/>
            </w:tabs>
            <w:rPr>
              <w:noProof/>
              <w:kern w:val="2"/>
              <w:sz w:val="18"/>
              <w:szCs w:val="18"/>
              <w:lang w:eastAsia="en-GB"/>
              <w14:ligatures w14:val="standardContextual"/>
            </w:rPr>
          </w:pPr>
          <w:hyperlink w:anchor="_Toc210917626" w:history="1">
            <w:r w:rsidRPr="009517E3">
              <w:rPr>
                <w:rStyle w:val="Hyperlink"/>
                <w:noProof/>
                <w:sz w:val="18"/>
                <w:szCs w:val="18"/>
              </w:rPr>
              <w:t>Appendix B</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_Toc210917626 \h </w:instrText>
            </w:r>
            <w:r w:rsidRPr="009517E3">
              <w:rPr>
                <w:noProof/>
                <w:webHidden/>
                <w:sz w:val="18"/>
                <w:szCs w:val="18"/>
              </w:rPr>
            </w:r>
            <w:r w:rsidRPr="009517E3">
              <w:rPr>
                <w:noProof/>
                <w:webHidden/>
                <w:sz w:val="18"/>
                <w:szCs w:val="18"/>
              </w:rPr>
              <w:fldChar w:fldCharType="separate"/>
            </w:r>
            <w:r w:rsidR="007501DC">
              <w:rPr>
                <w:noProof/>
                <w:webHidden/>
                <w:sz w:val="18"/>
                <w:szCs w:val="18"/>
              </w:rPr>
              <w:t>17</w:t>
            </w:r>
            <w:r w:rsidRPr="009517E3">
              <w:rPr>
                <w:noProof/>
                <w:webHidden/>
                <w:sz w:val="18"/>
                <w:szCs w:val="18"/>
              </w:rPr>
              <w:fldChar w:fldCharType="end"/>
            </w:r>
          </w:hyperlink>
        </w:p>
        <w:p w14:paraId="7D5C3BE0" w14:textId="318398FF" w:rsidR="009517E3" w:rsidRDefault="009517E3">
          <w:pPr>
            <w:pStyle w:val="TOC1"/>
            <w:tabs>
              <w:tab w:val="right" w:leader="dot" w:pos="9016"/>
            </w:tabs>
            <w:rPr>
              <w:noProof/>
              <w:kern w:val="2"/>
              <w:lang w:eastAsia="en-GB"/>
              <w14:ligatures w14:val="standardContextual"/>
            </w:rPr>
          </w:pPr>
          <w:hyperlink w:anchor="_Toc210917627" w:history="1">
            <w:r w:rsidRPr="009517E3">
              <w:rPr>
                <w:rStyle w:val="Hyperlink"/>
                <w:noProof/>
                <w:sz w:val="18"/>
                <w:szCs w:val="18"/>
              </w:rPr>
              <w:t>Appendix C</w:t>
            </w:r>
            <w:r w:rsidRPr="009517E3">
              <w:rPr>
                <w:noProof/>
                <w:webHidden/>
                <w:sz w:val="18"/>
                <w:szCs w:val="18"/>
              </w:rPr>
              <w:tab/>
            </w:r>
            <w:r w:rsidRPr="009517E3">
              <w:rPr>
                <w:noProof/>
                <w:webHidden/>
                <w:sz w:val="18"/>
                <w:szCs w:val="18"/>
              </w:rPr>
              <w:fldChar w:fldCharType="begin"/>
            </w:r>
            <w:r w:rsidRPr="009517E3">
              <w:rPr>
                <w:noProof/>
                <w:webHidden/>
                <w:sz w:val="18"/>
                <w:szCs w:val="18"/>
              </w:rPr>
              <w:instrText xml:space="preserve"> PAGEREF _Toc210917627 \h </w:instrText>
            </w:r>
            <w:r w:rsidRPr="009517E3">
              <w:rPr>
                <w:noProof/>
                <w:webHidden/>
                <w:sz w:val="18"/>
                <w:szCs w:val="18"/>
              </w:rPr>
            </w:r>
            <w:r w:rsidRPr="009517E3">
              <w:rPr>
                <w:noProof/>
                <w:webHidden/>
                <w:sz w:val="18"/>
                <w:szCs w:val="18"/>
              </w:rPr>
              <w:fldChar w:fldCharType="separate"/>
            </w:r>
            <w:r w:rsidR="007501DC">
              <w:rPr>
                <w:noProof/>
                <w:webHidden/>
                <w:sz w:val="18"/>
                <w:szCs w:val="18"/>
              </w:rPr>
              <w:t>18</w:t>
            </w:r>
            <w:r w:rsidRPr="009517E3">
              <w:rPr>
                <w:noProof/>
                <w:webHidden/>
                <w:sz w:val="18"/>
                <w:szCs w:val="18"/>
              </w:rPr>
              <w:fldChar w:fldCharType="end"/>
            </w:r>
          </w:hyperlink>
        </w:p>
        <w:p w14:paraId="70BB5859" w14:textId="56720D77" w:rsidR="00207225" w:rsidRDefault="005124D6" w:rsidP="00207225">
          <w:pPr>
            <w:rPr>
              <w:b/>
              <w:bCs/>
              <w:noProof/>
            </w:rPr>
          </w:pPr>
          <w:r w:rsidRPr="00207225">
            <w:rPr>
              <w:b/>
              <w:bCs/>
              <w:noProof/>
              <w:sz w:val="18"/>
              <w:szCs w:val="18"/>
            </w:rPr>
            <w:fldChar w:fldCharType="end"/>
          </w:r>
        </w:p>
      </w:sdtContent>
    </w:sdt>
    <w:p w14:paraId="08430BC5" w14:textId="77777777" w:rsidR="00207225" w:rsidRDefault="00207225" w:rsidP="00207225">
      <w:pPr>
        <w:rPr>
          <w:rFonts w:eastAsia="Calibri"/>
          <w:sz w:val="32"/>
          <w:szCs w:val="32"/>
        </w:rPr>
      </w:pPr>
    </w:p>
    <w:p w14:paraId="65DA3C41" w14:textId="09291624" w:rsidR="18E47505" w:rsidRPr="00C1647B" w:rsidRDefault="18E47505" w:rsidP="00C1647B">
      <w:pPr>
        <w:pStyle w:val="Heading1"/>
        <w:rPr>
          <w:rFonts w:asciiTheme="minorHAnsi" w:eastAsiaTheme="minorEastAsia" w:hAnsiTheme="minorHAnsi" w:cstheme="minorBidi"/>
          <w:b/>
          <w:bCs/>
          <w:noProof/>
          <w:sz w:val="32"/>
          <w:szCs w:val="32"/>
        </w:rPr>
      </w:pPr>
      <w:bookmarkStart w:id="0" w:name="_Toc210917595"/>
      <w:r w:rsidRPr="00C1647B">
        <w:rPr>
          <w:rFonts w:eastAsia="Calibri"/>
          <w:sz w:val="32"/>
          <w:szCs w:val="32"/>
        </w:rPr>
        <w:lastRenderedPageBreak/>
        <w:t>Introduction</w:t>
      </w:r>
      <w:bookmarkEnd w:id="0"/>
    </w:p>
    <w:p w14:paraId="11BD171E" w14:textId="7FB41D11" w:rsidR="15031F02" w:rsidRDefault="15031F02" w:rsidP="189E5E52">
      <w:pPr>
        <w:rPr>
          <w:rFonts w:ascii="Calibri" w:eastAsia="Calibri" w:hAnsi="Calibri" w:cs="Calibri"/>
        </w:rPr>
      </w:pPr>
      <w:r w:rsidRPr="189E5E52">
        <w:rPr>
          <w:rFonts w:ascii="Calibri" w:eastAsia="Calibri" w:hAnsi="Calibri" w:cs="Calibri"/>
        </w:rPr>
        <w:t xml:space="preserve">This report examines the role of innovation and individual development in the workplace as major drivers of organisational growth, efficiency, and long-term sustainability. It investigates how integrating employee development into a company's vision, goal, and strategy improves performance, engagement, and workplace culture. The report evaluates numerous learning and development vehicles, including mentorship, shadowing, and formal courses, and explains how each strategy promotes information transfer, skill acquisition, and personal improvement. Further analysis includes a GAP analysis to identify existing and desired skills, as well as a Personal Development Plan (PDP) that outlines defined activities and timetables for effectively closing skill gaps. Furthermore, SMART objectives are utilised to guarantee that development goals are clear, measurable, attainable, relevant, and time-bound, allowing for consistent evaluation and reporting. Collectively, these methods provide a clear framework for managing individual expectations, encouraging continual learning, and aligning employee development with organisational goals. The </w:t>
      </w:r>
      <w:r w:rsidR="7759C635" w:rsidRPr="189E5E52">
        <w:rPr>
          <w:rFonts w:ascii="Calibri" w:eastAsia="Calibri" w:hAnsi="Calibri" w:cs="Calibri"/>
        </w:rPr>
        <w:t>report</w:t>
      </w:r>
      <w:r w:rsidRPr="189E5E52">
        <w:rPr>
          <w:rFonts w:ascii="Calibri" w:eastAsia="Calibri" w:hAnsi="Calibri" w:cs="Calibri"/>
        </w:rPr>
        <w:t xml:space="preserve"> indicates that investment in organised professional development not only enhances individual skill, but also promotes innovation, enhanced culture, and long-term cost effectiveness within the company.</w:t>
      </w:r>
    </w:p>
    <w:p w14:paraId="00930A2B" w14:textId="3DD27B8A" w:rsidR="320D6D55" w:rsidRDefault="320D6D55" w:rsidP="189E5E52">
      <w:pPr>
        <w:rPr>
          <w:rFonts w:ascii="Calibri" w:eastAsia="Calibri" w:hAnsi="Calibri" w:cs="Calibri"/>
          <w:sz w:val="28"/>
          <w:szCs w:val="28"/>
        </w:rPr>
      </w:pPr>
    </w:p>
    <w:p w14:paraId="12A4DD5C" w14:textId="0EE8293D" w:rsidR="18E47505" w:rsidRDefault="18E47505" w:rsidP="189E5E52">
      <w:pPr>
        <w:pStyle w:val="Heading1"/>
        <w:rPr>
          <w:rFonts w:ascii="Calibri" w:eastAsia="Calibri" w:hAnsi="Calibri" w:cs="Calibri"/>
          <w:sz w:val="32"/>
          <w:szCs w:val="32"/>
        </w:rPr>
      </w:pPr>
      <w:bookmarkStart w:id="1" w:name="_Toc210917596"/>
      <w:r w:rsidRPr="189E5E52">
        <w:rPr>
          <w:rFonts w:ascii="Calibri" w:eastAsia="Calibri" w:hAnsi="Calibri" w:cs="Calibri"/>
          <w:sz w:val="32"/>
          <w:szCs w:val="32"/>
        </w:rPr>
        <w:t>Potential benefits to the organisation when developing individuals in the workplace</w:t>
      </w:r>
      <w:r w:rsidR="7A666AC0" w:rsidRPr="189E5E52">
        <w:rPr>
          <w:rFonts w:ascii="Calibri" w:eastAsia="Calibri" w:hAnsi="Calibri" w:cs="Calibri"/>
          <w:sz w:val="32"/>
          <w:szCs w:val="32"/>
        </w:rPr>
        <w:t>.</w:t>
      </w:r>
      <w:bookmarkEnd w:id="1"/>
    </w:p>
    <w:p w14:paraId="2ECF60D3" w14:textId="2FE990F6" w:rsidR="7A666AC0" w:rsidRDefault="7A666AC0" w:rsidP="189E5E52">
      <w:pPr>
        <w:pStyle w:val="Heading2"/>
        <w:rPr>
          <w:rFonts w:ascii="Calibri" w:eastAsia="Calibri" w:hAnsi="Calibri" w:cs="Calibri"/>
          <w:sz w:val="28"/>
          <w:szCs w:val="28"/>
        </w:rPr>
      </w:pPr>
      <w:bookmarkStart w:id="2" w:name="_Toc210917597"/>
      <w:r w:rsidRPr="189E5E52">
        <w:rPr>
          <w:rFonts w:ascii="Calibri" w:eastAsia="Calibri" w:hAnsi="Calibri" w:cs="Calibri"/>
          <w:sz w:val="28"/>
          <w:szCs w:val="28"/>
        </w:rPr>
        <w:t>Innovation</w:t>
      </w:r>
      <w:bookmarkEnd w:id="2"/>
    </w:p>
    <w:p w14:paraId="18BF898B" w14:textId="4A50B928" w:rsidR="2A34D0B3" w:rsidRDefault="2A34D0B3" w:rsidP="320D6D55">
      <w:pPr>
        <w:rPr>
          <w:rFonts w:ascii="Calibri" w:eastAsia="Calibri" w:hAnsi="Calibri" w:cs="Calibri"/>
        </w:rPr>
      </w:pPr>
      <w:r w:rsidRPr="189E5E52">
        <w:rPr>
          <w:rFonts w:ascii="Calibri" w:eastAsia="Calibri" w:hAnsi="Calibri" w:cs="Calibri"/>
        </w:rPr>
        <w:t>Innovation is the process of creating new ideas, goods, services, or procedures that add value while also improving efficiency, competitiveness, and customer happiness. In the corporate world, innovation is critical because it allows organisations to adapt to changing market conditions, fulfil developing client expectations, and distinguish themselves from rivals. It promotes growth by creating new income streams, streamlining operations, and increasing productivity. Furthermore, innovation promotes resilience, helping organisations to remain relevant in dynamic circumstances while achieving long-term success. Ultimately, firms that prioritise innovation are better positioned to gain a competitive advantage and provide more value to stakeholders.</w:t>
      </w:r>
      <w:r w:rsidR="0CBB0DD2" w:rsidRPr="189E5E52">
        <w:rPr>
          <w:rFonts w:ascii="Calibri" w:eastAsia="Calibri" w:hAnsi="Calibri" w:cs="Calibri"/>
        </w:rPr>
        <w:t xml:space="preserve"> </w:t>
      </w:r>
      <w:r w:rsidR="0EF60C84" w:rsidRPr="189E5E52">
        <w:rPr>
          <w:rFonts w:ascii="Calibri" w:eastAsia="Calibri" w:hAnsi="Calibri" w:cs="Calibri"/>
        </w:rPr>
        <w:t>(Crossan et al., 1999),</w:t>
      </w:r>
      <w:r w:rsidR="12710362" w:rsidRPr="189E5E52">
        <w:rPr>
          <w:rFonts w:ascii="Calibri" w:eastAsia="Calibri" w:hAnsi="Calibri" w:cs="Calibri"/>
        </w:rPr>
        <w:t xml:space="preserve"> imply that four psychological and social learning processes occur at these various stages of organisational learning: intuiting, interpreting, integrating, and institutionalising.</w:t>
      </w:r>
      <w:r w:rsidR="6E76A13E" w:rsidRPr="189E5E52">
        <w:rPr>
          <w:rFonts w:ascii="Calibri" w:eastAsia="Calibri" w:hAnsi="Calibri" w:cs="Calibri"/>
        </w:rPr>
        <w:t xml:space="preserve"> </w:t>
      </w:r>
      <w:r w:rsidR="60385863" w:rsidRPr="189E5E52">
        <w:rPr>
          <w:rFonts w:ascii="Calibri" w:eastAsia="Calibri" w:hAnsi="Calibri" w:cs="Calibri"/>
        </w:rPr>
        <w:t>They also</w:t>
      </w:r>
      <w:r w:rsidR="32539462" w:rsidRPr="189E5E52">
        <w:rPr>
          <w:rFonts w:ascii="Calibri" w:eastAsia="Calibri" w:hAnsi="Calibri" w:cs="Calibri"/>
        </w:rPr>
        <w:t xml:space="preserve"> suggest that </w:t>
      </w:r>
      <w:r w:rsidR="229A0D5A" w:rsidRPr="189E5E52">
        <w:rPr>
          <w:rFonts w:ascii="Calibri" w:eastAsia="Calibri" w:hAnsi="Calibri" w:cs="Calibri"/>
        </w:rPr>
        <w:t xml:space="preserve">some individuals possess entrepreneurial intuition, which allows them to establish innovative connections and identify emerging interconnections. </w:t>
      </w:r>
      <w:r w:rsidR="3977B697" w:rsidRPr="189E5E52">
        <w:rPr>
          <w:rFonts w:ascii="Calibri" w:eastAsia="Calibri" w:hAnsi="Calibri" w:cs="Calibri"/>
        </w:rPr>
        <w:t xml:space="preserve">However </w:t>
      </w:r>
      <w:r w:rsidR="42131C5D" w:rsidRPr="189E5E52">
        <w:rPr>
          <w:rFonts w:ascii="Calibri" w:eastAsia="Calibri" w:hAnsi="Calibri" w:cs="Calibri"/>
        </w:rPr>
        <w:t>(McGrath, 2001) says, wo</w:t>
      </w:r>
      <w:r w:rsidR="3977B697" w:rsidRPr="189E5E52">
        <w:rPr>
          <w:rFonts w:ascii="Calibri" w:eastAsia="Calibri" w:hAnsi="Calibri" w:cs="Calibri"/>
        </w:rPr>
        <w:t>rk design has a role in stimulating inventive learning through exploratory initiatives that need minimal prior knowledge and aim to learn about unknown terrain. Research suggests that focussing on variance-seeking rather than mean-seeking might lead to more innovation.</w:t>
      </w:r>
      <w:r w:rsidR="40252B8E" w:rsidRPr="189E5E52">
        <w:rPr>
          <w:rFonts w:ascii="Calibri" w:eastAsia="Calibri" w:hAnsi="Calibri" w:cs="Calibri"/>
        </w:rPr>
        <w:t xml:space="preserve"> </w:t>
      </w:r>
      <w:r w:rsidR="4421E963" w:rsidRPr="189E5E52">
        <w:rPr>
          <w:rFonts w:ascii="Calibri" w:eastAsia="Calibri" w:hAnsi="Calibri" w:cs="Calibri"/>
        </w:rPr>
        <w:t xml:space="preserve">According to </w:t>
      </w:r>
      <w:r w:rsidR="4421E963" w:rsidRPr="189E5E52">
        <w:rPr>
          <w:rFonts w:ascii="Calibri" w:eastAsia="Calibri" w:hAnsi="Calibri" w:cs="Calibri"/>
        </w:rPr>
        <w:lastRenderedPageBreak/>
        <w:t>(Ellström, 2001), workplace learning is inherently creative in that it creates change. Organisational learning is often defined as "changes in organisational practices mediated by individual learning or problem-solving processes."</w:t>
      </w:r>
    </w:p>
    <w:p w14:paraId="44463ED5" w14:textId="290B36FB" w:rsidR="7A666AC0" w:rsidRDefault="7A666AC0" w:rsidP="189E5E52">
      <w:pPr>
        <w:pStyle w:val="Heading2"/>
        <w:rPr>
          <w:rFonts w:ascii="Calibri" w:eastAsia="Calibri" w:hAnsi="Calibri" w:cs="Calibri"/>
          <w:sz w:val="28"/>
          <w:szCs w:val="28"/>
        </w:rPr>
      </w:pPr>
      <w:bookmarkStart w:id="3" w:name="_Toc210917598"/>
      <w:r w:rsidRPr="189E5E52">
        <w:rPr>
          <w:rFonts w:ascii="Calibri" w:eastAsia="Calibri" w:hAnsi="Calibri" w:cs="Calibri"/>
          <w:sz w:val="28"/>
          <w:szCs w:val="28"/>
        </w:rPr>
        <w:t>Long term cost saving</w:t>
      </w:r>
      <w:bookmarkEnd w:id="3"/>
    </w:p>
    <w:p w14:paraId="2A88B853" w14:textId="6388351B" w:rsidR="0E2E81BC" w:rsidRDefault="0E2E81BC" w:rsidP="320D6D55">
      <w:pPr>
        <w:rPr>
          <w:rFonts w:ascii="Calibri" w:eastAsia="Calibri" w:hAnsi="Calibri" w:cs="Calibri"/>
        </w:rPr>
      </w:pPr>
      <w:r w:rsidRPr="189E5E52">
        <w:rPr>
          <w:rFonts w:ascii="Calibri" w:eastAsia="Calibri" w:hAnsi="Calibri" w:cs="Calibri"/>
        </w:rPr>
        <w:t>Developing individuals in the workplace has considerable long-term advantages for a business, notably in terms of cost savings and increased efficiency. Organisations that engage in employee training and development create a trained and adaptive workforce that can complete jobs more efficiently, eliminating mistakes, rework, and lost resources. Employees who have received proper training are more engaged and motivated, which leads to improved retention rates and cheaper recruiting and onboarding expenses. Furthermore, cultivating internal talent decreases the need for costly external hiring and consulting, since current personnel are better prepared to take on increasingly complicated duties and leadership roles. Over time, this strategic investment not only boosts productivity and creativity, but it also saves money, promoting long-term corporate success.</w:t>
      </w:r>
      <w:r w:rsidR="09B77152" w:rsidRPr="189E5E52">
        <w:rPr>
          <w:rFonts w:ascii="Calibri" w:eastAsia="Calibri" w:hAnsi="Calibri" w:cs="Calibri"/>
        </w:rPr>
        <w:t xml:space="preserve"> According to (Shields &amp; Young, 1992), many businesses have discovered that establishing a long-term employment relationship is the greatest method to maximise all employees' potential for cost savings in the long run. For example, a human resource strategy focused on long-term employment, staff cross-training, continuing education, job rotation, and work teams develops an organisational skill set that allows a company to respond quickly to changes, opportunities, and threats.</w:t>
      </w:r>
    </w:p>
    <w:p w14:paraId="5873E791" w14:textId="60CDDD62" w:rsidR="7A666AC0" w:rsidRDefault="7A666AC0" w:rsidP="189E5E52">
      <w:pPr>
        <w:pStyle w:val="Heading2"/>
        <w:rPr>
          <w:rFonts w:ascii="Calibri" w:eastAsia="Calibri" w:hAnsi="Calibri" w:cs="Calibri"/>
          <w:sz w:val="28"/>
          <w:szCs w:val="28"/>
        </w:rPr>
      </w:pPr>
      <w:bookmarkStart w:id="4" w:name="_Toc210917599"/>
      <w:r w:rsidRPr="189E5E52">
        <w:rPr>
          <w:rFonts w:ascii="Calibri" w:eastAsia="Calibri" w:hAnsi="Calibri" w:cs="Calibri"/>
          <w:sz w:val="28"/>
          <w:szCs w:val="28"/>
        </w:rPr>
        <w:t>Knowledge</w:t>
      </w:r>
      <w:bookmarkEnd w:id="4"/>
    </w:p>
    <w:p w14:paraId="0DAC3909" w14:textId="1C8ED41C" w:rsidR="751E7673" w:rsidRDefault="751E7673" w:rsidP="320D6D55">
      <w:pPr>
        <w:rPr>
          <w:rFonts w:ascii="Calibri" w:eastAsia="Calibri" w:hAnsi="Calibri" w:cs="Calibri"/>
        </w:rPr>
      </w:pPr>
      <w:r w:rsidRPr="189E5E52">
        <w:rPr>
          <w:rFonts w:ascii="Calibri" w:eastAsia="Calibri" w:hAnsi="Calibri" w:cs="Calibri"/>
        </w:rPr>
        <w:t>The potential advantages of knowledge in developing individuals at work show substantial long-term value, but it also indicates circumstances and trade-offs that businesses must manage. Knowledge sharing and acquisition boost</w:t>
      </w:r>
      <w:r w:rsidR="2B777480" w:rsidRPr="189E5E52">
        <w:rPr>
          <w:rFonts w:ascii="Calibri" w:eastAsia="Calibri" w:hAnsi="Calibri" w:cs="Calibri"/>
        </w:rPr>
        <w:t>s</w:t>
      </w:r>
      <w:r w:rsidRPr="189E5E52">
        <w:rPr>
          <w:rFonts w:ascii="Calibri" w:eastAsia="Calibri" w:hAnsi="Calibri" w:cs="Calibri"/>
        </w:rPr>
        <w:t xml:space="preserve"> individual creativity and inventive conduct. </w:t>
      </w:r>
      <w:r w:rsidR="3BFA3A72" w:rsidRPr="189E5E52">
        <w:rPr>
          <w:rFonts w:ascii="Calibri" w:eastAsia="Calibri" w:hAnsi="Calibri" w:cs="Calibri"/>
        </w:rPr>
        <w:t>According to (Lee, 2018)</w:t>
      </w:r>
      <w:r w:rsidR="00A97FA9" w:rsidRPr="189E5E52">
        <w:rPr>
          <w:rFonts w:ascii="Calibri" w:eastAsia="Calibri" w:hAnsi="Calibri" w:cs="Calibri"/>
        </w:rPr>
        <w:t xml:space="preserve">, </w:t>
      </w:r>
      <w:r w:rsidR="4245D481" w:rsidRPr="189E5E52">
        <w:rPr>
          <w:rFonts w:ascii="Calibri" w:eastAsia="Calibri" w:hAnsi="Calibri" w:cs="Calibri"/>
        </w:rPr>
        <w:t>sharing information in a socio-technical environment boosts creativity.</w:t>
      </w:r>
      <w:r w:rsidR="117BC44F" w:rsidRPr="189E5E52">
        <w:rPr>
          <w:rFonts w:ascii="Calibri" w:eastAsia="Calibri" w:hAnsi="Calibri" w:cs="Calibri"/>
        </w:rPr>
        <w:t xml:space="preserve"> Similarly, recent research of IT industry workers in Pakistan found a significant connection between knowledge management and learning opportunities and job satisfaction, and hence skilled personnel retention (Naseem et al., 2025). </w:t>
      </w:r>
      <w:r w:rsidR="663357C9" w:rsidRPr="189E5E52">
        <w:rPr>
          <w:rFonts w:ascii="Calibri" w:eastAsia="Calibri" w:hAnsi="Calibri" w:cs="Calibri"/>
        </w:rPr>
        <w:t>These improvements can lead to long-term cost savings, lower turnover, reduces recruiting and training expenses, improved performance, reduces waste and mistakes, and innovation may result in more efficient operations or new income sources. However, these benefits are not automatic.</w:t>
      </w:r>
      <w:r w:rsidR="4112F115" w:rsidRPr="189E5E52">
        <w:rPr>
          <w:rFonts w:ascii="Calibri" w:eastAsia="Calibri" w:hAnsi="Calibri" w:cs="Calibri"/>
        </w:rPr>
        <w:t xml:space="preserve"> (Sabherwal et al., 2023) discusses that the value of knowledge is determined by how it is managed. Social learning, trust, communication routes, and organisational culture all play important roles. Relying only on IT-based information transmission without interpersonal or social procedures may lower perceived knowledge value.</w:t>
      </w:r>
      <w:r w:rsidR="1E416295" w:rsidRPr="189E5E52">
        <w:rPr>
          <w:rFonts w:ascii="Calibri" w:eastAsia="Calibri" w:hAnsi="Calibri" w:cs="Calibri"/>
        </w:rPr>
        <w:t xml:space="preserve"> For maximum cost savings and competitive advantage, knowledge creation must be incorporated in supportive frameworks that include both official and informal procedures.</w:t>
      </w:r>
    </w:p>
    <w:p w14:paraId="1FB5FB0A" w14:textId="62D4B052" w:rsidR="7A666AC0" w:rsidRDefault="7A666AC0" w:rsidP="189E5E52">
      <w:pPr>
        <w:pStyle w:val="Heading2"/>
        <w:rPr>
          <w:rFonts w:ascii="Calibri" w:eastAsia="Calibri" w:hAnsi="Calibri" w:cs="Calibri"/>
          <w:sz w:val="28"/>
          <w:szCs w:val="28"/>
        </w:rPr>
      </w:pPr>
      <w:bookmarkStart w:id="5" w:name="_Toc210917600"/>
      <w:r w:rsidRPr="189E5E52">
        <w:rPr>
          <w:rFonts w:ascii="Calibri" w:eastAsia="Calibri" w:hAnsi="Calibri" w:cs="Calibri"/>
          <w:sz w:val="28"/>
          <w:szCs w:val="28"/>
        </w:rPr>
        <w:lastRenderedPageBreak/>
        <w:t>Closer alignment with vision, mission and strategy</w:t>
      </w:r>
      <w:bookmarkEnd w:id="5"/>
    </w:p>
    <w:p w14:paraId="36349386" w14:textId="6F3A1682" w:rsidR="54A04E55" w:rsidRDefault="5065E3E7" w:rsidP="189E5E52">
      <w:pPr>
        <w:rPr>
          <w:rFonts w:ascii="Calibri" w:eastAsia="Calibri" w:hAnsi="Calibri" w:cs="Calibri"/>
        </w:rPr>
      </w:pPr>
      <w:r w:rsidRPr="189E5E52">
        <w:rPr>
          <w:rFonts w:ascii="Calibri" w:eastAsia="Calibri" w:hAnsi="Calibri" w:cs="Calibri"/>
        </w:rPr>
        <w:t>The advantages of achieving strong alignment between an organi</w:t>
      </w:r>
      <w:r w:rsidR="00BA52FC">
        <w:rPr>
          <w:rFonts w:ascii="Calibri" w:eastAsia="Calibri" w:hAnsi="Calibri" w:cs="Calibri"/>
        </w:rPr>
        <w:t>s</w:t>
      </w:r>
      <w:r w:rsidRPr="189E5E52">
        <w:rPr>
          <w:rFonts w:ascii="Calibri" w:eastAsia="Calibri" w:hAnsi="Calibri" w:cs="Calibri"/>
        </w:rPr>
        <w:t>ation's vision, goal, and strategy when training employees in the workplace indicate significant upside but also possible problems that must be controlled. Empirical research demonstrates that integrating individual objectives and development plans with the organi</w:t>
      </w:r>
      <w:r w:rsidR="00BA52FC">
        <w:rPr>
          <w:rFonts w:ascii="Calibri" w:eastAsia="Calibri" w:hAnsi="Calibri" w:cs="Calibri"/>
        </w:rPr>
        <w:t>s</w:t>
      </w:r>
      <w:r w:rsidRPr="189E5E52">
        <w:rPr>
          <w:rFonts w:ascii="Calibri" w:eastAsia="Calibri" w:hAnsi="Calibri" w:cs="Calibri"/>
        </w:rPr>
        <w:t>ation's vision and strategy improves clarity, purpose, engagement, and motivation.</w:t>
      </w:r>
      <w:r w:rsidR="65E29923" w:rsidRPr="189E5E52">
        <w:rPr>
          <w:rFonts w:ascii="Calibri" w:eastAsia="Calibri" w:hAnsi="Calibri" w:cs="Calibri"/>
        </w:rPr>
        <w:t xml:space="preserve"> For example</w:t>
      </w:r>
      <w:r w:rsidR="235E6E67" w:rsidRPr="189E5E52">
        <w:rPr>
          <w:rFonts w:ascii="Calibri" w:eastAsia="Calibri" w:hAnsi="Calibri" w:cs="Calibri"/>
        </w:rPr>
        <w:t>, (Ayers, 2015) said that employee performance increases when they understand how their jobs relate to larger strategic goals.</w:t>
      </w:r>
      <w:r w:rsidR="61F5C795" w:rsidRPr="189E5E52">
        <w:rPr>
          <w:rFonts w:ascii="Calibri" w:eastAsia="Calibri" w:hAnsi="Calibri" w:cs="Calibri"/>
        </w:rPr>
        <w:t xml:space="preserve"> In similar research</w:t>
      </w:r>
      <w:r w:rsidR="05CD8EAC" w:rsidRPr="189E5E52">
        <w:rPr>
          <w:rFonts w:ascii="Calibri" w:eastAsia="Calibri" w:hAnsi="Calibri" w:cs="Calibri"/>
        </w:rPr>
        <w:t>, (Ji et al., 2024)</w:t>
      </w:r>
      <w:r w:rsidR="41C941D9" w:rsidRPr="189E5E52">
        <w:rPr>
          <w:rFonts w:ascii="Calibri" w:eastAsia="Calibri" w:hAnsi="Calibri" w:cs="Calibri"/>
        </w:rPr>
        <w:t xml:space="preserve"> reveals that effective communication of goal, along with strong employee engagement and leader support, has a favourable impact on quality results.</w:t>
      </w:r>
      <w:r w:rsidR="706A56BA" w:rsidRPr="189E5E52">
        <w:rPr>
          <w:rFonts w:ascii="Calibri" w:eastAsia="Calibri" w:hAnsi="Calibri" w:cs="Calibri"/>
        </w:rPr>
        <w:t xml:space="preserve"> </w:t>
      </w:r>
      <w:r w:rsidR="54A04E55" w:rsidRPr="189E5E52">
        <w:rPr>
          <w:rFonts w:ascii="Calibri" w:eastAsia="Calibri" w:hAnsi="Calibri" w:cs="Calibri"/>
        </w:rPr>
        <w:t>From a long-term strategic perspective, this alignment supports many organisational efficiencies. It reduces wasted effort, because employees know which activities are priorities. It helps reduce resistance to change, because individuals see how change maps to the mission. It also improves retention, because individuals feel their work has meaning. As well as strengthening cultural integration, which enhances coordination and reduces duplication or conflicting activity.</w:t>
      </w:r>
      <w:r w:rsidR="5CB7D0C5" w:rsidRPr="189E5E52">
        <w:rPr>
          <w:rFonts w:ascii="Calibri" w:eastAsia="Calibri" w:hAnsi="Calibri" w:cs="Calibri"/>
        </w:rPr>
        <w:t xml:space="preserve"> However, there are certain limitations where alignment is insufficient if the vision/mission/strategy is ambiguous, poorly communicated, or disconnected from realities on the ground.</w:t>
      </w:r>
      <w:r w:rsidR="258BDDDD" w:rsidRPr="189E5E52">
        <w:rPr>
          <w:rFonts w:ascii="Calibri" w:eastAsia="Calibri" w:hAnsi="Calibri" w:cs="Calibri"/>
        </w:rPr>
        <w:t xml:space="preserve"> According to (Smith &amp; Thomas, 2023), Overly strict alignment based on extremely explicit strategy declarations can occasionally decrease flexibility, weaken intrinsic commitment when trade-offs are apparent, and even hinder performance if people feel confined.</w:t>
      </w:r>
      <w:r w:rsidR="25A7FA5C" w:rsidRPr="189E5E52">
        <w:rPr>
          <w:rFonts w:ascii="Calibri" w:eastAsia="Calibri" w:hAnsi="Calibri" w:cs="Calibri"/>
        </w:rPr>
        <w:t xml:space="preserve"> Therefore, although close alignment of strategy, purpose, and vision in individual development provides significant benefits such as increased engagement, clarity of goals, improved performance, and perhaps fewer costs. To minimise unexpected outcomes, it must be adopted with careful consideration for communication clarity, employee participation, flexibility balance, and resource alignment.</w:t>
      </w:r>
    </w:p>
    <w:p w14:paraId="5986FAC1" w14:textId="4815F2F1" w:rsidR="7A666AC0" w:rsidRDefault="7A666AC0" w:rsidP="320D6D55">
      <w:pPr>
        <w:pStyle w:val="Heading2"/>
        <w:rPr>
          <w:rFonts w:ascii="Calibri" w:eastAsia="Calibri" w:hAnsi="Calibri" w:cs="Calibri"/>
          <w:sz w:val="24"/>
          <w:szCs w:val="24"/>
        </w:rPr>
      </w:pPr>
      <w:bookmarkStart w:id="6" w:name="_Toc210917601"/>
      <w:r w:rsidRPr="189E5E52">
        <w:rPr>
          <w:rFonts w:ascii="Calibri" w:eastAsia="Calibri" w:hAnsi="Calibri" w:cs="Calibri"/>
          <w:sz w:val="28"/>
          <w:szCs w:val="28"/>
        </w:rPr>
        <w:t>Improved workplace culture</w:t>
      </w:r>
      <w:bookmarkEnd w:id="6"/>
    </w:p>
    <w:p w14:paraId="4954B5CB" w14:textId="24025975" w:rsidR="25E3D0A3" w:rsidRDefault="25E3D0A3" w:rsidP="320D6D55">
      <w:pPr>
        <w:rPr>
          <w:rFonts w:ascii="Calibri" w:eastAsia="Calibri" w:hAnsi="Calibri" w:cs="Calibri"/>
        </w:rPr>
      </w:pPr>
      <w:r w:rsidRPr="189E5E52">
        <w:rPr>
          <w:rFonts w:ascii="Calibri" w:eastAsia="Calibri" w:hAnsi="Calibri" w:cs="Calibri"/>
        </w:rPr>
        <w:t>A thorough examination of how enhanced workplace culture helps organisations in the long run finds several benefits, as well as significant concerns. Research indicates that a good culture defined by shared values, supportive leadership, open communication, and psychological safety corresponds with increased employee engagement, job satisfaction, and retention</w:t>
      </w:r>
      <w:r w:rsidR="6F85CB45" w:rsidRPr="189E5E52">
        <w:rPr>
          <w:rFonts w:ascii="Calibri" w:eastAsia="Calibri" w:hAnsi="Calibri" w:cs="Calibri"/>
        </w:rPr>
        <w:t xml:space="preserve"> (Barajas, 2024). For example, </w:t>
      </w:r>
      <w:r w:rsidR="724836D0" w:rsidRPr="189E5E52">
        <w:rPr>
          <w:rFonts w:ascii="Calibri" w:eastAsia="Calibri" w:hAnsi="Calibri" w:cs="Calibri"/>
        </w:rPr>
        <w:t>according to</w:t>
      </w:r>
      <w:r w:rsidR="574BF163" w:rsidRPr="189E5E52">
        <w:rPr>
          <w:rFonts w:ascii="Calibri" w:eastAsia="Calibri" w:hAnsi="Calibri" w:cs="Calibri"/>
        </w:rPr>
        <w:t xml:space="preserve"> (Tripathi &amp; Kalia, 2022), </w:t>
      </w:r>
      <w:r w:rsidR="724836D0" w:rsidRPr="189E5E52">
        <w:rPr>
          <w:rFonts w:ascii="Calibri" w:eastAsia="Calibri" w:hAnsi="Calibri" w:cs="Calibri"/>
        </w:rPr>
        <w:t>in their research on IT organisations, they discovered that a learning culture and a friendly atmosphere promoted organisational creativity and performance by improving staff learning agility.</w:t>
      </w:r>
      <w:r w:rsidR="56058E6C" w:rsidRPr="189E5E52">
        <w:rPr>
          <w:rFonts w:ascii="Calibri" w:eastAsia="Calibri" w:hAnsi="Calibri" w:cs="Calibri"/>
        </w:rPr>
        <w:t xml:space="preserve"> However, stating cultural principles is insufficient to provide these advantages. The culture must be lived and maintained. Weaknesses in culture emerge when there is a disconnect between professed principles and leadership or everyday practice behaviours, inadequate investment in communication, or when the culture becomes inflexible rather than adaptable.</w:t>
      </w:r>
      <w:r w:rsidR="49FF33E6" w:rsidRPr="189E5E52">
        <w:rPr>
          <w:rFonts w:ascii="Calibri" w:eastAsia="Calibri" w:hAnsi="Calibri" w:cs="Calibri"/>
        </w:rPr>
        <w:t xml:space="preserve"> Furthermore, many of the studies are cross-sectional, which limits causal arguments, and what works in one area (for example, healthcare or IT) </w:t>
      </w:r>
      <w:r w:rsidR="49FF33E6" w:rsidRPr="189E5E52">
        <w:rPr>
          <w:rFonts w:ascii="Calibri" w:eastAsia="Calibri" w:hAnsi="Calibri" w:cs="Calibri"/>
        </w:rPr>
        <w:lastRenderedPageBreak/>
        <w:t>may not work in another. To summarise, developing workplace culture may result in long-term cost savings and a competitive advantage by lowering turnover, increasing productivity, and facilitating innovation. However, effective implementation necessitates constant leadership, practice alignment with ideals, and systems for feedback and change.</w:t>
      </w:r>
    </w:p>
    <w:p w14:paraId="39604152" w14:textId="4C6DFD3A" w:rsidR="7A666AC0" w:rsidRDefault="7A666AC0" w:rsidP="189E5E52">
      <w:pPr>
        <w:pStyle w:val="Heading1"/>
        <w:rPr>
          <w:rFonts w:ascii="Calibri" w:eastAsia="Calibri" w:hAnsi="Calibri" w:cs="Calibri"/>
          <w:sz w:val="32"/>
          <w:szCs w:val="32"/>
        </w:rPr>
      </w:pPr>
      <w:bookmarkStart w:id="7" w:name="_Toc210917602"/>
      <w:r w:rsidRPr="189E5E52">
        <w:rPr>
          <w:rFonts w:ascii="Calibri" w:eastAsia="Calibri" w:hAnsi="Calibri" w:cs="Calibri"/>
          <w:sz w:val="32"/>
          <w:szCs w:val="32"/>
        </w:rPr>
        <w:t>Managing an individual’s expectations in respect of personal development</w:t>
      </w:r>
      <w:bookmarkEnd w:id="7"/>
      <w:r w:rsidRPr="189E5E52">
        <w:rPr>
          <w:rFonts w:ascii="Calibri" w:eastAsia="Calibri" w:hAnsi="Calibri" w:cs="Calibri"/>
          <w:sz w:val="32"/>
          <w:szCs w:val="32"/>
        </w:rPr>
        <w:t xml:space="preserve"> </w:t>
      </w:r>
    </w:p>
    <w:p w14:paraId="515A3A9E" w14:textId="421E0E1F" w:rsidR="7A666AC0" w:rsidRDefault="7A666AC0" w:rsidP="189E5E52">
      <w:pPr>
        <w:pStyle w:val="Heading2"/>
        <w:rPr>
          <w:rFonts w:ascii="Calibri" w:eastAsia="Calibri" w:hAnsi="Calibri" w:cs="Calibri"/>
          <w:sz w:val="28"/>
          <w:szCs w:val="28"/>
        </w:rPr>
      </w:pPr>
      <w:bookmarkStart w:id="8" w:name="_Toc210917603"/>
      <w:r w:rsidRPr="189E5E52">
        <w:rPr>
          <w:rFonts w:ascii="Calibri" w:eastAsia="Calibri" w:hAnsi="Calibri" w:cs="Calibri"/>
          <w:sz w:val="28"/>
          <w:szCs w:val="28"/>
        </w:rPr>
        <w:t>Wants and Needs</w:t>
      </w:r>
      <w:bookmarkEnd w:id="8"/>
    </w:p>
    <w:p w14:paraId="0D9844BC" w14:textId="2DCF6495" w:rsidR="5765154D" w:rsidRDefault="5765154D" w:rsidP="189E5E52">
      <w:pPr>
        <w:rPr>
          <w:rFonts w:ascii="Calibri" w:eastAsia="Calibri" w:hAnsi="Calibri" w:cs="Calibri"/>
        </w:rPr>
      </w:pPr>
      <w:r w:rsidRPr="189E5E52">
        <w:rPr>
          <w:rFonts w:ascii="Calibri" w:eastAsia="Calibri" w:hAnsi="Calibri" w:cs="Calibri"/>
        </w:rPr>
        <w:t>Individual's</w:t>
      </w:r>
      <w:r w:rsidR="24D139E0" w:rsidRPr="189E5E52">
        <w:rPr>
          <w:rFonts w:ascii="Calibri" w:eastAsia="Calibri" w:hAnsi="Calibri" w:cs="Calibri"/>
        </w:rPr>
        <w:t xml:space="preserve"> expectations for personal development in the workplace typically revolve around opportunities for growth, recognition, and assistance in achieving both professional and personal objectives. Employees expect organisations to provide structured and transparent mechanisms, such as performance appraisals, to help them assess their progress and identify areas for improvement. Effective assessment systems not only assess performance, but also function as developmental tools, allowing employees and managers to have meaningful conversations about career goals, skill gaps, and </w:t>
      </w:r>
      <w:r w:rsidR="7E28BA54" w:rsidRPr="189E5E52">
        <w:rPr>
          <w:rFonts w:ascii="Calibri" w:eastAsia="Calibri" w:hAnsi="Calibri" w:cs="Calibri"/>
        </w:rPr>
        <w:t>prospects</w:t>
      </w:r>
      <w:r w:rsidR="24D139E0" w:rsidRPr="189E5E52">
        <w:rPr>
          <w:rFonts w:ascii="Calibri" w:eastAsia="Calibri" w:hAnsi="Calibri" w:cs="Calibri"/>
        </w:rPr>
        <w:t>. When these data</w:t>
      </w:r>
      <w:r w:rsidR="610C3DE0" w:rsidRPr="189E5E52">
        <w:rPr>
          <w:rFonts w:ascii="Calibri" w:eastAsia="Calibri" w:hAnsi="Calibri" w:cs="Calibri"/>
        </w:rPr>
        <w:t>s</w:t>
      </w:r>
      <w:r w:rsidR="24D139E0" w:rsidRPr="189E5E52">
        <w:rPr>
          <w:rFonts w:ascii="Calibri" w:eastAsia="Calibri" w:hAnsi="Calibri" w:cs="Calibri"/>
        </w:rPr>
        <w:t xml:space="preserve"> are leveraged to create personalised training and development programs, employees feel appreciated and motivated, which leads to increased engagement and retention.</w:t>
      </w:r>
      <w:r w:rsidR="6B95B764" w:rsidRPr="189E5E52">
        <w:rPr>
          <w:rFonts w:ascii="Calibri" w:eastAsia="Calibri" w:hAnsi="Calibri" w:cs="Calibri"/>
        </w:rPr>
        <w:t xml:space="preserve"> </w:t>
      </w:r>
      <w:r w:rsidR="064E7DB7" w:rsidRPr="189E5E52">
        <w:rPr>
          <w:rFonts w:ascii="Calibri" w:eastAsia="Calibri" w:hAnsi="Calibri" w:cs="Calibri"/>
        </w:rPr>
        <w:t>According</w:t>
      </w:r>
      <w:r w:rsidR="49AC0764" w:rsidRPr="189E5E52">
        <w:rPr>
          <w:rFonts w:ascii="Calibri" w:eastAsia="Calibri" w:hAnsi="Calibri" w:cs="Calibri"/>
        </w:rPr>
        <w:t xml:space="preserve"> to (Wiley, 2012), </w:t>
      </w:r>
      <w:r w:rsidR="1C7DFAD0" w:rsidRPr="189E5E52">
        <w:rPr>
          <w:rFonts w:ascii="Calibri" w:eastAsia="Calibri" w:hAnsi="Calibri" w:cs="Calibri"/>
        </w:rPr>
        <w:t>o</w:t>
      </w:r>
      <w:r w:rsidR="49AC0764" w:rsidRPr="189E5E52">
        <w:rPr>
          <w:rFonts w:ascii="Calibri" w:eastAsia="Calibri" w:hAnsi="Calibri" w:cs="Calibri"/>
        </w:rPr>
        <w:t>ur study demonstrates that employee involvement significantly improves organisational success. Motivating employees to go above and beyond to achieve organisational goals leads to increased productivity, lower absenteeism, higher employee retention, superior service quality, delighted clients, and improved bottom-line results.</w:t>
      </w:r>
      <w:r w:rsidR="6EC83C73" w:rsidRPr="189E5E52">
        <w:rPr>
          <w:rFonts w:ascii="Calibri" w:eastAsia="Calibri" w:hAnsi="Calibri" w:cs="Calibri"/>
        </w:rPr>
        <w:t xml:space="preserve"> Although (Velyka &amp; Guerzoni, 2020) </w:t>
      </w:r>
      <w:r w:rsidR="7AFDFC32" w:rsidRPr="189E5E52">
        <w:rPr>
          <w:rFonts w:ascii="Calibri" w:eastAsia="Calibri" w:hAnsi="Calibri" w:cs="Calibri"/>
        </w:rPr>
        <w:t>argues that when people are highly involved in collaboration, they may experience "collaborative overload," which means that too many requests to cooperate can deplete time and impair their performance on their primary responsibilities. The study discovered that certain critical workers (high expertise) become overloaded with cooperation expectations, reducing productivity and perhaps personal happiness.</w:t>
      </w:r>
      <w:r w:rsidR="49AC0764" w:rsidRPr="189E5E52">
        <w:rPr>
          <w:rFonts w:ascii="Calibri" w:eastAsia="Calibri" w:hAnsi="Calibri" w:cs="Calibri"/>
        </w:rPr>
        <w:t xml:space="preserve"> </w:t>
      </w:r>
      <w:r w:rsidR="6B95B764" w:rsidRPr="189E5E52">
        <w:rPr>
          <w:rFonts w:ascii="Calibri" w:eastAsia="Calibri" w:hAnsi="Calibri" w:cs="Calibri"/>
        </w:rPr>
        <w:t>Furthermore, integrating training activities with individual and organisational goals guarantees that development efforts benefit both personal happiness and corporate success. As a result, appraisals and targeted training programmes form a mutually beneficial relationship, encouraging continuous learning while supporting strategic workforce capability and organisational performance.</w:t>
      </w:r>
    </w:p>
    <w:p w14:paraId="2275010D" w14:textId="4CD26140" w:rsidR="544D656E" w:rsidRDefault="544D656E" w:rsidP="189E5E52">
      <w:pPr>
        <w:pStyle w:val="Heading2"/>
        <w:rPr>
          <w:rFonts w:ascii="Calibri" w:eastAsia="Calibri" w:hAnsi="Calibri" w:cs="Calibri"/>
          <w:sz w:val="28"/>
          <w:szCs w:val="28"/>
        </w:rPr>
      </w:pPr>
      <w:bookmarkStart w:id="9" w:name="_Toc210917604"/>
      <w:r w:rsidRPr="189E5E52">
        <w:rPr>
          <w:rFonts w:ascii="Calibri" w:eastAsia="Calibri" w:hAnsi="Calibri" w:cs="Calibri"/>
          <w:sz w:val="28"/>
          <w:szCs w:val="28"/>
        </w:rPr>
        <w:t>Conflict</w:t>
      </w:r>
      <w:bookmarkEnd w:id="9"/>
    </w:p>
    <w:p w14:paraId="7810CAB1" w14:textId="4065C47B" w:rsidR="544D656E" w:rsidRDefault="544D656E" w:rsidP="189E5E52">
      <w:pPr>
        <w:rPr>
          <w:rFonts w:ascii="Calibri" w:eastAsia="Calibri" w:hAnsi="Calibri" w:cs="Calibri"/>
        </w:rPr>
      </w:pPr>
      <w:r w:rsidRPr="189E5E52">
        <w:rPr>
          <w:rFonts w:ascii="Calibri" w:eastAsia="Calibri" w:hAnsi="Calibri" w:cs="Calibri"/>
        </w:rPr>
        <w:t xml:space="preserve">Conflict in the workplace can happen when an individual's expectations for personal growth differ with what the organisation can offer. For example, an individual may expect quick advancement, substantial training opportunities, or a promotion, yet the organisation may have limited resources, define growth routes, or </w:t>
      </w:r>
      <w:r w:rsidR="1487B7F8" w:rsidRPr="189E5E52">
        <w:rPr>
          <w:rFonts w:ascii="Calibri" w:eastAsia="Calibri" w:hAnsi="Calibri" w:cs="Calibri"/>
        </w:rPr>
        <w:t>compete</w:t>
      </w:r>
      <w:r w:rsidRPr="189E5E52">
        <w:rPr>
          <w:rFonts w:ascii="Calibri" w:eastAsia="Calibri" w:hAnsi="Calibri" w:cs="Calibri"/>
        </w:rPr>
        <w:t xml:space="preserve"> objectives. The benefit of such a setup is that it allows for productive communication between management and staff, resulting in increased transparency, goal alignment, and mutual understanding. It may also </w:t>
      </w:r>
      <w:r w:rsidRPr="189E5E52">
        <w:rPr>
          <w:rFonts w:ascii="Calibri" w:eastAsia="Calibri" w:hAnsi="Calibri" w:cs="Calibri"/>
        </w:rPr>
        <w:lastRenderedPageBreak/>
        <w:t>encourage people to take responsibility for their own development and seek out new opportunities within their current role.</w:t>
      </w:r>
      <w:r w:rsidR="2650F3C4" w:rsidRPr="189E5E52">
        <w:rPr>
          <w:rFonts w:ascii="Calibri" w:eastAsia="Calibri" w:hAnsi="Calibri" w:cs="Calibri"/>
        </w:rPr>
        <w:t xml:space="preserve"> However, if disappointed expectations are not addressed appropriately, they might result in frustration, diminished motivation, or disengagement. If the disagreement continues, it can have a detrimental influence on team morale, performance, and retention, emphasising the significance of open communication, reasonable goal-setting, and frequent feedback in managing development expectations.</w:t>
      </w:r>
    </w:p>
    <w:p w14:paraId="329E2B5A" w14:textId="02CC403F" w:rsidR="189E5E52" w:rsidRDefault="189E5E52" w:rsidP="189E5E52">
      <w:pPr>
        <w:rPr>
          <w:rFonts w:ascii="Calibri" w:eastAsia="Calibri" w:hAnsi="Calibri" w:cs="Calibri"/>
        </w:rPr>
      </w:pPr>
    </w:p>
    <w:p w14:paraId="17E890A3" w14:textId="7AB22AE9" w:rsidR="7A666AC0" w:rsidRDefault="7A666AC0" w:rsidP="189E5E52">
      <w:pPr>
        <w:pStyle w:val="Heading2"/>
        <w:rPr>
          <w:rFonts w:ascii="Calibri" w:eastAsia="Calibri" w:hAnsi="Calibri" w:cs="Calibri"/>
          <w:sz w:val="28"/>
          <w:szCs w:val="28"/>
        </w:rPr>
      </w:pPr>
      <w:bookmarkStart w:id="10" w:name="_Toc210917605"/>
      <w:r w:rsidRPr="189E5E52">
        <w:rPr>
          <w:rFonts w:ascii="Calibri" w:eastAsia="Calibri" w:hAnsi="Calibri" w:cs="Calibri"/>
          <w:sz w:val="28"/>
          <w:szCs w:val="28"/>
        </w:rPr>
        <w:t>Costs</w:t>
      </w:r>
      <w:bookmarkEnd w:id="10"/>
    </w:p>
    <w:p w14:paraId="2A8758D2" w14:textId="7219722D" w:rsidR="16C41C9B" w:rsidRDefault="16C41C9B" w:rsidP="189E5E52">
      <w:pPr>
        <w:rPr>
          <w:rFonts w:ascii="Calibri" w:eastAsia="Calibri" w:hAnsi="Calibri" w:cs="Calibri"/>
        </w:rPr>
      </w:pPr>
      <w:r w:rsidRPr="189E5E52">
        <w:rPr>
          <w:rFonts w:ascii="Calibri" w:eastAsia="Calibri" w:hAnsi="Calibri" w:cs="Calibri"/>
        </w:rPr>
        <w:t xml:space="preserve">Managing an individual's expectations for personal development in the workplace has substantial financial consequences that businesses must carefully consider for long-term </w:t>
      </w:r>
      <w:r w:rsidR="0701BB6D" w:rsidRPr="189E5E52">
        <w:rPr>
          <w:rFonts w:ascii="Calibri" w:eastAsia="Calibri" w:hAnsi="Calibri" w:cs="Calibri"/>
        </w:rPr>
        <w:t>\</w:t>
      </w:r>
      <w:r w:rsidRPr="189E5E52">
        <w:rPr>
          <w:rFonts w:ascii="Calibri" w:eastAsia="Calibri" w:hAnsi="Calibri" w:cs="Calibri"/>
        </w:rPr>
        <w:t>viability. On the one hand, creating high expectations entails allocating resources to extensive evaluation systems, training design and delivery, managerial time, and potentially external consultants or platforms.</w:t>
      </w:r>
      <w:r w:rsidR="695425CB" w:rsidRPr="189E5E52">
        <w:rPr>
          <w:rFonts w:ascii="Calibri" w:eastAsia="Calibri" w:hAnsi="Calibri" w:cs="Calibri"/>
        </w:rPr>
        <w:t xml:space="preserve"> </w:t>
      </w:r>
      <w:r w:rsidR="6E19F2BC" w:rsidRPr="189E5E52">
        <w:rPr>
          <w:rFonts w:ascii="Calibri" w:eastAsia="Calibri" w:hAnsi="Calibri" w:cs="Calibri"/>
        </w:rPr>
        <w:t xml:space="preserve">According to </w:t>
      </w:r>
      <w:r w:rsidR="695425CB" w:rsidRPr="189E5E52">
        <w:rPr>
          <w:rFonts w:ascii="Calibri" w:eastAsia="Calibri" w:hAnsi="Calibri" w:cs="Calibri"/>
        </w:rPr>
        <w:t>(Masero, 2024)</w:t>
      </w:r>
      <w:r w:rsidR="072740EC" w:rsidRPr="189E5E52">
        <w:rPr>
          <w:rFonts w:ascii="Calibri" w:eastAsia="Calibri" w:hAnsi="Calibri" w:cs="Calibri"/>
        </w:rPr>
        <w:t>,</w:t>
      </w:r>
      <w:r w:rsidR="476CC682" w:rsidRPr="189E5E52">
        <w:rPr>
          <w:rFonts w:ascii="Calibri" w:eastAsia="Calibri" w:hAnsi="Calibri" w:cs="Calibri"/>
        </w:rPr>
        <w:t xml:space="preserve"> in addition, training programs entail both direct expenses (e.g., instructors, facilities, travel) and indirect costs (missed productivity during training, manager/supervisor participation</w:t>
      </w:r>
      <w:r w:rsidR="476CC682" w:rsidRPr="00B211EA">
        <w:rPr>
          <w:rFonts w:ascii="Calibri" w:eastAsia="Calibri" w:hAnsi="Calibri" w:cs="Calibri"/>
        </w:rPr>
        <w:t>).</w:t>
      </w:r>
      <w:r w:rsidR="695425CB" w:rsidRPr="00B211EA">
        <w:rPr>
          <w:rFonts w:ascii="Calibri" w:eastAsia="Calibri" w:hAnsi="Calibri" w:cs="Calibri"/>
        </w:rPr>
        <w:t xml:space="preserve"> </w:t>
      </w:r>
      <w:r w:rsidR="2C343751" w:rsidRPr="00B211EA">
        <w:rPr>
          <w:rFonts w:ascii="Calibri" w:eastAsia="Calibri" w:hAnsi="Calibri" w:cs="Calibri"/>
        </w:rPr>
        <w:t>Although</w:t>
      </w:r>
      <w:r w:rsidR="64523141" w:rsidRPr="00B211EA">
        <w:rPr>
          <w:rFonts w:ascii="Calibri" w:eastAsia="Calibri" w:hAnsi="Calibri" w:cs="Calibri"/>
        </w:rPr>
        <w:t xml:space="preserve"> a study by (CIO, 2001), shows that th</w:t>
      </w:r>
      <w:r w:rsidR="2C343751" w:rsidRPr="00B211EA">
        <w:rPr>
          <w:rFonts w:ascii="Calibri" w:eastAsia="Calibri" w:hAnsi="Calibri" w:cs="Calibri"/>
        </w:rPr>
        <w:t>ese costs, however, can be offset</w:t>
      </w:r>
      <w:r w:rsidR="74C75755" w:rsidRPr="00B211EA">
        <w:rPr>
          <w:rFonts w:ascii="Calibri" w:eastAsia="Calibri" w:hAnsi="Calibri" w:cs="Calibri"/>
        </w:rPr>
        <w:t xml:space="preserve"> </w:t>
      </w:r>
      <w:r w:rsidR="2C343751" w:rsidRPr="00B211EA">
        <w:rPr>
          <w:rFonts w:ascii="Calibri" w:eastAsia="Calibri" w:hAnsi="Calibri" w:cs="Calibri"/>
        </w:rPr>
        <w:t>and perhaps outweighed</w:t>
      </w:r>
      <w:r w:rsidR="4AD25660" w:rsidRPr="00B211EA">
        <w:rPr>
          <w:rFonts w:ascii="Calibri" w:eastAsia="Calibri" w:hAnsi="Calibri" w:cs="Calibri"/>
        </w:rPr>
        <w:t xml:space="preserve"> </w:t>
      </w:r>
      <w:r w:rsidR="2C343751" w:rsidRPr="00B211EA">
        <w:rPr>
          <w:rFonts w:ascii="Calibri" w:eastAsia="Calibri" w:hAnsi="Calibri" w:cs="Calibri"/>
        </w:rPr>
        <w:t xml:space="preserve">if expectations are controlled appropriately and in line with actual achievements. </w:t>
      </w:r>
      <w:r w:rsidR="4DFE73B5" w:rsidRPr="00B211EA">
        <w:rPr>
          <w:rFonts w:ascii="Calibri" w:eastAsia="Calibri" w:hAnsi="Calibri" w:cs="Calibri"/>
        </w:rPr>
        <w:t xml:space="preserve">The same study shows that </w:t>
      </w:r>
      <w:r w:rsidR="2C343751" w:rsidRPr="00B211EA">
        <w:rPr>
          <w:rFonts w:ascii="Calibri" w:eastAsia="Calibri" w:hAnsi="Calibri" w:cs="Calibri"/>
        </w:rPr>
        <w:t>investing in 80 hours of training per year per employee cost a firm $450,000, but an 8% reduction in turnover saved $453,000. This resulted in a small net gain.</w:t>
      </w:r>
      <w:r w:rsidR="14005137" w:rsidRPr="00B211EA">
        <w:rPr>
          <w:rFonts w:ascii="Calibri" w:eastAsia="Calibri" w:hAnsi="Calibri" w:cs="Calibri"/>
        </w:rPr>
        <w:t xml:space="preserve"> However, the same study found that after analysis, reducing "non-productive" training hours (and shifting to more focused, business-relevant training) produced better results, implying that over-investment without precision can reduce the return on investment (ROI).</w:t>
      </w:r>
      <w:r w:rsidR="2EFAF31A" w:rsidRPr="00B211EA">
        <w:rPr>
          <w:rFonts w:ascii="Calibri" w:eastAsia="Calibri" w:hAnsi="Calibri" w:cs="Calibri"/>
        </w:rPr>
        <w:t xml:space="preserve"> </w:t>
      </w:r>
      <w:r w:rsidR="1E167498" w:rsidRPr="189E5E52">
        <w:rPr>
          <w:rFonts w:ascii="Calibri" w:eastAsia="Calibri" w:hAnsi="Calibri" w:cs="Calibri"/>
        </w:rPr>
        <w:t>Misaligned or over-promised development can result in unhappiness if expectations are not reached, which has consequences in the form of poorer morale, decreased engagement, potential turnover, and reputational damage. To summarise, although investing in personal development is beneficial, companies must carefully evaluate and monitor both costs and returns, design programs to realistic expectations, use data and feedback to optimise investments, and maintain clear communication to minimise waste and disillusionment.</w:t>
      </w:r>
    </w:p>
    <w:p w14:paraId="70F5B011" w14:textId="5EA420D2" w:rsidR="189E5E52" w:rsidRDefault="189E5E52" w:rsidP="189E5E52">
      <w:pPr>
        <w:rPr>
          <w:rFonts w:ascii="Calibri" w:eastAsia="Calibri" w:hAnsi="Calibri" w:cs="Calibri"/>
        </w:rPr>
      </w:pPr>
    </w:p>
    <w:p w14:paraId="6A3BE14C" w14:textId="2A9B3100" w:rsidR="7A666AC0" w:rsidRDefault="7A666AC0" w:rsidP="189E5E52">
      <w:pPr>
        <w:pStyle w:val="Heading2"/>
        <w:rPr>
          <w:rFonts w:ascii="Calibri" w:eastAsia="Calibri" w:hAnsi="Calibri" w:cs="Calibri"/>
          <w:sz w:val="28"/>
          <w:szCs w:val="28"/>
        </w:rPr>
      </w:pPr>
      <w:bookmarkStart w:id="11" w:name="_Toc210917606"/>
      <w:r w:rsidRPr="189E5E52">
        <w:rPr>
          <w:rFonts w:ascii="Calibri" w:eastAsia="Calibri" w:hAnsi="Calibri" w:cs="Calibri"/>
          <w:sz w:val="28"/>
          <w:szCs w:val="28"/>
        </w:rPr>
        <w:t>Opportunities</w:t>
      </w:r>
      <w:bookmarkEnd w:id="11"/>
    </w:p>
    <w:p w14:paraId="2C293CF4" w14:textId="1EB633BA" w:rsidR="7A666AC0" w:rsidRDefault="016530DA" w:rsidP="189E5E52">
      <w:pPr>
        <w:rPr>
          <w:rFonts w:ascii="Calibri" w:eastAsia="Calibri" w:hAnsi="Calibri" w:cs="Calibri"/>
        </w:rPr>
      </w:pPr>
      <w:r w:rsidRPr="189E5E52">
        <w:rPr>
          <w:rFonts w:ascii="Calibri" w:eastAsia="Calibri" w:hAnsi="Calibri" w:cs="Calibri"/>
        </w:rPr>
        <w:t>Opportunities for personal development and growth in the workplace are critical for creating engagement, motivation, and long-term organisational loyalty. Employees increasingly expect to have access to a variety of learning and development opportunities, such as mentoring, coaching, job rotations, and formal training programs that improve both technical and soft skills.</w:t>
      </w:r>
      <w:r w:rsidR="309BA366" w:rsidRPr="189E5E52">
        <w:rPr>
          <w:rFonts w:ascii="Calibri" w:eastAsia="Calibri" w:hAnsi="Calibri" w:cs="Calibri"/>
        </w:rPr>
        <w:t xml:space="preserve"> </w:t>
      </w:r>
      <w:r w:rsidR="3159CE72" w:rsidRPr="189E5E52">
        <w:rPr>
          <w:rFonts w:ascii="Calibri" w:eastAsia="Calibri" w:hAnsi="Calibri" w:cs="Calibri"/>
        </w:rPr>
        <w:t>Individuals frequently seek growth options such as formal training (courses, certifications), mentorship or coaching, work rotation or stretch assignments, feedback and a</w:t>
      </w:r>
      <w:r w:rsidR="211FC7AC" w:rsidRPr="189E5E52">
        <w:rPr>
          <w:rFonts w:ascii="Calibri" w:eastAsia="Calibri" w:hAnsi="Calibri" w:cs="Calibri"/>
        </w:rPr>
        <w:t>ppraisals</w:t>
      </w:r>
      <w:r w:rsidR="3159CE72" w:rsidRPr="189E5E52">
        <w:rPr>
          <w:rFonts w:ascii="Calibri" w:eastAsia="Calibri" w:hAnsi="Calibri" w:cs="Calibri"/>
        </w:rPr>
        <w:t xml:space="preserve">, and support for ongoing professional development. For example, studies show that career advancement opportunities are associated with greater job </w:t>
      </w:r>
      <w:r w:rsidR="3159CE72" w:rsidRPr="189E5E52">
        <w:rPr>
          <w:rFonts w:ascii="Calibri" w:eastAsia="Calibri" w:hAnsi="Calibri" w:cs="Calibri"/>
        </w:rPr>
        <w:lastRenderedPageBreak/>
        <w:t>commitment, less career regret, and increased "thriving" at work</w:t>
      </w:r>
      <w:r w:rsidR="053BF696" w:rsidRPr="189E5E52">
        <w:rPr>
          <w:rFonts w:ascii="Calibri" w:eastAsia="Calibri" w:hAnsi="Calibri" w:cs="Calibri"/>
        </w:rPr>
        <w:t xml:space="preserve"> (Huo, 2021).</w:t>
      </w:r>
      <w:r w:rsidR="49252A07" w:rsidRPr="189E5E52">
        <w:rPr>
          <w:rFonts w:ascii="Calibri" w:eastAsia="Calibri" w:hAnsi="Calibri" w:cs="Calibri"/>
        </w:rPr>
        <w:t xml:space="preserve"> Individuals demand growth chances that are linked to both objective goals and well-defined </w:t>
      </w:r>
      <w:r w:rsidR="5B0BE5BF" w:rsidRPr="189E5E52">
        <w:rPr>
          <w:rFonts w:ascii="Calibri" w:eastAsia="Calibri" w:hAnsi="Calibri" w:cs="Calibri"/>
        </w:rPr>
        <w:t xml:space="preserve">Standards. </w:t>
      </w:r>
      <w:r w:rsidR="6506E006" w:rsidRPr="189E5E52">
        <w:rPr>
          <w:rFonts w:ascii="Calibri" w:eastAsia="Calibri" w:hAnsi="Calibri" w:cs="Calibri"/>
        </w:rPr>
        <w:t>Employees</w:t>
      </w:r>
      <w:r w:rsidR="49252A07" w:rsidRPr="189E5E52">
        <w:rPr>
          <w:rFonts w:ascii="Calibri" w:eastAsia="Calibri" w:hAnsi="Calibri" w:cs="Calibri"/>
        </w:rPr>
        <w:t xml:space="preserve"> want openness in what is expected of them (standards), what they are striving for (objectives), and the organisation to give viable paths and assistance to achieve those goals.</w:t>
      </w:r>
      <w:r w:rsidR="6A10DD95" w:rsidRPr="189E5E52">
        <w:rPr>
          <w:rFonts w:ascii="Calibri" w:eastAsia="Calibri" w:hAnsi="Calibri" w:cs="Calibri"/>
        </w:rPr>
        <w:t xml:space="preserve"> Meanwhile, objectives are time-bound targets or goals that an individual aims to achieve (for example, improving a skill by a specific date, completing a training course, or achieving a project outcome). Well-constructed targets are frequently SMART (Specific, Measurable, Achievable, Relevant, and Time-bound).</w:t>
      </w:r>
    </w:p>
    <w:p w14:paraId="7528F50E" w14:textId="70DCD88E" w:rsidR="6A10DD95" w:rsidRDefault="6A10DD95" w:rsidP="189E5E52">
      <w:pPr>
        <w:pStyle w:val="Heading2"/>
        <w:rPr>
          <w:rFonts w:ascii="Calibri" w:eastAsia="Calibri" w:hAnsi="Calibri" w:cs="Calibri"/>
          <w:sz w:val="28"/>
          <w:szCs w:val="28"/>
        </w:rPr>
      </w:pPr>
      <w:bookmarkStart w:id="12" w:name="_Toc210917607"/>
      <w:r w:rsidRPr="189E5E52">
        <w:rPr>
          <w:rFonts w:ascii="Calibri" w:eastAsia="Calibri" w:hAnsi="Calibri" w:cs="Calibri"/>
          <w:sz w:val="28"/>
          <w:szCs w:val="28"/>
        </w:rPr>
        <w:t>Scope</w:t>
      </w:r>
      <w:bookmarkEnd w:id="12"/>
    </w:p>
    <w:p w14:paraId="537D8BAC" w14:textId="0C602BBA" w:rsidR="33D588D1" w:rsidRDefault="33D588D1" w:rsidP="189E5E52">
      <w:pPr>
        <w:rPr>
          <w:rFonts w:ascii="Calibri" w:eastAsia="Calibri" w:hAnsi="Calibri" w:cs="Calibri"/>
        </w:rPr>
      </w:pPr>
      <w:r w:rsidRPr="189E5E52">
        <w:rPr>
          <w:rFonts w:ascii="Calibri" w:eastAsia="Calibri" w:hAnsi="Calibri" w:cs="Calibri"/>
        </w:rPr>
        <w:t>The scope of managing an individual's expectations for personal growth in the workplace spans numerous organisational roles, including performance management, training and development, communication, and strategic workforce planning. Effective management of these expectations entails defining clear and realistic growth paths that link individual ambitions with organisational objectives. This involves defining transparent targets through performance reviews, identifying skill gaps, and offering personalised opportunities such as coaching, mentoring, and continual professional development programs.</w:t>
      </w:r>
      <w:r w:rsidR="5329297D" w:rsidRPr="189E5E52">
        <w:rPr>
          <w:rFonts w:ascii="Calibri" w:eastAsia="Calibri" w:hAnsi="Calibri" w:cs="Calibri"/>
        </w:rPr>
        <w:t xml:space="preserve"> According to (De Vos et al., 2017), </w:t>
      </w:r>
      <w:r w:rsidR="48B9C0F3" w:rsidRPr="189E5E52">
        <w:rPr>
          <w:rFonts w:ascii="Calibri" w:eastAsia="Calibri" w:hAnsi="Calibri" w:cs="Calibri"/>
        </w:rPr>
        <w:t>p</w:t>
      </w:r>
      <w:r w:rsidR="5329297D" w:rsidRPr="189E5E52">
        <w:rPr>
          <w:rFonts w:ascii="Calibri" w:eastAsia="Calibri" w:hAnsi="Calibri" w:cs="Calibri"/>
        </w:rPr>
        <w:t>ersonal development efforts that incorporate career management frameworks improve employee satisfaction and organisational commitment. However, the scope also includes managing constraints, such as budget constraints, role availability, and organisational priorities to ensure that expectations are realistic and fair.</w:t>
      </w:r>
      <w:r w:rsidR="4FA4B373" w:rsidRPr="189E5E52">
        <w:rPr>
          <w:rFonts w:ascii="Calibri" w:eastAsia="Calibri" w:hAnsi="Calibri" w:cs="Calibri"/>
        </w:rPr>
        <w:t xml:space="preserve"> As a result, managing personal development expectations entails more than just giving chances for advancement, but also developing an organised, communicative, and balanced approach that encourages involvement while remaining in line with corporate strategy and resource capacity.</w:t>
      </w:r>
    </w:p>
    <w:p w14:paraId="3D0AC9D3" w14:textId="49F86201" w:rsidR="7A666AC0" w:rsidRDefault="7A666AC0" w:rsidP="189E5E52">
      <w:pPr>
        <w:pStyle w:val="Heading2"/>
        <w:rPr>
          <w:rFonts w:ascii="Calibri" w:eastAsia="Calibri" w:hAnsi="Calibri" w:cs="Calibri"/>
          <w:sz w:val="28"/>
          <w:szCs w:val="28"/>
        </w:rPr>
      </w:pPr>
      <w:bookmarkStart w:id="13" w:name="_Toc210917608"/>
      <w:r w:rsidRPr="189E5E52">
        <w:rPr>
          <w:rFonts w:ascii="Calibri" w:eastAsia="Calibri" w:hAnsi="Calibri" w:cs="Calibri"/>
          <w:sz w:val="28"/>
          <w:szCs w:val="28"/>
        </w:rPr>
        <w:t>Time</w:t>
      </w:r>
      <w:bookmarkEnd w:id="13"/>
    </w:p>
    <w:p w14:paraId="7D2D6DEB" w14:textId="562FD727" w:rsidR="320D6D55" w:rsidRDefault="1B5097B6" w:rsidP="320D6D55">
      <w:pPr>
        <w:rPr>
          <w:rFonts w:ascii="Calibri" w:eastAsia="Calibri" w:hAnsi="Calibri" w:cs="Calibri"/>
        </w:rPr>
      </w:pPr>
      <w:r w:rsidRPr="189E5E52">
        <w:rPr>
          <w:rFonts w:ascii="Calibri" w:eastAsia="Calibri" w:hAnsi="Calibri" w:cs="Calibri"/>
        </w:rPr>
        <w:t>Managing and developing individuals' goals for personal growth necessitates a significant investment of effort from both employees and managers. The process includes several stages, such as conducting performance appraisals, holding one-on-one development discussions, identifying training needs, developing individual development plans, and tracking progress over time.</w:t>
      </w:r>
      <w:r w:rsidR="5EC69869" w:rsidRPr="189E5E52">
        <w:rPr>
          <w:rFonts w:ascii="Calibri" w:eastAsia="Calibri" w:hAnsi="Calibri" w:cs="Calibri"/>
        </w:rPr>
        <w:t xml:space="preserve"> According to (Armstrong &amp; Taylor, 2020)</w:t>
      </w:r>
      <w:r w:rsidR="5816A1FE" w:rsidRPr="189E5E52">
        <w:rPr>
          <w:rFonts w:ascii="Calibri" w:eastAsia="Calibri" w:hAnsi="Calibri" w:cs="Calibri"/>
        </w:rPr>
        <w:t xml:space="preserve">, </w:t>
      </w:r>
      <w:r w:rsidR="40A3C6BA" w:rsidRPr="189E5E52">
        <w:rPr>
          <w:rFonts w:ascii="Calibri" w:eastAsia="Calibri" w:hAnsi="Calibri" w:cs="Calibri"/>
        </w:rPr>
        <w:t>e</w:t>
      </w:r>
      <w:r w:rsidR="5816A1FE" w:rsidRPr="189E5E52">
        <w:rPr>
          <w:rFonts w:ascii="Calibri" w:eastAsia="Calibri" w:hAnsi="Calibri" w:cs="Calibri"/>
        </w:rPr>
        <w:t>ffective performance and development planning is a continuous cycle, not a one-time event, necessitating ongoing communication and review sessions throughout the year. Managers must devote time not only to reviewing current performance, but also to mentoring and offering constructive criticism to help people achieve their goals.</w:t>
      </w:r>
      <w:r w:rsidR="7A03CA35" w:rsidRPr="189E5E52">
        <w:rPr>
          <w:rFonts w:ascii="Calibri" w:eastAsia="Calibri" w:hAnsi="Calibri" w:cs="Calibri"/>
        </w:rPr>
        <w:t xml:space="preserve"> Similarly,</w:t>
      </w:r>
      <w:r w:rsidR="7C9A76F1" w:rsidRPr="189E5E52">
        <w:rPr>
          <w:rFonts w:ascii="Calibri" w:eastAsia="Calibri" w:hAnsi="Calibri" w:cs="Calibri"/>
        </w:rPr>
        <w:t xml:space="preserve"> </w:t>
      </w:r>
      <w:r w:rsidR="6D8B742A" w:rsidRPr="189E5E52">
        <w:rPr>
          <w:rFonts w:ascii="Calibri" w:eastAsia="Calibri" w:hAnsi="Calibri" w:cs="Calibri"/>
        </w:rPr>
        <w:t xml:space="preserve">employees are expected to actively participate in their own learning by attending training sessions, reflecting on progress, and putting new skills into practice. While this time investment may initially damage short-term productivity, research indicates that it leads to long-term advantages in efficiency, engagement, and retention. </w:t>
      </w:r>
      <w:r w:rsidR="7C9A76F1" w:rsidRPr="189E5E52">
        <w:rPr>
          <w:rFonts w:ascii="Calibri" w:eastAsia="Calibri" w:hAnsi="Calibri" w:cs="Calibri"/>
        </w:rPr>
        <w:t>(Garavan, 2024)</w:t>
      </w:r>
      <w:r w:rsidR="23F894C8" w:rsidRPr="189E5E52">
        <w:rPr>
          <w:rFonts w:ascii="Calibri" w:eastAsia="Calibri" w:hAnsi="Calibri" w:cs="Calibri"/>
        </w:rPr>
        <w:t xml:space="preserve">. As a result, the time spent </w:t>
      </w:r>
      <w:r w:rsidR="23F894C8" w:rsidRPr="189E5E52">
        <w:rPr>
          <w:rFonts w:ascii="Calibri" w:eastAsia="Calibri" w:hAnsi="Calibri" w:cs="Calibri"/>
        </w:rPr>
        <w:lastRenderedPageBreak/>
        <w:t>managing and growing individual expectations is a strategic investment in creating a skilled, motivated, and future-ready staff</w:t>
      </w:r>
      <w:r w:rsidR="00265EFA">
        <w:rPr>
          <w:rFonts w:ascii="Calibri" w:eastAsia="Calibri" w:hAnsi="Calibri" w:cs="Calibri"/>
        </w:rPr>
        <w:t>.</w:t>
      </w:r>
    </w:p>
    <w:p w14:paraId="3FB8C311" w14:textId="2CF211CE" w:rsidR="7A666AC0" w:rsidRDefault="7A666AC0" w:rsidP="189E5E52">
      <w:pPr>
        <w:pStyle w:val="Heading1"/>
        <w:rPr>
          <w:rFonts w:ascii="Calibri" w:eastAsia="Calibri" w:hAnsi="Calibri" w:cs="Calibri"/>
          <w:sz w:val="32"/>
          <w:szCs w:val="32"/>
        </w:rPr>
      </w:pPr>
      <w:bookmarkStart w:id="14" w:name="_Toc210917609"/>
      <w:r w:rsidRPr="189E5E52">
        <w:rPr>
          <w:rFonts w:ascii="Calibri" w:eastAsia="Calibri" w:hAnsi="Calibri" w:cs="Calibri"/>
          <w:sz w:val="32"/>
          <w:szCs w:val="32"/>
        </w:rPr>
        <w:t xml:space="preserve">Evaluating </w:t>
      </w:r>
      <w:r w:rsidR="55515542" w:rsidRPr="189E5E52">
        <w:rPr>
          <w:rFonts w:ascii="Calibri" w:eastAsia="Calibri" w:hAnsi="Calibri" w:cs="Calibri"/>
          <w:sz w:val="32"/>
          <w:szCs w:val="32"/>
        </w:rPr>
        <w:t>development</w:t>
      </w:r>
      <w:r w:rsidRPr="189E5E52">
        <w:rPr>
          <w:rFonts w:ascii="Calibri" w:eastAsia="Calibri" w:hAnsi="Calibri" w:cs="Calibri"/>
          <w:sz w:val="32"/>
          <w:szCs w:val="32"/>
        </w:rPr>
        <w:t xml:space="preserve"> vehicles available to the </w:t>
      </w:r>
      <w:r w:rsidR="4B18CB26" w:rsidRPr="189E5E52">
        <w:rPr>
          <w:rFonts w:ascii="Calibri" w:eastAsia="Calibri" w:hAnsi="Calibri" w:cs="Calibri"/>
          <w:sz w:val="32"/>
          <w:szCs w:val="32"/>
        </w:rPr>
        <w:t>organisation</w:t>
      </w:r>
      <w:r w:rsidRPr="189E5E52">
        <w:rPr>
          <w:rFonts w:ascii="Calibri" w:eastAsia="Calibri" w:hAnsi="Calibri" w:cs="Calibri"/>
          <w:sz w:val="32"/>
          <w:szCs w:val="32"/>
        </w:rPr>
        <w:t xml:space="preserve"> appropriate to the development needs of the individual.</w:t>
      </w:r>
      <w:bookmarkEnd w:id="14"/>
    </w:p>
    <w:p w14:paraId="5B6236BC" w14:textId="3AC33C66" w:rsidR="591533CE" w:rsidRDefault="591533CE" w:rsidP="189E5E52">
      <w:pPr>
        <w:pStyle w:val="Heading2"/>
        <w:rPr>
          <w:rFonts w:ascii="Calibri" w:eastAsia="Calibri" w:hAnsi="Calibri" w:cs="Calibri"/>
          <w:sz w:val="28"/>
          <w:szCs w:val="28"/>
        </w:rPr>
      </w:pPr>
      <w:bookmarkStart w:id="15" w:name="_Toc210917610"/>
      <w:r w:rsidRPr="189E5E52">
        <w:rPr>
          <w:rFonts w:ascii="Calibri" w:eastAsia="Calibri" w:hAnsi="Calibri" w:cs="Calibri"/>
          <w:sz w:val="28"/>
          <w:szCs w:val="28"/>
        </w:rPr>
        <w:t xml:space="preserve">Available </w:t>
      </w:r>
      <w:bookmarkEnd w:id="15"/>
      <w:r w:rsidR="00EC4CA1" w:rsidRPr="189E5E52">
        <w:rPr>
          <w:rFonts w:ascii="Calibri" w:eastAsia="Calibri" w:hAnsi="Calibri" w:cs="Calibri"/>
          <w:sz w:val="28"/>
          <w:szCs w:val="28"/>
        </w:rPr>
        <w:t>Vehicles</w:t>
      </w:r>
      <w:r w:rsidR="00EC4CA1">
        <w:rPr>
          <w:rFonts w:ascii="Calibri" w:eastAsia="Calibri" w:hAnsi="Calibri" w:cs="Calibri"/>
          <w:sz w:val="28"/>
          <w:szCs w:val="28"/>
        </w:rPr>
        <w:t>.</w:t>
      </w:r>
    </w:p>
    <w:p w14:paraId="13FAF46D" w14:textId="5A809FF9" w:rsidR="38DFA91E" w:rsidRDefault="38DFA91E" w:rsidP="189E5E52">
      <w:pPr>
        <w:pStyle w:val="Heading3"/>
        <w:rPr>
          <w:rFonts w:ascii="Calibri" w:eastAsia="Calibri" w:hAnsi="Calibri" w:cs="Calibri"/>
        </w:rPr>
      </w:pPr>
      <w:bookmarkStart w:id="16" w:name="_Toc210917611"/>
      <w:r w:rsidRPr="189E5E52">
        <w:rPr>
          <w:rFonts w:ascii="Calibri" w:eastAsia="Calibri" w:hAnsi="Calibri" w:cs="Calibri"/>
        </w:rPr>
        <w:t>Mentoring</w:t>
      </w:r>
      <w:bookmarkEnd w:id="16"/>
    </w:p>
    <w:p w14:paraId="31D73CC3" w14:textId="0DC6FF06" w:rsidR="06828AF5" w:rsidRDefault="06828AF5" w:rsidP="189E5E52">
      <w:pPr>
        <w:rPr>
          <w:rFonts w:ascii="Calibri" w:eastAsia="Calibri" w:hAnsi="Calibri" w:cs="Calibri"/>
        </w:rPr>
      </w:pPr>
      <w:r w:rsidRPr="189E5E52">
        <w:rPr>
          <w:rFonts w:ascii="Calibri" w:eastAsia="Calibri" w:hAnsi="Calibri" w:cs="Calibri"/>
        </w:rPr>
        <w:t>Mentoring is a structured developmental relationship in which a more experienced employee</w:t>
      </w:r>
      <w:r w:rsidR="6E6AE99B" w:rsidRPr="189E5E52">
        <w:rPr>
          <w:rFonts w:ascii="Calibri" w:eastAsia="Calibri" w:hAnsi="Calibri" w:cs="Calibri"/>
        </w:rPr>
        <w:t xml:space="preserve"> </w:t>
      </w:r>
      <w:r w:rsidRPr="189E5E52">
        <w:rPr>
          <w:rFonts w:ascii="Calibri" w:eastAsia="Calibri" w:hAnsi="Calibri" w:cs="Calibri"/>
        </w:rPr>
        <w:t>gives direction, support, and information to a less experienced colleague to help them improve personally and professionally. It is a powerful instrument for imparting organisational knowledge, boosting confidence, and advancing your career. According to (Bachkirova et al., 2011), mentoring not only increases learning and skill development, but it also improves engagement and retention by instilling a feeling of belonging and purpose. Mentoring benefits the business by supporting succession planning, ensuring continuity of knowledge, and developing leadership talents from within, lowering recruiting and training expenses. Individuals benefit from individualised feedback, exposure to fresh ideas, and a better knowledge of organisational goals and career paths. Mentoring can be aligned with specific development needs, such as improving leadership, communication, or technical skills, to create a targeted and sustainable approach to workforce development that benefits both employees and businesses.</w:t>
      </w:r>
    </w:p>
    <w:p w14:paraId="6170124A" w14:textId="3FF69FDE" w:rsidR="189E5E52" w:rsidRDefault="189E5E52" w:rsidP="189E5E52">
      <w:pPr>
        <w:rPr>
          <w:rFonts w:ascii="Calibri" w:eastAsia="Calibri" w:hAnsi="Calibri" w:cs="Calibri"/>
        </w:rPr>
      </w:pPr>
    </w:p>
    <w:p w14:paraId="2045BEFC" w14:textId="6E0F93B6" w:rsidR="38DFA91E" w:rsidRDefault="38DFA91E" w:rsidP="189E5E52">
      <w:pPr>
        <w:pStyle w:val="Heading3"/>
        <w:rPr>
          <w:rFonts w:ascii="Calibri" w:eastAsia="Calibri" w:hAnsi="Calibri" w:cs="Calibri"/>
        </w:rPr>
      </w:pPr>
      <w:bookmarkStart w:id="17" w:name="_Toc210917612"/>
      <w:r w:rsidRPr="189E5E52">
        <w:rPr>
          <w:rFonts w:ascii="Calibri" w:eastAsia="Calibri" w:hAnsi="Calibri" w:cs="Calibri"/>
        </w:rPr>
        <w:t>Shadowing</w:t>
      </w:r>
      <w:bookmarkEnd w:id="17"/>
    </w:p>
    <w:p w14:paraId="18CAD49C" w14:textId="7F4EE9F0" w:rsidR="189D3972" w:rsidRDefault="189D3972" w:rsidP="189E5E52">
      <w:pPr>
        <w:rPr>
          <w:rFonts w:ascii="Calibri" w:eastAsia="Calibri" w:hAnsi="Calibri" w:cs="Calibri"/>
        </w:rPr>
      </w:pPr>
      <w:r w:rsidRPr="189E5E52">
        <w:rPr>
          <w:rFonts w:ascii="Calibri" w:eastAsia="Calibri" w:hAnsi="Calibri" w:cs="Calibri"/>
        </w:rPr>
        <w:t>Shadowing is a developmental method in which an employee observes and learns from a more experienced colleague while they perform their daily duties, gaining firsthand knowledge of job responsibilities, skills, and workplace behaviours. This hands-on learning technique helps students comprehend the expectations and reality of certain professions, bridging the gap between theoretical knowledge and real-world application.</w:t>
      </w:r>
      <w:r w:rsidR="42774C09" w:rsidRPr="189E5E52">
        <w:rPr>
          <w:rFonts w:ascii="Calibri" w:eastAsia="Calibri" w:hAnsi="Calibri" w:cs="Calibri"/>
        </w:rPr>
        <w:t xml:space="preserve"> According to (Clarke &amp; Higgs, 2014), job shadowing improves experiential learning by allowing employees to internalise organisational practices, decision-making processes, and professional standards through direct observation and reflection.</w:t>
      </w:r>
      <w:r w:rsidR="3101A32A" w:rsidRPr="189E5E52">
        <w:rPr>
          <w:rFonts w:ascii="Calibri" w:eastAsia="Calibri" w:hAnsi="Calibri" w:cs="Calibri"/>
        </w:rPr>
        <w:t xml:space="preserve"> For the individual, it fosters confidence, situational awareness, and a better grasp of career opportunities inside the business. Shadowing opportunities may be aligned with personal development goals, such as preparing for promotion or transferring to a new post, to generate meaningful, hands-on learning experiences that improve both individual competence and organisational performance.</w:t>
      </w:r>
    </w:p>
    <w:p w14:paraId="2EB4B967" w14:textId="631E9C54" w:rsidR="38DFA91E" w:rsidRDefault="38DFA91E" w:rsidP="189E5E52">
      <w:pPr>
        <w:pStyle w:val="Heading3"/>
        <w:rPr>
          <w:rFonts w:ascii="Calibri" w:eastAsia="Calibri" w:hAnsi="Calibri" w:cs="Calibri"/>
        </w:rPr>
      </w:pPr>
      <w:bookmarkStart w:id="18" w:name="_Toc210917613"/>
      <w:r w:rsidRPr="189E5E52">
        <w:rPr>
          <w:rFonts w:ascii="Calibri" w:eastAsia="Calibri" w:hAnsi="Calibri" w:cs="Calibri"/>
        </w:rPr>
        <w:lastRenderedPageBreak/>
        <w:t>Courses</w:t>
      </w:r>
      <w:bookmarkEnd w:id="18"/>
    </w:p>
    <w:p w14:paraId="4DF1EA49" w14:textId="20DED111" w:rsidR="38DFA91E" w:rsidRDefault="5CB5EE63" w:rsidP="189E5E52">
      <w:pPr>
        <w:rPr>
          <w:rFonts w:ascii="Calibri" w:eastAsia="Calibri" w:hAnsi="Calibri" w:cs="Calibri"/>
        </w:rPr>
      </w:pPr>
      <w:r w:rsidRPr="189E5E52">
        <w:rPr>
          <w:rFonts w:ascii="Calibri" w:eastAsia="Calibri" w:hAnsi="Calibri" w:cs="Calibri"/>
        </w:rPr>
        <w:t xml:space="preserve">Courses are a systematic and formal technique of personal and professional development that aims to create </w:t>
      </w:r>
      <w:r w:rsidR="13EF54C6" w:rsidRPr="189E5E52">
        <w:rPr>
          <w:rFonts w:ascii="Calibri" w:eastAsia="Calibri" w:hAnsi="Calibri" w:cs="Calibri"/>
        </w:rPr>
        <w:t>knowledge</w:t>
      </w:r>
      <w:r w:rsidRPr="189E5E52">
        <w:rPr>
          <w:rFonts w:ascii="Calibri" w:eastAsia="Calibri" w:hAnsi="Calibri" w:cs="Calibri"/>
        </w:rPr>
        <w:t>, competences, and certifications to support both individual and organisational objectives. These may include in-house training sessions, external seminars, validated credentials, or online learning programs intended to increase technical, management, or interpersonal abilities.</w:t>
      </w:r>
      <w:r w:rsidR="45B9441E" w:rsidRPr="189E5E52">
        <w:rPr>
          <w:rFonts w:ascii="Calibri" w:eastAsia="Calibri" w:hAnsi="Calibri" w:cs="Calibri"/>
        </w:rPr>
        <w:t xml:space="preserve"> According to (Emrah Atar, 2022), well-designed courses help to boost job performance, innovation, and employee engagement by offering focused learning experiences that are linked with strategic company objectives.</w:t>
      </w:r>
      <w:r w:rsidR="6416F72E" w:rsidRPr="189E5E52">
        <w:rPr>
          <w:rFonts w:ascii="Calibri" w:eastAsia="Calibri" w:hAnsi="Calibri" w:cs="Calibri"/>
        </w:rPr>
        <w:t xml:space="preserve"> Investing in training helps the company retain a competent and flexible staff, ensuring that personnel are prepared to meet shifting industry requirements and technology improvements. Individually, attending classes indicates a dedication to learning, boosts confidence, and expands professional options. When course participation is closely linked to individual development plans and accompanied by follow-up activities such as mentoring or performance reviews, learning is effectively applied in practice, resulting in long-term value for both the employee and the organisation.</w:t>
      </w:r>
    </w:p>
    <w:p w14:paraId="2C5C6AEF" w14:textId="5E4699E6" w:rsidR="38DFA91E" w:rsidRDefault="26D6500F" w:rsidP="189E5E52">
      <w:pPr>
        <w:rPr>
          <w:rFonts w:ascii="Calibri" w:eastAsia="Calibri" w:hAnsi="Calibri" w:cs="Calibri"/>
        </w:rPr>
      </w:pPr>
      <w:r w:rsidRPr="189E5E52">
        <w:rPr>
          <w:rFonts w:ascii="Calibri" w:eastAsia="Calibri" w:hAnsi="Calibri" w:cs="Calibri"/>
        </w:rPr>
        <w:t>In addition to mentorship, shadowing, and formal training, there are a range of professional development opportunities available to help individual growth in the workplace. These include coaching, in which a qualified coach works one-on-one with an employee to develop specific skills, performance, or behavioural objectives through reflective questioning and feedback. Secondments or temporary job placements allow individuals to obtain new experiences and enhance their understanding of other positions or departments, promoting adaptability and organisational insight. E-learning platforms and microlearning modules offer flexible, self-paced learning possibilities that may be accessed at any time, allowing for continual professional growth in accordance with current hybrid work patterns. Action learning projects, in which teams collaborate to solve real-world business challenges, allow employees to put their talents to use while also improving leadership and problem-solving ability.</w:t>
      </w:r>
      <w:r w:rsidR="7EDF63DB" w:rsidRPr="189E5E52">
        <w:rPr>
          <w:rFonts w:ascii="Calibri" w:eastAsia="Calibri" w:hAnsi="Calibri" w:cs="Calibri"/>
        </w:rPr>
        <w:t xml:space="preserve"> </w:t>
      </w:r>
      <w:r w:rsidRPr="189E5E52">
        <w:rPr>
          <w:rFonts w:ascii="Calibri" w:eastAsia="Calibri" w:hAnsi="Calibri" w:cs="Calibri"/>
        </w:rPr>
        <w:t>Furthermore, professional networking, conferences, and communities of practice enable employees to interact with their industry colleagues, share expertise, and keep current on developing trends.</w:t>
      </w:r>
      <w:r w:rsidR="4F2B5775" w:rsidRPr="189E5E52">
        <w:rPr>
          <w:rFonts w:ascii="Calibri" w:eastAsia="Calibri" w:hAnsi="Calibri" w:cs="Calibri"/>
        </w:rPr>
        <w:t xml:space="preserve"> Using a blended approach that incorporates various learning vehicles increases engagement, maximises knowledge retention, and ensures that development programs are adaptive to diverse learning styles and organisational demands. (Garavan et al., 2019)</w:t>
      </w:r>
    </w:p>
    <w:p w14:paraId="5F0855A5" w14:textId="70B68CCB" w:rsidR="320D6D55" w:rsidRDefault="320D6D55" w:rsidP="189E5E52">
      <w:pPr>
        <w:rPr>
          <w:rFonts w:ascii="Calibri" w:eastAsia="Calibri" w:hAnsi="Calibri" w:cs="Calibri"/>
          <w:sz w:val="28"/>
          <w:szCs w:val="28"/>
        </w:rPr>
      </w:pPr>
    </w:p>
    <w:p w14:paraId="2AD215CB" w14:textId="687E51F4" w:rsidR="38DFA91E" w:rsidRDefault="38DFA91E" w:rsidP="189E5E52">
      <w:pPr>
        <w:pStyle w:val="Heading2"/>
        <w:rPr>
          <w:rFonts w:ascii="Calibri" w:eastAsia="Calibri" w:hAnsi="Calibri" w:cs="Calibri"/>
          <w:sz w:val="28"/>
          <w:szCs w:val="28"/>
        </w:rPr>
      </w:pPr>
      <w:bookmarkStart w:id="19" w:name="_Toc210917614"/>
      <w:r w:rsidRPr="189E5E52">
        <w:rPr>
          <w:rFonts w:ascii="Calibri" w:eastAsia="Calibri" w:hAnsi="Calibri" w:cs="Calibri"/>
          <w:sz w:val="28"/>
          <w:szCs w:val="28"/>
        </w:rPr>
        <w:t>Which vehicle best suits the organisation</w:t>
      </w:r>
      <w:r w:rsidR="00265EFA">
        <w:rPr>
          <w:rFonts w:ascii="Calibri" w:eastAsia="Calibri" w:hAnsi="Calibri" w:cs="Calibri"/>
          <w:sz w:val="28"/>
          <w:szCs w:val="28"/>
        </w:rPr>
        <w:t>?</w:t>
      </w:r>
      <w:bookmarkEnd w:id="19"/>
    </w:p>
    <w:p w14:paraId="7FCB21EF" w14:textId="4EDB3F96" w:rsidR="0DE2C6E9" w:rsidRDefault="0DE2C6E9" w:rsidP="189E5E52">
      <w:pPr>
        <w:rPr>
          <w:rFonts w:ascii="Calibri" w:eastAsia="Calibri" w:hAnsi="Calibri" w:cs="Calibri"/>
        </w:rPr>
      </w:pPr>
      <w:r w:rsidRPr="189E5E52">
        <w:rPr>
          <w:rFonts w:ascii="Calibri" w:eastAsia="Calibri" w:hAnsi="Calibri" w:cs="Calibri"/>
        </w:rPr>
        <w:t xml:space="preserve">Blaennant Farm is a small, family-run glamping pod company in a rural location that provides sustainable and nature-based lodging. With only three workers, the company has a tight-knit structure in which each member fulfils various tasks. To increase awareness and attract more clients, the company has identified the need for better marketing capabilities. </w:t>
      </w:r>
      <w:r w:rsidRPr="189E5E52">
        <w:rPr>
          <w:rFonts w:ascii="Calibri" w:eastAsia="Calibri" w:hAnsi="Calibri" w:cs="Calibri"/>
        </w:rPr>
        <w:lastRenderedPageBreak/>
        <w:t>The research presented here assesses the most effective growth vehicles for supporting an employee enrolled in a marketing course, considering the company's size, resources, and strategic direction. It focusses on critical areas such as knowledge, resources, and alignment with Blaennant</w:t>
      </w:r>
      <w:r w:rsidR="77BF6570" w:rsidRPr="189E5E52">
        <w:rPr>
          <w:rFonts w:ascii="Calibri" w:eastAsia="Calibri" w:hAnsi="Calibri" w:cs="Calibri"/>
        </w:rPr>
        <w:t>’</w:t>
      </w:r>
      <w:r w:rsidRPr="189E5E52">
        <w:rPr>
          <w:rFonts w:ascii="Calibri" w:eastAsia="Calibri" w:hAnsi="Calibri" w:cs="Calibri"/>
        </w:rPr>
        <w:t>s vision, purpose, and strategy.</w:t>
      </w:r>
    </w:p>
    <w:p w14:paraId="7960D034" w14:textId="77777777" w:rsidR="00DD78B9" w:rsidRDefault="00DD78B9" w:rsidP="189E5E52">
      <w:pPr>
        <w:rPr>
          <w:rFonts w:ascii="Calibri" w:eastAsia="Calibri" w:hAnsi="Calibri" w:cs="Calibri"/>
        </w:rPr>
      </w:pPr>
    </w:p>
    <w:p w14:paraId="69E38DED" w14:textId="37B95C41" w:rsidR="38DFA91E" w:rsidRDefault="38DFA91E" w:rsidP="189E5E52">
      <w:pPr>
        <w:pStyle w:val="Heading3"/>
        <w:rPr>
          <w:rFonts w:ascii="Calibri" w:eastAsia="Calibri" w:hAnsi="Calibri" w:cs="Calibri"/>
        </w:rPr>
      </w:pPr>
      <w:bookmarkStart w:id="20" w:name="_Toc210917615"/>
      <w:r w:rsidRPr="189E5E52">
        <w:rPr>
          <w:rFonts w:ascii="Calibri" w:eastAsia="Calibri" w:hAnsi="Calibri" w:cs="Calibri"/>
        </w:rPr>
        <w:t>Knowledge</w:t>
      </w:r>
      <w:bookmarkEnd w:id="20"/>
    </w:p>
    <w:p w14:paraId="3E04DB4E" w14:textId="721C0BAE" w:rsidR="0BA275BD" w:rsidRDefault="0BA275BD" w:rsidP="189E5E52">
      <w:pPr>
        <w:rPr>
          <w:rFonts w:ascii="Calibri" w:eastAsia="Calibri" w:hAnsi="Calibri" w:cs="Calibri"/>
        </w:rPr>
      </w:pPr>
      <w:r w:rsidRPr="189E5E52">
        <w:rPr>
          <w:rFonts w:ascii="Calibri" w:eastAsia="Calibri" w:hAnsi="Calibri" w:cs="Calibri"/>
        </w:rPr>
        <w:t>For a small company like Blaennant Farm, building marketing competence is critical to maintaining development and competitiveness in a specialised tourism industry. Among the previously stated development vehicles; mentoring, shadowing, courses, coaching, and action learning—the best combination for building marketing expertise would be formal courses supplemented with mentoring and shadowing experiences. A professional marketing course offers systematic, evidence-based instruction, allowing employees to comprehend important marketing principles such as digital advertising, social media interaction, branding, and consumer segmentation.</w:t>
      </w:r>
      <w:r w:rsidR="76D320FC" w:rsidRPr="189E5E52">
        <w:rPr>
          <w:rFonts w:ascii="Calibri" w:eastAsia="Calibri" w:hAnsi="Calibri" w:cs="Calibri"/>
        </w:rPr>
        <w:t xml:space="preserve"> Blaennant would benefit from having the employee handle marketing tools such as social media analytics, website design, and digital advertising rather than depending on expensive external companies. Mentoring, whether inside or outside the business, may give the contextual understanding required to effectively apply academic learning.</w:t>
      </w:r>
      <w:r w:rsidR="22743CBB" w:rsidRPr="189E5E52">
        <w:rPr>
          <w:rFonts w:ascii="Calibri" w:eastAsia="Calibri" w:hAnsi="Calibri" w:cs="Calibri"/>
        </w:rPr>
        <w:t xml:space="preserve"> Blaennant would benefit from having an external mentor, such as a marketing specialist from a comparable tourist firm, to assist the employee comprehend and adapt marketing principles to the unique context of rural hospitality and eco-tourism.</w:t>
      </w:r>
      <w:r w:rsidR="5E7620C1" w:rsidRPr="189E5E52">
        <w:rPr>
          <w:rFonts w:ascii="Calibri" w:eastAsia="Calibri" w:hAnsi="Calibri" w:cs="Calibri"/>
        </w:rPr>
        <w:t xml:space="preserve"> </w:t>
      </w:r>
      <w:r w:rsidR="453C987D" w:rsidRPr="189E5E52">
        <w:rPr>
          <w:rFonts w:ascii="Calibri" w:eastAsia="Calibri" w:hAnsi="Calibri" w:cs="Calibri"/>
        </w:rPr>
        <w:t>The company</w:t>
      </w:r>
      <w:r w:rsidR="5E7620C1" w:rsidRPr="189E5E52">
        <w:rPr>
          <w:rFonts w:ascii="Calibri" w:eastAsia="Calibri" w:hAnsi="Calibri" w:cs="Calibri"/>
        </w:rPr>
        <w:t xml:space="preserve"> </w:t>
      </w:r>
      <w:r w:rsidR="33BC4C04" w:rsidRPr="189E5E52">
        <w:rPr>
          <w:rFonts w:ascii="Calibri" w:eastAsia="Calibri" w:hAnsi="Calibri" w:cs="Calibri"/>
        </w:rPr>
        <w:t>can</w:t>
      </w:r>
      <w:r w:rsidR="5E7620C1" w:rsidRPr="189E5E52">
        <w:rPr>
          <w:rFonts w:ascii="Calibri" w:eastAsia="Calibri" w:hAnsi="Calibri" w:cs="Calibri"/>
        </w:rPr>
        <w:t xml:space="preserve"> establish a balanced, cost-effective knowledge development route that suits its small-scale, hands-on company environment by combining formal learning (courses) with experiential techniques (mentoring and shadowing).</w:t>
      </w:r>
    </w:p>
    <w:p w14:paraId="31F50C7D" w14:textId="77777777" w:rsidR="00DD78B9" w:rsidRDefault="00DD78B9" w:rsidP="189E5E52">
      <w:pPr>
        <w:rPr>
          <w:rFonts w:ascii="Calibri" w:eastAsia="Calibri" w:hAnsi="Calibri" w:cs="Calibri"/>
        </w:rPr>
      </w:pPr>
    </w:p>
    <w:p w14:paraId="4499EDE8" w14:textId="3CF43511" w:rsidR="38DFA91E" w:rsidRDefault="38DFA91E" w:rsidP="189E5E52">
      <w:pPr>
        <w:pStyle w:val="Heading3"/>
        <w:rPr>
          <w:rFonts w:ascii="Calibri" w:eastAsia="Calibri" w:hAnsi="Calibri" w:cs="Calibri"/>
        </w:rPr>
      </w:pPr>
      <w:bookmarkStart w:id="21" w:name="_Toc210917616"/>
      <w:r w:rsidRPr="189E5E52">
        <w:rPr>
          <w:rFonts w:ascii="Calibri" w:eastAsia="Calibri" w:hAnsi="Calibri" w:cs="Calibri"/>
        </w:rPr>
        <w:t>Resources</w:t>
      </w:r>
      <w:bookmarkEnd w:id="21"/>
    </w:p>
    <w:p w14:paraId="0C03287F" w14:textId="5D584014" w:rsidR="752CFFA1" w:rsidRDefault="752CFFA1" w:rsidP="189E5E52">
      <w:pPr>
        <w:rPr>
          <w:rFonts w:ascii="Calibri" w:eastAsia="Calibri" w:hAnsi="Calibri" w:cs="Calibri"/>
        </w:rPr>
      </w:pPr>
      <w:r w:rsidRPr="189E5E52">
        <w:rPr>
          <w:rFonts w:ascii="Calibri" w:eastAsia="Calibri" w:hAnsi="Calibri" w:cs="Calibri"/>
        </w:rPr>
        <w:t>Given Blaennant limited size and financial capability, resource allocation for staff development must be intentional and long-term. Larger organisations may rely on substantial training expenditures, but Blaennant need cost-effective solutions with a good return on investment. Formal courses, especially online marketing programs or short certified certifications, provide flexibility and cost. E-learning solutions, such as those offered by platforms like Coursera or the Chartered Institute of Marketing (CIM), enable employees to study part-time while still contributing to regular business operations. This strategy decreases opportunity costs by eliminating extended absences while increasing learning relevance by allowing new abilities to be applied immediately.</w:t>
      </w:r>
      <w:r w:rsidR="3D27025D" w:rsidRPr="189E5E52">
        <w:rPr>
          <w:rFonts w:ascii="Calibri" w:eastAsia="Calibri" w:hAnsi="Calibri" w:cs="Calibri"/>
        </w:rPr>
        <w:t xml:space="preserve"> The mentorship vehicle is also a resource-efficient strategy. Mentorship ties are frequently formed through professional networks, local business groups, or tourist collaborations, and may not involve direct financial expenditures. Blaennant, for example, might form reciprocal mentorship </w:t>
      </w:r>
      <w:r w:rsidR="3D27025D" w:rsidRPr="189E5E52">
        <w:rPr>
          <w:rFonts w:ascii="Calibri" w:eastAsia="Calibri" w:hAnsi="Calibri" w:cs="Calibri"/>
        </w:rPr>
        <w:lastRenderedPageBreak/>
        <w:t>relationships with area tourist organisations or local hospitality businesses. Such collaborations enable access to shared knowledge while also cultivating community ties, which can help the company's market visibility.</w:t>
      </w:r>
      <w:r w:rsidR="058B3833" w:rsidRPr="189E5E52">
        <w:rPr>
          <w:rFonts w:ascii="Calibri" w:eastAsia="Calibri" w:hAnsi="Calibri" w:cs="Calibri"/>
        </w:rPr>
        <w:t xml:space="preserve"> Shadowing, while advantageous, necessitates careful resource allocation. It may entail temporarily relocating duties or travelling to different locations for observational learning. However, the resource investment is acceptable if it provides instant, actionable insights—such as how to manage promotional campaigns or tailor digital content for seasonal marketing.</w:t>
      </w:r>
      <w:r w:rsidR="7101BB7F" w:rsidRPr="189E5E52">
        <w:rPr>
          <w:rFonts w:ascii="Calibri" w:eastAsia="Calibri" w:hAnsi="Calibri" w:cs="Calibri"/>
        </w:rPr>
        <w:t xml:space="preserve"> Ultimately, the best sustainable option for Blaennant Farm would be to mix low-cost online courses with external coaching.</w:t>
      </w:r>
    </w:p>
    <w:p w14:paraId="63898845" w14:textId="77777777" w:rsidR="00DD78B9" w:rsidRDefault="00DD78B9" w:rsidP="189E5E52">
      <w:pPr>
        <w:rPr>
          <w:rFonts w:ascii="Calibri" w:eastAsia="Calibri" w:hAnsi="Calibri" w:cs="Calibri"/>
        </w:rPr>
      </w:pPr>
    </w:p>
    <w:p w14:paraId="780F2422" w14:textId="4571EE27" w:rsidR="38DFA91E" w:rsidRDefault="38DFA91E" w:rsidP="189E5E52">
      <w:pPr>
        <w:pStyle w:val="Heading3"/>
        <w:rPr>
          <w:rFonts w:ascii="Calibri" w:eastAsia="Calibri" w:hAnsi="Calibri" w:cs="Calibri"/>
        </w:rPr>
      </w:pPr>
      <w:bookmarkStart w:id="22" w:name="_Toc210917617"/>
      <w:r w:rsidRPr="189E5E52">
        <w:rPr>
          <w:rFonts w:ascii="Calibri" w:eastAsia="Calibri" w:hAnsi="Calibri" w:cs="Calibri"/>
        </w:rPr>
        <w:t xml:space="preserve">Vision / Mission / </w:t>
      </w:r>
      <w:r w:rsidR="7394AD16" w:rsidRPr="189E5E52">
        <w:rPr>
          <w:rFonts w:ascii="Calibri" w:eastAsia="Calibri" w:hAnsi="Calibri" w:cs="Calibri"/>
        </w:rPr>
        <w:t>Strategy</w:t>
      </w:r>
      <w:bookmarkEnd w:id="22"/>
    </w:p>
    <w:p w14:paraId="0B91BBC5" w14:textId="66142497" w:rsidR="095BAA08" w:rsidRDefault="095BAA08" w:rsidP="189E5E52">
      <w:pPr>
        <w:rPr>
          <w:rFonts w:ascii="Calibri" w:eastAsia="Calibri" w:hAnsi="Calibri" w:cs="Calibri"/>
        </w:rPr>
      </w:pPr>
      <w:r w:rsidRPr="189E5E52">
        <w:rPr>
          <w:rFonts w:ascii="Calibri" w:eastAsia="Calibri" w:hAnsi="Calibri" w:cs="Calibri"/>
        </w:rPr>
        <w:t>The success of any development project is dependent on its alignment with the organi</w:t>
      </w:r>
      <w:r w:rsidR="00BA52FC">
        <w:rPr>
          <w:rFonts w:ascii="Calibri" w:eastAsia="Calibri" w:hAnsi="Calibri" w:cs="Calibri"/>
        </w:rPr>
        <w:t>s</w:t>
      </w:r>
      <w:r w:rsidRPr="189E5E52">
        <w:rPr>
          <w:rFonts w:ascii="Calibri" w:eastAsia="Calibri" w:hAnsi="Calibri" w:cs="Calibri"/>
        </w:rPr>
        <w:t>ation's overall vision, purpose, and strategy.</w:t>
      </w:r>
      <w:r w:rsidR="1845B003" w:rsidRPr="189E5E52">
        <w:rPr>
          <w:rFonts w:ascii="Calibri" w:eastAsia="Calibri" w:hAnsi="Calibri" w:cs="Calibri"/>
        </w:rPr>
        <w:t xml:space="preserve"> The selected development vehicles, courses and mentoring strongly complement this strategy alignment. A marketing training directly supports Blaennant's strategic aim of increasing brand recognition and consumer reach. Through formal training, employees will learn how to explain the company's eco-friendly ideals and rural charm across numerous marketing platforms, reinforcing the organi</w:t>
      </w:r>
      <w:r w:rsidR="7B1A4DE1" w:rsidRPr="189E5E52">
        <w:rPr>
          <w:rFonts w:ascii="Calibri" w:eastAsia="Calibri" w:hAnsi="Calibri" w:cs="Calibri"/>
        </w:rPr>
        <w:t>s</w:t>
      </w:r>
      <w:r w:rsidR="1845B003" w:rsidRPr="189E5E52">
        <w:rPr>
          <w:rFonts w:ascii="Calibri" w:eastAsia="Calibri" w:hAnsi="Calibri" w:cs="Calibri"/>
        </w:rPr>
        <w:t>ation's objective in every communication.</w:t>
      </w:r>
      <w:r w:rsidR="77DB5F1A" w:rsidRPr="189E5E52">
        <w:rPr>
          <w:rFonts w:ascii="Calibri" w:eastAsia="Calibri" w:hAnsi="Calibri" w:cs="Calibri"/>
        </w:rPr>
        <w:t xml:space="preserve"> By ensuring that the employee's learning journey directly supports Blaennant's vision and mission, the company can achieve two goal</w:t>
      </w:r>
      <w:r w:rsidR="5BB18BE7" w:rsidRPr="189E5E52">
        <w:rPr>
          <w:rFonts w:ascii="Calibri" w:eastAsia="Calibri" w:hAnsi="Calibri" w:cs="Calibri"/>
        </w:rPr>
        <w:t xml:space="preserve">s which are </w:t>
      </w:r>
      <w:r w:rsidR="77DB5F1A" w:rsidRPr="189E5E52">
        <w:rPr>
          <w:rFonts w:ascii="Calibri" w:eastAsia="Calibri" w:hAnsi="Calibri" w:cs="Calibri"/>
        </w:rPr>
        <w:t>improved marketing capability and a more unified, purpose-driven workforce.</w:t>
      </w:r>
    </w:p>
    <w:p w14:paraId="5D2D9C22" w14:textId="77777777" w:rsidR="00DD78B9" w:rsidRDefault="00DD78B9" w:rsidP="189E5E52">
      <w:pPr>
        <w:rPr>
          <w:rFonts w:ascii="Calibri" w:eastAsia="Calibri" w:hAnsi="Calibri" w:cs="Calibri"/>
        </w:rPr>
      </w:pPr>
    </w:p>
    <w:p w14:paraId="6F5C39C7" w14:textId="735F155E" w:rsidR="5E13568F" w:rsidRDefault="5E13568F" w:rsidP="189E5E52">
      <w:pPr>
        <w:pStyle w:val="Heading3"/>
        <w:rPr>
          <w:rFonts w:ascii="Calibri" w:eastAsia="Calibri" w:hAnsi="Calibri" w:cs="Calibri"/>
        </w:rPr>
      </w:pPr>
      <w:bookmarkStart w:id="23" w:name="_Toc210917618"/>
      <w:r w:rsidRPr="189E5E52">
        <w:rPr>
          <w:rFonts w:ascii="Calibri" w:eastAsia="Calibri" w:hAnsi="Calibri" w:cs="Calibri"/>
        </w:rPr>
        <w:t>Organisational Culture and long-term sustainability</w:t>
      </w:r>
      <w:bookmarkEnd w:id="23"/>
    </w:p>
    <w:p w14:paraId="1891DF77" w14:textId="0EBE1601" w:rsidR="38DFA91E" w:rsidRDefault="5E13568F" w:rsidP="189E5E52">
      <w:pPr>
        <w:rPr>
          <w:rFonts w:ascii="Calibri" w:eastAsia="Calibri" w:hAnsi="Calibri" w:cs="Calibri"/>
        </w:rPr>
      </w:pPr>
      <w:r w:rsidRPr="189E5E52">
        <w:rPr>
          <w:rFonts w:ascii="Calibri" w:eastAsia="Calibri" w:hAnsi="Calibri" w:cs="Calibri"/>
        </w:rPr>
        <w:t>Blaennant's small, family-oriented atmosphere encourages informal learning, cooperation, and flexibility—all of which are essential components of healthy growth. Implementing mentorship and learning programs in this culture can improve teamwork and foster knowledge sharing across jobs. The company's culture may also be used to make learning an ongoing process rather than a one-time event. Weekly routines might include regular talks about marketing concepts, consumer feedback, and seasonal patterns, reinforcing what has been learnt in courses and through mentorship. Over time, this fosters a learning culture in which development is integrated into daily practice, allowing for long-term growth without the need for large-scale institutional infrastructure.</w:t>
      </w:r>
    </w:p>
    <w:p w14:paraId="710ADB7E" w14:textId="469D6595" w:rsidR="320D6D55" w:rsidRDefault="320D6D55" w:rsidP="320D6D55">
      <w:pPr>
        <w:rPr>
          <w:rFonts w:ascii="Calibri" w:eastAsia="Calibri" w:hAnsi="Calibri" w:cs="Calibri"/>
        </w:rPr>
      </w:pPr>
    </w:p>
    <w:p w14:paraId="4471F08C" w14:textId="047C6B2F" w:rsidR="71C59059" w:rsidRDefault="71C59059" w:rsidP="189E5E52">
      <w:pPr>
        <w:pStyle w:val="Heading1"/>
        <w:rPr>
          <w:rFonts w:ascii="Calibri" w:eastAsia="Calibri" w:hAnsi="Calibri" w:cs="Calibri"/>
          <w:sz w:val="32"/>
          <w:szCs w:val="32"/>
        </w:rPr>
      </w:pPr>
      <w:bookmarkStart w:id="24" w:name="_Toc210917619"/>
      <w:r w:rsidRPr="189E5E52">
        <w:rPr>
          <w:rFonts w:ascii="Calibri" w:eastAsia="Calibri" w:hAnsi="Calibri" w:cs="Calibri"/>
          <w:sz w:val="32"/>
          <w:szCs w:val="32"/>
        </w:rPr>
        <w:lastRenderedPageBreak/>
        <w:t xml:space="preserve">Plans to meet the identified development needs of the individual in the workplace </w:t>
      </w:r>
      <w:r w:rsidR="4A0929F4" w:rsidRPr="189E5E52">
        <w:rPr>
          <w:rFonts w:ascii="Calibri" w:eastAsia="Calibri" w:hAnsi="Calibri" w:cs="Calibri"/>
          <w:sz w:val="32"/>
          <w:szCs w:val="32"/>
        </w:rPr>
        <w:t>and how it’s used to manage performance.</w:t>
      </w:r>
      <w:bookmarkEnd w:id="24"/>
    </w:p>
    <w:p w14:paraId="48AE69F5" w14:textId="60195EC8" w:rsidR="189E5E52" w:rsidRDefault="189E5E52" w:rsidP="189E5E52">
      <w:pPr>
        <w:rPr>
          <w:rFonts w:ascii="Calibri" w:eastAsia="Calibri" w:hAnsi="Calibri" w:cs="Calibri"/>
          <w:sz w:val="28"/>
          <w:szCs w:val="28"/>
        </w:rPr>
      </w:pPr>
    </w:p>
    <w:p w14:paraId="1C837E0B" w14:textId="5FC2F423" w:rsidR="42D893DB" w:rsidRDefault="42D893DB" w:rsidP="189E5E52">
      <w:pPr>
        <w:pStyle w:val="Heading2"/>
        <w:rPr>
          <w:rFonts w:ascii="Calibri" w:eastAsia="Calibri" w:hAnsi="Calibri" w:cs="Calibri"/>
          <w:sz w:val="28"/>
          <w:szCs w:val="28"/>
        </w:rPr>
      </w:pPr>
      <w:bookmarkStart w:id="25" w:name="_Toc210917620"/>
      <w:r w:rsidRPr="189E5E52">
        <w:rPr>
          <w:rFonts w:ascii="Calibri" w:eastAsia="Calibri" w:hAnsi="Calibri" w:cs="Calibri"/>
          <w:sz w:val="28"/>
          <w:szCs w:val="28"/>
        </w:rPr>
        <w:t>Gap Analysis</w:t>
      </w:r>
      <w:bookmarkEnd w:id="25"/>
    </w:p>
    <w:p w14:paraId="10A14A09" w14:textId="69AACB2D" w:rsidR="42D893DB" w:rsidRDefault="42D893DB" w:rsidP="189E5E52">
      <w:pPr>
        <w:rPr>
          <w:rFonts w:ascii="Calibri" w:eastAsia="Calibri" w:hAnsi="Calibri" w:cs="Calibri"/>
        </w:rPr>
      </w:pPr>
      <w:r w:rsidRPr="189E5E52">
        <w:rPr>
          <w:rFonts w:ascii="Calibri" w:eastAsia="Calibri" w:hAnsi="Calibri" w:cs="Calibri"/>
        </w:rPr>
        <w:t>The following GAP analysis reveals the individual's existing skills, intended future state, gaps between them, and planned development measures that are consistent with the organi</w:t>
      </w:r>
      <w:r w:rsidR="002525AD">
        <w:rPr>
          <w:rFonts w:ascii="Calibri" w:eastAsia="Calibri" w:hAnsi="Calibri" w:cs="Calibri"/>
        </w:rPr>
        <w:t>s</w:t>
      </w:r>
      <w:r w:rsidRPr="189E5E52">
        <w:rPr>
          <w:rFonts w:ascii="Calibri" w:eastAsia="Calibri" w:hAnsi="Calibri" w:cs="Calibri"/>
        </w:rPr>
        <w:t>ation's strategic goals.</w:t>
      </w:r>
      <w:r w:rsidR="645C8E0C" w:rsidRPr="189E5E52">
        <w:rPr>
          <w:rFonts w:ascii="Calibri" w:eastAsia="Calibri" w:hAnsi="Calibri" w:cs="Calibri"/>
        </w:rPr>
        <w:t xml:space="preserve"> </w:t>
      </w:r>
      <w:r w:rsidR="061B154C" w:rsidRPr="189E5E52">
        <w:rPr>
          <w:rFonts w:ascii="Calibri" w:eastAsia="Calibri" w:hAnsi="Calibri" w:cs="Calibri"/>
        </w:rPr>
        <w:t>The GAP analysis identifies the individual's key development requirements as improving marketing knowledge, digital marketing competency, and branding consistency.</w:t>
      </w:r>
    </w:p>
    <w:p w14:paraId="1FDF4C08" w14:textId="2A6AF4FB" w:rsidR="405D797D" w:rsidRDefault="405D797D" w:rsidP="189E5E52">
      <w:pPr>
        <w:rPr>
          <w:rFonts w:ascii="Calibri" w:eastAsia="Calibri" w:hAnsi="Calibri" w:cs="Calibri"/>
        </w:rPr>
      </w:pPr>
      <w:r w:rsidRPr="189E5E52">
        <w:rPr>
          <w:rFonts w:ascii="Calibri" w:eastAsia="Calibri" w:hAnsi="Calibri" w:cs="Calibri"/>
        </w:rPr>
        <w:t>SEO (Search Engine Optimization)</w:t>
      </w:r>
    </w:p>
    <w:p w14:paraId="48698594" w14:textId="723B5D38" w:rsidR="405D797D" w:rsidRDefault="405D797D" w:rsidP="189E5E52">
      <w:pPr>
        <w:rPr>
          <w:rFonts w:ascii="Calibri" w:eastAsia="Calibri" w:hAnsi="Calibri" w:cs="Calibri"/>
        </w:rPr>
      </w:pPr>
      <w:r w:rsidRPr="189E5E52">
        <w:rPr>
          <w:rFonts w:ascii="Calibri" w:eastAsia="Calibri" w:hAnsi="Calibri" w:cs="Calibri"/>
        </w:rPr>
        <w:t>ROI (Return of Investments)</w:t>
      </w:r>
    </w:p>
    <w:p w14:paraId="4F40C33A" w14:textId="4B25BFF2" w:rsidR="4D343BF9" w:rsidRDefault="4D343BF9" w:rsidP="189E5E52">
      <w:pPr>
        <w:pStyle w:val="Heading2"/>
        <w:rPr>
          <w:rFonts w:ascii="Calibri" w:eastAsia="Calibri" w:hAnsi="Calibri" w:cs="Calibri"/>
          <w:sz w:val="28"/>
          <w:szCs w:val="28"/>
        </w:rPr>
      </w:pPr>
      <w:bookmarkStart w:id="26" w:name="_Toc210917621"/>
      <w:r w:rsidRPr="189E5E52">
        <w:rPr>
          <w:rFonts w:ascii="Calibri" w:eastAsia="Calibri" w:hAnsi="Calibri" w:cs="Calibri"/>
          <w:sz w:val="28"/>
          <w:szCs w:val="28"/>
        </w:rPr>
        <w:t>Personal Development Plan (PDP)</w:t>
      </w:r>
      <w:bookmarkEnd w:id="26"/>
    </w:p>
    <w:p w14:paraId="3631EB24" w14:textId="7A3B0021" w:rsidR="02DE6686" w:rsidRDefault="02DE6686" w:rsidP="189E5E52">
      <w:pPr>
        <w:rPr>
          <w:rFonts w:ascii="Calibri" w:eastAsia="Calibri" w:hAnsi="Calibri" w:cs="Calibri"/>
        </w:rPr>
      </w:pPr>
      <w:r w:rsidRPr="189E5E52">
        <w:rPr>
          <w:rFonts w:ascii="Calibri" w:eastAsia="Calibri" w:hAnsi="Calibri" w:cs="Calibri"/>
        </w:rPr>
        <w:t>This</w:t>
      </w:r>
      <w:r w:rsidR="4D343BF9" w:rsidRPr="189E5E52">
        <w:rPr>
          <w:rFonts w:ascii="Calibri" w:eastAsia="Calibri" w:hAnsi="Calibri" w:cs="Calibri"/>
        </w:rPr>
        <w:t xml:space="preserve"> PDP</w:t>
      </w:r>
      <w:r w:rsidR="02F67847" w:rsidRPr="189E5E52">
        <w:rPr>
          <w:rFonts w:ascii="Calibri" w:eastAsia="Calibri" w:hAnsi="Calibri" w:cs="Calibri"/>
        </w:rPr>
        <w:t xml:space="preserve"> is created</w:t>
      </w:r>
      <w:r w:rsidR="4D343BF9" w:rsidRPr="189E5E52">
        <w:rPr>
          <w:rFonts w:ascii="Calibri" w:eastAsia="Calibri" w:hAnsi="Calibri" w:cs="Calibri"/>
        </w:rPr>
        <w:t xml:space="preserve"> for the individual who will be attending the Marketing course for the company.</w:t>
      </w:r>
      <w:r w:rsidR="1A3F4504" w:rsidRPr="189E5E52">
        <w:rPr>
          <w:rFonts w:ascii="Calibri" w:eastAsia="Calibri" w:hAnsi="Calibri" w:cs="Calibri"/>
        </w:rPr>
        <w:t xml:space="preserve"> </w:t>
      </w:r>
      <w:r w:rsidR="3C112ABC" w:rsidRPr="189E5E52">
        <w:rPr>
          <w:rFonts w:ascii="Calibri" w:eastAsia="Calibri" w:hAnsi="Calibri" w:cs="Calibri"/>
        </w:rPr>
        <w:t>Th</w:t>
      </w:r>
      <w:r w:rsidR="0BCCBA49" w:rsidRPr="189E5E52">
        <w:rPr>
          <w:rFonts w:ascii="Calibri" w:eastAsia="Calibri" w:hAnsi="Calibri" w:cs="Calibri"/>
        </w:rPr>
        <w:t>e</w:t>
      </w:r>
      <w:r w:rsidR="3C112ABC" w:rsidRPr="189E5E52">
        <w:rPr>
          <w:rFonts w:ascii="Calibri" w:eastAsia="Calibri" w:hAnsi="Calibri" w:cs="Calibri"/>
        </w:rPr>
        <w:t xml:space="preserve"> PDP outlines an organised approach to enhancing an individual's marketing skills using a combination of formal study, coaching, and practical application. It is consistent with Blaennant’s strategic aim of increasing brand awareness and customer involvement while encouraging personal development and confidence in marketing decision-making.</w:t>
      </w:r>
      <w:r w:rsidR="42F2D23C" w:rsidRPr="189E5E52">
        <w:rPr>
          <w:rFonts w:ascii="Calibri" w:eastAsia="Calibri" w:hAnsi="Calibri" w:cs="Calibri"/>
        </w:rPr>
        <w:t xml:space="preserve"> </w:t>
      </w:r>
      <w:r w:rsidR="42F2D23C" w:rsidRPr="189E5E52">
        <w:rPr>
          <w:rFonts w:ascii="Calibri" w:eastAsia="Calibri" w:hAnsi="Calibri" w:cs="Calibri"/>
          <w:b/>
          <w:bCs/>
        </w:rPr>
        <w:t>See appendix B</w:t>
      </w:r>
    </w:p>
    <w:p w14:paraId="6D70A674" w14:textId="2323BABD" w:rsidR="0E77FFFF" w:rsidRDefault="0E77FFFF" w:rsidP="189E5E52">
      <w:pPr>
        <w:pStyle w:val="Heading2"/>
        <w:rPr>
          <w:rFonts w:ascii="Calibri" w:eastAsia="Calibri" w:hAnsi="Calibri" w:cs="Calibri"/>
          <w:sz w:val="28"/>
          <w:szCs w:val="28"/>
        </w:rPr>
      </w:pPr>
      <w:bookmarkStart w:id="27" w:name="_Toc210917622"/>
      <w:r w:rsidRPr="189E5E52">
        <w:rPr>
          <w:rFonts w:ascii="Calibri" w:eastAsia="Calibri" w:hAnsi="Calibri" w:cs="Calibri"/>
          <w:sz w:val="28"/>
          <w:szCs w:val="28"/>
        </w:rPr>
        <w:t>SMART</w:t>
      </w:r>
      <w:bookmarkEnd w:id="27"/>
    </w:p>
    <w:p w14:paraId="48379F31" w14:textId="1B4B4DE3" w:rsidR="7A74346B" w:rsidRDefault="7A74346B" w:rsidP="189E5E52">
      <w:pPr>
        <w:rPr>
          <w:rFonts w:ascii="Calibri" w:eastAsia="Calibri" w:hAnsi="Calibri" w:cs="Calibri"/>
        </w:rPr>
      </w:pPr>
      <w:r w:rsidRPr="189E5E52">
        <w:rPr>
          <w:rFonts w:ascii="Calibri" w:eastAsia="Calibri" w:hAnsi="Calibri" w:cs="Calibri"/>
        </w:rPr>
        <w:t>This table</w:t>
      </w:r>
      <w:r w:rsidR="1A2E138A" w:rsidRPr="189E5E52">
        <w:rPr>
          <w:rFonts w:ascii="Calibri" w:eastAsia="Calibri" w:hAnsi="Calibri" w:cs="Calibri"/>
        </w:rPr>
        <w:t xml:space="preserve"> follows the SMART framework (Specific, Measurable, Achievable, Relevant, and Time-bound) for the individual undergoing personal development.</w:t>
      </w:r>
      <w:r w:rsidR="536D8AB0" w:rsidRPr="189E5E52">
        <w:rPr>
          <w:rFonts w:ascii="Calibri" w:eastAsia="Calibri" w:hAnsi="Calibri" w:cs="Calibri"/>
        </w:rPr>
        <w:t xml:space="preserve"> </w:t>
      </w:r>
      <w:r w:rsidR="536D8AB0" w:rsidRPr="189E5E52">
        <w:rPr>
          <w:rFonts w:ascii="Calibri" w:eastAsia="Calibri" w:hAnsi="Calibri" w:cs="Calibri"/>
          <w:b/>
          <w:bCs/>
        </w:rPr>
        <w:t>See appendix C</w:t>
      </w:r>
    </w:p>
    <w:p w14:paraId="0C3F7B75" w14:textId="1177FC0C" w:rsidR="5A41C5AF" w:rsidRDefault="5A41C5AF" w:rsidP="189E5E52">
      <w:pPr>
        <w:pStyle w:val="Heading1"/>
        <w:rPr>
          <w:rFonts w:ascii="Calibri" w:eastAsia="Calibri" w:hAnsi="Calibri" w:cs="Calibri"/>
          <w:sz w:val="32"/>
          <w:szCs w:val="32"/>
        </w:rPr>
      </w:pPr>
      <w:bookmarkStart w:id="28" w:name="_Toc210917623"/>
      <w:r w:rsidRPr="189E5E52">
        <w:rPr>
          <w:rFonts w:ascii="Calibri" w:eastAsia="Calibri" w:hAnsi="Calibri" w:cs="Calibri"/>
          <w:sz w:val="32"/>
          <w:szCs w:val="32"/>
        </w:rPr>
        <w:t>Conclusion</w:t>
      </w:r>
      <w:bookmarkEnd w:id="28"/>
      <w:r w:rsidRPr="189E5E52">
        <w:rPr>
          <w:rFonts w:ascii="Calibri" w:eastAsia="Calibri" w:hAnsi="Calibri" w:cs="Calibri"/>
          <w:sz w:val="32"/>
          <w:szCs w:val="32"/>
        </w:rPr>
        <w:t xml:space="preserve"> </w:t>
      </w:r>
    </w:p>
    <w:p w14:paraId="7C9EBBBB" w14:textId="60108335" w:rsidR="5A41C5AF" w:rsidRDefault="5A41C5AF" w:rsidP="189E5E52">
      <w:pPr>
        <w:rPr>
          <w:rFonts w:ascii="Calibri" w:eastAsia="Calibri" w:hAnsi="Calibri" w:cs="Calibri"/>
        </w:rPr>
      </w:pPr>
      <w:r w:rsidRPr="189E5E52">
        <w:rPr>
          <w:rFonts w:ascii="Calibri" w:eastAsia="Calibri" w:hAnsi="Calibri" w:cs="Calibri"/>
        </w:rPr>
        <w:t>Finally, effective management of individual development in the workplace is critical for promoting both personal progress and organisational success. The research emphasises that organised techniques, such as mentorship, shadowing, and formal training, give employees with the information, skills, and confidence needed to handle changing company expectations. Companies may guarantee that employee growth contributes directly to strategic goals, increases engagement, and promotes workplace culture by connecting development efforts with the organi</w:t>
      </w:r>
      <w:r w:rsidR="002525AD">
        <w:rPr>
          <w:rFonts w:ascii="Calibri" w:eastAsia="Calibri" w:hAnsi="Calibri" w:cs="Calibri"/>
        </w:rPr>
        <w:t>s</w:t>
      </w:r>
      <w:r w:rsidRPr="189E5E52">
        <w:rPr>
          <w:rFonts w:ascii="Calibri" w:eastAsia="Calibri" w:hAnsi="Calibri" w:cs="Calibri"/>
        </w:rPr>
        <w:t xml:space="preserve">ation's vision, purpose, and strategy. The use of tools such as GAP analyses, Personal Development Plans (PDPs), and SMART objectives allows organisations to identify skill gaps, set clear, measurable goals, and track progress over time, ensuring that development efforts are targeted and effective. Furthermore, these techniques contribute to long-term cost efficiency by minimising talent shortages, eliminating mistakes, and maximising resource allocation. Finally, investing in workers' </w:t>
      </w:r>
      <w:r w:rsidRPr="189E5E52">
        <w:rPr>
          <w:rFonts w:ascii="Calibri" w:eastAsia="Calibri" w:hAnsi="Calibri" w:cs="Calibri"/>
        </w:rPr>
        <w:lastRenderedPageBreak/>
        <w:t>constant professional development not only improves individual potential, but also fosters organisational innovation, competitiveness, and sustainability. Businesses may foster a culture of learning and flexibility by incorporating organised development techniques into their daily operations, ensuring that staff are prepared to contribute meaningfully to both current goals and long-term organisational progress.</w:t>
      </w:r>
    </w:p>
    <w:p w14:paraId="272721FA" w14:textId="0B2B2185" w:rsidR="189E5E52" w:rsidRDefault="189E5E52" w:rsidP="189E5E52">
      <w:pPr>
        <w:pStyle w:val="Heading1"/>
        <w:rPr>
          <w:sz w:val="32"/>
          <w:szCs w:val="32"/>
        </w:rPr>
      </w:pPr>
    </w:p>
    <w:p w14:paraId="7C20CB9F" w14:textId="165460D3" w:rsidR="189E5E52" w:rsidRDefault="189E5E52" w:rsidP="189E5E52">
      <w:pPr>
        <w:pStyle w:val="Heading1"/>
        <w:rPr>
          <w:sz w:val="32"/>
          <w:szCs w:val="32"/>
        </w:rPr>
      </w:pPr>
    </w:p>
    <w:p w14:paraId="5FCC0A7E" w14:textId="5A846914" w:rsidR="189E5E52" w:rsidRDefault="189E5E52" w:rsidP="189E5E52">
      <w:pPr>
        <w:pStyle w:val="Heading1"/>
        <w:rPr>
          <w:sz w:val="32"/>
          <w:szCs w:val="32"/>
        </w:rPr>
      </w:pPr>
    </w:p>
    <w:p w14:paraId="66285EA6" w14:textId="0B149EB6" w:rsidR="189E5E52" w:rsidRDefault="189E5E52" w:rsidP="189E5E52">
      <w:pPr>
        <w:pStyle w:val="Heading1"/>
        <w:rPr>
          <w:sz w:val="32"/>
          <w:szCs w:val="32"/>
        </w:rPr>
      </w:pPr>
    </w:p>
    <w:p w14:paraId="72088D50" w14:textId="30E3EF57" w:rsidR="189E5E52" w:rsidRDefault="189E5E52" w:rsidP="189E5E52">
      <w:pPr>
        <w:pStyle w:val="Heading1"/>
        <w:rPr>
          <w:sz w:val="32"/>
          <w:szCs w:val="32"/>
        </w:rPr>
      </w:pPr>
    </w:p>
    <w:p w14:paraId="0AC27FE9" w14:textId="265E2B09" w:rsidR="189E5E52" w:rsidRDefault="189E5E52" w:rsidP="189E5E52">
      <w:pPr>
        <w:pStyle w:val="Heading1"/>
        <w:rPr>
          <w:sz w:val="32"/>
          <w:szCs w:val="32"/>
        </w:rPr>
      </w:pPr>
    </w:p>
    <w:p w14:paraId="18A389F9" w14:textId="446C4DBA" w:rsidR="189E5E52" w:rsidRDefault="189E5E52" w:rsidP="189E5E52">
      <w:pPr>
        <w:pStyle w:val="Heading1"/>
        <w:rPr>
          <w:sz w:val="32"/>
          <w:szCs w:val="32"/>
        </w:rPr>
      </w:pPr>
    </w:p>
    <w:p w14:paraId="272B6029" w14:textId="11B089BC" w:rsidR="189E5E52" w:rsidRDefault="189E5E52" w:rsidP="189E5E52">
      <w:pPr>
        <w:pStyle w:val="Heading1"/>
        <w:rPr>
          <w:sz w:val="32"/>
          <w:szCs w:val="32"/>
        </w:rPr>
      </w:pPr>
    </w:p>
    <w:p w14:paraId="29EBC18C" w14:textId="20EF3AB3" w:rsidR="189E5E52" w:rsidRDefault="189E5E52" w:rsidP="189E5E52">
      <w:pPr>
        <w:pStyle w:val="Heading1"/>
        <w:rPr>
          <w:sz w:val="32"/>
          <w:szCs w:val="32"/>
        </w:rPr>
      </w:pPr>
    </w:p>
    <w:p w14:paraId="34AE2414" w14:textId="2FE2B284" w:rsidR="189E5E52" w:rsidRDefault="189E5E52" w:rsidP="189E5E52"/>
    <w:p w14:paraId="5CEC826E" w14:textId="0F436889" w:rsidR="189E5E52" w:rsidRDefault="189E5E52" w:rsidP="189E5E52">
      <w:pPr>
        <w:pStyle w:val="Heading1"/>
        <w:rPr>
          <w:sz w:val="32"/>
          <w:szCs w:val="32"/>
        </w:rPr>
      </w:pPr>
    </w:p>
    <w:p w14:paraId="40B19C68" w14:textId="40786FA9" w:rsidR="189E5E52" w:rsidRDefault="189E5E52" w:rsidP="189E5E52"/>
    <w:p w14:paraId="770B173C" w14:textId="5F9131EF" w:rsidR="189E5E52" w:rsidRDefault="189E5E52" w:rsidP="189E5E52"/>
    <w:p w14:paraId="54301162" w14:textId="70E2DFA4" w:rsidR="0DE21F4F" w:rsidRDefault="0DE21F4F" w:rsidP="0DE21F4F">
      <w:pPr>
        <w:pStyle w:val="Heading1"/>
        <w:rPr>
          <w:sz w:val="32"/>
          <w:szCs w:val="32"/>
        </w:rPr>
      </w:pPr>
    </w:p>
    <w:p w14:paraId="7C47BD5B" w14:textId="77777777" w:rsidR="005C4CB3" w:rsidRDefault="005C4CB3" w:rsidP="005C4CB3"/>
    <w:p w14:paraId="7764E5FA" w14:textId="77777777" w:rsidR="005C4CB3" w:rsidRPr="005C4CB3" w:rsidRDefault="005C4CB3" w:rsidP="005C4CB3"/>
    <w:p w14:paraId="37484356" w14:textId="6D78FC27" w:rsidR="0DB6CC6B" w:rsidRDefault="3ECB25B1" w:rsidP="189E5E52">
      <w:pPr>
        <w:pStyle w:val="Heading1"/>
        <w:rPr>
          <w:sz w:val="32"/>
          <w:szCs w:val="32"/>
        </w:rPr>
      </w:pPr>
      <w:bookmarkStart w:id="29" w:name="_Toc210917624"/>
      <w:r w:rsidRPr="0DE21F4F">
        <w:rPr>
          <w:sz w:val="32"/>
          <w:szCs w:val="32"/>
        </w:rPr>
        <w:lastRenderedPageBreak/>
        <w:t>References</w:t>
      </w:r>
      <w:bookmarkEnd w:id="29"/>
    </w:p>
    <w:p w14:paraId="15640AF7" w14:textId="4A9C52AC"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Armstrong, M., &amp; Taylor, S. (2020). </w:t>
      </w:r>
      <w:r w:rsidRPr="00DD78B9">
        <w:rPr>
          <w:rFonts w:ascii="Times New Roman" w:eastAsia="Times New Roman" w:hAnsi="Times New Roman" w:cs="Times New Roman"/>
          <w:i/>
          <w:iCs/>
          <w:sz w:val="18"/>
          <w:szCs w:val="18"/>
        </w:rPr>
        <w:t>Armstrong’s Handbook of Human Resource Management Practice.</w:t>
      </w:r>
      <w:r w:rsidRPr="00DD78B9">
        <w:rPr>
          <w:rFonts w:ascii="Times New Roman" w:eastAsia="Times New Roman" w:hAnsi="Times New Roman" w:cs="Times New Roman"/>
          <w:sz w:val="18"/>
          <w:szCs w:val="18"/>
        </w:rPr>
        <w:t xml:space="preserve"> (15th ed.). Kogan Page.</w:t>
      </w:r>
    </w:p>
    <w:p w14:paraId="65072EC6" w14:textId="4DE902DA"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Ayers, R. S. (2015). Aligning Individual and Organizational Performance. </w:t>
      </w:r>
      <w:r w:rsidRPr="00DD78B9">
        <w:rPr>
          <w:rFonts w:ascii="Times New Roman" w:eastAsia="Times New Roman" w:hAnsi="Times New Roman" w:cs="Times New Roman"/>
          <w:i/>
          <w:iCs/>
          <w:sz w:val="18"/>
          <w:szCs w:val="18"/>
        </w:rPr>
        <w:t>Public Personnel Management</w:t>
      </w:r>
      <w:r w:rsidRPr="00DD78B9">
        <w:rPr>
          <w:rFonts w:ascii="Times New Roman" w:eastAsia="Times New Roman" w:hAnsi="Times New Roman" w:cs="Times New Roman"/>
          <w:sz w:val="18"/>
          <w:szCs w:val="18"/>
        </w:rPr>
        <w:t xml:space="preserve">, </w:t>
      </w:r>
      <w:r w:rsidRPr="00DD78B9">
        <w:rPr>
          <w:rFonts w:ascii="Times New Roman" w:eastAsia="Times New Roman" w:hAnsi="Times New Roman" w:cs="Times New Roman"/>
          <w:i/>
          <w:iCs/>
          <w:sz w:val="18"/>
          <w:szCs w:val="18"/>
        </w:rPr>
        <w:t>44</w:t>
      </w:r>
      <w:r w:rsidRPr="00DD78B9">
        <w:rPr>
          <w:rFonts w:ascii="Times New Roman" w:eastAsia="Times New Roman" w:hAnsi="Times New Roman" w:cs="Times New Roman"/>
          <w:sz w:val="18"/>
          <w:szCs w:val="18"/>
        </w:rPr>
        <w:t xml:space="preserve">(2), 169–191. </w:t>
      </w:r>
      <w:hyperlink r:id="rId9">
        <w:r w:rsidRPr="00DD78B9">
          <w:rPr>
            <w:rStyle w:val="Hyperlink"/>
            <w:rFonts w:ascii="Times New Roman" w:eastAsia="Times New Roman" w:hAnsi="Times New Roman" w:cs="Times New Roman"/>
            <w:sz w:val="18"/>
            <w:szCs w:val="18"/>
          </w:rPr>
          <w:t>https://doi.org/10.1177/0091026015575178</w:t>
        </w:r>
      </w:hyperlink>
    </w:p>
    <w:p w14:paraId="419985DF" w14:textId="5D5CF016"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Bachkirova, T., Jackson, P., &amp; Clutterbuck, D. (2011). </w:t>
      </w:r>
      <w:r w:rsidRPr="00DD78B9">
        <w:rPr>
          <w:rFonts w:ascii="Times New Roman" w:eastAsia="Times New Roman" w:hAnsi="Times New Roman" w:cs="Times New Roman"/>
          <w:i/>
          <w:iCs/>
          <w:sz w:val="18"/>
          <w:szCs w:val="18"/>
        </w:rPr>
        <w:t>Coaching and mentoring supervision : theory and practice</w:t>
      </w:r>
      <w:r w:rsidRPr="00DD78B9">
        <w:rPr>
          <w:rFonts w:ascii="Times New Roman" w:eastAsia="Times New Roman" w:hAnsi="Times New Roman" w:cs="Times New Roman"/>
          <w:sz w:val="18"/>
          <w:szCs w:val="18"/>
        </w:rPr>
        <w:t xml:space="preserve">. Open University Press. </w:t>
      </w:r>
      <w:hyperlink r:id="rId10">
        <w:r w:rsidRPr="00DD78B9">
          <w:rPr>
            <w:rStyle w:val="Hyperlink"/>
            <w:rFonts w:ascii="Times New Roman" w:eastAsia="Times New Roman" w:hAnsi="Times New Roman" w:cs="Times New Roman"/>
            <w:sz w:val="18"/>
            <w:szCs w:val="18"/>
          </w:rPr>
          <w:t>https://www.booktopia.com.au/coaching-and-mentoring-supervisor-sc-tatiana-bachkirova/prod9780335242986.html</w:t>
        </w:r>
      </w:hyperlink>
    </w:p>
    <w:p w14:paraId="50E2F0D5" w14:textId="7A6663A3"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Barajas, A. (2024). The role of organisational culture in enhancing workplace performance and employee engadgement. </w:t>
      </w:r>
      <w:r w:rsidRPr="00DD78B9">
        <w:rPr>
          <w:rFonts w:ascii="Times New Roman" w:eastAsia="Times New Roman" w:hAnsi="Times New Roman" w:cs="Times New Roman"/>
          <w:i/>
          <w:iCs/>
          <w:sz w:val="18"/>
          <w:szCs w:val="18"/>
        </w:rPr>
        <w:t>Journal of Organizational Culture, Communications and Conflict</w:t>
      </w:r>
      <w:r w:rsidRPr="00DD78B9">
        <w:rPr>
          <w:rFonts w:ascii="Times New Roman" w:eastAsia="Times New Roman" w:hAnsi="Times New Roman" w:cs="Times New Roman"/>
          <w:sz w:val="18"/>
          <w:szCs w:val="18"/>
        </w:rPr>
        <w:t xml:space="preserve">, </w:t>
      </w:r>
      <w:r w:rsidRPr="00DD78B9">
        <w:rPr>
          <w:rFonts w:ascii="Times New Roman" w:eastAsia="Times New Roman" w:hAnsi="Times New Roman" w:cs="Times New Roman"/>
          <w:i/>
          <w:iCs/>
          <w:sz w:val="18"/>
          <w:szCs w:val="18"/>
        </w:rPr>
        <w:t>28</w:t>
      </w:r>
      <w:r w:rsidRPr="00DD78B9">
        <w:rPr>
          <w:rFonts w:ascii="Times New Roman" w:eastAsia="Times New Roman" w:hAnsi="Times New Roman" w:cs="Times New Roman"/>
          <w:sz w:val="18"/>
          <w:szCs w:val="18"/>
        </w:rPr>
        <w:t xml:space="preserve">(4). </w:t>
      </w:r>
      <w:hyperlink r:id="rId11">
        <w:r w:rsidRPr="00DD78B9">
          <w:rPr>
            <w:rStyle w:val="Hyperlink"/>
            <w:rFonts w:ascii="Times New Roman" w:eastAsia="Times New Roman" w:hAnsi="Times New Roman" w:cs="Times New Roman"/>
            <w:sz w:val="18"/>
            <w:szCs w:val="18"/>
          </w:rPr>
          <w:t>https://www.abacademies.org/articles/the-role-of-organizational-culture-in-enhancing-workplace-performance-and-employee-engagement-17228</w:t>
        </w:r>
      </w:hyperlink>
      <w:r w:rsidRPr="00DD78B9">
        <w:rPr>
          <w:rFonts w:ascii="Times New Roman" w:eastAsia="Times New Roman" w:hAnsi="Times New Roman" w:cs="Times New Roman"/>
          <w:sz w:val="18"/>
          <w:szCs w:val="18"/>
        </w:rPr>
        <w:t>.</w:t>
      </w:r>
    </w:p>
    <w:p w14:paraId="3B270B20" w14:textId="469788FB"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CIO. (2001, February 15). </w:t>
      </w:r>
      <w:r w:rsidRPr="00DD78B9">
        <w:rPr>
          <w:rFonts w:ascii="Times New Roman" w:eastAsia="Times New Roman" w:hAnsi="Times New Roman" w:cs="Times New Roman"/>
          <w:i/>
          <w:iCs/>
          <w:sz w:val="18"/>
          <w:szCs w:val="18"/>
        </w:rPr>
        <w:t>Measuring the ROI of Training</w:t>
      </w:r>
      <w:r w:rsidRPr="00DD78B9">
        <w:rPr>
          <w:rFonts w:ascii="Times New Roman" w:eastAsia="Times New Roman" w:hAnsi="Times New Roman" w:cs="Times New Roman"/>
          <w:sz w:val="18"/>
          <w:szCs w:val="18"/>
        </w:rPr>
        <w:t xml:space="preserve">. CIO. </w:t>
      </w:r>
      <w:hyperlink r:id="rId12">
        <w:r w:rsidRPr="00DD78B9">
          <w:rPr>
            <w:rStyle w:val="Hyperlink"/>
            <w:rFonts w:ascii="Times New Roman" w:eastAsia="Times New Roman" w:hAnsi="Times New Roman" w:cs="Times New Roman"/>
            <w:sz w:val="18"/>
            <w:szCs w:val="18"/>
          </w:rPr>
          <w:t>https://www.cio.com/article/266951/training-measuring-the-roi-of-training.html?utm_</w:t>
        </w:r>
      </w:hyperlink>
    </w:p>
    <w:p w14:paraId="0915C8F4" w14:textId="77E7587B"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Clarke, N., &amp; Higgs, M. (2014). How Strategic Focus Relates to the Delivery of Leadership Training and Development. </w:t>
      </w:r>
      <w:r w:rsidRPr="00DD78B9">
        <w:rPr>
          <w:rFonts w:ascii="Times New Roman" w:eastAsia="Times New Roman" w:hAnsi="Times New Roman" w:cs="Times New Roman"/>
          <w:i/>
          <w:iCs/>
          <w:sz w:val="18"/>
          <w:szCs w:val="18"/>
        </w:rPr>
        <w:t>Human Resource Management</w:t>
      </w:r>
      <w:r w:rsidRPr="00DD78B9">
        <w:rPr>
          <w:rFonts w:ascii="Times New Roman" w:eastAsia="Times New Roman" w:hAnsi="Times New Roman" w:cs="Times New Roman"/>
          <w:sz w:val="18"/>
          <w:szCs w:val="18"/>
        </w:rPr>
        <w:t xml:space="preserve">, </w:t>
      </w:r>
      <w:r w:rsidRPr="00DD78B9">
        <w:rPr>
          <w:rFonts w:ascii="Times New Roman" w:eastAsia="Times New Roman" w:hAnsi="Times New Roman" w:cs="Times New Roman"/>
          <w:i/>
          <w:iCs/>
          <w:sz w:val="18"/>
          <w:szCs w:val="18"/>
        </w:rPr>
        <w:t>55</w:t>
      </w:r>
      <w:r w:rsidRPr="00DD78B9">
        <w:rPr>
          <w:rFonts w:ascii="Times New Roman" w:eastAsia="Times New Roman" w:hAnsi="Times New Roman" w:cs="Times New Roman"/>
          <w:sz w:val="18"/>
          <w:szCs w:val="18"/>
        </w:rPr>
        <w:t xml:space="preserve">(4), 541–565. </w:t>
      </w:r>
      <w:hyperlink r:id="rId13">
        <w:r w:rsidRPr="00DD78B9">
          <w:rPr>
            <w:rStyle w:val="Hyperlink"/>
            <w:rFonts w:ascii="Times New Roman" w:eastAsia="Times New Roman" w:hAnsi="Times New Roman" w:cs="Times New Roman"/>
            <w:sz w:val="18"/>
            <w:szCs w:val="18"/>
          </w:rPr>
          <w:t>https://doi.org/10.1002/hrm.21683</w:t>
        </w:r>
      </w:hyperlink>
    </w:p>
    <w:p w14:paraId="123E0EAB" w14:textId="2862915C"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Crossan, M. M., Lane, H. W., &amp; White, R. E. (1999). An Organizational Learning Framework: From Intuition to Institution. </w:t>
      </w:r>
      <w:r w:rsidRPr="00DD78B9">
        <w:rPr>
          <w:rFonts w:ascii="Times New Roman" w:eastAsia="Times New Roman" w:hAnsi="Times New Roman" w:cs="Times New Roman"/>
          <w:i/>
          <w:iCs/>
          <w:sz w:val="18"/>
          <w:szCs w:val="18"/>
        </w:rPr>
        <w:t>Academy of Management Review</w:t>
      </w:r>
      <w:r w:rsidRPr="00DD78B9">
        <w:rPr>
          <w:rFonts w:ascii="Times New Roman" w:eastAsia="Times New Roman" w:hAnsi="Times New Roman" w:cs="Times New Roman"/>
          <w:sz w:val="18"/>
          <w:szCs w:val="18"/>
        </w:rPr>
        <w:t xml:space="preserve">, </w:t>
      </w:r>
      <w:r w:rsidRPr="00DD78B9">
        <w:rPr>
          <w:rFonts w:ascii="Times New Roman" w:eastAsia="Times New Roman" w:hAnsi="Times New Roman" w:cs="Times New Roman"/>
          <w:i/>
          <w:iCs/>
          <w:sz w:val="18"/>
          <w:szCs w:val="18"/>
        </w:rPr>
        <w:t>24</w:t>
      </w:r>
      <w:r w:rsidRPr="00DD78B9">
        <w:rPr>
          <w:rFonts w:ascii="Times New Roman" w:eastAsia="Times New Roman" w:hAnsi="Times New Roman" w:cs="Times New Roman"/>
          <w:sz w:val="18"/>
          <w:szCs w:val="18"/>
        </w:rPr>
        <w:t>(3), 522–537.</w:t>
      </w:r>
    </w:p>
    <w:p w14:paraId="776D81F5" w14:textId="0E713D87"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De Vos, A., Forrier, A., Van der Heijden, B., &amp; De Cuyper, N. (2017). Keep the expert! Occupational expertise, perceived employability and job search. </w:t>
      </w:r>
      <w:r w:rsidRPr="00DD78B9">
        <w:rPr>
          <w:rFonts w:ascii="Times New Roman" w:eastAsia="Times New Roman" w:hAnsi="Times New Roman" w:cs="Times New Roman"/>
          <w:i/>
          <w:iCs/>
          <w:sz w:val="18"/>
          <w:szCs w:val="18"/>
        </w:rPr>
        <w:t>Career Development International</w:t>
      </w:r>
      <w:r w:rsidRPr="00DD78B9">
        <w:rPr>
          <w:rFonts w:ascii="Times New Roman" w:eastAsia="Times New Roman" w:hAnsi="Times New Roman" w:cs="Times New Roman"/>
          <w:sz w:val="18"/>
          <w:szCs w:val="18"/>
        </w:rPr>
        <w:t xml:space="preserve">, </w:t>
      </w:r>
      <w:r w:rsidRPr="00DD78B9">
        <w:rPr>
          <w:rFonts w:ascii="Times New Roman" w:eastAsia="Times New Roman" w:hAnsi="Times New Roman" w:cs="Times New Roman"/>
          <w:i/>
          <w:iCs/>
          <w:sz w:val="18"/>
          <w:szCs w:val="18"/>
        </w:rPr>
        <w:t>22</w:t>
      </w:r>
      <w:r w:rsidRPr="00DD78B9">
        <w:rPr>
          <w:rFonts w:ascii="Times New Roman" w:eastAsia="Times New Roman" w:hAnsi="Times New Roman" w:cs="Times New Roman"/>
          <w:sz w:val="18"/>
          <w:szCs w:val="18"/>
        </w:rPr>
        <w:t xml:space="preserve">(3), 318–332. </w:t>
      </w:r>
      <w:hyperlink r:id="rId14">
        <w:r w:rsidRPr="00DD78B9">
          <w:rPr>
            <w:rStyle w:val="Hyperlink"/>
            <w:rFonts w:ascii="Times New Roman" w:eastAsia="Times New Roman" w:hAnsi="Times New Roman" w:cs="Times New Roman"/>
            <w:sz w:val="18"/>
            <w:szCs w:val="18"/>
          </w:rPr>
          <w:t>https://doi.org/10.1108/cdi-12-2016-0229</w:t>
        </w:r>
      </w:hyperlink>
    </w:p>
    <w:p w14:paraId="42F5B9F5" w14:textId="530768B0"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Ellström, P.-E. (2001). Integrating learning and work: Problems and prospects. </w:t>
      </w:r>
      <w:r w:rsidRPr="00DD78B9">
        <w:rPr>
          <w:rFonts w:ascii="Times New Roman" w:eastAsia="Times New Roman" w:hAnsi="Times New Roman" w:cs="Times New Roman"/>
          <w:i/>
          <w:iCs/>
          <w:sz w:val="18"/>
          <w:szCs w:val="18"/>
        </w:rPr>
        <w:t>Human Resource Development Quarterly</w:t>
      </w:r>
      <w:r w:rsidRPr="00DD78B9">
        <w:rPr>
          <w:rFonts w:ascii="Times New Roman" w:eastAsia="Times New Roman" w:hAnsi="Times New Roman" w:cs="Times New Roman"/>
          <w:sz w:val="18"/>
          <w:szCs w:val="18"/>
        </w:rPr>
        <w:t xml:space="preserve">, </w:t>
      </w:r>
      <w:r w:rsidRPr="00DD78B9">
        <w:rPr>
          <w:rFonts w:ascii="Times New Roman" w:eastAsia="Times New Roman" w:hAnsi="Times New Roman" w:cs="Times New Roman"/>
          <w:i/>
          <w:iCs/>
          <w:sz w:val="18"/>
          <w:szCs w:val="18"/>
        </w:rPr>
        <w:t>12</w:t>
      </w:r>
      <w:r w:rsidRPr="00DD78B9">
        <w:rPr>
          <w:rFonts w:ascii="Times New Roman" w:eastAsia="Times New Roman" w:hAnsi="Times New Roman" w:cs="Times New Roman"/>
          <w:sz w:val="18"/>
          <w:szCs w:val="18"/>
        </w:rPr>
        <w:t xml:space="preserve">(4), 421. </w:t>
      </w:r>
      <w:hyperlink r:id="rId15">
        <w:r w:rsidRPr="00DD78B9">
          <w:rPr>
            <w:rStyle w:val="Hyperlink"/>
            <w:rFonts w:ascii="Times New Roman" w:eastAsia="Times New Roman" w:hAnsi="Times New Roman" w:cs="Times New Roman"/>
            <w:sz w:val="18"/>
            <w:szCs w:val="18"/>
          </w:rPr>
          <w:t>https://doi.org/10.1002/hrdq.1006</w:t>
        </w:r>
      </w:hyperlink>
    </w:p>
    <w:p w14:paraId="29116AA2" w14:textId="0A2AC9FC"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Emrah Atar. (2022). </w:t>
      </w:r>
      <w:r w:rsidRPr="00DD78B9">
        <w:rPr>
          <w:rFonts w:ascii="Times New Roman" w:eastAsia="Times New Roman" w:hAnsi="Times New Roman" w:cs="Times New Roman"/>
          <w:i/>
          <w:iCs/>
          <w:sz w:val="18"/>
          <w:szCs w:val="18"/>
        </w:rPr>
        <w:t>The Impact of Employees’ Behaviour in the Workplace</w:t>
      </w:r>
      <w:r w:rsidRPr="00DD78B9">
        <w:rPr>
          <w:rFonts w:ascii="Times New Roman" w:eastAsia="Times New Roman" w:hAnsi="Times New Roman" w:cs="Times New Roman"/>
          <w:sz w:val="18"/>
          <w:szCs w:val="18"/>
        </w:rPr>
        <w:t xml:space="preserve">. Cambridge Scholars Publishing. </w:t>
      </w:r>
      <w:hyperlink r:id="rId16" w:anchor="v=onepage&amp;q=Noe%20and%20Kodwani%20(2018)%20in%20Employee%20Training%20and%20Development&amp;f=false">
        <w:r w:rsidRPr="00DD78B9">
          <w:rPr>
            <w:rStyle w:val="Hyperlink"/>
            <w:rFonts w:ascii="Times New Roman" w:eastAsia="Times New Roman" w:hAnsi="Times New Roman" w:cs="Times New Roman"/>
            <w:sz w:val="18"/>
            <w:szCs w:val="18"/>
          </w:rPr>
          <w:t>https://books.google.co.uk/books?hl=en&amp;lr=&amp;id=ZGRmEAAAQBAJ&amp;oi=fnd&amp;pg=PA97&amp;dq=Noe+and+Kodwani+(2018)+in+Employee+Training+and+Development&amp;ots=hzKPuDFy_j&amp;sig=pD_fL-NKrXGwwK2Y0aFwoYfycz8&amp;redir_esc=y#v=onepage&amp;q=Noe%20and%20Kodwani%20(2018)%20in%20Employee%20Training%20and%20Development&amp;f=false</w:t>
        </w:r>
      </w:hyperlink>
    </w:p>
    <w:p w14:paraId="6A6A7E6B" w14:textId="20AA2E87"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Garavan, T. (2024). Learning And Development Practitioners in Organisations: Organising, Belonging, Learning And Performing Tensions. </w:t>
      </w:r>
      <w:r w:rsidRPr="00DD78B9">
        <w:rPr>
          <w:rFonts w:ascii="Times New Roman" w:eastAsia="Times New Roman" w:hAnsi="Times New Roman" w:cs="Times New Roman"/>
          <w:i/>
          <w:iCs/>
          <w:sz w:val="18"/>
          <w:szCs w:val="18"/>
        </w:rPr>
        <w:t>Irish Journal of Management</w:t>
      </w:r>
      <w:r w:rsidRPr="00DD78B9">
        <w:rPr>
          <w:rFonts w:ascii="Times New Roman" w:eastAsia="Times New Roman" w:hAnsi="Times New Roman" w:cs="Times New Roman"/>
          <w:sz w:val="18"/>
          <w:szCs w:val="18"/>
        </w:rPr>
        <w:t xml:space="preserve">, </w:t>
      </w:r>
      <w:r w:rsidRPr="00DD78B9">
        <w:rPr>
          <w:rFonts w:ascii="Times New Roman" w:eastAsia="Times New Roman" w:hAnsi="Times New Roman" w:cs="Times New Roman"/>
          <w:i/>
          <w:iCs/>
          <w:sz w:val="18"/>
          <w:szCs w:val="18"/>
        </w:rPr>
        <w:t>0</w:t>
      </w:r>
      <w:r w:rsidRPr="00DD78B9">
        <w:rPr>
          <w:rFonts w:ascii="Times New Roman" w:eastAsia="Times New Roman" w:hAnsi="Times New Roman" w:cs="Times New Roman"/>
          <w:sz w:val="18"/>
          <w:szCs w:val="18"/>
        </w:rPr>
        <w:t xml:space="preserve">(0). </w:t>
      </w:r>
      <w:hyperlink r:id="rId17">
        <w:r w:rsidRPr="00DD78B9">
          <w:rPr>
            <w:rStyle w:val="Hyperlink"/>
            <w:rFonts w:ascii="Times New Roman" w:eastAsia="Times New Roman" w:hAnsi="Times New Roman" w:cs="Times New Roman"/>
            <w:sz w:val="18"/>
            <w:szCs w:val="18"/>
          </w:rPr>
          <w:t>https://doi.org/10.2478/ijm-2023-0015</w:t>
        </w:r>
      </w:hyperlink>
    </w:p>
    <w:p w14:paraId="3FB8F375" w14:textId="1B117512"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Garavan, T. N., Heneghan, S., O’Brien, F., Gubbins, C., Lai, Y., Carbery, R., Duggan, J., Lannon, R., Sheehan, M., &amp; Grant, K. (2019). L&amp;D professionals in organisations: much ambition, unfilled promise. </w:t>
      </w:r>
      <w:r w:rsidRPr="00DD78B9">
        <w:rPr>
          <w:rFonts w:ascii="Times New Roman" w:eastAsia="Times New Roman" w:hAnsi="Times New Roman" w:cs="Times New Roman"/>
          <w:i/>
          <w:iCs/>
          <w:sz w:val="18"/>
          <w:szCs w:val="18"/>
        </w:rPr>
        <w:t>European Journal of Training and Development</w:t>
      </w:r>
      <w:r w:rsidRPr="00DD78B9">
        <w:rPr>
          <w:rFonts w:ascii="Times New Roman" w:eastAsia="Times New Roman" w:hAnsi="Times New Roman" w:cs="Times New Roman"/>
          <w:sz w:val="18"/>
          <w:szCs w:val="18"/>
        </w:rPr>
        <w:t xml:space="preserve">, </w:t>
      </w:r>
      <w:r w:rsidRPr="00DD78B9">
        <w:rPr>
          <w:rFonts w:ascii="Times New Roman" w:eastAsia="Times New Roman" w:hAnsi="Times New Roman" w:cs="Times New Roman"/>
          <w:i/>
          <w:iCs/>
          <w:sz w:val="18"/>
          <w:szCs w:val="18"/>
        </w:rPr>
        <w:t>ahead-of-print</w:t>
      </w:r>
      <w:r w:rsidRPr="00DD78B9">
        <w:rPr>
          <w:rFonts w:ascii="Times New Roman" w:eastAsia="Times New Roman" w:hAnsi="Times New Roman" w:cs="Times New Roman"/>
          <w:sz w:val="18"/>
          <w:szCs w:val="18"/>
        </w:rPr>
        <w:t xml:space="preserve">(ahead-of-print). </w:t>
      </w:r>
      <w:hyperlink r:id="rId18">
        <w:r w:rsidRPr="00DD78B9">
          <w:rPr>
            <w:rStyle w:val="Hyperlink"/>
            <w:rFonts w:ascii="Times New Roman" w:eastAsia="Times New Roman" w:hAnsi="Times New Roman" w:cs="Times New Roman"/>
            <w:sz w:val="18"/>
            <w:szCs w:val="18"/>
          </w:rPr>
          <w:t>https://doi.org/10.1108/ejtd-09-2019-0166</w:t>
        </w:r>
      </w:hyperlink>
    </w:p>
    <w:p w14:paraId="29969F02" w14:textId="1B363C26"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Huo, M.-L. (2021). Career growth opportunities, thriving at work and career outcomes: Can COVID-19 anxiety make a difference? </w:t>
      </w:r>
      <w:r w:rsidRPr="00DD78B9">
        <w:rPr>
          <w:rFonts w:ascii="Times New Roman" w:eastAsia="Times New Roman" w:hAnsi="Times New Roman" w:cs="Times New Roman"/>
          <w:i/>
          <w:iCs/>
          <w:sz w:val="18"/>
          <w:szCs w:val="18"/>
        </w:rPr>
        <w:t>Journal of Hospitality and Tourism Management</w:t>
      </w:r>
      <w:r w:rsidRPr="00DD78B9">
        <w:rPr>
          <w:rFonts w:ascii="Times New Roman" w:eastAsia="Times New Roman" w:hAnsi="Times New Roman" w:cs="Times New Roman"/>
          <w:sz w:val="18"/>
          <w:szCs w:val="18"/>
        </w:rPr>
        <w:t xml:space="preserve">, </w:t>
      </w:r>
      <w:r w:rsidRPr="00DD78B9">
        <w:rPr>
          <w:rFonts w:ascii="Times New Roman" w:eastAsia="Times New Roman" w:hAnsi="Times New Roman" w:cs="Times New Roman"/>
          <w:i/>
          <w:iCs/>
          <w:sz w:val="18"/>
          <w:szCs w:val="18"/>
        </w:rPr>
        <w:t>48</w:t>
      </w:r>
      <w:r w:rsidRPr="00DD78B9">
        <w:rPr>
          <w:rFonts w:ascii="Times New Roman" w:eastAsia="Times New Roman" w:hAnsi="Times New Roman" w:cs="Times New Roman"/>
          <w:sz w:val="18"/>
          <w:szCs w:val="18"/>
        </w:rPr>
        <w:t xml:space="preserve">, 174–181. </w:t>
      </w:r>
      <w:hyperlink r:id="rId19">
        <w:r w:rsidRPr="00DD78B9">
          <w:rPr>
            <w:rStyle w:val="Hyperlink"/>
            <w:rFonts w:ascii="Times New Roman" w:eastAsia="Times New Roman" w:hAnsi="Times New Roman" w:cs="Times New Roman"/>
            <w:sz w:val="18"/>
            <w:szCs w:val="18"/>
          </w:rPr>
          <w:t>https://www.ncbi.nlm.nih.gov/pmc/articles/PMC8423113/</w:t>
        </w:r>
      </w:hyperlink>
    </w:p>
    <w:p w14:paraId="3FFC4CEF" w14:textId="2BA7DBAE"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Ji, D., Gong, J., &amp; Guo, Z. (2024). Vision Communication and Firm Quality Performance: The Mediating Role of Employee Involvement and the Moderating Effect of Leader Support. </w:t>
      </w:r>
      <w:r w:rsidRPr="00DD78B9">
        <w:rPr>
          <w:rFonts w:ascii="Times New Roman" w:eastAsia="Times New Roman" w:hAnsi="Times New Roman" w:cs="Times New Roman"/>
          <w:i/>
          <w:iCs/>
          <w:sz w:val="18"/>
          <w:szCs w:val="18"/>
        </w:rPr>
        <w:t>Behavioral Sciences</w:t>
      </w:r>
      <w:r w:rsidRPr="00DD78B9">
        <w:rPr>
          <w:rFonts w:ascii="Times New Roman" w:eastAsia="Times New Roman" w:hAnsi="Times New Roman" w:cs="Times New Roman"/>
          <w:sz w:val="18"/>
          <w:szCs w:val="18"/>
        </w:rPr>
        <w:t xml:space="preserve">, </w:t>
      </w:r>
      <w:r w:rsidRPr="00DD78B9">
        <w:rPr>
          <w:rFonts w:ascii="Times New Roman" w:eastAsia="Times New Roman" w:hAnsi="Times New Roman" w:cs="Times New Roman"/>
          <w:i/>
          <w:iCs/>
          <w:sz w:val="18"/>
          <w:szCs w:val="18"/>
        </w:rPr>
        <w:t>14</w:t>
      </w:r>
      <w:r w:rsidRPr="00DD78B9">
        <w:rPr>
          <w:rFonts w:ascii="Times New Roman" w:eastAsia="Times New Roman" w:hAnsi="Times New Roman" w:cs="Times New Roman"/>
          <w:sz w:val="18"/>
          <w:szCs w:val="18"/>
        </w:rPr>
        <w:t xml:space="preserve">(10), 902–902. </w:t>
      </w:r>
      <w:hyperlink r:id="rId20">
        <w:r w:rsidRPr="00DD78B9">
          <w:rPr>
            <w:rStyle w:val="Hyperlink"/>
            <w:rFonts w:ascii="Times New Roman" w:eastAsia="Times New Roman" w:hAnsi="Times New Roman" w:cs="Times New Roman"/>
            <w:sz w:val="18"/>
            <w:szCs w:val="18"/>
          </w:rPr>
          <w:t>https://doi.org/10.3390/bs14100902</w:t>
        </w:r>
      </w:hyperlink>
    </w:p>
    <w:p w14:paraId="23C3C943" w14:textId="0CC2F3BC"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Lee, J. (2018). The Effects of Knowledge Sharing on Individual Creativity in Higher Education Institutions: Socio-Technical View. </w:t>
      </w:r>
      <w:r w:rsidRPr="00DD78B9">
        <w:rPr>
          <w:rFonts w:ascii="Times New Roman" w:eastAsia="Times New Roman" w:hAnsi="Times New Roman" w:cs="Times New Roman"/>
          <w:i/>
          <w:iCs/>
          <w:sz w:val="18"/>
          <w:szCs w:val="18"/>
        </w:rPr>
        <w:t>Administrative Sciences</w:t>
      </w:r>
      <w:r w:rsidRPr="00DD78B9">
        <w:rPr>
          <w:rFonts w:ascii="Times New Roman" w:eastAsia="Times New Roman" w:hAnsi="Times New Roman" w:cs="Times New Roman"/>
          <w:sz w:val="18"/>
          <w:szCs w:val="18"/>
        </w:rPr>
        <w:t xml:space="preserve">, </w:t>
      </w:r>
      <w:r w:rsidRPr="00DD78B9">
        <w:rPr>
          <w:rFonts w:ascii="Times New Roman" w:eastAsia="Times New Roman" w:hAnsi="Times New Roman" w:cs="Times New Roman"/>
          <w:i/>
          <w:iCs/>
          <w:sz w:val="18"/>
          <w:szCs w:val="18"/>
        </w:rPr>
        <w:t>8</w:t>
      </w:r>
      <w:r w:rsidRPr="00DD78B9">
        <w:rPr>
          <w:rFonts w:ascii="Times New Roman" w:eastAsia="Times New Roman" w:hAnsi="Times New Roman" w:cs="Times New Roman"/>
          <w:sz w:val="18"/>
          <w:szCs w:val="18"/>
        </w:rPr>
        <w:t xml:space="preserve">(2), 21. </w:t>
      </w:r>
      <w:hyperlink r:id="rId21">
        <w:r w:rsidRPr="00DD78B9">
          <w:rPr>
            <w:rStyle w:val="Hyperlink"/>
            <w:rFonts w:ascii="Times New Roman" w:eastAsia="Times New Roman" w:hAnsi="Times New Roman" w:cs="Times New Roman"/>
            <w:sz w:val="18"/>
            <w:szCs w:val="18"/>
          </w:rPr>
          <w:t>https://doi.org/10.3390/admsci8020021</w:t>
        </w:r>
      </w:hyperlink>
    </w:p>
    <w:p w14:paraId="6D9146A6" w14:textId="3DFD10A6"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Masero, R. (2024, May 5). </w:t>
      </w:r>
      <w:r w:rsidRPr="00DD78B9">
        <w:rPr>
          <w:rFonts w:ascii="Times New Roman" w:eastAsia="Times New Roman" w:hAnsi="Times New Roman" w:cs="Times New Roman"/>
          <w:i/>
          <w:iCs/>
          <w:sz w:val="18"/>
          <w:szCs w:val="18"/>
        </w:rPr>
        <w:t>Do The Math: Here’s Why Return On Investment For Employee Training Programs Really Matters!</w:t>
      </w:r>
      <w:r w:rsidRPr="00DD78B9">
        <w:rPr>
          <w:rFonts w:ascii="Times New Roman" w:eastAsia="Times New Roman" w:hAnsi="Times New Roman" w:cs="Times New Roman"/>
          <w:sz w:val="18"/>
          <w:szCs w:val="18"/>
        </w:rPr>
        <w:t xml:space="preserve"> ELearning Industry. </w:t>
      </w:r>
      <w:hyperlink r:id="rId22">
        <w:r w:rsidRPr="00DD78B9">
          <w:rPr>
            <w:rStyle w:val="Hyperlink"/>
            <w:rFonts w:ascii="Times New Roman" w:eastAsia="Times New Roman" w:hAnsi="Times New Roman" w:cs="Times New Roman"/>
            <w:sz w:val="18"/>
            <w:szCs w:val="18"/>
          </w:rPr>
          <w:t>https://elearningindustry.com/do-the-math-heres-why-return-on-investment-for-employee-training-programs-really-matters</w:t>
        </w:r>
      </w:hyperlink>
      <w:r w:rsidRPr="00DD78B9">
        <w:rPr>
          <w:rFonts w:ascii="Times New Roman" w:eastAsia="Times New Roman" w:hAnsi="Times New Roman" w:cs="Times New Roman"/>
          <w:sz w:val="18"/>
          <w:szCs w:val="18"/>
        </w:rPr>
        <w:t>?</w:t>
      </w:r>
    </w:p>
    <w:p w14:paraId="576B8695" w14:textId="164394A0"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McGrath, R. G. (2001). Exploratory Learning, Innovative Capacity, and Managerial Oversight. </w:t>
      </w:r>
      <w:r w:rsidRPr="00DD78B9">
        <w:rPr>
          <w:rFonts w:ascii="Times New Roman" w:eastAsia="Times New Roman" w:hAnsi="Times New Roman" w:cs="Times New Roman"/>
          <w:i/>
          <w:iCs/>
          <w:sz w:val="18"/>
          <w:szCs w:val="18"/>
        </w:rPr>
        <w:t>Academy of Management Journal</w:t>
      </w:r>
      <w:r w:rsidRPr="00DD78B9">
        <w:rPr>
          <w:rFonts w:ascii="Times New Roman" w:eastAsia="Times New Roman" w:hAnsi="Times New Roman" w:cs="Times New Roman"/>
          <w:sz w:val="18"/>
          <w:szCs w:val="18"/>
        </w:rPr>
        <w:t xml:space="preserve">, </w:t>
      </w:r>
      <w:r w:rsidRPr="00DD78B9">
        <w:rPr>
          <w:rFonts w:ascii="Times New Roman" w:eastAsia="Times New Roman" w:hAnsi="Times New Roman" w:cs="Times New Roman"/>
          <w:i/>
          <w:iCs/>
          <w:sz w:val="18"/>
          <w:szCs w:val="18"/>
        </w:rPr>
        <w:t>44</w:t>
      </w:r>
      <w:r w:rsidRPr="00DD78B9">
        <w:rPr>
          <w:rFonts w:ascii="Times New Roman" w:eastAsia="Times New Roman" w:hAnsi="Times New Roman" w:cs="Times New Roman"/>
          <w:sz w:val="18"/>
          <w:szCs w:val="18"/>
        </w:rPr>
        <w:t xml:space="preserve">(1), 118–131. </w:t>
      </w:r>
      <w:hyperlink r:id="rId23">
        <w:r w:rsidRPr="00DD78B9">
          <w:rPr>
            <w:rStyle w:val="Hyperlink"/>
            <w:rFonts w:ascii="Times New Roman" w:eastAsia="Times New Roman" w:hAnsi="Times New Roman" w:cs="Times New Roman"/>
            <w:sz w:val="18"/>
            <w:szCs w:val="18"/>
          </w:rPr>
          <w:t>https://doi.org/10.5465/3069340</w:t>
        </w:r>
      </w:hyperlink>
    </w:p>
    <w:p w14:paraId="73453440" w14:textId="3C9BC0F7"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Naseem, S., Mohsin, M., &amp; Jamil, K. (2025). Driving job satisfaction through inclusive knowledge management: a focus on learning and communication in diverse workplaces. </w:t>
      </w:r>
      <w:r w:rsidRPr="00DD78B9">
        <w:rPr>
          <w:rFonts w:ascii="Times New Roman" w:eastAsia="Times New Roman" w:hAnsi="Times New Roman" w:cs="Times New Roman"/>
          <w:i/>
          <w:iCs/>
          <w:sz w:val="18"/>
          <w:szCs w:val="18"/>
        </w:rPr>
        <w:t>BMC Psychology</w:t>
      </w:r>
      <w:r w:rsidRPr="00DD78B9">
        <w:rPr>
          <w:rFonts w:ascii="Times New Roman" w:eastAsia="Times New Roman" w:hAnsi="Times New Roman" w:cs="Times New Roman"/>
          <w:sz w:val="18"/>
          <w:szCs w:val="18"/>
        </w:rPr>
        <w:t xml:space="preserve">, </w:t>
      </w:r>
      <w:r w:rsidRPr="00DD78B9">
        <w:rPr>
          <w:rFonts w:ascii="Times New Roman" w:eastAsia="Times New Roman" w:hAnsi="Times New Roman" w:cs="Times New Roman"/>
          <w:i/>
          <w:iCs/>
          <w:sz w:val="18"/>
          <w:szCs w:val="18"/>
        </w:rPr>
        <w:t>13</w:t>
      </w:r>
      <w:r w:rsidRPr="00DD78B9">
        <w:rPr>
          <w:rFonts w:ascii="Times New Roman" w:eastAsia="Times New Roman" w:hAnsi="Times New Roman" w:cs="Times New Roman"/>
          <w:sz w:val="18"/>
          <w:szCs w:val="18"/>
        </w:rPr>
        <w:t xml:space="preserve">(1). </w:t>
      </w:r>
      <w:hyperlink r:id="rId24">
        <w:r w:rsidRPr="00DD78B9">
          <w:rPr>
            <w:rStyle w:val="Hyperlink"/>
            <w:rFonts w:ascii="Times New Roman" w:eastAsia="Times New Roman" w:hAnsi="Times New Roman" w:cs="Times New Roman"/>
            <w:sz w:val="18"/>
            <w:szCs w:val="18"/>
          </w:rPr>
          <w:t>https://doi.org/10.1186/s40359-025-02404-w</w:t>
        </w:r>
      </w:hyperlink>
    </w:p>
    <w:p w14:paraId="70CC38EF" w14:textId="3817342A"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Sabherwal, R., Steelman, Z., &amp; Becerra-Fernandez, I. (2023). Knowledge management mechanisms and common knowledge impacts on the value of knowledge at individual and organizational levels. </w:t>
      </w:r>
      <w:r w:rsidRPr="00DD78B9">
        <w:rPr>
          <w:rFonts w:ascii="Times New Roman" w:eastAsia="Times New Roman" w:hAnsi="Times New Roman" w:cs="Times New Roman"/>
          <w:i/>
          <w:iCs/>
          <w:sz w:val="18"/>
          <w:szCs w:val="18"/>
        </w:rPr>
        <w:t>International Journal of Information Management</w:t>
      </w:r>
      <w:r w:rsidRPr="00DD78B9">
        <w:rPr>
          <w:rFonts w:ascii="Times New Roman" w:eastAsia="Times New Roman" w:hAnsi="Times New Roman" w:cs="Times New Roman"/>
          <w:sz w:val="18"/>
          <w:szCs w:val="18"/>
        </w:rPr>
        <w:t xml:space="preserve">, </w:t>
      </w:r>
      <w:r w:rsidRPr="00DD78B9">
        <w:rPr>
          <w:rFonts w:ascii="Times New Roman" w:eastAsia="Times New Roman" w:hAnsi="Times New Roman" w:cs="Times New Roman"/>
          <w:i/>
          <w:iCs/>
          <w:sz w:val="18"/>
          <w:szCs w:val="18"/>
        </w:rPr>
        <w:t>72</w:t>
      </w:r>
      <w:r w:rsidRPr="00DD78B9">
        <w:rPr>
          <w:rFonts w:ascii="Times New Roman" w:eastAsia="Times New Roman" w:hAnsi="Times New Roman" w:cs="Times New Roman"/>
          <w:sz w:val="18"/>
          <w:szCs w:val="18"/>
        </w:rPr>
        <w:t xml:space="preserve">(Volume 27), 102660. </w:t>
      </w:r>
      <w:hyperlink r:id="rId25">
        <w:r w:rsidRPr="00DD78B9">
          <w:rPr>
            <w:rStyle w:val="Hyperlink"/>
            <w:rFonts w:ascii="Times New Roman" w:eastAsia="Times New Roman" w:hAnsi="Times New Roman" w:cs="Times New Roman"/>
            <w:sz w:val="18"/>
            <w:szCs w:val="18"/>
          </w:rPr>
          <w:t>https://doi.org/10.1016/j.ijinfomgt.2023.102660</w:t>
        </w:r>
      </w:hyperlink>
    </w:p>
    <w:p w14:paraId="15CD5B38" w14:textId="2BC4A46C"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Shields, M. D., &amp; Young, S. M. (1992). Effective Long-Term Cost Reduction: A Strategic Perspective. </w:t>
      </w:r>
      <w:r w:rsidRPr="00DD78B9">
        <w:rPr>
          <w:rFonts w:ascii="Times New Roman" w:eastAsia="Times New Roman" w:hAnsi="Times New Roman" w:cs="Times New Roman"/>
          <w:i/>
          <w:iCs/>
          <w:sz w:val="18"/>
          <w:szCs w:val="18"/>
        </w:rPr>
        <w:t>Effective Long-Term Cost Reduction: A Strategic Perspective</w:t>
      </w:r>
      <w:r w:rsidRPr="00DD78B9">
        <w:rPr>
          <w:rFonts w:ascii="Times New Roman" w:eastAsia="Times New Roman" w:hAnsi="Times New Roman" w:cs="Times New Roman"/>
          <w:sz w:val="18"/>
          <w:szCs w:val="18"/>
        </w:rPr>
        <w:t>.</w:t>
      </w:r>
    </w:p>
    <w:p w14:paraId="232F3FAD" w14:textId="52060865"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Smith, S. D., &amp; Thomas, T. F. (2023). The effects of strategic alignment and strategic clarity on multidimensional task performance. </w:t>
      </w:r>
      <w:r w:rsidRPr="00DD78B9">
        <w:rPr>
          <w:rFonts w:ascii="Times New Roman" w:eastAsia="Times New Roman" w:hAnsi="Times New Roman" w:cs="Times New Roman"/>
          <w:i/>
          <w:iCs/>
          <w:sz w:val="18"/>
          <w:szCs w:val="18"/>
        </w:rPr>
        <w:t>Accounting, Organizations and Society</w:t>
      </w:r>
      <w:r w:rsidRPr="00DD78B9">
        <w:rPr>
          <w:rFonts w:ascii="Times New Roman" w:eastAsia="Times New Roman" w:hAnsi="Times New Roman" w:cs="Times New Roman"/>
          <w:sz w:val="18"/>
          <w:szCs w:val="18"/>
        </w:rPr>
        <w:t xml:space="preserve">, </w:t>
      </w:r>
      <w:r w:rsidRPr="00DD78B9">
        <w:rPr>
          <w:rFonts w:ascii="Times New Roman" w:eastAsia="Times New Roman" w:hAnsi="Times New Roman" w:cs="Times New Roman"/>
          <w:i/>
          <w:iCs/>
          <w:sz w:val="18"/>
          <w:szCs w:val="18"/>
        </w:rPr>
        <w:t>112</w:t>
      </w:r>
      <w:r w:rsidRPr="00DD78B9">
        <w:rPr>
          <w:rFonts w:ascii="Times New Roman" w:eastAsia="Times New Roman" w:hAnsi="Times New Roman" w:cs="Times New Roman"/>
          <w:sz w:val="18"/>
          <w:szCs w:val="18"/>
        </w:rPr>
        <w:t xml:space="preserve">(Volume 112), 101524. </w:t>
      </w:r>
      <w:hyperlink r:id="rId26">
        <w:r w:rsidRPr="00DD78B9">
          <w:rPr>
            <w:rStyle w:val="Hyperlink"/>
            <w:rFonts w:ascii="Times New Roman" w:eastAsia="Times New Roman" w:hAnsi="Times New Roman" w:cs="Times New Roman"/>
            <w:sz w:val="18"/>
            <w:szCs w:val="18"/>
          </w:rPr>
          <w:t>https://doi.org/10.1016/j.aos.2023.101524</w:t>
        </w:r>
      </w:hyperlink>
    </w:p>
    <w:p w14:paraId="71804427" w14:textId="5FF18AD1"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Tripathi, A., &amp; Kalia, P. (2022). Examining the effects of supportive work environment and organisational learning culture on organisational performance in information technology companies: The mediating role of learning agility and organisational innovation. </w:t>
      </w:r>
      <w:r w:rsidRPr="00DD78B9">
        <w:rPr>
          <w:rFonts w:ascii="Times New Roman" w:eastAsia="Times New Roman" w:hAnsi="Times New Roman" w:cs="Times New Roman"/>
          <w:i/>
          <w:iCs/>
          <w:sz w:val="18"/>
          <w:szCs w:val="18"/>
        </w:rPr>
        <w:t>Innovation</w:t>
      </w:r>
      <w:r w:rsidRPr="00DD78B9">
        <w:rPr>
          <w:rFonts w:ascii="Times New Roman" w:eastAsia="Times New Roman" w:hAnsi="Times New Roman" w:cs="Times New Roman"/>
          <w:sz w:val="18"/>
          <w:szCs w:val="18"/>
        </w:rPr>
        <w:t xml:space="preserve">, </w:t>
      </w:r>
      <w:r w:rsidRPr="00DD78B9">
        <w:rPr>
          <w:rFonts w:ascii="Times New Roman" w:eastAsia="Times New Roman" w:hAnsi="Times New Roman" w:cs="Times New Roman"/>
          <w:i/>
          <w:iCs/>
          <w:sz w:val="18"/>
          <w:szCs w:val="18"/>
        </w:rPr>
        <w:t>26</w:t>
      </w:r>
      <w:r w:rsidRPr="00DD78B9">
        <w:rPr>
          <w:rFonts w:ascii="Times New Roman" w:eastAsia="Times New Roman" w:hAnsi="Times New Roman" w:cs="Times New Roman"/>
          <w:sz w:val="18"/>
          <w:szCs w:val="18"/>
        </w:rPr>
        <w:t xml:space="preserve">(2), 1–21. </w:t>
      </w:r>
      <w:hyperlink r:id="rId27">
        <w:r w:rsidRPr="00DD78B9">
          <w:rPr>
            <w:rStyle w:val="Hyperlink"/>
            <w:rFonts w:ascii="Times New Roman" w:eastAsia="Times New Roman" w:hAnsi="Times New Roman" w:cs="Times New Roman"/>
            <w:sz w:val="18"/>
            <w:szCs w:val="18"/>
          </w:rPr>
          <w:t>https://doi.org/10.1080/14479338.2022.2116640</w:t>
        </w:r>
      </w:hyperlink>
    </w:p>
    <w:p w14:paraId="095EFBEB" w14:textId="0B2E04DC"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Velyka, A., &amp; Guerzoni, M. (2020, April 28). </w:t>
      </w:r>
      <w:r w:rsidRPr="00DD78B9">
        <w:rPr>
          <w:rFonts w:ascii="Times New Roman" w:eastAsia="Times New Roman" w:hAnsi="Times New Roman" w:cs="Times New Roman"/>
          <w:i/>
          <w:iCs/>
          <w:sz w:val="18"/>
          <w:szCs w:val="18"/>
        </w:rPr>
        <w:t>The more you ask, the less you get: the negative impact of collaborative overload on performance</w:t>
      </w:r>
      <w:r w:rsidRPr="00DD78B9">
        <w:rPr>
          <w:rFonts w:ascii="Times New Roman" w:eastAsia="Times New Roman" w:hAnsi="Times New Roman" w:cs="Times New Roman"/>
          <w:sz w:val="18"/>
          <w:szCs w:val="18"/>
        </w:rPr>
        <w:t xml:space="preserve">. ArXiv.org. </w:t>
      </w:r>
      <w:hyperlink r:id="rId28">
        <w:r w:rsidRPr="00DD78B9">
          <w:rPr>
            <w:rStyle w:val="Hyperlink"/>
            <w:rFonts w:ascii="Times New Roman" w:eastAsia="Times New Roman" w:hAnsi="Times New Roman" w:cs="Times New Roman"/>
            <w:sz w:val="18"/>
            <w:szCs w:val="18"/>
          </w:rPr>
          <w:t>https://arxiv.org/abs/2004.13545</w:t>
        </w:r>
      </w:hyperlink>
      <w:r w:rsidRPr="00DD78B9">
        <w:rPr>
          <w:rFonts w:ascii="Times New Roman" w:eastAsia="Times New Roman" w:hAnsi="Times New Roman" w:cs="Times New Roman"/>
          <w:sz w:val="18"/>
          <w:szCs w:val="18"/>
        </w:rPr>
        <w:t>?</w:t>
      </w:r>
    </w:p>
    <w:p w14:paraId="0F81611F" w14:textId="7BE7FEE1" w:rsidR="5CAEB418" w:rsidRPr="00DD78B9" w:rsidRDefault="5CAEB418" w:rsidP="00DD78B9">
      <w:pPr>
        <w:spacing w:after="0" w:line="240" w:lineRule="auto"/>
        <w:ind w:left="720" w:hanging="720"/>
        <w:rPr>
          <w:sz w:val="18"/>
          <w:szCs w:val="18"/>
        </w:rPr>
      </w:pPr>
      <w:r w:rsidRPr="00DD78B9">
        <w:rPr>
          <w:rFonts w:ascii="Times New Roman" w:eastAsia="Times New Roman" w:hAnsi="Times New Roman" w:cs="Times New Roman"/>
          <w:sz w:val="18"/>
          <w:szCs w:val="18"/>
        </w:rPr>
        <w:t xml:space="preserve">Wiley, J. W. (2012). Giving employees what they want can provide employers with what they want. </w:t>
      </w:r>
      <w:r w:rsidRPr="00DD78B9">
        <w:rPr>
          <w:rFonts w:ascii="Times New Roman" w:eastAsia="Times New Roman" w:hAnsi="Times New Roman" w:cs="Times New Roman"/>
          <w:i/>
          <w:iCs/>
          <w:sz w:val="18"/>
          <w:szCs w:val="18"/>
        </w:rPr>
        <w:t>Employment Relations Today</w:t>
      </w:r>
      <w:r w:rsidRPr="00DD78B9">
        <w:rPr>
          <w:rFonts w:ascii="Times New Roman" w:eastAsia="Times New Roman" w:hAnsi="Times New Roman" w:cs="Times New Roman"/>
          <w:sz w:val="18"/>
          <w:szCs w:val="18"/>
        </w:rPr>
        <w:t xml:space="preserve">, </w:t>
      </w:r>
      <w:r w:rsidRPr="00DD78B9">
        <w:rPr>
          <w:rFonts w:ascii="Times New Roman" w:eastAsia="Times New Roman" w:hAnsi="Times New Roman" w:cs="Times New Roman"/>
          <w:i/>
          <w:iCs/>
          <w:sz w:val="18"/>
          <w:szCs w:val="18"/>
        </w:rPr>
        <w:t>39</w:t>
      </w:r>
      <w:r w:rsidRPr="00DD78B9">
        <w:rPr>
          <w:rFonts w:ascii="Times New Roman" w:eastAsia="Times New Roman" w:hAnsi="Times New Roman" w:cs="Times New Roman"/>
          <w:sz w:val="18"/>
          <w:szCs w:val="18"/>
        </w:rPr>
        <w:t xml:space="preserve">(1), 45–53. </w:t>
      </w:r>
      <w:hyperlink r:id="rId29">
        <w:r w:rsidRPr="00DD78B9">
          <w:rPr>
            <w:rStyle w:val="Hyperlink"/>
            <w:rFonts w:ascii="Times New Roman" w:eastAsia="Times New Roman" w:hAnsi="Times New Roman" w:cs="Times New Roman"/>
            <w:sz w:val="18"/>
            <w:szCs w:val="18"/>
          </w:rPr>
          <w:t>https://doi.org/10.1002/ert.21354</w:t>
        </w:r>
      </w:hyperlink>
    </w:p>
    <w:p w14:paraId="58B31751" w14:textId="5689EA80" w:rsidR="189E5E52" w:rsidRDefault="189E5E52" w:rsidP="189E5E52"/>
    <w:p w14:paraId="08366BAC" w14:textId="77777777" w:rsidR="00BF1900" w:rsidRDefault="00BF1900" w:rsidP="007C7867">
      <w:pPr>
        <w:rPr>
          <w:rFonts w:ascii="Calibri" w:eastAsia="Calibri" w:hAnsi="Calibri" w:cs="Calibri"/>
          <w:b/>
          <w:bCs/>
          <w:color w:val="000000" w:themeColor="text1"/>
          <w:sz w:val="20"/>
          <w:szCs w:val="20"/>
        </w:rPr>
        <w:sectPr w:rsidR="00BF1900" w:rsidSect="00BF1900">
          <w:headerReference w:type="default" r:id="rId30"/>
          <w:footerReference w:type="default" r:id="rId31"/>
          <w:pgSz w:w="11906" w:h="16838"/>
          <w:pgMar w:top="1440" w:right="1440" w:bottom="1440" w:left="1440" w:header="720" w:footer="720" w:gutter="0"/>
          <w:cols w:space="720"/>
          <w:docGrid w:linePitch="360"/>
        </w:sectPr>
      </w:pPr>
    </w:p>
    <w:tbl>
      <w:tblPr>
        <w:tblStyle w:val="TableGrid"/>
        <w:tblpPr w:leftFromText="180" w:rightFromText="180" w:horzAnchor="page" w:tblpX="616" w:tblpY="615"/>
        <w:tblW w:w="14055" w:type="dxa"/>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680"/>
        <w:gridCol w:w="1800"/>
        <w:gridCol w:w="2610"/>
        <w:gridCol w:w="2550"/>
        <w:gridCol w:w="2925"/>
        <w:gridCol w:w="1260"/>
        <w:gridCol w:w="1230"/>
      </w:tblGrid>
      <w:tr w:rsidR="00BF1900" w14:paraId="6C62ABFD" w14:textId="77777777" w:rsidTr="00A31499">
        <w:trPr>
          <w:trHeight w:val="300"/>
        </w:trPr>
        <w:tc>
          <w:tcPr>
            <w:tcW w:w="1680" w:type="dxa"/>
            <w:shd w:val="clear" w:color="auto" w:fill="F2CEED" w:themeFill="accent5" w:themeFillTint="33"/>
            <w:tcMar>
              <w:left w:w="105" w:type="dxa"/>
              <w:right w:w="105" w:type="dxa"/>
            </w:tcMar>
          </w:tcPr>
          <w:p w14:paraId="4673AAAC" w14:textId="77777777" w:rsidR="00BF1900" w:rsidRDefault="00BF1900" w:rsidP="00A31499">
            <w:pPr>
              <w:rPr>
                <w:rFonts w:ascii="Calibri" w:eastAsia="Calibri" w:hAnsi="Calibri" w:cs="Calibri"/>
                <w:b/>
                <w:bCs/>
                <w:color w:val="000000" w:themeColor="text1"/>
                <w:sz w:val="20"/>
                <w:szCs w:val="20"/>
              </w:rPr>
            </w:pPr>
            <w:r w:rsidRPr="7314D3CB">
              <w:rPr>
                <w:rFonts w:ascii="Calibri" w:eastAsia="Calibri" w:hAnsi="Calibri" w:cs="Calibri"/>
                <w:b/>
                <w:bCs/>
                <w:color w:val="000000" w:themeColor="text1"/>
                <w:sz w:val="20"/>
                <w:szCs w:val="20"/>
              </w:rPr>
              <w:lastRenderedPageBreak/>
              <w:t>Competency Area</w:t>
            </w:r>
          </w:p>
        </w:tc>
        <w:tc>
          <w:tcPr>
            <w:tcW w:w="1800" w:type="dxa"/>
            <w:shd w:val="clear" w:color="auto" w:fill="F2CEED" w:themeFill="accent5" w:themeFillTint="33"/>
            <w:tcMar>
              <w:left w:w="105" w:type="dxa"/>
              <w:right w:w="105" w:type="dxa"/>
            </w:tcMar>
          </w:tcPr>
          <w:p w14:paraId="5E676EC3" w14:textId="77777777" w:rsidR="00BF1900" w:rsidRDefault="00BF1900" w:rsidP="00A31499">
            <w:pPr>
              <w:rPr>
                <w:rFonts w:ascii="Calibri" w:eastAsia="Calibri" w:hAnsi="Calibri" w:cs="Calibri"/>
                <w:b/>
                <w:bCs/>
                <w:color w:val="000000" w:themeColor="text1"/>
                <w:sz w:val="20"/>
                <w:szCs w:val="20"/>
              </w:rPr>
            </w:pPr>
            <w:r w:rsidRPr="7314D3CB">
              <w:rPr>
                <w:rFonts w:ascii="Calibri" w:eastAsia="Calibri" w:hAnsi="Calibri" w:cs="Calibri"/>
                <w:b/>
                <w:bCs/>
                <w:color w:val="000000" w:themeColor="text1"/>
                <w:sz w:val="20"/>
                <w:szCs w:val="20"/>
              </w:rPr>
              <w:t>Current Situation</w:t>
            </w:r>
          </w:p>
        </w:tc>
        <w:tc>
          <w:tcPr>
            <w:tcW w:w="2610" w:type="dxa"/>
            <w:shd w:val="clear" w:color="auto" w:fill="F2CEED" w:themeFill="accent5" w:themeFillTint="33"/>
            <w:tcMar>
              <w:left w:w="105" w:type="dxa"/>
              <w:right w:w="105" w:type="dxa"/>
            </w:tcMar>
          </w:tcPr>
          <w:p w14:paraId="4111065B" w14:textId="77777777" w:rsidR="00BF1900" w:rsidRDefault="00BF1900" w:rsidP="00A31499">
            <w:pPr>
              <w:rPr>
                <w:rFonts w:ascii="Calibri" w:eastAsia="Calibri" w:hAnsi="Calibri" w:cs="Calibri"/>
                <w:b/>
                <w:bCs/>
                <w:color w:val="000000" w:themeColor="text1"/>
                <w:sz w:val="20"/>
                <w:szCs w:val="20"/>
              </w:rPr>
            </w:pPr>
            <w:r w:rsidRPr="7314D3CB">
              <w:rPr>
                <w:rFonts w:ascii="Calibri" w:eastAsia="Calibri" w:hAnsi="Calibri" w:cs="Calibri"/>
                <w:b/>
                <w:bCs/>
                <w:color w:val="000000" w:themeColor="text1"/>
                <w:sz w:val="20"/>
                <w:szCs w:val="20"/>
              </w:rPr>
              <w:t>Desired Future Situation</w:t>
            </w:r>
          </w:p>
        </w:tc>
        <w:tc>
          <w:tcPr>
            <w:tcW w:w="2550" w:type="dxa"/>
            <w:shd w:val="clear" w:color="auto" w:fill="F2CEED" w:themeFill="accent5" w:themeFillTint="33"/>
            <w:tcMar>
              <w:left w:w="105" w:type="dxa"/>
              <w:right w:w="105" w:type="dxa"/>
            </w:tcMar>
          </w:tcPr>
          <w:p w14:paraId="452DB0E4" w14:textId="77777777" w:rsidR="00BF1900" w:rsidRDefault="00BF1900" w:rsidP="00A31499">
            <w:pPr>
              <w:rPr>
                <w:rFonts w:ascii="Calibri" w:eastAsia="Calibri" w:hAnsi="Calibri" w:cs="Calibri"/>
                <w:b/>
                <w:bCs/>
                <w:color w:val="000000" w:themeColor="text1"/>
                <w:sz w:val="20"/>
                <w:szCs w:val="20"/>
              </w:rPr>
            </w:pPr>
            <w:r w:rsidRPr="7314D3CB">
              <w:rPr>
                <w:rFonts w:ascii="Calibri" w:eastAsia="Calibri" w:hAnsi="Calibri" w:cs="Calibri"/>
                <w:b/>
                <w:bCs/>
                <w:color w:val="000000" w:themeColor="text1"/>
                <w:sz w:val="20"/>
                <w:szCs w:val="20"/>
              </w:rPr>
              <w:t>Identified Gap</w:t>
            </w:r>
          </w:p>
        </w:tc>
        <w:tc>
          <w:tcPr>
            <w:tcW w:w="2925" w:type="dxa"/>
            <w:shd w:val="clear" w:color="auto" w:fill="F2CEED" w:themeFill="accent5" w:themeFillTint="33"/>
            <w:tcMar>
              <w:left w:w="105" w:type="dxa"/>
              <w:right w:w="105" w:type="dxa"/>
            </w:tcMar>
          </w:tcPr>
          <w:p w14:paraId="04E800E2" w14:textId="77777777" w:rsidR="00BF1900" w:rsidRDefault="00BF1900" w:rsidP="00A31499">
            <w:pPr>
              <w:rPr>
                <w:rFonts w:ascii="Calibri" w:eastAsia="Calibri" w:hAnsi="Calibri" w:cs="Calibri"/>
                <w:b/>
                <w:bCs/>
                <w:color w:val="000000" w:themeColor="text1"/>
                <w:sz w:val="20"/>
                <w:szCs w:val="20"/>
              </w:rPr>
            </w:pPr>
            <w:r w:rsidRPr="7314D3CB">
              <w:rPr>
                <w:rFonts w:ascii="Calibri" w:eastAsia="Calibri" w:hAnsi="Calibri" w:cs="Calibri"/>
                <w:b/>
                <w:bCs/>
                <w:color w:val="000000" w:themeColor="text1"/>
                <w:sz w:val="20"/>
                <w:szCs w:val="20"/>
              </w:rPr>
              <w:t>Development Actions/ Learning Vehicle</w:t>
            </w:r>
          </w:p>
        </w:tc>
        <w:tc>
          <w:tcPr>
            <w:tcW w:w="1260" w:type="dxa"/>
            <w:shd w:val="clear" w:color="auto" w:fill="F2CEED" w:themeFill="accent5" w:themeFillTint="33"/>
            <w:tcMar>
              <w:left w:w="105" w:type="dxa"/>
              <w:right w:w="105" w:type="dxa"/>
            </w:tcMar>
          </w:tcPr>
          <w:p w14:paraId="5376A0B6" w14:textId="77777777" w:rsidR="00BF1900" w:rsidRDefault="00BF1900" w:rsidP="00A31499">
            <w:pPr>
              <w:rPr>
                <w:rFonts w:ascii="Calibri" w:eastAsia="Calibri" w:hAnsi="Calibri" w:cs="Calibri"/>
                <w:b/>
                <w:bCs/>
                <w:color w:val="000000" w:themeColor="text1"/>
                <w:sz w:val="20"/>
                <w:szCs w:val="20"/>
              </w:rPr>
            </w:pPr>
            <w:r w:rsidRPr="7314D3CB">
              <w:rPr>
                <w:rFonts w:ascii="Calibri" w:eastAsia="Calibri" w:hAnsi="Calibri" w:cs="Calibri"/>
                <w:b/>
                <w:bCs/>
                <w:color w:val="000000" w:themeColor="text1"/>
                <w:sz w:val="20"/>
                <w:szCs w:val="20"/>
              </w:rPr>
              <w:t>Timescale</w:t>
            </w:r>
          </w:p>
        </w:tc>
        <w:tc>
          <w:tcPr>
            <w:tcW w:w="1230" w:type="dxa"/>
            <w:shd w:val="clear" w:color="auto" w:fill="F2CEED" w:themeFill="accent5" w:themeFillTint="33"/>
            <w:tcMar>
              <w:left w:w="105" w:type="dxa"/>
              <w:right w:w="105" w:type="dxa"/>
            </w:tcMar>
          </w:tcPr>
          <w:p w14:paraId="09005251" w14:textId="77777777" w:rsidR="00BF1900" w:rsidRDefault="00BF1900" w:rsidP="00A31499">
            <w:pPr>
              <w:rPr>
                <w:rFonts w:ascii="Calibri" w:eastAsia="Calibri" w:hAnsi="Calibri" w:cs="Calibri"/>
                <w:b/>
                <w:bCs/>
                <w:color w:val="000000" w:themeColor="text1"/>
                <w:sz w:val="20"/>
                <w:szCs w:val="20"/>
              </w:rPr>
            </w:pPr>
            <w:r w:rsidRPr="7314D3CB">
              <w:rPr>
                <w:rFonts w:ascii="Calibri" w:eastAsia="Calibri" w:hAnsi="Calibri" w:cs="Calibri"/>
                <w:b/>
                <w:bCs/>
                <w:color w:val="000000" w:themeColor="text1"/>
                <w:sz w:val="20"/>
                <w:szCs w:val="20"/>
              </w:rPr>
              <w:t>Priority</w:t>
            </w:r>
          </w:p>
        </w:tc>
      </w:tr>
      <w:tr w:rsidR="00BF1900" w14:paraId="45023817" w14:textId="77777777" w:rsidTr="00A31499">
        <w:trPr>
          <w:trHeight w:val="300"/>
        </w:trPr>
        <w:tc>
          <w:tcPr>
            <w:tcW w:w="1680" w:type="dxa"/>
            <w:shd w:val="clear" w:color="auto" w:fill="F2CEED" w:themeFill="accent5" w:themeFillTint="33"/>
            <w:tcMar>
              <w:left w:w="105" w:type="dxa"/>
              <w:right w:w="105" w:type="dxa"/>
            </w:tcMar>
          </w:tcPr>
          <w:p w14:paraId="206CFC74" w14:textId="77777777" w:rsidR="00BF1900" w:rsidRDefault="00BF1900" w:rsidP="00A31499">
            <w:pPr>
              <w:rPr>
                <w:rFonts w:ascii="Calibri" w:eastAsia="Calibri" w:hAnsi="Calibri" w:cs="Calibri"/>
                <w:b/>
                <w:bCs/>
                <w:color w:val="000000" w:themeColor="text1"/>
                <w:sz w:val="20"/>
                <w:szCs w:val="20"/>
              </w:rPr>
            </w:pPr>
            <w:r w:rsidRPr="7314D3CB">
              <w:rPr>
                <w:rFonts w:ascii="Calibri" w:eastAsia="Calibri" w:hAnsi="Calibri" w:cs="Calibri"/>
                <w:b/>
                <w:bCs/>
                <w:color w:val="000000" w:themeColor="text1"/>
                <w:sz w:val="20"/>
                <w:szCs w:val="20"/>
              </w:rPr>
              <w:t>Marketing Knowledge</w:t>
            </w:r>
          </w:p>
        </w:tc>
        <w:tc>
          <w:tcPr>
            <w:tcW w:w="1800" w:type="dxa"/>
            <w:tcMar>
              <w:left w:w="105" w:type="dxa"/>
              <w:right w:w="105" w:type="dxa"/>
            </w:tcMar>
          </w:tcPr>
          <w:p w14:paraId="101DA537"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Basic understanding of marketing and social media with no formal training.</w:t>
            </w:r>
          </w:p>
        </w:tc>
        <w:tc>
          <w:tcPr>
            <w:tcW w:w="2610" w:type="dxa"/>
            <w:tcMar>
              <w:left w:w="105" w:type="dxa"/>
              <w:right w:w="105" w:type="dxa"/>
            </w:tcMar>
          </w:tcPr>
          <w:p w14:paraId="5C57F5DC"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Comprehensive understanding of marketing principles, including strategy, segmentation, and promotion.</w:t>
            </w:r>
          </w:p>
        </w:tc>
        <w:tc>
          <w:tcPr>
            <w:tcW w:w="2550" w:type="dxa"/>
            <w:tcMar>
              <w:left w:w="105" w:type="dxa"/>
              <w:right w:w="105" w:type="dxa"/>
            </w:tcMar>
          </w:tcPr>
          <w:p w14:paraId="357FF2AE"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Limited theoretical understanding and a methodical approach to marketing.</w:t>
            </w:r>
          </w:p>
        </w:tc>
        <w:tc>
          <w:tcPr>
            <w:tcW w:w="2925" w:type="dxa"/>
            <w:tcMar>
              <w:left w:w="105" w:type="dxa"/>
              <w:right w:w="105" w:type="dxa"/>
            </w:tcMar>
          </w:tcPr>
          <w:p w14:paraId="088DDD6C"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Enrol in and complete a marketing course, then apply the ideas to Blaennant Farm's promotional operations. (Formal course)</w:t>
            </w:r>
          </w:p>
        </w:tc>
        <w:tc>
          <w:tcPr>
            <w:tcW w:w="1260" w:type="dxa"/>
            <w:tcMar>
              <w:left w:w="105" w:type="dxa"/>
              <w:right w:w="105" w:type="dxa"/>
            </w:tcMar>
          </w:tcPr>
          <w:p w14:paraId="45743467"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3-6 Months</w:t>
            </w:r>
          </w:p>
        </w:tc>
        <w:tc>
          <w:tcPr>
            <w:tcW w:w="1230" w:type="dxa"/>
            <w:tcMar>
              <w:left w:w="105" w:type="dxa"/>
              <w:right w:w="105" w:type="dxa"/>
            </w:tcMar>
          </w:tcPr>
          <w:p w14:paraId="160B27CA"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High</w:t>
            </w:r>
          </w:p>
        </w:tc>
      </w:tr>
      <w:tr w:rsidR="00BF1900" w14:paraId="6CDFBDE4" w14:textId="77777777" w:rsidTr="00A31499">
        <w:trPr>
          <w:trHeight w:val="300"/>
        </w:trPr>
        <w:tc>
          <w:tcPr>
            <w:tcW w:w="1680" w:type="dxa"/>
            <w:shd w:val="clear" w:color="auto" w:fill="F2CEED" w:themeFill="accent5" w:themeFillTint="33"/>
            <w:tcMar>
              <w:left w:w="105" w:type="dxa"/>
              <w:right w:w="105" w:type="dxa"/>
            </w:tcMar>
          </w:tcPr>
          <w:p w14:paraId="012E9DAE" w14:textId="77777777" w:rsidR="00BF1900" w:rsidRDefault="00BF1900" w:rsidP="00A31499">
            <w:pPr>
              <w:rPr>
                <w:rFonts w:ascii="Calibri" w:eastAsia="Calibri" w:hAnsi="Calibri" w:cs="Calibri"/>
                <w:b/>
                <w:bCs/>
                <w:color w:val="000000" w:themeColor="text1"/>
                <w:sz w:val="20"/>
                <w:szCs w:val="20"/>
              </w:rPr>
            </w:pPr>
            <w:r w:rsidRPr="7314D3CB">
              <w:rPr>
                <w:rFonts w:ascii="Calibri" w:eastAsia="Calibri" w:hAnsi="Calibri" w:cs="Calibri"/>
                <w:b/>
                <w:bCs/>
                <w:color w:val="000000" w:themeColor="text1"/>
                <w:sz w:val="20"/>
                <w:szCs w:val="20"/>
              </w:rPr>
              <w:t>Digital Marketing Skills</w:t>
            </w:r>
          </w:p>
        </w:tc>
        <w:tc>
          <w:tcPr>
            <w:tcW w:w="1800" w:type="dxa"/>
            <w:tcMar>
              <w:left w:w="105" w:type="dxa"/>
              <w:right w:w="105" w:type="dxa"/>
            </w:tcMar>
          </w:tcPr>
          <w:p w14:paraId="7463CF16"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Uses social media informally. Lacks knowledge of SEO and analytics.</w:t>
            </w:r>
          </w:p>
        </w:tc>
        <w:tc>
          <w:tcPr>
            <w:tcW w:w="2610" w:type="dxa"/>
            <w:tcMar>
              <w:left w:w="105" w:type="dxa"/>
              <w:right w:w="105" w:type="dxa"/>
            </w:tcMar>
          </w:tcPr>
          <w:p w14:paraId="340C65A5"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Proficient in social media strategy, search engine optimisation, analytics, and online advertising technologies.</w:t>
            </w:r>
          </w:p>
        </w:tc>
        <w:tc>
          <w:tcPr>
            <w:tcW w:w="2550" w:type="dxa"/>
            <w:tcMar>
              <w:left w:w="105" w:type="dxa"/>
              <w:right w:w="105" w:type="dxa"/>
            </w:tcMar>
          </w:tcPr>
          <w:p w14:paraId="5AA44A79"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Limited technical skill in managing digital marketing tools.</w:t>
            </w:r>
          </w:p>
        </w:tc>
        <w:tc>
          <w:tcPr>
            <w:tcW w:w="2925" w:type="dxa"/>
            <w:tcMar>
              <w:left w:w="105" w:type="dxa"/>
              <w:right w:w="105" w:type="dxa"/>
            </w:tcMar>
          </w:tcPr>
          <w:p w14:paraId="6BC9F47F"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Complete online lessons (Google Digital Garage) and receive help from a mentor on how to use tools. (E-Learning and Mentoring)</w:t>
            </w:r>
          </w:p>
        </w:tc>
        <w:tc>
          <w:tcPr>
            <w:tcW w:w="1260" w:type="dxa"/>
            <w:tcMar>
              <w:left w:w="105" w:type="dxa"/>
              <w:right w:w="105" w:type="dxa"/>
            </w:tcMar>
          </w:tcPr>
          <w:p w14:paraId="3DB5A599"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6-9 Months</w:t>
            </w:r>
          </w:p>
        </w:tc>
        <w:tc>
          <w:tcPr>
            <w:tcW w:w="1230" w:type="dxa"/>
            <w:tcMar>
              <w:left w:w="105" w:type="dxa"/>
              <w:right w:w="105" w:type="dxa"/>
            </w:tcMar>
          </w:tcPr>
          <w:p w14:paraId="7C9EA2FD"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High</w:t>
            </w:r>
          </w:p>
        </w:tc>
      </w:tr>
      <w:tr w:rsidR="00BF1900" w14:paraId="7A48D198" w14:textId="77777777" w:rsidTr="00A31499">
        <w:trPr>
          <w:trHeight w:val="300"/>
        </w:trPr>
        <w:tc>
          <w:tcPr>
            <w:tcW w:w="1680" w:type="dxa"/>
            <w:shd w:val="clear" w:color="auto" w:fill="F2CEED" w:themeFill="accent5" w:themeFillTint="33"/>
            <w:tcMar>
              <w:left w:w="105" w:type="dxa"/>
              <w:right w:w="105" w:type="dxa"/>
            </w:tcMar>
          </w:tcPr>
          <w:p w14:paraId="5E84C8F1" w14:textId="77777777" w:rsidR="00BF1900" w:rsidRDefault="00BF1900" w:rsidP="00A31499">
            <w:pPr>
              <w:rPr>
                <w:rFonts w:ascii="Calibri" w:eastAsia="Calibri" w:hAnsi="Calibri" w:cs="Calibri"/>
                <w:b/>
                <w:bCs/>
                <w:color w:val="000000" w:themeColor="text1"/>
                <w:sz w:val="20"/>
                <w:szCs w:val="20"/>
              </w:rPr>
            </w:pPr>
            <w:r w:rsidRPr="7314D3CB">
              <w:rPr>
                <w:rFonts w:ascii="Calibri" w:eastAsia="Calibri" w:hAnsi="Calibri" w:cs="Calibri"/>
                <w:b/>
                <w:bCs/>
                <w:color w:val="000000" w:themeColor="text1"/>
                <w:sz w:val="20"/>
                <w:szCs w:val="20"/>
              </w:rPr>
              <w:t>Branding &amp; Communication</w:t>
            </w:r>
          </w:p>
        </w:tc>
        <w:tc>
          <w:tcPr>
            <w:tcW w:w="1800" w:type="dxa"/>
            <w:tcMar>
              <w:left w:w="105" w:type="dxa"/>
              <w:right w:w="105" w:type="dxa"/>
            </w:tcMar>
          </w:tcPr>
          <w:p w14:paraId="271D9BCC"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Inconsistent messaging and brand presentation.</w:t>
            </w:r>
          </w:p>
        </w:tc>
        <w:tc>
          <w:tcPr>
            <w:tcW w:w="2610" w:type="dxa"/>
            <w:tcMar>
              <w:left w:w="105" w:type="dxa"/>
              <w:right w:w="105" w:type="dxa"/>
            </w:tcMar>
          </w:tcPr>
          <w:p w14:paraId="35EE9735"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Ability to design a unified, value-driven brand identity that reflects Blaennant’s culture.</w:t>
            </w:r>
          </w:p>
        </w:tc>
        <w:tc>
          <w:tcPr>
            <w:tcW w:w="2550" w:type="dxa"/>
            <w:tcMar>
              <w:left w:w="105" w:type="dxa"/>
              <w:right w:w="105" w:type="dxa"/>
            </w:tcMar>
          </w:tcPr>
          <w:p w14:paraId="1D2BABA4"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Weak brand alignment and narrative.</w:t>
            </w:r>
          </w:p>
        </w:tc>
        <w:tc>
          <w:tcPr>
            <w:tcW w:w="2925" w:type="dxa"/>
            <w:tcMar>
              <w:left w:w="105" w:type="dxa"/>
              <w:right w:w="105" w:type="dxa"/>
            </w:tcMar>
          </w:tcPr>
          <w:p w14:paraId="2F646ED2"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Create brand standards and a content calendar with mentor assistance. (Coaching and Mentoring)</w:t>
            </w:r>
          </w:p>
        </w:tc>
        <w:tc>
          <w:tcPr>
            <w:tcW w:w="1260" w:type="dxa"/>
            <w:tcMar>
              <w:left w:w="105" w:type="dxa"/>
              <w:right w:w="105" w:type="dxa"/>
            </w:tcMar>
          </w:tcPr>
          <w:p w14:paraId="3AFC49A1"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6 Months</w:t>
            </w:r>
          </w:p>
        </w:tc>
        <w:tc>
          <w:tcPr>
            <w:tcW w:w="1230" w:type="dxa"/>
            <w:tcMar>
              <w:left w:w="105" w:type="dxa"/>
              <w:right w:w="105" w:type="dxa"/>
            </w:tcMar>
          </w:tcPr>
          <w:p w14:paraId="7BA16912"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Medium – High</w:t>
            </w:r>
          </w:p>
        </w:tc>
      </w:tr>
      <w:tr w:rsidR="00BF1900" w14:paraId="47539492" w14:textId="77777777" w:rsidTr="00A31499">
        <w:trPr>
          <w:trHeight w:val="300"/>
        </w:trPr>
        <w:tc>
          <w:tcPr>
            <w:tcW w:w="1680" w:type="dxa"/>
            <w:shd w:val="clear" w:color="auto" w:fill="F2CEED" w:themeFill="accent5" w:themeFillTint="33"/>
            <w:tcMar>
              <w:left w:w="105" w:type="dxa"/>
              <w:right w:w="105" w:type="dxa"/>
            </w:tcMar>
          </w:tcPr>
          <w:p w14:paraId="569DB060" w14:textId="394B27E1" w:rsidR="00BF1900" w:rsidRDefault="00BF1900" w:rsidP="00A31499">
            <w:pPr>
              <w:rPr>
                <w:rFonts w:ascii="Calibri" w:eastAsia="Calibri" w:hAnsi="Calibri" w:cs="Calibri"/>
                <w:b/>
                <w:bCs/>
                <w:color w:val="000000" w:themeColor="text1"/>
                <w:sz w:val="20"/>
                <w:szCs w:val="20"/>
              </w:rPr>
            </w:pPr>
            <w:r w:rsidRPr="7314D3CB">
              <w:rPr>
                <w:rFonts w:ascii="Calibri" w:eastAsia="Calibri" w:hAnsi="Calibri" w:cs="Calibri"/>
                <w:b/>
                <w:bCs/>
                <w:color w:val="000000" w:themeColor="text1"/>
                <w:sz w:val="20"/>
                <w:szCs w:val="20"/>
              </w:rPr>
              <w:t xml:space="preserve">Analytical &amp; </w:t>
            </w:r>
            <w:r w:rsidR="00754963" w:rsidRPr="7314D3CB">
              <w:rPr>
                <w:rFonts w:ascii="Calibri" w:eastAsia="Calibri" w:hAnsi="Calibri" w:cs="Calibri"/>
                <w:b/>
                <w:bCs/>
                <w:color w:val="000000" w:themeColor="text1"/>
                <w:sz w:val="20"/>
                <w:szCs w:val="20"/>
              </w:rPr>
              <w:t>Evaluation</w:t>
            </w:r>
            <w:r w:rsidRPr="7314D3CB">
              <w:rPr>
                <w:rFonts w:ascii="Calibri" w:eastAsia="Calibri" w:hAnsi="Calibri" w:cs="Calibri"/>
                <w:b/>
                <w:bCs/>
                <w:color w:val="000000" w:themeColor="text1"/>
                <w:sz w:val="20"/>
                <w:szCs w:val="20"/>
              </w:rPr>
              <w:t xml:space="preserve"> Skills</w:t>
            </w:r>
          </w:p>
        </w:tc>
        <w:tc>
          <w:tcPr>
            <w:tcW w:w="1800" w:type="dxa"/>
            <w:tcMar>
              <w:left w:w="105" w:type="dxa"/>
              <w:right w:w="105" w:type="dxa"/>
            </w:tcMar>
          </w:tcPr>
          <w:p w14:paraId="7A842BF6"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Limited ability to track or analyse marketing performance.</w:t>
            </w:r>
          </w:p>
        </w:tc>
        <w:tc>
          <w:tcPr>
            <w:tcW w:w="2610" w:type="dxa"/>
            <w:tcMar>
              <w:left w:w="105" w:type="dxa"/>
              <w:right w:w="105" w:type="dxa"/>
            </w:tcMar>
          </w:tcPr>
          <w:p w14:paraId="3B977B72"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Confident in utilising analytics tools to assess advertising effectiveness and ROI.</w:t>
            </w:r>
          </w:p>
        </w:tc>
        <w:tc>
          <w:tcPr>
            <w:tcW w:w="2550" w:type="dxa"/>
            <w:tcMar>
              <w:left w:w="105" w:type="dxa"/>
              <w:right w:w="105" w:type="dxa"/>
            </w:tcMar>
          </w:tcPr>
          <w:p w14:paraId="3D67A0A7"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Lack of data interpretation and decision-making skills.</w:t>
            </w:r>
          </w:p>
        </w:tc>
        <w:tc>
          <w:tcPr>
            <w:tcW w:w="2925" w:type="dxa"/>
            <w:tcMar>
              <w:left w:w="105" w:type="dxa"/>
              <w:right w:w="105" w:type="dxa"/>
            </w:tcMar>
          </w:tcPr>
          <w:p w14:paraId="4B8AF125"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Follow tourist marketing specialists and prepare monthly performance reports. (Shadowing and Practical Learning)</w:t>
            </w:r>
          </w:p>
        </w:tc>
        <w:tc>
          <w:tcPr>
            <w:tcW w:w="1260" w:type="dxa"/>
            <w:tcMar>
              <w:left w:w="105" w:type="dxa"/>
              <w:right w:w="105" w:type="dxa"/>
            </w:tcMar>
          </w:tcPr>
          <w:p w14:paraId="2C520769"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9-12 Months</w:t>
            </w:r>
          </w:p>
        </w:tc>
        <w:tc>
          <w:tcPr>
            <w:tcW w:w="1230" w:type="dxa"/>
            <w:tcMar>
              <w:left w:w="105" w:type="dxa"/>
              <w:right w:w="105" w:type="dxa"/>
            </w:tcMar>
          </w:tcPr>
          <w:p w14:paraId="61F3215B"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Medium</w:t>
            </w:r>
          </w:p>
        </w:tc>
      </w:tr>
      <w:tr w:rsidR="00BF1900" w14:paraId="1CF05102" w14:textId="77777777" w:rsidTr="00A31499">
        <w:trPr>
          <w:trHeight w:val="300"/>
        </w:trPr>
        <w:tc>
          <w:tcPr>
            <w:tcW w:w="1680" w:type="dxa"/>
            <w:shd w:val="clear" w:color="auto" w:fill="F2CEED" w:themeFill="accent5" w:themeFillTint="33"/>
            <w:tcMar>
              <w:left w:w="105" w:type="dxa"/>
              <w:right w:w="105" w:type="dxa"/>
            </w:tcMar>
          </w:tcPr>
          <w:p w14:paraId="6C77902F" w14:textId="77777777" w:rsidR="00BF1900" w:rsidRDefault="00BF1900" w:rsidP="00A31499">
            <w:pPr>
              <w:rPr>
                <w:rFonts w:ascii="Calibri" w:eastAsia="Calibri" w:hAnsi="Calibri" w:cs="Calibri"/>
                <w:b/>
                <w:bCs/>
                <w:color w:val="000000" w:themeColor="text1"/>
                <w:sz w:val="20"/>
                <w:szCs w:val="20"/>
              </w:rPr>
            </w:pPr>
            <w:r w:rsidRPr="7314D3CB">
              <w:rPr>
                <w:rFonts w:ascii="Calibri" w:eastAsia="Calibri" w:hAnsi="Calibri" w:cs="Calibri"/>
                <w:b/>
                <w:bCs/>
                <w:color w:val="000000" w:themeColor="text1"/>
                <w:sz w:val="20"/>
                <w:szCs w:val="20"/>
              </w:rPr>
              <w:t>Confidence &amp; Self-Management</w:t>
            </w:r>
          </w:p>
        </w:tc>
        <w:tc>
          <w:tcPr>
            <w:tcW w:w="1800" w:type="dxa"/>
            <w:tcMar>
              <w:left w:w="105" w:type="dxa"/>
              <w:right w:w="105" w:type="dxa"/>
            </w:tcMar>
          </w:tcPr>
          <w:p w14:paraId="41E35189"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Motivated yet hesitant to make decisions, with minimal marketing experience.</w:t>
            </w:r>
          </w:p>
        </w:tc>
        <w:tc>
          <w:tcPr>
            <w:tcW w:w="2610" w:type="dxa"/>
            <w:tcMar>
              <w:left w:w="105" w:type="dxa"/>
              <w:right w:w="105" w:type="dxa"/>
            </w:tcMar>
          </w:tcPr>
          <w:p w14:paraId="48BBD55A"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Demonstrates confidence and independence in implementing marketing strategies.</w:t>
            </w:r>
          </w:p>
        </w:tc>
        <w:tc>
          <w:tcPr>
            <w:tcW w:w="2550" w:type="dxa"/>
            <w:tcMar>
              <w:left w:w="105" w:type="dxa"/>
              <w:right w:w="105" w:type="dxa"/>
            </w:tcMar>
          </w:tcPr>
          <w:p w14:paraId="68F4BCB4"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Needs assistance in applying new knowledge autonomously.</w:t>
            </w:r>
          </w:p>
        </w:tc>
        <w:tc>
          <w:tcPr>
            <w:tcW w:w="2925" w:type="dxa"/>
            <w:tcMar>
              <w:left w:w="105" w:type="dxa"/>
              <w:right w:w="105" w:type="dxa"/>
            </w:tcMar>
          </w:tcPr>
          <w:p w14:paraId="0FF82B85"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Set personal objectives and schedule frequent mentor sessions for input and evaluation. (Mentorship and Reflective Practice)</w:t>
            </w:r>
          </w:p>
        </w:tc>
        <w:tc>
          <w:tcPr>
            <w:tcW w:w="1260" w:type="dxa"/>
            <w:tcMar>
              <w:left w:w="105" w:type="dxa"/>
              <w:right w:w="105" w:type="dxa"/>
            </w:tcMar>
          </w:tcPr>
          <w:p w14:paraId="3EAA56E5"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Ongoing</w:t>
            </w:r>
          </w:p>
        </w:tc>
        <w:tc>
          <w:tcPr>
            <w:tcW w:w="1230" w:type="dxa"/>
            <w:tcMar>
              <w:left w:w="105" w:type="dxa"/>
              <w:right w:w="105" w:type="dxa"/>
            </w:tcMar>
          </w:tcPr>
          <w:p w14:paraId="27D47745"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Medium</w:t>
            </w:r>
          </w:p>
        </w:tc>
      </w:tr>
      <w:tr w:rsidR="00BF1900" w14:paraId="7799477B" w14:textId="77777777" w:rsidTr="00A31499">
        <w:trPr>
          <w:trHeight w:val="300"/>
        </w:trPr>
        <w:tc>
          <w:tcPr>
            <w:tcW w:w="1680" w:type="dxa"/>
            <w:shd w:val="clear" w:color="auto" w:fill="F2CEED" w:themeFill="accent5" w:themeFillTint="33"/>
            <w:tcMar>
              <w:left w:w="105" w:type="dxa"/>
              <w:right w:w="105" w:type="dxa"/>
            </w:tcMar>
          </w:tcPr>
          <w:p w14:paraId="4A608361" w14:textId="77777777" w:rsidR="00BF1900" w:rsidRDefault="00BF1900" w:rsidP="00A31499">
            <w:pPr>
              <w:rPr>
                <w:rFonts w:ascii="Calibri" w:eastAsia="Calibri" w:hAnsi="Calibri" w:cs="Calibri"/>
                <w:b/>
                <w:bCs/>
                <w:color w:val="000000" w:themeColor="text1"/>
                <w:sz w:val="20"/>
                <w:szCs w:val="20"/>
              </w:rPr>
            </w:pPr>
            <w:r w:rsidRPr="7314D3CB">
              <w:rPr>
                <w:rFonts w:ascii="Calibri" w:eastAsia="Calibri" w:hAnsi="Calibri" w:cs="Calibri"/>
                <w:b/>
                <w:bCs/>
                <w:color w:val="000000" w:themeColor="text1"/>
                <w:sz w:val="20"/>
                <w:szCs w:val="20"/>
              </w:rPr>
              <w:t>Networking &amp; Industry Awareness</w:t>
            </w:r>
          </w:p>
        </w:tc>
        <w:tc>
          <w:tcPr>
            <w:tcW w:w="1800" w:type="dxa"/>
            <w:tcMar>
              <w:left w:w="105" w:type="dxa"/>
              <w:right w:w="105" w:type="dxa"/>
            </w:tcMar>
          </w:tcPr>
          <w:p w14:paraId="739D0F47"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Limited awareness of wider tourism and marketing networks.</w:t>
            </w:r>
          </w:p>
        </w:tc>
        <w:tc>
          <w:tcPr>
            <w:tcW w:w="2610" w:type="dxa"/>
            <w:tcMar>
              <w:left w:w="105" w:type="dxa"/>
              <w:right w:w="105" w:type="dxa"/>
            </w:tcMar>
          </w:tcPr>
          <w:p w14:paraId="6B601E56"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Actively engaged with local tourism boards and digital marketing communities.</w:t>
            </w:r>
          </w:p>
        </w:tc>
        <w:tc>
          <w:tcPr>
            <w:tcW w:w="2550" w:type="dxa"/>
            <w:tcMar>
              <w:left w:w="105" w:type="dxa"/>
              <w:right w:w="105" w:type="dxa"/>
            </w:tcMar>
          </w:tcPr>
          <w:p w14:paraId="6178B9B5"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Narrow professional network and external insight.</w:t>
            </w:r>
          </w:p>
        </w:tc>
        <w:tc>
          <w:tcPr>
            <w:tcW w:w="2925" w:type="dxa"/>
            <w:tcMar>
              <w:left w:w="105" w:type="dxa"/>
              <w:right w:w="105" w:type="dxa"/>
            </w:tcMar>
          </w:tcPr>
          <w:p w14:paraId="6F794751"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Participate in local tourist events and online industry seminars. (Professional networking)</w:t>
            </w:r>
          </w:p>
        </w:tc>
        <w:tc>
          <w:tcPr>
            <w:tcW w:w="1260" w:type="dxa"/>
            <w:tcMar>
              <w:left w:w="105" w:type="dxa"/>
              <w:right w:w="105" w:type="dxa"/>
            </w:tcMar>
          </w:tcPr>
          <w:p w14:paraId="1AB1E437"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12 Months +</w:t>
            </w:r>
          </w:p>
        </w:tc>
        <w:tc>
          <w:tcPr>
            <w:tcW w:w="1230" w:type="dxa"/>
            <w:tcMar>
              <w:left w:w="105" w:type="dxa"/>
              <w:right w:w="105" w:type="dxa"/>
            </w:tcMar>
          </w:tcPr>
          <w:p w14:paraId="358CDA23" w14:textId="77777777" w:rsidR="00BF1900" w:rsidRDefault="00BF1900" w:rsidP="00A31499">
            <w:pPr>
              <w:rPr>
                <w:rFonts w:ascii="Calibri" w:eastAsia="Calibri" w:hAnsi="Calibri" w:cs="Calibri"/>
                <w:color w:val="000000" w:themeColor="text1"/>
                <w:sz w:val="20"/>
                <w:szCs w:val="20"/>
              </w:rPr>
            </w:pPr>
            <w:r w:rsidRPr="7314D3CB">
              <w:rPr>
                <w:rFonts w:ascii="Calibri" w:eastAsia="Calibri" w:hAnsi="Calibri" w:cs="Calibri"/>
                <w:color w:val="000000" w:themeColor="text1"/>
                <w:sz w:val="20"/>
                <w:szCs w:val="20"/>
              </w:rPr>
              <w:t>Medium</w:t>
            </w:r>
          </w:p>
        </w:tc>
      </w:tr>
    </w:tbl>
    <w:p w14:paraId="4CDF4522" w14:textId="7AA665E7" w:rsidR="0033528B" w:rsidRDefault="00A31499" w:rsidP="189E5E52">
      <w:pPr>
        <w:pStyle w:val="Heading1"/>
        <w:rPr>
          <w:sz w:val="32"/>
          <w:szCs w:val="32"/>
        </w:rPr>
        <w:sectPr w:rsidR="0033528B" w:rsidSect="00BF1900">
          <w:pgSz w:w="16838" w:h="11906" w:orient="landscape"/>
          <w:pgMar w:top="1440" w:right="1440" w:bottom="1440" w:left="1440" w:header="720" w:footer="720" w:gutter="0"/>
          <w:cols w:space="720"/>
          <w:docGrid w:linePitch="360"/>
        </w:sectPr>
      </w:pPr>
      <w:bookmarkStart w:id="30" w:name="_Toc210917625"/>
      <w:r>
        <w:rPr>
          <w:sz w:val="32"/>
          <w:szCs w:val="32"/>
        </w:rPr>
        <w:t>Appendix A</w:t>
      </w:r>
      <w:bookmarkEnd w:id="30"/>
    </w:p>
    <w:p w14:paraId="2EA0E0B5" w14:textId="48F6DDF8" w:rsidR="00DB409E" w:rsidRPr="009517E3" w:rsidRDefault="009517E3" w:rsidP="009517E3">
      <w:pPr>
        <w:pStyle w:val="Heading1"/>
        <w:rPr>
          <w:sz w:val="32"/>
          <w:szCs w:val="32"/>
        </w:rPr>
      </w:pPr>
      <w:bookmarkStart w:id="31" w:name="_Toc210917626"/>
      <w:r w:rsidRPr="009517E3">
        <w:rPr>
          <w:sz w:val="32"/>
          <w:szCs w:val="32"/>
        </w:rPr>
        <w:lastRenderedPageBreak/>
        <w:t>Appendix B</w:t>
      </w:r>
      <w:bookmarkEnd w:id="31"/>
    </w:p>
    <w:p w14:paraId="6CD944AF" w14:textId="77777777" w:rsidR="00DB409E" w:rsidRPr="00E763EB" w:rsidRDefault="00DB409E" w:rsidP="00E763EB">
      <w:pPr>
        <w:ind w:firstLine="720"/>
      </w:pPr>
    </w:p>
    <w:tbl>
      <w:tblPr>
        <w:tblStyle w:val="TableGrid"/>
        <w:tblW w:w="14070" w:type="dxa"/>
        <w:tblInd w:w="-8" w:type="dxa"/>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590"/>
        <w:gridCol w:w="1545"/>
        <w:gridCol w:w="1968"/>
        <w:gridCol w:w="2247"/>
        <w:gridCol w:w="2580"/>
        <w:gridCol w:w="1950"/>
        <w:gridCol w:w="1153"/>
        <w:gridCol w:w="1037"/>
      </w:tblGrid>
      <w:tr w:rsidR="001F67FA" w14:paraId="34015D85" w14:textId="77777777" w:rsidTr="009517E3">
        <w:trPr>
          <w:trHeight w:val="300"/>
        </w:trPr>
        <w:tc>
          <w:tcPr>
            <w:tcW w:w="1590" w:type="dxa"/>
            <w:shd w:val="clear" w:color="auto" w:fill="F2CEED" w:themeFill="accent5" w:themeFillTint="33"/>
            <w:tcMar>
              <w:left w:w="105" w:type="dxa"/>
              <w:right w:w="105" w:type="dxa"/>
            </w:tcMar>
          </w:tcPr>
          <w:p w14:paraId="287DC19F" w14:textId="77777777" w:rsidR="001F67FA" w:rsidRDefault="001F67FA" w:rsidP="23420098">
            <w:pPr>
              <w:spacing w:before="120" w:beforeAutospacing="1"/>
              <w:rPr>
                <w:rFonts w:ascii="Calibri" w:eastAsia="Calibri" w:hAnsi="Calibri" w:cs="Calibri"/>
                <w:b/>
                <w:bCs/>
                <w:color w:val="000000" w:themeColor="text1"/>
                <w:sz w:val="20"/>
                <w:szCs w:val="20"/>
              </w:rPr>
            </w:pPr>
            <w:r w:rsidRPr="23420098">
              <w:rPr>
                <w:rFonts w:ascii="Calibri" w:eastAsia="Calibri" w:hAnsi="Calibri" w:cs="Calibri"/>
                <w:b/>
                <w:bCs/>
                <w:color w:val="000000" w:themeColor="text1"/>
                <w:sz w:val="20"/>
                <w:szCs w:val="20"/>
              </w:rPr>
              <w:t>Development Area</w:t>
            </w:r>
          </w:p>
        </w:tc>
        <w:tc>
          <w:tcPr>
            <w:tcW w:w="1545" w:type="dxa"/>
            <w:shd w:val="clear" w:color="auto" w:fill="F2CEED" w:themeFill="accent5" w:themeFillTint="33"/>
            <w:tcMar>
              <w:left w:w="105" w:type="dxa"/>
              <w:right w:w="105" w:type="dxa"/>
            </w:tcMar>
          </w:tcPr>
          <w:p w14:paraId="7B79C5A7" w14:textId="77777777" w:rsidR="001F67FA" w:rsidRDefault="001F67FA" w:rsidP="23420098">
            <w:pPr>
              <w:spacing w:before="120" w:beforeAutospacing="1"/>
              <w:rPr>
                <w:rFonts w:ascii="Calibri" w:eastAsia="Calibri" w:hAnsi="Calibri" w:cs="Calibri"/>
                <w:b/>
                <w:bCs/>
                <w:color w:val="000000" w:themeColor="text1"/>
                <w:sz w:val="20"/>
                <w:szCs w:val="20"/>
              </w:rPr>
            </w:pPr>
            <w:r w:rsidRPr="23420098">
              <w:rPr>
                <w:rFonts w:ascii="Calibri" w:eastAsia="Calibri" w:hAnsi="Calibri" w:cs="Calibri"/>
                <w:b/>
                <w:bCs/>
                <w:color w:val="000000" w:themeColor="text1"/>
                <w:sz w:val="20"/>
                <w:szCs w:val="20"/>
              </w:rPr>
              <w:t>Current Situation</w:t>
            </w:r>
          </w:p>
        </w:tc>
        <w:tc>
          <w:tcPr>
            <w:tcW w:w="1968" w:type="dxa"/>
            <w:shd w:val="clear" w:color="auto" w:fill="F2CEED" w:themeFill="accent5" w:themeFillTint="33"/>
            <w:tcMar>
              <w:left w:w="105" w:type="dxa"/>
              <w:right w:w="105" w:type="dxa"/>
            </w:tcMar>
          </w:tcPr>
          <w:p w14:paraId="09A09028" w14:textId="77777777" w:rsidR="001F67FA" w:rsidRDefault="001F67FA" w:rsidP="23420098">
            <w:pPr>
              <w:spacing w:before="120" w:beforeAutospacing="1"/>
              <w:rPr>
                <w:rFonts w:ascii="Calibri" w:eastAsia="Calibri" w:hAnsi="Calibri" w:cs="Calibri"/>
                <w:b/>
                <w:bCs/>
                <w:color w:val="000000" w:themeColor="text1"/>
                <w:sz w:val="20"/>
                <w:szCs w:val="20"/>
              </w:rPr>
            </w:pPr>
            <w:r w:rsidRPr="23420098">
              <w:rPr>
                <w:rFonts w:ascii="Calibri" w:eastAsia="Calibri" w:hAnsi="Calibri" w:cs="Calibri"/>
                <w:b/>
                <w:bCs/>
                <w:color w:val="000000" w:themeColor="text1"/>
                <w:sz w:val="20"/>
                <w:szCs w:val="20"/>
              </w:rPr>
              <w:t>Desired Outcome</w:t>
            </w:r>
          </w:p>
        </w:tc>
        <w:tc>
          <w:tcPr>
            <w:tcW w:w="2247" w:type="dxa"/>
            <w:shd w:val="clear" w:color="auto" w:fill="F2CEED" w:themeFill="accent5" w:themeFillTint="33"/>
            <w:tcMar>
              <w:left w:w="105" w:type="dxa"/>
              <w:right w:w="105" w:type="dxa"/>
            </w:tcMar>
          </w:tcPr>
          <w:p w14:paraId="6FC70500" w14:textId="77777777" w:rsidR="001F67FA" w:rsidRDefault="001F67FA" w:rsidP="23420098">
            <w:pPr>
              <w:spacing w:before="120" w:beforeAutospacing="1"/>
              <w:rPr>
                <w:rFonts w:ascii="Calibri" w:eastAsia="Calibri" w:hAnsi="Calibri" w:cs="Calibri"/>
                <w:b/>
                <w:bCs/>
                <w:color w:val="000000" w:themeColor="text1"/>
                <w:sz w:val="20"/>
                <w:szCs w:val="20"/>
              </w:rPr>
            </w:pPr>
            <w:r w:rsidRPr="23420098">
              <w:rPr>
                <w:rFonts w:ascii="Calibri" w:eastAsia="Calibri" w:hAnsi="Calibri" w:cs="Calibri"/>
                <w:b/>
                <w:bCs/>
                <w:color w:val="000000" w:themeColor="text1"/>
                <w:sz w:val="20"/>
                <w:szCs w:val="20"/>
              </w:rPr>
              <w:t xml:space="preserve">Actions/ Learning Activities </w:t>
            </w:r>
          </w:p>
        </w:tc>
        <w:tc>
          <w:tcPr>
            <w:tcW w:w="2580" w:type="dxa"/>
            <w:shd w:val="clear" w:color="auto" w:fill="F2CEED" w:themeFill="accent5" w:themeFillTint="33"/>
            <w:tcMar>
              <w:left w:w="105" w:type="dxa"/>
              <w:right w:w="105" w:type="dxa"/>
            </w:tcMar>
          </w:tcPr>
          <w:p w14:paraId="4117D33A" w14:textId="77777777" w:rsidR="001F67FA" w:rsidRDefault="001F67FA" w:rsidP="23420098">
            <w:pPr>
              <w:spacing w:before="120" w:beforeAutospacing="1"/>
              <w:rPr>
                <w:rFonts w:ascii="Calibri" w:eastAsia="Calibri" w:hAnsi="Calibri" w:cs="Calibri"/>
                <w:b/>
                <w:bCs/>
                <w:color w:val="000000" w:themeColor="text1"/>
                <w:sz w:val="20"/>
                <w:szCs w:val="20"/>
              </w:rPr>
            </w:pPr>
            <w:r w:rsidRPr="23420098">
              <w:rPr>
                <w:rFonts w:ascii="Calibri" w:eastAsia="Calibri" w:hAnsi="Calibri" w:cs="Calibri"/>
                <w:b/>
                <w:bCs/>
                <w:color w:val="000000" w:themeColor="text1"/>
                <w:sz w:val="20"/>
                <w:szCs w:val="20"/>
              </w:rPr>
              <w:t>Support/ Resources Needed</w:t>
            </w:r>
          </w:p>
        </w:tc>
        <w:tc>
          <w:tcPr>
            <w:tcW w:w="1950" w:type="dxa"/>
            <w:shd w:val="clear" w:color="auto" w:fill="F2CEED" w:themeFill="accent5" w:themeFillTint="33"/>
            <w:tcMar>
              <w:left w:w="105" w:type="dxa"/>
              <w:right w:w="105" w:type="dxa"/>
            </w:tcMar>
          </w:tcPr>
          <w:p w14:paraId="4A0F2638" w14:textId="77777777" w:rsidR="001F67FA" w:rsidRDefault="001F67FA" w:rsidP="23420098">
            <w:pPr>
              <w:spacing w:before="120" w:beforeAutospacing="1"/>
              <w:rPr>
                <w:rFonts w:ascii="Calibri" w:eastAsia="Calibri" w:hAnsi="Calibri" w:cs="Calibri"/>
                <w:b/>
                <w:bCs/>
                <w:color w:val="000000" w:themeColor="text1"/>
                <w:sz w:val="20"/>
                <w:szCs w:val="20"/>
              </w:rPr>
            </w:pPr>
            <w:r w:rsidRPr="23420098">
              <w:rPr>
                <w:rFonts w:ascii="Calibri" w:eastAsia="Calibri" w:hAnsi="Calibri" w:cs="Calibri"/>
                <w:b/>
                <w:bCs/>
                <w:color w:val="000000" w:themeColor="text1"/>
                <w:sz w:val="20"/>
                <w:szCs w:val="20"/>
              </w:rPr>
              <w:t>Success Measure/ Evidence</w:t>
            </w:r>
          </w:p>
        </w:tc>
        <w:tc>
          <w:tcPr>
            <w:tcW w:w="1153" w:type="dxa"/>
            <w:shd w:val="clear" w:color="auto" w:fill="F2CEED" w:themeFill="accent5" w:themeFillTint="33"/>
            <w:tcMar>
              <w:left w:w="105" w:type="dxa"/>
              <w:right w:w="105" w:type="dxa"/>
            </w:tcMar>
          </w:tcPr>
          <w:p w14:paraId="423A1D7E" w14:textId="77777777" w:rsidR="001F67FA" w:rsidRDefault="001F67FA" w:rsidP="23420098">
            <w:pPr>
              <w:spacing w:before="120" w:beforeAutospacing="1"/>
              <w:rPr>
                <w:rFonts w:ascii="Calibri" w:eastAsia="Calibri" w:hAnsi="Calibri" w:cs="Calibri"/>
                <w:b/>
                <w:bCs/>
                <w:color w:val="000000" w:themeColor="text1"/>
                <w:sz w:val="20"/>
                <w:szCs w:val="20"/>
              </w:rPr>
            </w:pPr>
            <w:r w:rsidRPr="23420098">
              <w:rPr>
                <w:rFonts w:ascii="Calibri" w:eastAsia="Calibri" w:hAnsi="Calibri" w:cs="Calibri"/>
                <w:b/>
                <w:bCs/>
                <w:color w:val="000000" w:themeColor="text1"/>
                <w:sz w:val="20"/>
                <w:szCs w:val="20"/>
              </w:rPr>
              <w:t xml:space="preserve">Timescale </w:t>
            </w:r>
          </w:p>
        </w:tc>
        <w:tc>
          <w:tcPr>
            <w:tcW w:w="1037" w:type="dxa"/>
            <w:shd w:val="clear" w:color="auto" w:fill="F2CEED" w:themeFill="accent5" w:themeFillTint="33"/>
            <w:tcMar>
              <w:left w:w="105" w:type="dxa"/>
              <w:right w:w="105" w:type="dxa"/>
            </w:tcMar>
          </w:tcPr>
          <w:p w14:paraId="4A8A3ADF" w14:textId="77777777" w:rsidR="001F67FA" w:rsidRDefault="001F67FA" w:rsidP="23420098">
            <w:pPr>
              <w:spacing w:before="120" w:beforeAutospacing="1"/>
              <w:rPr>
                <w:rFonts w:ascii="Calibri" w:eastAsia="Calibri" w:hAnsi="Calibri" w:cs="Calibri"/>
                <w:b/>
                <w:bCs/>
                <w:color w:val="000000" w:themeColor="text1"/>
                <w:sz w:val="20"/>
                <w:szCs w:val="20"/>
              </w:rPr>
            </w:pPr>
            <w:r w:rsidRPr="23420098">
              <w:rPr>
                <w:rFonts w:ascii="Calibri" w:eastAsia="Calibri" w:hAnsi="Calibri" w:cs="Calibri"/>
                <w:b/>
                <w:bCs/>
                <w:color w:val="000000" w:themeColor="text1"/>
                <w:sz w:val="20"/>
                <w:szCs w:val="20"/>
              </w:rPr>
              <w:t>Priority</w:t>
            </w:r>
          </w:p>
        </w:tc>
      </w:tr>
      <w:tr w:rsidR="001F67FA" w14:paraId="3EA22361" w14:textId="77777777" w:rsidTr="009517E3">
        <w:trPr>
          <w:trHeight w:val="1290"/>
        </w:trPr>
        <w:tc>
          <w:tcPr>
            <w:tcW w:w="1590" w:type="dxa"/>
            <w:shd w:val="clear" w:color="auto" w:fill="F2CEED" w:themeFill="accent5" w:themeFillTint="33"/>
            <w:tcMar>
              <w:left w:w="105" w:type="dxa"/>
              <w:right w:w="105" w:type="dxa"/>
            </w:tcMar>
          </w:tcPr>
          <w:p w14:paraId="336D8F5C"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Marketing Knowledge</w:t>
            </w:r>
          </w:p>
        </w:tc>
        <w:tc>
          <w:tcPr>
            <w:tcW w:w="1545" w:type="dxa"/>
            <w:tcMar>
              <w:left w:w="105" w:type="dxa"/>
              <w:right w:w="105" w:type="dxa"/>
            </w:tcMar>
          </w:tcPr>
          <w:p w14:paraId="0D21804F"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Limited understanding of structured marketing principles.</w:t>
            </w:r>
          </w:p>
        </w:tc>
        <w:tc>
          <w:tcPr>
            <w:tcW w:w="1968" w:type="dxa"/>
            <w:tcMar>
              <w:left w:w="105" w:type="dxa"/>
              <w:right w:w="105" w:type="dxa"/>
            </w:tcMar>
          </w:tcPr>
          <w:p w14:paraId="59441FE7"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Gain formal knowledge of marketing strategy and tools.</w:t>
            </w:r>
          </w:p>
        </w:tc>
        <w:tc>
          <w:tcPr>
            <w:tcW w:w="2247" w:type="dxa"/>
            <w:tcMar>
              <w:left w:w="105" w:type="dxa"/>
              <w:right w:w="105" w:type="dxa"/>
            </w:tcMar>
          </w:tcPr>
          <w:p w14:paraId="2588CC84"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Complete a recognised marketing course (such as CIM or online digital marketing).</w:t>
            </w:r>
          </w:p>
        </w:tc>
        <w:tc>
          <w:tcPr>
            <w:tcW w:w="2580" w:type="dxa"/>
            <w:tcMar>
              <w:left w:w="105" w:type="dxa"/>
              <w:right w:w="105" w:type="dxa"/>
            </w:tcMar>
          </w:tcPr>
          <w:p w14:paraId="0C1AB780"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Access to the online course platform; study time.</w:t>
            </w:r>
          </w:p>
        </w:tc>
        <w:tc>
          <w:tcPr>
            <w:tcW w:w="1950" w:type="dxa"/>
            <w:tcMar>
              <w:left w:w="105" w:type="dxa"/>
              <w:right w:w="105" w:type="dxa"/>
            </w:tcMar>
          </w:tcPr>
          <w:p w14:paraId="77FE7147"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Course completion certificate. Improved ability to design marketing plans.</w:t>
            </w:r>
          </w:p>
        </w:tc>
        <w:tc>
          <w:tcPr>
            <w:tcW w:w="1153" w:type="dxa"/>
            <w:tcMar>
              <w:left w:w="105" w:type="dxa"/>
              <w:right w:w="105" w:type="dxa"/>
            </w:tcMar>
          </w:tcPr>
          <w:p w14:paraId="774CB171"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3-6 Months</w:t>
            </w:r>
          </w:p>
        </w:tc>
        <w:tc>
          <w:tcPr>
            <w:tcW w:w="1037" w:type="dxa"/>
            <w:tcMar>
              <w:left w:w="105" w:type="dxa"/>
              <w:right w:w="105" w:type="dxa"/>
            </w:tcMar>
          </w:tcPr>
          <w:p w14:paraId="5440379B"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High</w:t>
            </w:r>
          </w:p>
        </w:tc>
      </w:tr>
      <w:tr w:rsidR="001F67FA" w14:paraId="352EB8C5" w14:textId="77777777" w:rsidTr="009517E3">
        <w:trPr>
          <w:trHeight w:val="300"/>
        </w:trPr>
        <w:tc>
          <w:tcPr>
            <w:tcW w:w="1590" w:type="dxa"/>
            <w:shd w:val="clear" w:color="auto" w:fill="F2CEED" w:themeFill="accent5" w:themeFillTint="33"/>
            <w:tcMar>
              <w:left w:w="105" w:type="dxa"/>
              <w:right w:w="105" w:type="dxa"/>
            </w:tcMar>
          </w:tcPr>
          <w:p w14:paraId="6D34138E"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Digital Marketing Skills</w:t>
            </w:r>
          </w:p>
        </w:tc>
        <w:tc>
          <w:tcPr>
            <w:tcW w:w="1545" w:type="dxa"/>
            <w:tcMar>
              <w:left w:w="105" w:type="dxa"/>
              <w:right w:w="105" w:type="dxa"/>
            </w:tcMar>
          </w:tcPr>
          <w:p w14:paraId="01DF2E31"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Uses social media informally without strategic focus.</w:t>
            </w:r>
          </w:p>
        </w:tc>
        <w:tc>
          <w:tcPr>
            <w:tcW w:w="1968" w:type="dxa"/>
            <w:tcMar>
              <w:left w:w="105" w:type="dxa"/>
              <w:right w:w="105" w:type="dxa"/>
            </w:tcMar>
          </w:tcPr>
          <w:p w14:paraId="69FBCE29"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Confident in SEO, analytics, and social media marketing.</w:t>
            </w:r>
          </w:p>
        </w:tc>
        <w:tc>
          <w:tcPr>
            <w:tcW w:w="2247" w:type="dxa"/>
            <w:tcMar>
              <w:left w:w="105" w:type="dxa"/>
              <w:right w:w="105" w:type="dxa"/>
            </w:tcMar>
          </w:tcPr>
          <w:p w14:paraId="7C20FC38"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Attend online workshops (Google Digital Garage and Meta for Business). Apply new abilities to campaigns.</w:t>
            </w:r>
          </w:p>
        </w:tc>
        <w:tc>
          <w:tcPr>
            <w:tcW w:w="2580" w:type="dxa"/>
            <w:tcMar>
              <w:left w:w="105" w:type="dxa"/>
              <w:right w:w="105" w:type="dxa"/>
            </w:tcMar>
          </w:tcPr>
          <w:p w14:paraId="1878F4D2"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Computer access, digital tools, internet connection.</w:t>
            </w:r>
          </w:p>
        </w:tc>
        <w:tc>
          <w:tcPr>
            <w:tcW w:w="1950" w:type="dxa"/>
            <w:tcMar>
              <w:left w:w="105" w:type="dxa"/>
              <w:right w:w="105" w:type="dxa"/>
            </w:tcMar>
          </w:tcPr>
          <w:p w14:paraId="7354D528"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Improved online engagement and traffic numbers.</w:t>
            </w:r>
          </w:p>
        </w:tc>
        <w:tc>
          <w:tcPr>
            <w:tcW w:w="1153" w:type="dxa"/>
            <w:tcMar>
              <w:left w:w="105" w:type="dxa"/>
              <w:right w:w="105" w:type="dxa"/>
            </w:tcMar>
          </w:tcPr>
          <w:p w14:paraId="18825A91"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6-9 Months</w:t>
            </w:r>
          </w:p>
        </w:tc>
        <w:tc>
          <w:tcPr>
            <w:tcW w:w="1037" w:type="dxa"/>
            <w:tcMar>
              <w:left w:w="105" w:type="dxa"/>
              <w:right w:w="105" w:type="dxa"/>
            </w:tcMar>
          </w:tcPr>
          <w:p w14:paraId="5BD92A0A"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High</w:t>
            </w:r>
          </w:p>
        </w:tc>
      </w:tr>
      <w:tr w:rsidR="001F67FA" w14:paraId="5424B4D8" w14:textId="77777777" w:rsidTr="009517E3">
        <w:trPr>
          <w:trHeight w:val="300"/>
        </w:trPr>
        <w:tc>
          <w:tcPr>
            <w:tcW w:w="1590" w:type="dxa"/>
            <w:shd w:val="clear" w:color="auto" w:fill="F2CEED" w:themeFill="accent5" w:themeFillTint="33"/>
            <w:tcMar>
              <w:left w:w="105" w:type="dxa"/>
              <w:right w:w="105" w:type="dxa"/>
            </w:tcMar>
          </w:tcPr>
          <w:p w14:paraId="5C733010"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Branding &amp; Communication</w:t>
            </w:r>
          </w:p>
        </w:tc>
        <w:tc>
          <w:tcPr>
            <w:tcW w:w="1545" w:type="dxa"/>
            <w:tcMar>
              <w:left w:w="105" w:type="dxa"/>
              <w:right w:w="105" w:type="dxa"/>
            </w:tcMar>
          </w:tcPr>
          <w:p w14:paraId="4A07AF20"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Inconsistent brand tone and imagery across several platforms.</w:t>
            </w:r>
          </w:p>
        </w:tc>
        <w:tc>
          <w:tcPr>
            <w:tcW w:w="1968" w:type="dxa"/>
            <w:tcMar>
              <w:left w:w="105" w:type="dxa"/>
              <w:right w:w="105" w:type="dxa"/>
            </w:tcMar>
          </w:tcPr>
          <w:p w14:paraId="23D64C3F"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Develop cohesive and consistent branding for Blaennant.</w:t>
            </w:r>
          </w:p>
        </w:tc>
        <w:tc>
          <w:tcPr>
            <w:tcW w:w="2247" w:type="dxa"/>
            <w:tcMar>
              <w:left w:w="105" w:type="dxa"/>
              <w:right w:w="105" w:type="dxa"/>
            </w:tcMar>
          </w:tcPr>
          <w:p w14:paraId="6F37DCC2"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Create brand standards and a seasonal content calendar.</w:t>
            </w:r>
          </w:p>
        </w:tc>
        <w:tc>
          <w:tcPr>
            <w:tcW w:w="2580" w:type="dxa"/>
            <w:tcMar>
              <w:left w:w="105" w:type="dxa"/>
              <w:right w:w="105" w:type="dxa"/>
            </w:tcMar>
          </w:tcPr>
          <w:p w14:paraId="4D1CF071"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Guidance from mentor. Access to design tools (Canva).</w:t>
            </w:r>
          </w:p>
        </w:tc>
        <w:tc>
          <w:tcPr>
            <w:tcW w:w="1950" w:type="dxa"/>
            <w:tcMar>
              <w:left w:w="105" w:type="dxa"/>
              <w:right w:w="105" w:type="dxa"/>
            </w:tcMar>
          </w:tcPr>
          <w:p w14:paraId="6A410387"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Consistent visual identity and messaging throughout all marketing materials.</w:t>
            </w:r>
          </w:p>
        </w:tc>
        <w:tc>
          <w:tcPr>
            <w:tcW w:w="1153" w:type="dxa"/>
            <w:tcMar>
              <w:left w:w="105" w:type="dxa"/>
              <w:right w:w="105" w:type="dxa"/>
            </w:tcMar>
          </w:tcPr>
          <w:p w14:paraId="5B314222"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6 Months</w:t>
            </w:r>
          </w:p>
        </w:tc>
        <w:tc>
          <w:tcPr>
            <w:tcW w:w="1037" w:type="dxa"/>
            <w:tcMar>
              <w:left w:w="105" w:type="dxa"/>
              <w:right w:w="105" w:type="dxa"/>
            </w:tcMar>
          </w:tcPr>
          <w:p w14:paraId="0BC3085E"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Medium- High</w:t>
            </w:r>
          </w:p>
        </w:tc>
      </w:tr>
      <w:tr w:rsidR="001F67FA" w14:paraId="0D4B683F" w14:textId="77777777" w:rsidTr="009517E3">
        <w:trPr>
          <w:trHeight w:val="300"/>
        </w:trPr>
        <w:tc>
          <w:tcPr>
            <w:tcW w:w="1590" w:type="dxa"/>
            <w:shd w:val="clear" w:color="auto" w:fill="F2CEED" w:themeFill="accent5" w:themeFillTint="33"/>
            <w:tcMar>
              <w:left w:w="105" w:type="dxa"/>
              <w:right w:w="105" w:type="dxa"/>
            </w:tcMar>
          </w:tcPr>
          <w:p w14:paraId="1F3AB33D"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Analytical &amp; Evaluation Skills</w:t>
            </w:r>
          </w:p>
        </w:tc>
        <w:tc>
          <w:tcPr>
            <w:tcW w:w="1545" w:type="dxa"/>
            <w:tcMar>
              <w:left w:w="105" w:type="dxa"/>
              <w:right w:w="105" w:type="dxa"/>
            </w:tcMar>
          </w:tcPr>
          <w:p w14:paraId="29FAECCD"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Limited ability to evaluate campaign performance.</w:t>
            </w:r>
          </w:p>
        </w:tc>
        <w:tc>
          <w:tcPr>
            <w:tcW w:w="1968" w:type="dxa"/>
            <w:tcMar>
              <w:left w:w="105" w:type="dxa"/>
              <w:right w:w="105" w:type="dxa"/>
            </w:tcMar>
          </w:tcPr>
          <w:p w14:paraId="1A5B2C72"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Confident in using analytics tools to measure marketing ROI.</w:t>
            </w:r>
          </w:p>
        </w:tc>
        <w:tc>
          <w:tcPr>
            <w:tcW w:w="2247" w:type="dxa"/>
            <w:tcMar>
              <w:left w:w="105" w:type="dxa"/>
              <w:right w:w="105" w:type="dxa"/>
            </w:tcMar>
          </w:tcPr>
          <w:p w14:paraId="36C4DF31"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Shadow marketing pros and learn how to utilise Google Analytics and reporting dashboards.</w:t>
            </w:r>
          </w:p>
        </w:tc>
        <w:tc>
          <w:tcPr>
            <w:tcW w:w="2580" w:type="dxa"/>
            <w:tcMar>
              <w:left w:w="105" w:type="dxa"/>
              <w:right w:w="105" w:type="dxa"/>
            </w:tcMar>
          </w:tcPr>
          <w:p w14:paraId="39B3231B"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Access to analytics software. Potential external shadowing.</w:t>
            </w:r>
          </w:p>
        </w:tc>
        <w:tc>
          <w:tcPr>
            <w:tcW w:w="1950" w:type="dxa"/>
            <w:tcMar>
              <w:left w:w="105" w:type="dxa"/>
              <w:right w:w="105" w:type="dxa"/>
            </w:tcMar>
          </w:tcPr>
          <w:p w14:paraId="2856A784"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Monthly performance reports produced and reviewed.</w:t>
            </w:r>
          </w:p>
        </w:tc>
        <w:tc>
          <w:tcPr>
            <w:tcW w:w="1153" w:type="dxa"/>
            <w:tcMar>
              <w:left w:w="105" w:type="dxa"/>
              <w:right w:w="105" w:type="dxa"/>
            </w:tcMar>
          </w:tcPr>
          <w:p w14:paraId="1F652B3A"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9-12 Months</w:t>
            </w:r>
          </w:p>
        </w:tc>
        <w:tc>
          <w:tcPr>
            <w:tcW w:w="1037" w:type="dxa"/>
            <w:tcMar>
              <w:left w:w="105" w:type="dxa"/>
              <w:right w:w="105" w:type="dxa"/>
            </w:tcMar>
          </w:tcPr>
          <w:p w14:paraId="0738135C"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Medium</w:t>
            </w:r>
          </w:p>
        </w:tc>
      </w:tr>
      <w:tr w:rsidR="001F67FA" w14:paraId="0D39855F" w14:textId="77777777" w:rsidTr="009517E3">
        <w:trPr>
          <w:trHeight w:val="300"/>
        </w:trPr>
        <w:tc>
          <w:tcPr>
            <w:tcW w:w="1590" w:type="dxa"/>
            <w:shd w:val="clear" w:color="auto" w:fill="F2CEED" w:themeFill="accent5" w:themeFillTint="33"/>
            <w:tcMar>
              <w:left w:w="105" w:type="dxa"/>
              <w:right w:w="105" w:type="dxa"/>
            </w:tcMar>
          </w:tcPr>
          <w:p w14:paraId="20EAF8BA"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Confidence &amp; Decision Making</w:t>
            </w:r>
          </w:p>
        </w:tc>
        <w:tc>
          <w:tcPr>
            <w:tcW w:w="1545" w:type="dxa"/>
            <w:tcMar>
              <w:left w:w="105" w:type="dxa"/>
              <w:right w:w="105" w:type="dxa"/>
            </w:tcMar>
          </w:tcPr>
          <w:p w14:paraId="7154C81E"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hesitant to take the initiative in marketing activities.</w:t>
            </w:r>
          </w:p>
        </w:tc>
        <w:tc>
          <w:tcPr>
            <w:tcW w:w="1968" w:type="dxa"/>
            <w:tcMar>
              <w:left w:w="105" w:type="dxa"/>
              <w:right w:w="105" w:type="dxa"/>
            </w:tcMar>
          </w:tcPr>
          <w:p w14:paraId="5C8E0ADA"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Able to plan and execute marketing independently with confidence.</w:t>
            </w:r>
          </w:p>
        </w:tc>
        <w:tc>
          <w:tcPr>
            <w:tcW w:w="2247" w:type="dxa"/>
            <w:tcMar>
              <w:left w:w="105" w:type="dxa"/>
              <w:right w:w="105" w:type="dxa"/>
            </w:tcMar>
          </w:tcPr>
          <w:p w14:paraId="50433306"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Attend regular mentor meetings for feedback and lead at least one advertising campaign.</w:t>
            </w:r>
          </w:p>
        </w:tc>
        <w:tc>
          <w:tcPr>
            <w:tcW w:w="2580" w:type="dxa"/>
            <w:tcMar>
              <w:left w:w="105" w:type="dxa"/>
              <w:right w:w="105" w:type="dxa"/>
            </w:tcMar>
          </w:tcPr>
          <w:p w14:paraId="3D094140"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Mentor availability. Encouragement from management.</w:t>
            </w:r>
          </w:p>
        </w:tc>
        <w:tc>
          <w:tcPr>
            <w:tcW w:w="1950" w:type="dxa"/>
            <w:tcMar>
              <w:left w:w="105" w:type="dxa"/>
              <w:right w:w="105" w:type="dxa"/>
            </w:tcMar>
          </w:tcPr>
          <w:p w14:paraId="27190673"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Proven autonomy and leadership in marketing choices.</w:t>
            </w:r>
          </w:p>
        </w:tc>
        <w:tc>
          <w:tcPr>
            <w:tcW w:w="1153" w:type="dxa"/>
            <w:tcMar>
              <w:left w:w="105" w:type="dxa"/>
              <w:right w:w="105" w:type="dxa"/>
            </w:tcMar>
          </w:tcPr>
          <w:p w14:paraId="06192739"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Ongoing</w:t>
            </w:r>
          </w:p>
        </w:tc>
        <w:tc>
          <w:tcPr>
            <w:tcW w:w="1037" w:type="dxa"/>
            <w:tcMar>
              <w:left w:w="105" w:type="dxa"/>
              <w:right w:w="105" w:type="dxa"/>
            </w:tcMar>
          </w:tcPr>
          <w:p w14:paraId="0E026717"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Medium</w:t>
            </w:r>
          </w:p>
        </w:tc>
      </w:tr>
      <w:tr w:rsidR="001F67FA" w14:paraId="3603FEAE" w14:textId="77777777" w:rsidTr="009517E3">
        <w:trPr>
          <w:trHeight w:val="795"/>
        </w:trPr>
        <w:tc>
          <w:tcPr>
            <w:tcW w:w="1590" w:type="dxa"/>
            <w:shd w:val="clear" w:color="auto" w:fill="F2CEED" w:themeFill="accent5" w:themeFillTint="33"/>
            <w:tcMar>
              <w:left w:w="105" w:type="dxa"/>
              <w:right w:w="105" w:type="dxa"/>
            </w:tcMar>
          </w:tcPr>
          <w:p w14:paraId="72BE40D6"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Networking &amp; Industry Awareness</w:t>
            </w:r>
          </w:p>
        </w:tc>
        <w:tc>
          <w:tcPr>
            <w:tcW w:w="1545" w:type="dxa"/>
            <w:tcMar>
              <w:left w:w="105" w:type="dxa"/>
              <w:right w:w="105" w:type="dxa"/>
            </w:tcMar>
          </w:tcPr>
          <w:p w14:paraId="07CA3BD8"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Limited awareness of marketing and tourism networks.</w:t>
            </w:r>
          </w:p>
        </w:tc>
        <w:tc>
          <w:tcPr>
            <w:tcW w:w="1968" w:type="dxa"/>
            <w:tcMar>
              <w:left w:w="105" w:type="dxa"/>
              <w:right w:w="105" w:type="dxa"/>
            </w:tcMar>
          </w:tcPr>
          <w:p w14:paraId="746688BC"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Build industry knowledge and connections for collaboration.</w:t>
            </w:r>
          </w:p>
        </w:tc>
        <w:tc>
          <w:tcPr>
            <w:tcW w:w="2247" w:type="dxa"/>
            <w:tcMar>
              <w:left w:w="105" w:type="dxa"/>
              <w:right w:w="105" w:type="dxa"/>
            </w:tcMar>
          </w:tcPr>
          <w:p w14:paraId="1C988823"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Attend local tourism networking events or online webinars.</w:t>
            </w:r>
          </w:p>
        </w:tc>
        <w:tc>
          <w:tcPr>
            <w:tcW w:w="2580" w:type="dxa"/>
            <w:tcMar>
              <w:left w:w="105" w:type="dxa"/>
              <w:right w:w="105" w:type="dxa"/>
            </w:tcMar>
          </w:tcPr>
          <w:p w14:paraId="22AB79AA"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Support for event participation (time, travel).</w:t>
            </w:r>
          </w:p>
        </w:tc>
        <w:tc>
          <w:tcPr>
            <w:tcW w:w="1950" w:type="dxa"/>
            <w:tcMar>
              <w:left w:w="105" w:type="dxa"/>
              <w:right w:w="105" w:type="dxa"/>
            </w:tcMar>
          </w:tcPr>
          <w:p w14:paraId="27672528"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Established professional contacts and new partnership opportunities.</w:t>
            </w:r>
          </w:p>
        </w:tc>
        <w:tc>
          <w:tcPr>
            <w:tcW w:w="1153" w:type="dxa"/>
            <w:tcMar>
              <w:left w:w="105" w:type="dxa"/>
              <w:right w:w="105" w:type="dxa"/>
            </w:tcMar>
          </w:tcPr>
          <w:p w14:paraId="3B09446D"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12 Months +</w:t>
            </w:r>
          </w:p>
        </w:tc>
        <w:tc>
          <w:tcPr>
            <w:tcW w:w="1037" w:type="dxa"/>
            <w:tcMar>
              <w:left w:w="105" w:type="dxa"/>
              <w:right w:w="105" w:type="dxa"/>
            </w:tcMar>
          </w:tcPr>
          <w:p w14:paraId="6D92DBB7" w14:textId="77777777" w:rsidR="001F67FA" w:rsidRDefault="001F67FA" w:rsidP="23420098">
            <w:pPr>
              <w:spacing w:before="120" w:beforeAutospacing="1"/>
              <w:rPr>
                <w:rFonts w:ascii="Calibri" w:eastAsia="Calibri" w:hAnsi="Calibri" w:cs="Calibri"/>
                <w:color w:val="000000" w:themeColor="text1"/>
                <w:sz w:val="20"/>
                <w:szCs w:val="20"/>
              </w:rPr>
            </w:pPr>
            <w:r w:rsidRPr="23420098">
              <w:rPr>
                <w:rFonts w:ascii="Calibri" w:eastAsia="Calibri" w:hAnsi="Calibri" w:cs="Calibri"/>
                <w:color w:val="000000" w:themeColor="text1"/>
                <w:sz w:val="20"/>
                <w:szCs w:val="20"/>
              </w:rPr>
              <w:t>Low-Medium</w:t>
            </w:r>
          </w:p>
        </w:tc>
      </w:tr>
    </w:tbl>
    <w:p w14:paraId="7DD5476D" w14:textId="212D015B" w:rsidR="009517E3" w:rsidRPr="009517E3" w:rsidRDefault="009517E3" w:rsidP="009517E3">
      <w:pPr>
        <w:pStyle w:val="Heading1"/>
        <w:rPr>
          <w:sz w:val="32"/>
          <w:szCs w:val="32"/>
        </w:rPr>
      </w:pPr>
      <w:bookmarkStart w:id="32" w:name="_Toc210917627"/>
      <w:r w:rsidRPr="009517E3">
        <w:rPr>
          <w:sz w:val="32"/>
          <w:szCs w:val="32"/>
        </w:rPr>
        <w:lastRenderedPageBreak/>
        <w:t>Appendix C</w:t>
      </w:r>
      <w:bookmarkEnd w:id="32"/>
    </w:p>
    <w:tbl>
      <w:tblPr>
        <w:tblStyle w:val="TableGrid"/>
        <w:tblW w:w="0" w:type="auto"/>
        <w:tblLayout w:type="fixed"/>
        <w:tblLook w:val="06A0" w:firstRow="1" w:lastRow="0" w:firstColumn="1" w:lastColumn="0" w:noHBand="1" w:noVBand="1"/>
      </w:tblPr>
      <w:tblGrid>
        <w:gridCol w:w="2325"/>
        <w:gridCol w:w="3480"/>
        <w:gridCol w:w="2580"/>
        <w:gridCol w:w="1920"/>
        <w:gridCol w:w="2685"/>
        <w:gridCol w:w="960"/>
      </w:tblGrid>
      <w:tr w:rsidR="009517E3" w14:paraId="5AF3C85C" w14:textId="77777777" w:rsidTr="689B500D">
        <w:trPr>
          <w:trHeight w:val="300"/>
        </w:trPr>
        <w:tc>
          <w:tcPr>
            <w:tcW w:w="2325" w:type="dxa"/>
            <w:shd w:val="clear" w:color="auto" w:fill="E59EDC" w:themeFill="accent5" w:themeFillTint="66"/>
          </w:tcPr>
          <w:p w14:paraId="7A2215DB" w14:textId="77777777" w:rsidR="009517E3" w:rsidRDefault="009517E3" w:rsidP="689B500D">
            <w:pPr>
              <w:rPr>
                <w:rFonts w:ascii="Calibri" w:eastAsia="Calibri" w:hAnsi="Calibri" w:cs="Calibri"/>
                <w:b/>
                <w:bCs/>
                <w:sz w:val="20"/>
                <w:szCs w:val="20"/>
              </w:rPr>
            </w:pPr>
            <w:r w:rsidRPr="689B500D">
              <w:rPr>
                <w:rFonts w:ascii="Calibri" w:eastAsia="Calibri" w:hAnsi="Calibri" w:cs="Calibri"/>
                <w:b/>
                <w:bCs/>
                <w:sz w:val="20"/>
                <w:szCs w:val="20"/>
              </w:rPr>
              <w:t>SMART Objective</w:t>
            </w:r>
          </w:p>
        </w:tc>
        <w:tc>
          <w:tcPr>
            <w:tcW w:w="3480" w:type="dxa"/>
            <w:shd w:val="clear" w:color="auto" w:fill="E59EDC" w:themeFill="accent5" w:themeFillTint="66"/>
          </w:tcPr>
          <w:p w14:paraId="08AD7D1B" w14:textId="77777777" w:rsidR="009517E3" w:rsidRDefault="009517E3" w:rsidP="689B500D">
            <w:pPr>
              <w:rPr>
                <w:rFonts w:ascii="Calibri" w:eastAsia="Calibri" w:hAnsi="Calibri" w:cs="Calibri"/>
                <w:b/>
                <w:bCs/>
                <w:sz w:val="20"/>
                <w:szCs w:val="20"/>
              </w:rPr>
            </w:pPr>
            <w:r w:rsidRPr="689B500D">
              <w:rPr>
                <w:rFonts w:ascii="Calibri" w:eastAsia="Calibri" w:hAnsi="Calibri" w:cs="Calibri"/>
                <w:b/>
                <w:bCs/>
                <w:sz w:val="20"/>
                <w:szCs w:val="20"/>
              </w:rPr>
              <w:t>Specific</w:t>
            </w:r>
          </w:p>
        </w:tc>
        <w:tc>
          <w:tcPr>
            <w:tcW w:w="2580" w:type="dxa"/>
            <w:shd w:val="clear" w:color="auto" w:fill="E59EDC" w:themeFill="accent5" w:themeFillTint="66"/>
          </w:tcPr>
          <w:p w14:paraId="02A522BE" w14:textId="77777777" w:rsidR="009517E3" w:rsidRDefault="009517E3" w:rsidP="689B500D">
            <w:pPr>
              <w:rPr>
                <w:rFonts w:ascii="Calibri" w:eastAsia="Calibri" w:hAnsi="Calibri" w:cs="Calibri"/>
                <w:b/>
                <w:bCs/>
                <w:sz w:val="20"/>
                <w:szCs w:val="20"/>
              </w:rPr>
            </w:pPr>
            <w:r w:rsidRPr="689B500D">
              <w:rPr>
                <w:rFonts w:ascii="Calibri" w:eastAsia="Calibri" w:hAnsi="Calibri" w:cs="Calibri"/>
                <w:b/>
                <w:bCs/>
                <w:sz w:val="20"/>
                <w:szCs w:val="20"/>
              </w:rPr>
              <w:t>Measurable</w:t>
            </w:r>
          </w:p>
        </w:tc>
        <w:tc>
          <w:tcPr>
            <w:tcW w:w="1920" w:type="dxa"/>
            <w:shd w:val="clear" w:color="auto" w:fill="E59EDC" w:themeFill="accent5" w:themeFillTint="66"/>
          </w:tcPr>
          <w:p w14:paraId="143293C4" w14:textId="77777777" w:rsidR="009517E3" w:rsidRDefault="009517E3" w:rsidP="689B500D">
            <w:pPr>
              <w:rPr>
                <w:rFonts w:ascii="Calibri" w:eastAsia="Calibri" w:hAnsi="Calibri" w:cs="Calibri"/>
                <w:b/>
                <w:bCs/>
                <w:sz w:val="20"/>
                <w:szCs w:val="20"/>
              </w:rPr>
            </w:pPr>
            <w:r w:rsidRPr="689B500D">
              <w:rPr>
                <w:rFonts w:ascii="Calibri" w:eastAsia="Calibri" w:hAnsi="Calibri" w:cs="Calibri"/>
                <w:b/>
                <w:bCs/>
                <w:sz w:val="20"/>
                <w:szCs w:val="20"/>
              </w:rPr>
              <w:t>Achievable</w:t>
            </w:r>
          </w:p>
        </w:tc>
        <w:tc>
          <w:tcPr>
            <w:tcW w:w="2685" w:type="dxa"/>
            <w:shd w:val="clear" w:color="auto" w:fill="E59EDC" w:themeFill="accent5" w:themeFillTint="66"/>
          </w:tcPr>
          <w:p w14:paraId="735B7748" w14:textId="77777777" w:rsidR="009517E3" w:rsidRDefault="009517E3" w:rsidP="689B500D">
            <w:pPr>
              <w:rPr>
                <w:rFonts w:ascii="Calibri" w:eastAsia="Calibri" w:hAnsi="Calibri" w:cs="Calibri"/>
                <w:b/>
                <w:bCs/>
                <w:sz w:val="20"/>
                <w:szCs w:val="20"/>
              </w:rPr>
            </w:pPr>
            <w:r w:rsidRPr="689B500D">
              <w:rPr>
                <w:rFonts w:ascii="Calibri" w:eastAsia="Calibri" w:hAnsi="Calibri" w:cs="Calibri"/>
                <w:b/>
                <w:bCs/>
                <w:sz w:val="20"/>
                <w:szCs w:val="20"/>
              </w:rPr>
              <w:t>Relevant</w:t>
            </w:r>
          </w:p>
        </w:tc>
        <w:tc>
          <w:tcPr>
            <w:tcW w:w="960" w:type="dxa"/>
            <w:shd w:val="clear" w:color="auto" w:fill="E59EDC" w:themeFill="accent5" w:themeFillTint="66"/>
          </w:tcPr>
          <w:p w14:paraId="16FBF507" w14:textId="77777777" w:rsidR="009517E3" w:rsidRDefault="009517E3" w:rsidP="689B500D">
            <w:pPr>
              <w:rPr>
                <w:rFonts w:ascii="Calibri" w:eastAsia="Calibri" w:hAnsi="Calibri" w:cs="Calibri"/>
                <w:b/>
                <w:bCs/>
                <w:sz w:val="20"/>
                <w:szCs w:val="20"/>
              </w:rPr>
            </w:pPr>
            <w:r w:rsidRPr="689B500D">
              <w:rPr>
                <w:rFonts w:ascii="Calibri" w:eastAsia="Calibri" w:hAnsi="Calibri" w:cs="Calibri"/>
                <w:b/>
                <w:bCs/>
                <w:sz w:val="20"/>
                <w:szCs w:val="20"/>
              </w:rPr>
              <w:t>Time-Bound</w:t>
            </w:r>
          </w:p>
        </w:tc>
      </w:tr>
      <w:tr w:rsidR="009517E3" w14:paraId="13FFC048" w14:textId="77777777" w:rsidTr="689B500D">
        <w:trPr>
          <w:trHeight w:val="300"/>
        </w:trPr>
        <w:tc>
          <w:tcPr>
            <w:tcW w:w="2325" w:type="dxa"/>
            <w:shd w:val="clear" w:color="auto" w:fill="E59EDC" w:themeFill="accent5" w:themeFillTint="66"/>
          </w:tcPr>
          <w:p w14:paraId="555A61D0" w14:textId="77777777" w:rsidR="009517E3" w:rsidRDefault="009517E3" w:rsidP="689B500D">
            <w:pPr>
              <w:rPr>
                <w:rFonts w:ascii="Calibri" w:eastAsia="Calibri" w:hAnsi="Calibri" w:cs="Calibri"/>
                <w:b/>
                <w:bCs/>
                <w:sz w:val="20"/>
                <w:szCs w:val="20"/>
              </w:rPr>
            </w:pPr>
            <w:r w:rsidRPr="689B500D">
              <w:rPr>
                <w:rFonts w:ascii="Calibri" w:eastAsia="Calibri" w:hAnsi="Calibri" w:cs="Calibri"/>
                <w:b/>
                <w:bCs/>
                <w:sz w:val="20"/>
                <w:szCs w:val="20"/>
              </w:rPr>
              <w:t>1.Develop core marketing knowledge</w:t>
            </w:r>
          </w:p>
        </w:tc>
        <w:tc>
          <w:tcPr>
            <w:tcW w:w="3480" w:type="dxa"/>
          </w:tcPr>
          <w:p w14:paraId="07675417"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Completing a credible marketing course (such as CIM or Google Digital Marketing) will help understand marketing strategy, consumer segmentation, and promotion.</w:t>
            </w:r>
          </w:p>
        </w:tc>
        <w:tc>
          <w:tcPr>
            <w:tcW w:w="2580" w:type="dxa"/>
          </w:tcPr>
          <w:p w14:paraId="22119C92"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Evidence of course completion and application of knowledge in marketing plans.</w:t>
            </w:r>
          </w:p>
        </w:tc>
        <w:tc>
          <w:tcPr>
            <w:tcW w:w="1920" w:type="dxa"/>
          </w:tcPr>
          <w:p w14:paraId="18B058F2"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Study time allocated within weekly schedule; online course affordable and accessible.</w:t>
            </w:r>
          </w:p>
        </w:tc>
        <w:tc>
          <w:tcPr>
            <w:tcW w:w="2685" w:type="dxa"/>
          </w:tcPr>
          <w:p w14:paraId="4050EF77"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Builds foundational knowledge essential for improving Blaennant’s marketing and visibility.</w:t>
            </w:r>
          </w:p>
        </w:tc>
        <w:tc>
          <w:tcPr>
            <w:tcW w:w="960" w:type="dxa"/>
          </w:tcPr>
          <w:p w14:paraId="7BFF80DE"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Within 6 months</w:t>
            </w:r>
          </w:p>
        </w:tc>
      </w:tr>
      <w:tr w:rsidR="009517E3" w14:paraId="5617E54A" w14:textId="77777777" w:rsidTr="689B500D">
        <w:trPr>
          <w:trHeight w:val="300"/>
        </w:trPr>
        <w:tc>
          <w:tcPr>
            <w:tcW w:w="2325" w:type="dxa"/>
            <w:shd w:val="clear" w:color="auto" w:fill="E59EDC" w:themeFill="accent5" w:themeFillTint="66"/>
          </w:tcPr>
          <w:p w14:paraId="558058E8" w14:textId="77777777" w:rsidR="009517E3" w:rsidRDefault="009517E3" w:rsidP="689B500D">
            <w:pPr>
              <w:rPr>
                <w:rFonts w:ascii="Calibri" w:eastAsia="Calibri" w:hAnsi="Calibri" w:cs="Calibri"/>
                <w:b/>
                <w:bCs/>
                <w:sz w:val="20"/>
                <w:szCs w:val="20"/>
              </w:rPr>
            </w:pPr>
            <w:r w:rsidRPr="689B500D">
              <w:rPr>
                <w:rFonts w:ascii="Calibri" w:eastAsia="Calibri" w:hAnsi="Calibri" w:cs="Calibri"/>
                <w:b/>
                <w:bCs/>
                <w:sz w:val="20"/>
                <w:szCs w:val="20"/>
              </w:rPr>
              <w:t>2.Strengthen digital marketing skills</w:t>
            </w:r>
          </w:p>
        </w:tc>
        <w:tc>
          <w:tcPr>
            <w:tcW w:w="3480" w:type="dxa"/>
          </w:tcPr>
          <w:p w14:paraId="37DF9273"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Learn how to manage Blaennant's online presence via practical experience with SEO, social media analytics, and content production tools.</w:t>
            </w:r>
          </w:p>
        </w:tc>
        <w:tc>
          <w:tcPr>
            <w:tcW w:w="2580" w:type="dxa"/>
          </w:tcPr>
          <w:p w14:paraId="17021B46"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Improved engagement metrics, for example, a 25% increase in website traffic or social media reach.</w:t>
            </w:r>
          </w:p>
        </w:tc>
        <w:tc>
          <w:tcPr>
            <w:tcW w:w="1920" w:type="dxa"/>
          </w:tcPr>
          <w:p w14:paraId="46DD0992"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Access to online tutorials and digital tools (Google Analytics, Canva, Meta Business Suite).</w:t>
            </w:r>
          </w:p>
        </w:tc>
        <w:tc>
          <w:tcPr>
            <w:tcW w:w="2685" w:type="dxa"/>
          </w:tcPr>
          <w:p w14:paraId="28C50846"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Enhances digital presence and supports strategic growth goals.</w:t>
            </w:r>
          </w:p>
        </w:tc>
        <w:tc>
          <w:tcPr>
            <w:tcW w:w="960" w:type="dxa"/>
          </w:tcPr>
          <w:p w14:paraId="29DB1DED"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Within 9 months</w:t>
            </w:r>
          </w:p>
        </w:tc>
      </w:tr>
      <w:tr w:rsidR="009517E3" w14:paraId="479A1153" w14:textId="77777777" w:rsidTr="689B500D">
        <w:trPr>
          <w:trHeight w:val="585"/>
        </w:trPr>
        <w:tc>
          <w:tcPr>
            <w:tcW w:w="2325" w:type="dxa"/>
            <w:shd w:val="clear" w:color="auto" w:fill="E59EDC" w:themeFill="accent5" w:themeFillTint="66"/>
          </w:tcPr>
          <w:p w14:paraId="6DC419B4" w14:textId="77777777" w:rsidR="009517E3" w:rsidRDefault="009517E3" w:rsidP="689B500D">
            <w:pPr>
              <w:rPr>
                <w:rFonts w:ascii="Calibri" w:eastAsia="Calibri" w:hAnsi="Calibri" w:cs="Calibri"/>
                <w:b/>
                <w:bCs/>
                <w:sz w:val="20"/>
                <w:szCs w:val="20"/>
              </w:rPr>
            </w:pPr>
            <w:r w:rsidRPr="689B500D">
              <w:rPr>
                <w:rFonts w:ascii="Calibri" w:eastAsia="Calibri" w:hAnsi="Calibri" w:cs="Calibri"/>
                <w:b/>
                <w:bCs/>
                <w:sz w:val="20"/>
                <w:szCs w:val="20"/>
              </w:rPr>
              <w:t>3.Establish consistent branding and communication</w:t>
            </w:r>
          </w:p>
        </w:tc>
        <w:tc>
          <w:tcPr>
            <w:tcW w:w="3480" w:type="dxa"/>
          </w:tcPr>
          <w:p w14:paraId="171AF5B8"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Create and apply a brand identity guide to ensure consistent tone, graphics, and messaging across all media.</w:t>
            </w:r>
          </w:p>
        </w:tc>
        <w:tc>
          <w:tcPr>
            <w:tcW w:w="2580" w:type="dxa"/>
          </w:tcPr>
          <w:p w14:paraId="005159E8"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Visual and written content aligns with new brand guidelines in all marketing materials.</w:t>
            </w:r>
          </w:p>
        </w:tc>
        <w:tc>
          <w:tcPr>
            <w:tcW w:w="1920" w:type="dxa"/>
          </w:tcPr>
          <w:p w14:paraId="4BF2C663"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Supported by mentor guidance and feedback from management.</w:t>
            </w:r>
          </w:p>
        </w:tc>
        <w:tc>
          <w:tcPr>
            <w:tcW w:w="2685" w:type="dxa"/>
          </w:tcPr>
          <w:p w14:paraId="3BB1AB25"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Reinforces the company's commitment to provide authentic and sustainable glamping experiences.</w:t>
            </w:r>
          </w:p>
        </w:tc>
        <w:tc>
          <w:tcPr>
            <w:tcW w:w="960" w:type="dxa"/>
          </w:tcPr>
          <w:p w14:paraId="29FF70E0"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Within 6 months</w:t>
            </w:r>
          </w:p>
        </w:tc>
      </w:tr>
      <w:tr w:rsidR="009517E3" w14:paraId="05060F71" w14:textId="77777777" w:rsidTr="689B500D">
        <w:trPr>
          <w:trHeight w:val="300"/>
        </w:trPr>
        <w:tc>
          <w:tcPr>
            <w:tcW w:w="2325" w:type="dxa"/>
            <w:shd w:val="clear" w:color="auto" w:fill="E59EDC" w:themeFill="accent5" w:themeFillTint="66"/>
          </w:tcPr>
          <w:p w14:paraId="7C976FB8" w14:textId="77777777" w:rsidR="009517E3" w:rsidRDefault="009517E3" w:rsidP="689B500D">
            <w:pPr>
              <w:rPr>
                <w:rFonts w:ascii="Calibri" w:eastAsia="Calibri" w:hAnsi="Calibri" w:cs="Calibri"/>
                <w:b/>
                <w:bCs/>
                <w:sz w:val="20"/>
                <w:szCs w:val="20"/>
              </w:rPr>
            </w:pPr>
            <w:r w:rsidRPr="689B500D">
              <w:rPr>
                <w:rFonts w:ascii="Calibri" w:eastAsia="Calibri" w:hAnsi="Calibri" w:cs="Calibri"/>
                <w:b/>
                <w:bCs/>
                <w:sz w:val="20"/>
                <w:szCs w:val="20"/>
              </w:rPr>
              <w:t>4.Improve marketing analysis and evaluation</w:t>
            </w:r>
          </w:p>
        </w:tc>
        <w:tc>
          <w:tcPr>
            <w:tcW w:w="3480" w:type="dxa"/>
          </w:tcPr>
          <w:p w14:paraId="58A5EC7D"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Learn how to manage and understand marketing data to assess campaign effectiveness and make informed decisions in the future. Create and apply a brand identity guide to ensure consistent tone, graphics, and messaging across all media.</w:t>
            </w:r>
          </w:p>
        </w:tc>
        <w:tc>
          <w:tcPr>
            <w:tcW w:w="2580" w:type="dxa"/>
          </w:tcPr>
          <w:p w14:paraId="706E60FB"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Monthly performance reports created and reviewed; visible improvement in campaign ROI.</w:t>
            </w:r>
          </w:p>
        </w:tc>
        <w:tc>
          <w:tcPr>
            <w:tcW w:w="1920" w:type="dxa"/>
          </w:tcPr>
          <w:p w14:paraId="558B7AC3"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Skills developed through shadowing a marketing mentor and practical application.</w:t>
            </w:r>
          </w:p>
        </w:tc>
        <w:tc>
          <w:tcPr>
            <w:tcW w:w="2685" w:type="dxa"/>
          </w:tcPr>
          <w:p w14:paraId="62F17529"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Enables data-driven decision-making and resource efficiency.</w:t>
            </w:r>
          </w:p>
        </w:tc>
        <w:tc>
          <w:tcPr>
            <w:tcW w:w="960" w:type="dxa"/>
          </w:tcPr>
          <w:p w14:paraId="64289C6E"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Within 12 months</w:t>
            </w:r>
          </w:p>
        </w:tc>
      </w:tr>
      <w:tr w:rsidR="009517E3" w14:paraId="3D3A26A2" w14:textId="77777777" w:rsidTr="689B500D">
        <w:trPr>
          <w:trHeight w:val="300"/>
        </w:trPr>
        <w:tc>
          <w:tcPr>
            <w:tcW w:w="2325" w:type="dxa"/>
            <w:shd w:val="clear" w:color="auto" w:fill="E59EDC" w:themeFill="accent5" w:themeFillTint="66"/>
          </w:tcPr>
          <w:p w14:paraId="548B0F9B" w14:textId="77777777" w:rsidR="009517E3" w:rsidRDefault="009517E3" w:rsidP="689B500D">
            <w:pPr>
              <w:rPr>
                <w:rFonts w:ascii="Calibri" w:eastAsia="Calibri" w:hAnsi="Calibri" w:cs="Calibri"/>
                <w:b/>
                <w:bCs/>
                <w:sz w:val="20"/>
                <w:szCs w:val="20"/>
              </w:rPr>
            </w:pPr>
            <w:r w:rsidRPr="689B500D">
              <w:rPr>
                <w:rFonts w:ascii="Calibri" w:eastAsia="Calibri" w:hAnsi="Calibri" w:cs="Calibri"/>
                <w:b/>
                <w:bCs/>
                <w:sz w:val="20"/>
                <w:szCs w:val="20"/>
              </w:rPr>
              <w:t>5.Increase confidence and autonomy in marketing decisions.</w:t>
            </w:r>
          </w:p>
        </w:tc>
        <w:tc>
          <w:tcPr>
            <w:tcW w:w="3480" w:type="dxa"/>
          </w:tcPr>
          <w:p w14:paraId="75E297EE"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Take ownership of one entire marketing campaign, from strategy to assessment.</w:t>
            </w:r>
          </w:p>
        </w:tc>
        <w:tc>
          <w:tcPr>
            <w:tcW w:w="2580" w:type="dxa"/>
          </w:tcPr>
          <w:p w14:paraId="10EB7183"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Demonstrated initiative and leadership; campaign delivered successfully.</w:t>
            </w:r>
          </w:p>
        </w:tc>
        <w:tc>
          <w:tcPr>
            <w:tcW w:w="1920" w:type="dxa"/>
          </w:tcPr>
          <w:p w14:paraId="336E5F5F"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Support and feedback provided through mentoring sessions.</w:t>
            </w:r>
          </w:p>
        </w:tc>
        <w:tc>
          <w:tcPr>
            <w:tcW w:w="2685" w:type="dxa"/>
          </w:tcPr>
          <w:p w14:paraId="2C4D7C81"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Builds confidence, independence, and leadership capability.</w:t>
            </w:r>
          </w:p>
        </w:tc>
        <w:tc>
          <w:tcPr>
            <w:tcW w:w="960" w:type="dxa"/>
          </w:tcPr>
          <w:p w14:paraId="33AE3529"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Ongoing – review at 12 months</w:t>
            </w:r>
          </w:p>
        </w:tc>
      </w:tr>
      <w:tr w:rsidR="009517E3" w14:paraId="2720D154" w14:textId="77777777" w:rsidTr="689B500D">
        <w:trPr>
          <w:trHeight w:val="300"/>
        </w:trPr>
        <w:tc>
          <w:tcPr>
            <w:tcW w:w="2325" w:type="dxa"/>
            <w:shd w:val="clear" w:color="auto" w:fill="E59EDC" w:themeFill="accent5" w:themeFillTint="66"/>
          </w:tcPr>
          <w:p w14:paraId="7AE8EC4A" w14:textId="77777777" w:rsidR="009517E3" w:rsidRDefault="009517E3" w:rsidP="689B500D">
            <w:pPr>
              <w:rPr>
                <w:rFonts w:ascii="Calibri" w:eastAsia="Calibri" w:hAnsi="Calibri" w:cs="Calibri"/>
                <w:b/>
                <w:bCs/>
                <w:sz w:val="20"/>
                <w:szCs w:val="20"/>
              </w:rPr>
            </w:pPr>
            <w:r w:rsidRPr="689B500D">
              <w:rPr>
                <w:rFonts w:ascii="Calibri" w:eastAsia="Calibri" w:hAnsi="Calibri" w:cs="Calibri"/>
                <w:b/>
                <w:bCs/>
                <w:sz w:val="20"/>
                <w:szCs w:val="20"/>
              </w:rPr>
              <w:t>6.Build professional network and industry awareness.</w:t>
            </w:r>
          </w:p>
        </w:tc>
        <w:tc>
          <w:tcPr>
            <w:tcW w:w="3480" w:type="dxa"/>
          </w:tcPr>
          <w:p w14:paraId="54BDD21C"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Attend tourism and marketing networking events or webinars to meet specialists and learn about industry trends.</w:t>
            </w:r>
          </w:p>
        </w:tc>
        <w:tc>
          <w:tcPr>
            <w:tcW w:w="2580" w:type="dxa"/>
          </w:tcPr>
          <w:p w14:paraId="11326680"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Evidence of at least three networking engagements and new contacts made.</w:t>
            </w:r>
          </w:p>
        </w:tc>
        <w:tc>
          <w:tcPr>
            <w:tcW w:w="1920" w:type="dxa"/>
          </w:tcPr>
          <w:p w14:paraId="5592E64F"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Support for time and travel from management. Access to event opportunities.</w:t>
            </w:r>
          </w:p>
        </w:tc>
        <w:tc>
          <w:tcPr>
            <w:tcW w:w="2685" w:type="dxa"/>
          </w:tcPr>
          <w:p w14:paraId="7F9A4C2C"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Strengthens external awareness and potential collaboration opportunities.</w:t>
            </w:r>
          </w:p>
        </w:tc>
        <w:tc>
          <w:tcPr>
            <w:tcW w:w="960" w:type="dxa"/>
          </w:tcPr>
          <w:p w14:paraId="5D692E44" w14:textId="77777777" w:rsidR="009517E3" w:rsidRDefault="009517E3" w:rsidP="689B500D">
            <w:pPr>
              <w:rPr>
                <w:rFonts w:ascii="Calibri" w:eastAsia="Calibri" w:hAnsi="Calibri" w:cs="Calibri"/>
                <w:sz w:val="20"/>
                <w:szCs w:val="20"/>
              </w:rPr>
            </w:pPr>
            <w:r w:rsidRPr="689B500D">
              <w:rPr>
                <w:rFonts w:ascii="Calibri" w:eastAsia="Calibri" w:hAnsi="Calibri" w:cs="Calibri"/>
                <w:sz w:val="20"/>
                <w:szCs w:val="20"/>
              </w:rPr>
              <w:t>Within 12 months</w:t>
            </w:r>
          </w:p>
        </w:tc>
      </w:tr>
    </w:tbl>
    <w:p w14:paraId="310B4933" w14:textId="77777777" w:rsidR="009517E3" w:rsidRDefault="009517E3"/>
    <w:p w14:paraId="524E3526" w14:textId="2CBEF78B" w:rsidR="001F67FA" w:rsidRDefault="001F67FA"/>
    <w:p w14:paraId="1D59C7C7" w14:textId="77777777" w:rsidR="001F67FA" w:rsidRPr="00E763EB" w:rsidRDefault="001F67FA" w:rsidP="00E763EB">
      <w:pPr>
        <w:ind w:firstLine="720"/>
      </w:pPr>
    </w:p>
    <w:p w14:paraId="6CA11DD8" w14:textId="39209B17" w:rsidR="00A31499" w:rsidRDefault="00A31499" w:rsidP="189E5E52">
      <w:pPr>
        <w:pStyle w:val="Heading1"/>
        <w:rPr>
          <w:sz w:val="32"/>
          <w:szCs w:val="32"/>
        </w:rPr>
        <w:sectPr w:rsidR="00A31499" w:rsidSect="00BF1900">
          <w:pgSz w:w="16838" w:h="11906" w:orient="landscape"/>
          <w:pgMar w:top="1440" w:right="1440" w:bottom="1440" w:left="1440" w:header="720" w:footer="720" w:gutter="0"/>
          <w:cols w:space="720"/>
          <w:docGrid w:linePitch="360"/>
        </w:sectPr>
      </w:pPr>
    </w:p>
    <w:p w14:paraId="757DCFB6" w14:textId="3D9A6F8F" w:rsidR="189E5E52" w:rsidRDefault="189E5E52" w:rsidP="189E5E52">
      <w:pPr>
        <w:rPr>
          <w:sz w:val="32"/>
          <w:szCs w:val="32"/>
        </w:rPr>
      </w:pPr>
    </w:p>
    <w:sectPr w:rsidR="189E5E5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18ADF8" w14:textId="77777777" w:rsidR="006A385D" w:rsidRDefault="006A385D">
      <w:pPr>
        <w:spacing w:after="0" w:line="240" w:lineRule="auto"/>
      </w:pPr>
      <w:r>
        <w:separator/>
      </w:r>
    </w:p>
  </w:endnote>
  <w:endnote w:type="continuationSeparator" w:id="0">
    <w:p w14:paraId="05A957AA" w14:textId="77777777" w:rsidR="006A385D" w:rsidRDefault="006A38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9353816"/>
      <w:docPartObj>
        <w:docPartGallery w:val="Page Numbers (Bottom of Page)"/>
        <w:docPartUnique/>
      </w:docPartObj>
    </w:sdtPr>
    <w:sdtEndPr>
      <w:rPr>
        <w:noProof/>
      </w:rPr>
    </w:sdtEndPr>
    <w:sdtContent>
      <w:p w14:paraId="6E5A1FED" w14:textId="4F8E1E7E" w:rsidR="00B211EA" w:rsidRDefault="00B211EA" w:rsidP="00A215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EDFF5A" w14:textId="739A3210" w:rsidR="320D6D55" w:rsidRDefault="320D6D55" w:rsidP="320D6D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DBDE7E" w14:textId="77777777" w:rsidR="006A385D" w:rsidRDefault="006A385D">
      <w:pPr>
        <w:spacing w:after="0" w:line="240" w:lineRule="auto"/>
      </w:pPr>
      <w:r>
        <w:separator/>
      </w:r>
    </w:p>
  </w:footnote>
  <w:footnote w:type="continuationSeparator" w:id="0">
    <w:p w14:paraId="104EB6C3" w14:textId="77777777" w:rsidR="006A385D" w:rsidRDefault="006A38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20D6D55" w14:paraId="397D4A05" w14:textId="77777777" w:rsidTr="320D6D55">
      <w:trPr>
        <w:trHeight w:val="300"/>
      </w:trPr>
      <w:tc>
        <w:tcPr>
          <w:tcW w:w="3005" w:type="dxa"/>
        </w:tcPr>
        <w:p w14:paraId="3AF03AF7" w14:textId="3AF0B173" w:rsidR="320D6D55" w:rsidRDefault="320D6D55" w:rsidP="320D6D55">
          <w:pPr>
            <w:pStyle w:val="Header"/>
            <w:ind w:left="-115"/>
          </w:pPr>
        </w:p>
      </w:tc>
      <w:tc>
        <w:tcPr>
          <w:tcW w:w="3005" w:type="dxa"/>
        </w:tcPr>
        <w:p w14:paraId="555A256C" w14:textId="5E0EAAA6" w:rsidR="320D6D55" w:rsidRDefault="320D6D55" w:rsidP="320D6D55">
          <w:pPr>
            <w:pStyle w:val="Header"/>
            <w:jc w:val="center"/>
          </w:pPr>
        </w:p>
      </w:tc>
      <w:tc>
        <w:tcPr>
          <w:tcW w:w="3005" w:type="dxa"/>
        </w:tcPr>
        <w:p w14:paraId="066F9B8A" w14:textId="61C22BF6" w:rsidR="320D6D55" w:rsidRDefault="320D6D55" w:rsidP="320D6D55">
          <w:pPr>
            <w:pStyle w:val="Header"/>
            <w:ind w:right="-115"/>
            <w:jc w:val="right"/>
          </w:pPr>
        </w:p>
      </w:tc>
    </w:tr>
  </w:tbl>
  <w:p w14:paraId="16DAA5C2" w14:textId="1B1ACF35" w:rsidR="320D6D55" w:rsidRDefault="320D6D55" w:rsidP="320D6D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C25413"/>
    <w:multiLevelType w:val="hybridMultilevel"/>
    <w:tmpl w:val="4C18B0DA"/>
    <w:lvl w:ilvl="0" w:tplc="43A687C0">
      <w:start w:val="1"/>
      <w:numFmt w:val="decimal"/>
      <w:lvlText w:val="%1."/>
      <w:lvlJc w:val="left"/>
      <w:pPr>
        <w:ind w:left="720" w:hanging="360"/>
      </w:pPr>
    </w:lvl>
    <w:lvl w:ilvl="1" w:tplc="4A1C90BE">
      <w:start w:val="1"/>
      <w:numFmt w:val="lowerLetter"/>
      <w:lvlText w:val="%2."/>
      <w:lvlJc w:val="left"/>
      <w:pPr>
        <w:ind w:left="1440" w:hanging="360"/>
      </w:pPr>
    </w:lvl>
    <w:lvl w:ilvl="2" w:tplc="46C45B68">
      <w:start w:val="1"/>
      <w:numFmt w:val="lowerRoman"/>
      <w:lvlText w:val="%3."/>
      <w:lvlJc w:val="right"/>
      <w:pPr>
        <w:ind w:left="2160" w:hanging="180"/>
      </w:pPr>
    </w:lvl>
    <w:lvl w:ilvl="3" w:tplc="27E6E876">
      <w:start w:val="1"/>
      <w:numFmt w:val="decimal"/>
      <w:lvlText w:val="%4."/>
      <w:lvlJc w:val="left"/>
      <w:pPr>
        <w:ind w:left="2880" w:hanging="360"/>
      </w:pPr>
    </w:lvl>
    <w:lvl w:ilvl="4" w:tplc="BE60DAAE">
      <w:start w:val="1"/>
      <w:numFmt w:val="lowerLetter"/>
      <w:lvlText w:val="%5."/>
      <w:lvlJc w:val="left"/>
      <w:pPr>
        <w:ind w:left="3600" w:hanging="360"/>
      </w:pPr>
    </w:lvl>
    <w:lvl w:ilvl="5" w:tplc="DEACF4C6">
      <w:start w:val="1"/>
      <w:numFmt w:val="lowerRoman"/>
      <w:lvlText w:val="%6."/>
      <w:lvlJc w:val="right"/>
      <w:pPr>
        <w:ind w:left="4320" w:hanging="180"/>
      </w:pPr>
    </w:lvl>
    <w:lvl w:ilvl="6" w:tplc="1A22D84A">
      <w:start w:val="1"/>
      <w:numFmt w:val="decimal"/>
      <w:lvlText w:val="%7."/>
      <w:lvlJc w:val="left"/>
      <w:pPr>
        <w:ind w:left="5040" w:hanging="360"/>
      </w:pPr>
    </w:lvl>
    <w:lvl w:ilvl="7" w:tplc="2F22982A">
      <w:start w:val="1"/>
      <w:numFmt w:val="lowerLetter"/>
      <w:lvlText w:val="%8."/>
      <w:lvlJc w:val="left"/>
      <w:pPr>
        <w:ind w:left="5760" w:hanging="360"/>
      </w:pPr>
    </w:lvl>
    <w:lvl w:ilvl="8" w:tplc="2578F224">
      <w:start w:val="1"/>
      <w:numFmt w:val="lowerRoman"/>
      <w:lvlText w:val="%9."/>
      <w:lvlJc w:val="right"/>
      <w:pPr>
        <w:ind w:left="6480" w:hanging="180"/>
      </w:pPr>
    </w:lvl>
  </w:abstractNum>
  <w:num w:numId="1" w16cid:durableId="16398701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238BC1"/>
    <w:rsid w:val="00061EE6"/>
    <w:rsid w:val="00077008"/>
    <w:rsid w:val="0010602B"/>
    <w:rsid w:val="001F67FA"/>
    <w:rsid w:val="00207225"/>
    <w:rsid w:val="002525AD"/>
    <w:rsid w:val="00256238"/>
    <w:rsid w:val="00265EFA"/>
    <w:rsid w:val="002B62FA"/>
    <w:rsid w:val="0033528B"/>
    <w:rsid w:val="003918A1"/>
    <w:rsid w:val="003B694D"/>
    <w:rsid w:val="004231D2"/>
    <w:rsid w:val="004E4997"/>
    <w:rsid w:val="005124D6"/>
    <w:rsid w:val="005C4CB3"/>
    <w:rsid w:val="006A385D"/>
    <w:rsid w:val="007501DC"/>
    <w:rsid w:val="00751B08"/>
    <w:rsid w:val="00754963"/>
    <w:rsid w:val="00802219"/>
    <w:rsid w:val="00823D8A"/>
    <w:rsid w:val="00917221"/>
    <w:rsid w:val="009517E3"/>
    <w:rsid w:val="009A2C36"/>
    <w:rsid w:val="009B6AC6"/>
    <w:rsid w:val="00A215F6"/>
    <w:rsid w:val="00A31499"/>
    <w:rsid w:val="00A97FA9"/>
    <w:rsid w:val="00B211EA"/>
    <w:rsid w:val="00B355BE"/>
    <w:rsid w:val="00BA52FC"/>
    <w:rsid w:val="00BF1900"/>
    <w:rsid w:val="00C1647B"/>
    <w:rsid w:val="00C22F67"/>
    <w:rsid w:val="00C31A67"/>
    <w:rsid w:val="00C50230"/>
    <w:rsid w:val="00CD6292"/>
    <w:rsid w:val="00D36EF2"/>
    <w:rsid w:val="00D81184"/>
    <w:rsid w:val="00DB409E"/>
    <w:rsid w:val="00DD78B9"/>
    <w:rsid w:val="00E24CE6"/>
    <w:rsid w:val="00E26242"/>
    <w:rsid w:val="00E625BD"/>
    <w:rsid w:val="00EC4CA1"/>
    <w:rsid w:val="00F84210"/>
    <w:rsid w:val="0109D8AB"/>
    <w:rsid w:val="01420DEF"/>
    <w:rsid w:val="01648910"/>
    <w:rsid w:val="016530DA"/>
    <w:rsid w:val="01FF7689"/>
    <w:rsid w:val="020024C6"/>
    <w:rsid w:val="02AB34C7"/>
    <w:rsid w:val="02C3AABB"/>
    <w:rsid w:val="02DE6686"/>
    <w:rsid w:val="02F67847"/>
    <w:rsid w:val="03C5334C"/>
    <w:rsid w:val="03C5B4F8"/>
    <w:rsid w:val="0495DCDC"/>
    <w:rsid w:val="049A3B38"/>
    <w:rsid w:val="053BF696"/>
    <w:rsid w:val="058B3833"/>
    <w:rsid w:val="05CD8EAC"/>
    <w:rsid w:val="05DCB92D"/>
    <w:rsid w:val="061B154C"/>
    <w:rsid w:val="064E7DB7"/>
    <w:rsid w:val="0668E26C"/>
    <w:rsid w:val="06828AF5"/>
    <w:rsid w:val="06C5E7EC"/>
    <w:rsid w:val="0701BB6D"/>
    <w:rsid w:val="072740EC"/>
    <w:rsid w:val="07F0C580"/>
    <w:rsid w:val="08F46D11"/>
    <w:rsid w:val="095BAA08"/>
    <w:rsid w:val="09B77152"/>
    <w:rsid w:val="09F87390"/>
    <w:rsid w:val="0BA275BD"/>
    <w:rsid w:val="0BBC5757"/>
    <w:rsid w:val="0BCCBA49"/>
    <w:rsid w:val="0C84E0E6"/>
    <w:rsid w:val="0CBB0DD2"/>
    <w:rsid w:val="0CFB2FED"/>
    <w:rsid w:val="0D07D562"/>
    <w:rsid w:val="0DB6CC6B"/>
    <w:rsid w:val="0DC052E1"/>
    <w:rsid w:val="0DC23508"/>
    <w:rsid w:val="0DE21F4F"/>
    <w:rsid w:val="0DE2C6E9"/>
    <w:rsid w:val="0E2E81BC"/>
    <w:rsid w:val="0E77FFFF"/>
    <w:rsid w:val="0EF60C84"/>
    <w:rsid w:val="0F16B77F"/>
    <w:rsid w:val="0F44B42E"/>
    <w:rsid w:val="0F68AC4E"/>
    <w:rsid w:val="0FFCA7B6"/>
    <w:rsid w:val="10A4F662"/>
    <w:rsid w:val="10D4B33C"/>
    <w:rsid w:val="10E5443D"/>
    <w:rsid w:val="110BDE9D"/>
    <w:rsid w:val="117BC44F"/>
    <w:rsid w:val="121AF549"/>
    <w:rsid w:val="1222DB7C"/>
    <w:rsid w:val="123C7A57"/>
    <w:rsid w:val="12426B08"/>
    <w:rsid w:val="12710362"/>
    <w:rsid w:val="12D58F55"/>
    <w:rsid w:val="1339FE7A"/>
    <w:rsid w:val="13EF54C6"/>
    <w:rsid w:val="14005137"/>
    <w:rsid w:val="14599311"/>
    <w:rsid w:val="147E90D9"/>
    <w:rsid w:val="1487B7F8"/>
    <w:rsid w:val="14CD9820"/>
    <w:rsid w:val="15031F02"/>
    <w:rsid w:val="15462017"/>
    <w:rsid w:val="16129B03"/>
    <w:rsid w:val="16244091"/>
    <w:rsid w:val="168641AB"/>
    <w:rsid w:val="16C1DBA0"/>
    <w:rsid w:val="16C41C9B"/>
    <w:rsid w:val="16EB294C"/>
    <w:rsid w:val="1743F88E"/>
    <w:rsid w:val="17B9E00E"/>
    <w:rsid w:val="1805FEE9"/>
    <w:rsid w:val="180EF36F"/>
    <w:rsid w:val="1845B003"/>
    <w:rsid w:val="189D3972"/>
    <w:rsid w:val="189E5E52"/>
    <w:rsid w:val="18E47505"/>
    <w:rsid w:val="1A0AA9D6"/>
    <w:rsid w:val="1A2E138A"/>
    <w:rsid w:val="1A3F4504"/>
    <w:rsid w:val="1A424FD2"/>
    <w:rsid w:val="1B5097B6"/>
    <w:rsid w:val="1B721136"/>
    <w:rsid w:val="1BDF04E4"/>
    <w:rsid w:val="1C7DFAD0"/>
    <w:rsid w:val="1CB50551"/>
    <w:rsid w:val="1D7A4478"/>
    <w:rsid w:val="1E167498"/>
    <w:rsid w:val="1E416295"/>
    <w:rsid w:val="1E46A3C0"/>
    <w:rsid w:val="1E5C2C49"/>
    <w:rsid w:val="1E6427EB"/>
    <w:rsid w:val="1EA2FE13"/>
    <w:rsid w:val="1F24631C"/>
    <w:rsid w:val="1FABE3CF"/>
    <w:rsid w:val="1FCA6742"/>
    <w:rsid w:val="2017A63B"/>
    <w:rsid w:val="20E62632"/>
    <w:rsid w:val="20F9562E"/>
    <w:rsid w:val="211FC7AC"/>
    <w:rsid w:val="21280E49"/>
    <w:rsid w:val="21E375DD"/>
    <w:rsid w:val="223A7102"/>
    <w:rsid w:val="22526533"/>
    <w:rsid w:val="22743CBB"/>
    <w:rsid w:val="229A0D5A"/>
    <w:rsid w:val="2302BC87"/>
    <w:rsid w:val="235E6E67"/>
    <w:rsid w:val="23F894C8"/>
    <w:rsid w:val="2486726C"/>
    <w:rsid w:val="24C15688"/>
    <w:rsid w:val="24D139E0"/>
    <w:rsid w:val="251600ED"/>
    <w:rsid w:val="258BDDDD"/>
    <w:rsid w:val="25913419"/>
    <w:rsid w:val="25A7FA5C"/>
    <w:rsid w:val="25E3D0A3"/>
    <w:rsid w:val="2650F3C4"/>
    <w:rsid w:val="26A7C5D7"/>
    <w:rsid w:val="26ADC691"/>
    <w:rsid w:val="26BE14FB"/>
    <w:rsid w:val="26C31E3D"/>
    <w:rsid w:val="26D6500F"/>
    <w:rsid w:val="26D70EB4"/>
    <w:rsid w:val="27A1275F"/>
    <w:rsid w:val="27B7DEC4"/>
    <w:rsid w:val="27CD26C1"/>
    <w:rsid w:val="27FBA878"/>
    <w:rsid w:val="282DB514"/>
    <w:rsid w:val="28448DB7"/>
    <w:rsid w:val="2864353C"/>
    <w:rsid w:val="28BF6CD3"/>
    <w:rsid w:val="28C128A6"/>
    <w:rsid w:val="295F4E30"/>
    <w:rsid w:val="297A4C5C"/>
    <w:rsid w:val="29A1A2C4"/>
    <w:rsid w:val="29C3F99B"/>
    <w:rsid w:val="29E98124"/>
    <w:rsid w:val="2A34D0B3"/>
    <w:rsid w:val="2AEF2DCC"/>
    <w:rsid w:val="2B2D1DAA"/>
    <w:rsid w:val="2B777480"/>
    <w:rsid w:val="2BEF3A08"/>
    <w:rsid w:val="2C343751"/>
    <w:rsid w:val="2CE4C307"/>
    <w:rsid w:val="2D477012"/>
    <w:rsid w:val="2EE1771C"/>
    <w:rsid w:val="2EFAF31A"/>
    <w:rsid w:val="2F0B17B9"/>
    <w:rsid w:val="2F0F18F3"/>
    <w:rsid w:val="2FE4C257"/>
    <w:rsid w:val="309BA366"/>
    <w:rsid w:val="30A5A690"/>
    <w:rsid w:val="30BDAE19"/>
    <w:rsid w:val="3101A32A"/>
    <w:rsid w:val="31228731"/>
    <w:rsid w:val="313C7D6D"/>
    <w:rsid w:val="3159CE72"/>
    <w:rsid w:val="3193E978"/>
    <w:rsid w:val="31F5DE82"/>
    <w:rsid w:val="320D6D55"/>
    <w:rsid w:val="32539462"/>
    <w:rsid w:val="327121D9"/>
    <w:rsid w:val="3287B991"/>
    <w:rsid w:val="33BC4C04"/>
    <w:rsid w:val="33D588D1"/>
    <w:rsid w:val="3430A783"/>
    <w:rsid w:val="345F21F5"/>
    <w:rsid w:val="34A5B742"/>
    <w:rsid w:val="3521FF0F"/>
    <w:rsid w:val="353235F2"/>
    <w:rsid w:val="353BD348"/>
    <w:rsid w:val="358E8905"/>
    <w:rsid w:val="359018A1"/>
    <w:rsid w:val="35E8587B"/>
    <w:rsid w:val="35F3BAD7"/>
    <w:rsid w:val="36A9B022"/>
    <w:rsid w:val="37137ECE"/>
    <w:rsid w:val="37178037"/>
    <w:rsid w:val="37865D34"/>
    <w:rsid w:val="3894FEEA"/>
    <w:rsid w:val="38A36E86"/>
    <w:rsid w:val="38BE9EC8"/>
    <w:rsid w:val="38DFA91E"/>
    <w:rsid w:val="3940B435"/>
    <w:rsid w:val="396F1BD8"/>
    <w:rsid w:val="3977B697"/>
    <w:rsid w:val="39FAB2FA"/>
    <w:rsid w:val="3A4A3A8E"/>
    <w:rsid w:val="3A91B012"/>
    <w:rsid w:val="3AFA9327"/>
    <w:rsid w:val="3B527CF0"/>
    <w:rsid w:val="3BB89BF9"/>
    <w:rsid w:val="3BFA3A72"/>
    <w:rsid w:val="3BFF1968"/>
    <w:rsid w:val="3C112ABC"/>
    <w:rsid w:val="3C494342"/>
    <w:rsid w:val="3CF52444"/>
    <w:rsid w:val="3CFD9BDC"/>
    <w:rsid w:val="3D24ED6B"/>
    <w:rsid w:val="3D27025D"/>
    <w:rsid w:val="3D58F029"/>
    <w:rsid w:val="3D7181A6"/>
    <w:rsid w:val="3D7AE559"/>
    <w:rsid w:val="3D8E3C6F"/>
    <w:rsid w:val="3E0414E9"/>
    <w:rsid w:val="3E13202D"/>
    <w:rsid w:val="3ECB25B1"/>
    <w:rsid w:val="3EDE90B2"/>
    <w:rsid w:val="3F0F2A90"/>
    <w:rsid w:val="3F2E5A50"/>
    <w:rsid w:val="3F3508C4"/>
    <w:rsid w:val="3FA4597D"/>
    <w:rsid w:val="401864FF"/>
    <w:rsid w:val="40252B8E"/>
    <w:rsid w:val="405D797D"/>
    <w:rsid w:val="40A3C6BA"/>
    <w:rsid w:val="4112F115"/>
    <w:rsid w:val="4147A641"/>
    <w:rsid w:val="417E3F6B"/>
    <w:rsid w:val="417E9F9F"/>
    <w:rsid w:val="41823E96"/>
    <w:rsid w:val="41C941D9"/>
    <w:rsid w:val="42131C5D"/>
    <w:rsid w:val="4245D481"/>
    <w:rsid w:val="42757AEF"/>
    <w:rsid w:val="42774C09"/>
    <w:rsid w:val="4288F02E"/>
    <w:rsid w:val="42D893DB"/>
    <w:rsid w:val="42F2D23C"/>
    <w:rsid w:val="43A77BA6"/>
    <w:rsid w:val="4421E963"/>
    <w:rsid w:val="44A0DCEA"/>
    <w:rsid w:val="45238BC1"/>
    <w:rsid w:val="452E8877"/>
    <w:rsid w:val="4538C8BD"/>
    <w:rsid w:val="453C987D"/>
    <w:rsid w:val="45B9441E"/>
    <w:rsid w:val="4610D5BC"/>
    <w:rsid w:val="4625A5EC"/>
    <w:rsid w:val="465A7692"/>
    <w:rsid w:val="466FFC64"/>
    <w:rsid w:val="476CC682"/>
    <w:rsid w:val="47E657AA"/>
    <w:rsid w:val="48828A2A"/>
    <w:rsid w:val="48B9C0F3"/>
    <w:rsid w:val="48E18FB3"/>
    <w:rsid w:val="4916168A"/>
    <w:rsid w:val="4917D2D7"/>
    <w:rsid w:val="49252A07"/>
    <w:rsid w:val="4987FE2B"/>
    <w:rsid w:val="49AC0764"/>
    <w:rsid w:val="49F7D031"/>
    <w:rsid w:val="49FF33E6"/>
    <w:rsid w:val="4A0929F4"/>
    <w:rsid w:val="4A394B9F"/>
    <w:rsid w:val="4A55619E"/>
    <w:rsid w:val="4A908F00"/>
    <w:rsid w:val="4A92F326"/>
    <w:rsid w:val="4AA4FBA1"/>
    <w:rsid w:val="4AD25660"/>
    <w:rsid w:val="4B18CB26"/>
    <w:rsid w:val="4B6088CE"/>
    <w:rsid w:val="4B847D19"/>
    <w:rsid w:val="4B98E96B"/>
    <w:rsid w:val="4B9AD857"/>
    <w:rsid w:val="4BC6F60B"/>
    <w:rsid w:val="4C23A631"/>
    <w:rsid w:val="4D343BF9"/>
    <w:rsid w:val="4DFE73B5"/>
    <w:rsid w:val="4E4DC202"/>
    <w:rsid w:val="4F044321"/>
    <w:rsid w:val="4F1DCED1"/>
    <w:rsid w:val="4F2B5775"/>
    <w:rsid w:val="4F6666D1"/>
    <w:rsid w:val="4F67619D"/>
    <w:rsid w:val="4FA4B373"/>
    <w:rsid w:val="4FAF6C95"/>
    <w:rsid w:val="4FD7DC0A"/>
    <w:rsid w:val="4FFF84B3"/>
    <w:rsid w:val="5065E3E7"/>
    <w:rsid w:val="50A778B1"/>
    <w:rsid w:val="50F0D588"/>
    <w:rsid w:val="51B98928"/>
    <w:rsid w:val="527A6488"/>
    <w:rsid w:val="52CCEFD2"/>
    <w:rsid w:val="52EF4F4C"/>
    <w:rsid w:val="5329297D"/>
    <w:rsid w:val="536D8AB0"/>
    <w:rsid w:val="53804AD7"/>
    <w:rsid w:val="53904933"/>
    <w:rsid w:val="53FD7D46"/>
    <w:rsid w:val="544D656E"/>
    <w:rsid w:val="54857ED0"/>
    <w:rsid w:val="54A04E55"/>
    <w:rsid w:val="54B8F6DB"/>
    <w:rsid w:val="54F2E15D"/>
    <w:rsid w:val="55515542"/>
    <w:rsid w:val="55C58221"/>
    <w:rsid w:val="55D9613F"/>
    <w:rsid w:val="56058E6C"/>
    <w:rsid w:val="57385473"/>
    <w:rsid w:val="5744C274"/>
    <w:rsid w:val="574BF163"/>
    <w:rsid w:val="5765154D"/>
    <w:rsid w:val="58116267"/>
    <w:rsid w:val="5816A1FE"/>
    <w:rsid w:val="584C50AC"/>
    <w:rsid w:val="5898685C"/>
    <w:rsid w:val="591533CE"/>
    <w:rsid w:val="59480ABD"/>
    <w:rsid w:val="59598B3B"/>
    <w:rsid w:val="59801D7D"/>
    <w:rsid w:val="5990A792"/>
    <w:rsid w:val="599ACFF1"/>
    <w:rsid w:val="59D2F3ED"/>
    <w:rsid w:val="5A21289F"/>
    <w:rsid w:val="5A41C5AF"/>
    <w:rsid w:val="5A736E39"/>
    <w:rsid w:val="5A8AA9BB"/>
    <w:rsid w:val="5B0BE5BF"/>
    <w:rsid w:val="5B19DD4D"/>
    <w:rsid w:val="5B1C14E1"/>
    <w:rsid w:val="5B32AC1B"/>
    <w:rsid w:val="5BABF891"/>
    <w:rsid w:val="5BB18BE7"/>
    <w:rsid w:val="5BCD96ED"/>
    <w:rsid w:val="5C8D5488"/>
    <w:rsid w:val="5CAEB418"/>
    <w:rsid w:val="5CB5EE63"/>
    <w:rsid w:val="5CB7D0C5"/>
    <w:rsid w:val="5CF522A9"/>
    <w:rsid w:val="5D27040B"/>
    <w:rsid w:val="5D796537"/>
    <w:rsid w:val="5E00440C"/>
    <w:rsid w:val="5E0980CC"/>
    <w:rsid w:val="5E13568F"/>
    <w:rsid w:val="5E4F837B"/>
    <w:rsid w:val="5E7620C1"/>
    <w:rsid w:val="5EC69869"/>
    <w:rsid w:val="5EF6D900"/>
    <w:rsid w:val="60385863"/>
    <w:rsid w:val="604F5436"/>
    <w:rsid w:val="6076CED7"/>
    <w:rsid w:val="60A7C8FE"/>
    <w:rsid w:val="60F416E9"/>
    <w:rsid w:val="610C3DE0"/>
    <w:rsid w:val="617BB068"/>
    <w:rsid w:val="61F5C795"/>
    <w:rsid w:val="62314F93"/>
    <w:rsid w:val="630C50EE"/>
    <w:rsid w:val="63C6BA0F"/>
    <w:rsid w:val="64048922"/>
    <w:rsid w:val="6416F72E"/>
    <w:rsid w:val="64523141"/>
    <w:rsid w:val="645C8E0C"/>
    <w:rsid w:val="64FA8DAE"/>
    <w:rsid w:val="650457AD"/>
    <w:rsid w:val="6506E006"/>
    <w:rsid w:val="65E29923"/>
    <w:rsid w:val="66217A7B"/>
    <w:rsid w:val="663357C9"/>
    <w:rsid w:val="66640D61"/>
    <w:rsid w:val="66E05338"/>
    <w:rsid w:val="67551374"/>
    <w:rsid w:val="682C0755"/>
    <w:rsid w:val="6867AE7B"/>
    <w:rsid w:val="68F8521B"/>
    <w:rsid w:val="694260F3"/>
    <w:rsid w:val="69509B65"/>
    <w:rsid w:val="695425CB"/>
    <w:rsid w:val="695583C5"/>
    <w:rsid w:val="69B43E39"/>
    <w:rsid w:val="6A10DD95"/>
    <w:rsid w:val="6B95B764"/>
    <w:rsid w:val="6BA0D11F"/>
    <w:rsid w:val="6BEA2E02"/>
    <w:rsid w:val="6CEA0C63"/>
    <w:rsid w:val="6D8B742A"/>
    <w:rsid w:val="6DC06F62"/>
    <w:rsid w:val="6DF4A941"/>
    <w:rsid w:val="6E02F4E4"/>
    <w:rsid w:val="6E19F2BC"/>
    <w:rsid w:val="6E6AE99B"/>
    <w:rsid w:val="6E76A13E"/>
    <w:rsid w:val="6E89D44E"/>
    <w:rsid w:val="6EC83C73"/>
    <w:rsid w:val="6F090306"/>
    <w:rsid w:val="6F13D2D6"/>
    <w:rsid w:val="6F3227A1"/>
    <w:rsid w:val="6F85CB45"/>
    <w:rsid w:val="6FEF5C23"/>
    <w:rsid w:val="701483B2"/>
    <w:rsid w:val="706A56BA"/>
    <w:rsid w:val="70A27891"/>
    <w:rsid w:val="70A4BE89"/>
    <w:rsid w:val="70C6F8A1"/>
    <w:rsid w:val="70D831FF"/>
    <w:rsid w:val="70DBECD2"/>
    <w:rsid w:val="7101BB7F"/>
    <w:rsid w:val="7142B2D8"/>
    <w:rsid w:val="71503CB1"/>
    <w:rsid w:val="71C59059"/>
    <w:rsid w:val="71D3F050"/>
    <w:rsid w:val="71F333CC"/>
    <w:rsid w:val="72233C94"/>
    <w:rsid w:val="724836D0"/>
    <w:rsid w:val="72A44F7E"/>
    <w:rsid w:val="72AE11D4"/>
    <w:rsid w:val="72E6F6C0"/>
    <w:rsid w:val="72E6FB3F"/>
    <w:rsid w:val="7394AD16"/>
    <w:rsid w:val="73CEF9A8"/>
    <w:rsid w:val="74C75755"/>
    <w:rsid w:val="74D73EEF"/>
    <w:rsid w:val="74E33F31"/>
    <w:rsid w:val="751E7673"/>
    <w:rsid w:val="752CFFA1"/>
    <w:rsid w:val="7594BCD2"/>
    <w:rsid w:val="75BC17B2"/>
    <w:rsid w:val="7674E9E2"/>
    <w:rsid w:val="76851382"/>
    <w:rsid w:val="76860C98"/>
    <w:rsid w:val="768BBD8B"/>
    <w:rsid w:val="76D320FC"/>
    <w:rsid w:val="7759C635"/>
    <w:rsid w:val="77A296B6"/>
    <w:rsid w:val="77B98EEF"/>
    <w:rsid w:val="77BF6570"/>
    <w:rsid w:val="77C47F95"/>
    <w:rsid w:val="77DB5F1A"/>
    <w:rsid w:val="78DA80A8"/>
    <w:rsid w:val="7A03CA35"/>
    <w:rsid w:val="7A6428BF"/>
    <w:rsid w:val="7A666AC0"/>
    <w:rsid w:val="7A74346B"/>
    <w:rsid w:val="7A9F5BDD"/>
    <w:rsid w:val="7AB9AAE5"/>
    <w:rsid w:val="7AFDFC32"/>
    <w:rsid w:val="7B1644DE"/>
    <w:rsid w:val="7B1A4DE1"/>
    <w:rsid w:val="7B65E591"/>
    <w:rsid w:val="7BC4CACD"/>
    <w:rsid w:val="7C14F728"/>
    <w:rsid w:val="7C9A76F1"/>
    <w:rsid w:val="7CD1CCB8"/>
    <w:rsid w:val="7CD2D788"/>
    <w:rsid w:val="7D1E65AF"/>
    <w:rsid w:val="7D54A8FA"/>
    <w:rsid w:val="7D96022C"/>
    <w:rsid w:val="7DE3367F"/>
    <w:rsid w:val="7E28BA54"/>
    <w:rsid w:val="7E43652C"/>
    <w:rsid w:val="7E68C974"/>
    <w:rsid w:val="7EC7B52A"/>
    <w:rsid w:val="7EDF63DB"/>
    <w:rsid w:val="7EE88B3C"/>
    <w:rsid w:val="7F77E5CA"/>
    <w:rsid w:val="7FCCD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38BC1"/>
  <w15:chartTrackingRefBased/>
  <w15:docId w15:val="{0350E742-9BF7-46DB-B9F7-340A21609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320D6D55"/>
    <w:pPr>
      <w:tabs>
        <w:tab w:val="center" w:pos="4680"/>
        <w:tab w:val="right" w:pos="9360"/>
      </w:tabs>
      <w:spacing w:after="0" w:line="240" w:lineRule="auto"/>
    </w:pPr>
  </w:style>
  <w:style w:type="paragraph" w:styleId="Footer">
    <w:name w:val="footer"/>
    <w:basedOn w:val="Normal"/>
    <w:link w:val="FooterChar"/>
    <w:uiPriority w:val="99"/>
    <w:unhideWhenUsed/>
    <w:rsid w:val="320D6D5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189E5E52"/>
    <w:pPr>
      <w:ind w:left="720"/>
      <w:contextualSpacing/>
    </w:pPr>
  </w:style>
  <w:style w:type="character" w:styleId="Hyperlink">
    <w:name w:val="Hyperlink"/>
    <w:basedOn w:val="DefaultParagraphFont"/>
    <w:uiPriority w:val="99"/>
    <w:unhideWhenUsed/>
    <w:rsid w:val="189E5E52"/>
    <w:rPr>
      <w:color w:val="467886"/>
      <w:u w:val="single"/>
    </w:rPr>
  </w:style>
  <w:style w:type="character" w:customStyle="1" w:styleId="FooterChar">
    <w:name w:val="Footer Char"/>
    <w:basedOn w:val="DefaultParagraphFont"/>
    <w:link w:val="Footer"/>
    <w:uiPriority w:val="99"/>
    <w:rsid w:val="00B211EA"/>
  </w:style>
  <w:style w:type="paragraph" w:styleId="TOCHeading">
    <w:name w:val="TOC Heading"/>
    <w:basedOn w:val="Heading1"/>
    <w:next w:val="Normal"/>
    <w:uiPriority w:val="39"/>
    <w:unhideWhenUsed/>
    <w:qFormat/>
    <w:rsid w:val="005124D6"/>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5124D6"/>
    <w:pPr>
      <w:spacing w:after="100"/>
    </w:pPr>
  </w:style>
  <w:style w:type="paragraph" w:styleId="TOC2">
    <w:name w:val="toc 2"/>
    <w:basedOn w:val="Normal"/>
    <w:next w:val="Normal"/>
    <w:autoRedefine/>
    <w:uiPriority w:val="39"/>
    <w:unhideWhenUsed/>
    <w:rsid w:val="005124D6"/>
    <w:pPr>
      <w:spacing w:after="100"/>
      <w:ind w:left="240"/>
    </w:pPr>
  </w:style>
  <w:style w:type="paragraph" w:styleId="TOC3">
    <w:name w:val="toc 3"/>
    <w:basedOn w:val="Normal"/>
    <w:next w:val="Normal"/>
    <w:autoRedefine/>
    <w:uiPriority w:val="39"/>
    <w:unhideWhenUsed/>
    <w:rsid w:val="005124D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hrm.21683" TargetMode="External"/><Relationship Id="rId18" Type="http://schemas.openxmlformats.org/officeDocument/2006/relationships/hyperlink" Target="https://doi.org/10.1108/ejtd-09-2019-0166" TargetMode="External"/><Relationship Id="rId26" Type="http://schemas.openxmlformats.org/officeDocument/2006/relationships/hyperlink" Target="https://doi.org/10.1016/j.aos.2023.101524" TargetMode="External"/><Relationship Id="rId3" Type="http://schemas.openxmlformats.org/officeDocument/2006/relationships/styles" Target="styles.xml"/><Relationship Id="rId21" Type="http://schemas.openxmlformats.org/officeDocument/2006/relationships/hyperlink" Target="https://doi.org/10.3390/admsci8020021" TargetMode="External"/><Relationship Id="rId7" Type="http://schemas.openxmlformats.org/officeDocument/2006/relationships/endnotes" Target="endnotes.xml"/><Relationship Id="rId12" Type="http://schemas.openxmlformats.org/officeDocument/2006/relationships/hyperlink" Target="https://www.cio.com/article/266951/training-measuring-the-roi-of-training.html?utm_" TargetMode="External"/><Relationship Id="rId17" Type="http://schemas.openxmlformats.org/officeDocument/2006/relationships/hyperlink" Target="https://doi.org/10.2478/ijm-2023-0015" TargetMode="External"/><Relationship Id="rId25" Type="http://schemas.openxmlformats.org/officeDocument/2006/relationships/hyperlink" Target="https://doi.org/10.1016/j.ijinfomgt.2023.10266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ooks.google.co.uk/books?hl=en&amp;lr=&amp;id=ZGRmEAAAQBAJ&amp;oi=fnd&amp;pg=PA97&amp;dq=Noe+and+Kodwani+(2018)+in+Employee+Training+and+Development&amp;ots=hzKPuDFy_j&amp;sig=pD_fL-NKrXGwwK2Y0aFwoYfycz8&amp;redir_esc=y" TargetMode="External"/><Relationship Id="rId20" Type="http://schemas.openxmlformats.org/officeDocument/2006/relationships/hyperlink" Target="https://doi.org/10.3390/bs14100902" TargetMode="External"/><Relationship Id="rId29" Type="http://schemas.openxmlformats.org/officeDocument/2006/relationships/hyperlink" Target="https://doi.org/10.1002/ert.2135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academies.org/articles/the-role-of-organizational-culture-in-enhancing-workplace-performance-and-employee-engagement-17228" TargetMode="External"/><Relationship Id="rId24" Type="http://schemas.openxmlformats.org/officeDocument/2006/relationships/hyperlink" Target="https://doi.org/10.1186/s40359-025-02404-w"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2/hrdq.1006" TargetMode="External"/><Relationship Id="rId23" Type="http://schemas.openxmlformats.org/officeDocument/2006/relationships/hyperlink" Target="https://doi.org/10.5465/3069340" TargetMode="External"/><Relationship Id="rId28" Type="http://schemas.openxmlformats.org/officeDocument/2006/relationships/hyperlink" Target="https://arxiv.org/abs/2004.13545" TargetMode="External"/><Relationship Id="rId10" Type="http://schemas.openxmlformats.org/officeDocument/2006/relationships/hyperlink" Target="https://www.booktopia.com.au/coaching-and-mentoring-supervisor-sc-tatiana-bachkirova/prod9780335242986.html" TargetMode="External"/><Relationship Id="rId19" Type="http://schemas.openxmlformats.org/officeDocument/2006/relationships/hyperlink" Target="https://www.ncbi.nlm.nih.gov/pmc/articles/PMC8423113/"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177/0091026015575178" TargetMode="External"/><Relationship Id="rId14" Type="http://schemas.openxmlformats.org/officeDocument/2006/relationships/hyperlink" Target="https://doi.org/10.1108/cdi-12-2016-0229" TargetMode="External"/><Relationship Id="rId22" Type="http://schemas.openxmlformats.org/officeDocument/2006/relationships/hyperlink" Target="https://elearningindustry.com/do-the-math-heres-why-return-on-investment-for-employee-training-programs-really-matters" TargetMode="External"/><Relationship Id="rId27" Type="http://schemas.openxmlformats.org/officeDocument/2006/relationships/hyperlink" Target="https://doi.org/10.1080/14479338.2022.2116640" TargetMode="External"/><Relationship Id="rId30" Type="http://schemas.openxmlformats.org/officeDocument/2006/relationships/header" Target="head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EB84C-7773-4C20-998F-1E588269E9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7472</Words>
  <Characters>42596</Characters>
  <Application>Microsoft Office Word</Application>
  <DocSecurity>0</DocSecurity>
  <Lines>354</Lines>
  <Paragraphs>99</Paragraphs>
  <ScaleCrop>false</ScaleCrop>
  <Company/>
  <LinksUpToDate>false</LinksUpToDate>
  <CharactersWithSpaces>49969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Williams (2309068)</dc:creator>
  <cp:keywords/>
  <dc:description/>
  <cp:lastModifiedBy>Lisa Williams (2309068)</cp:lastModifiedBy>
  <cp:revision>46</cp:revision>
  <dcterms:created xsi:type="dcterms:W3CDTF">2025-10-01T11:13:00Z</dcterms:created>
  <dcterms:modified xsi:type="dcterms:W3CDTF">2025-10-11T11:27:00Z</dcterms:modified>
</cp:coreProperties>
</file>