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811FC" w14:textId="1BD3FADD" w:rsidR="00671F5B" w:rsidRPr="00220C89" w:rsidRDefault="007D3AA7" w:rsidP="00220C89">
      <w:pPr>
        <w:spacing w:line="360" w:lineRule="auto"/>
        <w:rPr>
          <w:rFonts w:cstheme="minorHAnsi"/>
          <w:b/>
          <w:bCs/>
        </w:rPr>
      </w:pPr>
      <w:r w:rsidRPr="00220C89">
        <w:rPr>
          <w:rFonts w:cstheme="minorHAnsi"/>
          <w:b/>
          <w:bCs/>
        </w:rPr>
        <w:t>Cross Cultural Ethics: Christian and Islamic Approaches</w:t>
      </w:r>
    </w:p>
    <w:p w14:paraId="55DB1C34" w14:textId="77777777" w:rsidR="00671F5B" w:rsidRPr="00220C89" w:rsidRDefault="00671F5B" w:rsidP="00220C89">
      <w:pPr>
        <w:spacing w:line="360" w:lineRule="auto"/>
        <w:rPr>
          <w:rFonts w:cstheme="minorHAnsi"/>
        </w:rPr>
      </w:pPr>
    </w:p>
    <w:p w14:paraId="2020E900" w14:textId="5014E676" w:rsidR="00135C8C" w:rsidRPr="00220C89" w:rsidRDefault="00825D4A" w:rsidP="00220C89">
      <w:pPr>
        <w:spacing w:line="360" w:lineRule="auto"/>
        <w:rPr>
          <w:rFonts w:cstheme="minorHAnsi"/>
          <w:b/>
          <w:bCs/>
        </w:rPr>
      </w:pPr>
      <w:r w:rsidRPr="00220C89">
        <w:rPr>
          <w:rFonts w:cstheme="minorHAnsi"/>
          <w:b/>
          <w:bCs/>
        </w:rPr>
        <w:t xml:space="preserve">Christian </w:t>
      </w:r>
      <w:r w:rsidR="00135C8C" w:rsidRPr="00220C89">
        <w:rPr>
          <w:rFonts w:cstheme="minorHAnsi"/>
          <w:b/>
          <w:bCs/>
        </w:rPr>
        <w:t>Scripture</w:t>
      </w:r>
      <w:r w:rsidR="00416433" w:rsidRPr="00220C89">
        <w:rPr>
          <w:rFonts w:cstheme="minorHAnsi"/>
          <w:b/>
          <w:bCs/>
        </w:rPr>
        <w:t xml:space="preserve"> </w:t>
      </w:r>
    </w:p>
    <w:p w14:paraId="08AF0CEA" w14:textId="275F3CCE" w:rsidR="00CB6C40" w:rsidRPr="00220C89" w:rsidRDefault="00671F5B" w:rsidP="00220C89">
      <w:pPr>
        <w:spacing w:line="360" w:lineRule="auto"/>
        <w:rPr>
          <w:rFonts w:cstheme="minorHAnsi"/>
        </w:rPr>
      </w:pPr>
      <w:r w:rsidRPr="00220C89">
        <w:rPr>
          <w:rFonts w:cstheme="minorHAnsi"/>
        </w:rPr>
        <w:t>What is the d</w:t>
      </w:r>
      <w:r w:rsidR="00DA61CE" w:rsidRPr="00220C89">
        <w:rPr>
          <w:rFonts w:cstheme="minorHAnsi"/>
        </w:rPr>
        <w:t>efinition</w:t>
      </w:r>
      <w:r w:rsidRPr="00220C89">
        <w:rPr>
          <w:rFonts w:cstheme="minorHAnsi"/>
        </w:rPr>
        <w:t xml:space="preserve"> of scripture? </w:t>
      </w:r>
      <w:r w:rsidR="00AB4046" w:rsidRPr="00220C89">
        <w:rPr>
          <w:rFonts w:cstheme="minorHAnsi"/>
        </w:rPr>
        <w:t xml:space="preserve">Scripture refers to </w:t>
      </w:r>
      <w:r w:rsidR="00760E09" w:rsidRPr="00220C89">
        <w:rPr>
          <w:rFonts w:cstheme="minorHAnsi"/>
        </w:rPr>
        <w:t>specific religious texts such as the Bibl</w:t>
      </w:r>
      <w:r w:rsidR="00BD0CA4" w:rsidRPr="00220C89">
        <w:rPr>
          <w:rFonts w:cstheme="minorHAnsi"/>
        </w:rPr>
        <w:t xml:space="preserve">e </w:t>
      </w:r>
      <w:r w:rsidR="00D60A42" w:rsidRPr="00220C89">
        <w:rPr>
          <w:rFonts w:cstheme="minorHAnsi"/>
        </w:rPr>
        <w:t>and differs from o</w:t>
      </w:r>
      <w:r w:rsidR="00D93E34" w:rsidRPr="00220C89">
        <w:rPr>
          <w:rFonts w:cstheme="minorHAnsi"/>
        </w:rPr>
        <w:t>th</w:t>
      </w:r>
      <w:r w:rsidR="00D60A42" w:rsidRPr="00220C89">
        <w:rPr>
          <w:rFonts w:cstheme="minorHAnsi"/>
        </w:rPr>
        <w:t xml:space="preserve">er types of texts like </w:t>
      </w:r>
      <w:r w:rsidR="001B7960" w:rsidRPr="00220C89">
        <w:rPr>
          <w:rFonts w:cstheme="minorHAnsi"/>
        </w:rPr>
        <w:t>history books, fiction</w:t>
      </w:r>
      <w:r w:rsidR="00616EF9" w:rsidRPr="00220C89">
        <w:rPr>
          <w:rFonts w:cstheme="minorHAnsi"/>
        </w:rPr>
        <w:t>,</w:t>
      </w:r>
      <w:r w:rsidR="001B7960" w:rsidRPr="00220C89">
        <w:rPr>
          <w:rFonts w:cstheme="minorHAnsi"/>
        </w:rPr>
        <w:t xml:space="preserve"> and non-fiction</w:t>
      </w:r>
      <w:r w:rsidR="00616EF9" w:rsidRPr="00220C89">
        <w:rPr>
          <w:rFonts w:cstheme="minorHAnsi"/>
        </w:rPr>
        <w:t>,</w:t>
      </w:r>
      <w:r w:rsidR="001B7960" w:rsidRPr="00220C89">
        <w:rPr>
          <w:rFonts w:cstheme="minorHAnsi"/>
        </w:rPr>
        <w:t xml:space="preserve"> because it is said to be the Word of God</w:t>
      </w:r>
      <w:r w:rsidR="00B761FE" w:rsidRPr="00220C89">
        <w:rPr>
          <w:rFonts w:cstheme="minorHAnsi"/>
        </w:rPr>
        <w:t>.</w:t>
      </w:r>
      <w:r w:rsidR="00B761FE" w:rsidRPr="00220C89">
        <w:rPr>
          <w:rStyle w:val="FootnoteReference"/>
          <w:rFonts w:cstheme="minorHAnsi"/>
        </w:rPr>
        <w:footnoteReference w:id="1"/>
      </w:r>
      <w:r w:rsidR="00D93E34" w:rsidRPr="00220C89">
        <w:rPr>
          <w:rFonts w:cstheme="minorHAnsi"/>
        </w:rPr>
        <w:t xml:space="preserve"> In Christianity the </w:t>
      </w:r>
      <w:r w:rsidR="00F1356D" w:rsidRPr="00220C89">
        <w:rPr>
          <w:rFonts w:cstheme="minorHAnsi"/>
        </w:rPr>
        <w:t>four canonical gospels of Mark, Mathew, Luke</w:t>
      </w:r>
      <w:r w:rsidR="00616EF9" w:rsidRPr="00220C89">
        <w:rPr>
          <w:rFonts w:cstheme="minorHAnsi"/>
        </w:rPr>
        <w:t>,</w:t>
      </w:r>
      <w:r w:rsidR="00F1356D" w:rsidRPr="00220C89">
        <w:rPr>
          <w:rFonts w:cstheme="minorHAnsi"/>
        </w:rPr>
        <w:t xml:space="preserve"> and John provide four accounts of Jesus Christ</w:t>
      </w:r>
      <w:r w:rsidR="00B761FE" w:rsidRPr="00220C89">
        <w:rPr>
          <w:rFonts w:cstheme="minorHAnsi"/>
        </w:rPr>
        <w:t>.</w:t>
      </w:r>
      <w:r w:rsidR="00AF681B" w:rsidRPr="00220C89">
        <w:rPr>
          <w:rStyle w:val="FootnoteReference"/>
          <w:rFonts w:cstheme="minorHAnsi"/>
        </w:rPr>
        <w:footnoteReference w:id="2"/>
      </w:r>
      <w:r w:rsidR="00B761FE" w:rsidRPr="00220C89">
        <w:rPr>
          <w:rFonts w:cstheme="minorHAnsi"/>
        </w:rPr>
        <w:t xml:space="preserve"> </w:t>
      </w:r>
      <w:r w:rsidR="00F11E07" w:rsidRPr="00220C89">
        <w:rPr>
          <w:rFonts w:cstheme="minorHAnsi"/>
        </w:rPr>
        <w:t xml:space="preserve">What authority does Scripture </w:t>
      </w:r>
      <w:r w:rsidR="00BB5278" w:rsidRPr="00220C89">
        <w:rPr>
          <w:rFonts w:cstheme="minorHAnsi"/>
        </w:rPr>
        <w:t xml:space="preserve">have? </w:t>
      </w:r>
      <w:r w:rsidR="00987088" w:rsidRPr="00220C89">
        <w:rPr>
          <w:rFonts w:cstheme="minorHAnsi"/>
        </w:rPr>
        <w:t>Well,</w:t>
      </w:r>
      <w:r w:rsidR="00BB5278" w:rsidRPr="00220C89">
        <w:rPr>
          <w:rFonts w:cstheme="minorHAnsi"/>
        </w:rPr>
        <w:t xml:space="preserve"> it has the authority of God behind it or in it, the Bible is </w:t>
      </w:r>
      <w:r w:rsidR="00D81D51" w:rsidRPr="00220C89">
        <w:rPr>
          <w:rFonts w:cstheme="minorHAnsi"/>
        </w:rPr>
        <w:t xml:space="preserve">believed by many to be the word of God and it is through that claim that it derives its authority. </w:t>
      </w:r>
      <w:r w:rsidR="006A1E96" w:rsidRPr="00220C89">
        <w:rPr>
          <w:rFonts w:cstheme="minorHAnsi"/>
        </w:rPr>
        <w:t xml:space="preserve">Who can argue with </w:t>
      </w:r>
      <w:proofErr w:type="gramStart"/>
      <w:r w:rsidR="006A1E96" w:rsidRPr="00220C89">
        <w:rPr>
          <w:rFonts w:cstheme="minorHAnsi"/>
        </w:rPr>
        <w:t>God</w:t>
      </w:r>
      <w:r w:rsidR="00BD0CA4" w:rsidRPr="00220C89">
        <w:rPr>
          <w:rFonts w:cstheme="minorHAnsi"/>
        </w:rPr>
        <w:t>, if</w:t>
      </w:r>
      <w:proofErr w:type="gramEnd"/>
      <w:r w:rsidR="00BD0CA4" w:rsidRPr="00220C89">
        <w:rPr>
          <w:rFonts w:cstheme="minorHAnsi"/>
        </w:rPr>
        <w:t xml:space="preserve"> God is truth</w:t>
      </w:r>
      <w:r w:rsidR="00563DBA" w:rsidRPr="00220C89">
        <w:rPr>
          <w:rFonts w:cstheme="minorHAnsi"/>
        </w:rPr>
        <w:t>!</w:t>
      </w:r>
    </w:p>
    <w:p w14:paraId="10D8ABEA" w14:textId="57CE8EC6" w:rsidR="00DA61CE" w:rsidRPr="00220C89" w:rsidRDefault="00DA61CE" w:rsidP="00220C89">
      <w:pPr>
        <w:spacing w:line="360" w:lineRule="auto"/>
        <w:rPr>
          <w:rFonts w:cstheme="minorHAnsi"/>
        </w:rPr>
      </w:pPr>
      <w:r w:rsidRPr="00220C89">
        <w:rPr>
          <w:rFonts w:cstheme="minorHAnsi"/>
        </w:rPr>
        <w:t>What is the purpose of scripture?</w:t>
      </w:r>
      <w:r w:rsidR="00052182" w:rsidRPr="00220C89">
        <w:rPr>
          <w:rFonts w:cstheme="minorHAnsi"/>
        </w:rPr>
        <w:t xml:space="preserve"> </w:t>
      </w:r>
      <w:r w:rsidR="00C21250" w:rsidRPr="00220C89">
        <w:rPr>
          <w:rFonts w:cstheme="minorHAnsi"/>
        </w:rPr>
        <w:t>The Bible</w:t>
      </w:r>
      <w:r w:rsidR="00295CD2" w:rsidRPr="00220C89">
        <w:rPr>
          <w:rFonts w:cstheme="minorHAnsi"/>
        </w:rPr>
        <w:t xml:space="preserve"> is used by </w:t>
      </w:r>
      <w:r w:rsidR="00C21250" w:rsidRPr="00220C89">
        <w:rPr>
          <w:rFonts w:cstheme="minorHAnsi"/>
        </w:rPr>
        <w:t>Christians</w:t>
      </w:r>
      <w:r w:rsidR="00295CD2" w:rsidRPr="00220C89">
        <w:rPr>
          <w:rFonts w:cstheme="minorHAnsi"/>
        </w:rPr>
        <w:t xml:space="preserve"> as a resource </w:t>
      </w:r>
      <w:r w:rsidR="00C21250" w:rsidRPr="00220C89">
        <w:rPr>
          <w:rFonts w:cstheme="minorHAnsi"/>
        </w:rPr>
        <w:t>when making a theological claim about how to deal with an ethical problem</w:t>
      </w:r>
      <w:r w:rsidR="00987088" w:rsidRPr="00220C89">
        <w:rPr>
          <w:rFonts w:cstheme="minorHAnsi"/>
        </w:rPr>
        <w:t xml:space="preserve">, they seek to justify their claims through </w:t>
      </w:r>
      <w:r w:rsidR="00707C61" w:rsidRPr="00220C89">
        <w:rPr>
          <w:rFonts w:cstheme="minorHAnsi"/>
        </w:rPr>
        <w:t>referring</w:t>
      </w:r>
      <w:r w:rsidR="00987088" w:rsidRPr="00220C89">
        <w:rPr>
          <w:rFonts w:cstheme="minorHAnsi"/>
        </w:rPr>
        <w:t xml:space="preserve"> to the Bible because it is the ultimate authority for Christians with faith</w:t>
      </w:r>
      <w:r w:rsidR="00CB6C40" w:rsidRPr="00220C89">
        <w:rPr>
          <w:rFonts w:cstheme="minorHAnsi"/>
        </w:rPr>
        <w:t xml:space="preserve">. For </w:t>
      </w:r>
      <w:r w:rsidR="00707C61" w:rsidRPr="00220C89">
        <w:rPr>
          <w:rFonts w:cstheme="minorHAnsi"/>
        </w:rPr>
        <w:t>instance,</w:t>
      </w:r>
      <w:r w:rsidR="00CB6C40" w:rsidRPr="00220C89">
        <w:rPr>
          <w:rFonts w:cstheme="minorHAnsi"/>
        </w:rPr>
        <w:t xml:space="preserve"> one might defer to the ten commandments, which are simple prescriptive rules for Christians to follow</w:t>
      </w:r>
      <w:r w:rsidR="00D96D70" w:rsidRPr="00220C89">
        <w:rPr>
          <w:rFonts w:cstheme="minorHAnsi"/>
        </w:rPr>
        <w:t>,</w:t>
      </w:r>
      <w:r w:rsidR="00BD0CA4" w:rsidRPr="00220C89">
        <w:rPr>
          <w:rFonts w:cstheme="minorHAnsi"/>
        </w:rPr>
        <w:t xml:space="preserve"> or one might look to a particular parable and analyse it and compare that to the situation they are trying to evaluate. Christians have faith that the Bible will provide a guide to morality and believe that it will help them to recognise sinful behaviour as such and choose the path of Christ.</w:t>
      </w:r>
      <w:r w:rsidR="0067456C" w:rsidRPr="00220C89">
        <w:rPr>
          <w:rFonts w:cstheme="minorHAnsi"/>
        </w:rPr>
        <w:t xml:space="preserve"> </w:t>
      </w:r>
    </w:p>
    <w:p w14:paraId="628B253F" w14:textId="33BCF0F7" w:rsidR="0067456C" w:rsidRPr="00220C89" w:rsidRDefault="0067456C" w:rsidP="00220C89">
      <w:pPr>
        <w:spacing w:line="360" w:lineRule="auto"/>
        <w:rPr>
          <w:rFonts w:cstheme="minorHAnsi"/>
        </w:rPr>
      </w:pPr>
      <w:r w:rsidRPr="00220C89">
        <w:rPr>
          <w:rFonts w:cstheme="minorHAnsi"/>
        </w:rPr>
        <w:t>How can stories set in such an unrecognisable time and place help us to make moral evaluations today? You w</w:t>
      </w:r>
      <w:r w:rsidR="00616EF9" w:rsidRPr="00220C89">
        <w:rPr>
          <w:rFonts w:cstheme="minorHAnsi"/>
        </w:rPr>
        <w:t>ill not</w:t>
      </w:r>
      <w:r w:rsidRPr="00220C89">
        <w:rPr>
          <w:rFonts w:cstheme="minorHAnsi"/>
        </w:rPr>
        <w:t xml:space="preserve"> find the answers to today’s problems explicitly laid out in the bible, so instead theologians and Christian ethicists implement a system called hermeneutics which is the process of methodical interpretation</w:t>
      </w:r>
      <w:r w:rsidR="0075002F" w:rsidRPr="00220C89">
        <w:rPr>
          <w:rFonts w:cstheme="minorHAnsi"/>
        </w:rPr>
        <w:t xml:space="preserve"> and apply the</w:t>
      </w:r>
      <w:r w:rsidR="00D96D70" w:rsidRPr="00220C89">
        <w:rPr>
          <w:rFonts w:cstheme="minorHAnsi"/>
        </w:rPr>
        <w:t>i</w:t>
      </w:r>
      <w:r w:rsidR="0075002F" w:rsidRPr="00220C89">
        <w:rPr>
          <w:rFonts w:cstheme="minorHAnsi"/>
        </w:rPr>
        <w:t>r findings to modern day problems.</w:t>
      </w:r>
      <w:r w:rsidR="00B761FE" w:rsidRPr="00220C89">
        <w:rPr>
          <w:rStyle w:val="FootnoteReference"/>
          <w:rFonts w:cstheme="minorHAnsi"/>
        </w:rPr>
        <w:footnoteReference w:id="3"/>
      </w:r>
      <w:r w:rsidR="0075002F" w:rsidRPr="00220C89">
        <w:rPr>
          <w:rFonts w:cstheme="minorHAnsi"/>
        </w:rPr>
        <w:t xml:space="preserve"> </w:t>
      </w:r>
    </w:p>
    <w:p w14:paraId="449C7BF1" w14:textId="460AA103" w:rsidR="00671F5B" w:rsidRPr="00220C89" w:rsidRDefault="00671F5B" w:rsidP="00220C89">
      <w:pPr>
        <w:spacing w:line="360" w:lineRule="auto"/>
        <w:rPr>
          <w:rFonts w:cstheme="minorHAnsi"/>
        </w:rPr>
      </w:pPr>
      <w:r w:rsidRPr="00220C89">
        <w:rPr>
          <w:rFonts w:cstheme="minorHAnsi"/>
        </w:rPr>
        <w:t xml:space="preserve">What </w:t>
      </w:r>
      <w:r w:rsidR="00DA61CE" w:rsidRPr="00220C89">
        <w:rPr>
          <w:rFonts w:cstheme="minorHAnsi"/>
        </w:rPr>
        <w:t xml:space="preserve">role does it play in </w:t>
      </w:r>
      <w:r w:rsidR="00825D4A" w:rsidRPr="00220C89">
        <w:rPr>
          <w:rFonts w:cstheme="minorHAnsi"/>
        </w:rPr>
        <w:t xml:space="preserve">Christian moral valuation? Christians believe the bible to be the word and will of </w:t>
      </w:r>
      <w:r w:rsidR="00616EF9" w:rsidRPr="00220C89">
        <w:rPr>
          <w:rFonts w:cstheme="minorHAnsi"/>
        </w:rPr>
        <w:t>G</w:t>
      </w:r>
      <w:r w:rsidR="00825D4A" w:rsidRPr="00220C89">
        <w:rPr>
          <w:rFonts w:cstheme="minorHAnsi"/>
        </w:rPr>
        <w:t xml:space="preserve">od and that </w:t>
      </w:r>
      <w:r w:rsidR="00616EF9" w:rsidRPr="00220C89">
        <w:rPr>
          <w:rFonts w:cstheme="minorHAnsi"/>
        </w:rPr>
        <w:t>G</w:t>
      </w:r>
      <w:r w:rsidR="00825D4A" w:rsidRPr="00220C89">
        <w:rPr>
          <w:rFonts w:cstheme="minorHAnsi"/>
        </w:rPr>
        <w:t xml:space="preserve">od is good. They believe that they can rely on the this completely to inform them of what goodness is. </w:t>
      </w:r>
    </w:p>
    <w:p w14:paraId="13D29083" w14:textId="79AF377F" w:rsidR="00671F5B" w:rsidRPr="00220C89" w:rsidRDefault="00671F5B" w:rsidP="00220C89">
      <w:pPr>
        <w:spacing w:line="360" w:lineRule="auto"/>
        <w:rPr>
          <w:rFonts w:cstheme="minorHAnsi"/>
        </w:rPr>
      </w:pPr>
      <w:r w:rsidRPr="00220C89">
        <w:rPr>
          <w:rFonts w:cstheme="minorHAnsi"/>
        </w:rPr>
        <w:t xml:space="preserve">How </w:t>
      </w:r>
      <w:r w:rsidR="00DA61CE" w:rsidRPr="00220C89">
        <w:rPr>
          <w:rFonts w:cstheme="minorHAnsi"/>
        </w:rPr>
        <w:t>can we approach engaging with it? (Holistic Reading v</w:t>
      </w:r>
      <w:r w:rsidR="00D96D70" w:rsidRPr="00220C89">
        <w:rPr>
          <w:rFonts w:cstheme="minorHAnsi"/>
        </w:rPr>
        <w:t>er</w:t>
      </w:r>
      <w:r w:rsidR="00DA61CE" w:rsidRPr="00220C89">
        <w:rPr>
          <w:rFonts w:cstheme="minorHAnsi"/>
        </w:rPr>
        <w:t>s</w:t>
      </w:r>
      <w:r w:rsidR="00D96D70" w:rsidRPr="00220C89">
        <w:rPr>
          <w:rFonts w:cstheme="minorHAnsi"/>
        </w:rPr>
        <w:t>us</w:t>
      </w:r>
      <w:r w:rsidR="00DA61CE" w:rsidRPr="00220C89">
        <w:rPr>
          <w:rFonts w:cstheme="minorHAnsi"/>
        </w:rPr>
        <w:t xml:space="preserve"> Close Reason?</w:t>
      </w:r>
    </w:p>
    <w:p w14:paraId="2ABEEB58" w14:textId="380704FB" w:rsidR="00DA61CE" w:rsidRPr="00220C89" w:rsidRDefault="00DA61CE" w:rsidP="00220C89">
      <w:pPr>
        <w:spacing w:line="360" w:lineRule="auto"/>
        <w:rPr>
          <w:rFonts w:cstheme="minorHAnsi"/>
        </w:rPr>
      </w:pPr>
      <w:r w:rsidRPr="00220C89">
        <w:rPr>
          <w:rFonts w:cstheme="minorHAnsi"/>
        </w:rPr>
        <w:t>What key elements of scripture are utilised when engaging with ethical problems?</w:t>
      </w:r>
    </w:p>
    <w:p w14:paraId="0056D67F" w14:textId="77777777" w:rsidR="00AF681B" w:rsidRPr="00220C89" w:rsidRDefault="00AF681B" w:rsidP="00220C89">
      <w:pPr>
        <w:spacing w:line="360" w:lineRule="auto"/>
        <w:rPr>
          <w:rFonts w:cstheme="minorHAnsi"/>
        </w:rPr>
      </w:pPr>
    </w:p>
    <w:p w14:paraId="3C7B4ACA" w14:textId="3AA08A9B" w:rsidR="00825D4A" w:rsidRPr="00220C89" w:rsidRDefault="00825D4A" w:rsidP="00220C89">
      <w:pPr>
        <w:spacing w:line="360" w:lineRule="auto"/>
        <w:rPr>
          <w:rFonts w:cstheme="minorHAnsi"/>
          <w:b/>
          <w:bCs/>
        </w:rPr>
      </w:pPr>
      <w:r w:rsidRPr="00220C89">
        <w:rPr>
          <w:rFonts w:cstheme="minorHAnsi"/>
          <w:b/>
          <w:bCs/>
        </w:rPr>
        <w:t>Islamic Scripture</w:t>
      </w:r>
    </w:p>
    <w:p w14:paraId="3E24B0BB" w14:textId="1EF3E2ED" w:rsidR="003E5C00" w:rsidRPr="00220C89" w:rsidRDefault="00825D4A" w:rsidP="00220C89">
      <w:pPr>
        <w:spacing w:line="360" w:lineRule="auto"/>
        <w:rPr>
          <w:rFonts w:cstheme="minorHAnsi"/>
        </w:rPr>
      </w:pPr>
      <w:r w:rsidRPr="00220C89">
        <w:rPr>
          <w:rFonts w:cstheme="minorHAnsi"/>
        </w:rPr>
        <w:lastRenderedPageBreak/>
        <w:t>The main source of Islamic scripture is the Quran</w:t>
      </w:r>
      <w:r w:rsidR="00657901" w:rsidRPr="00220C89">
        <w:rPr>
          <w:rFonts w:cstheme="minorHAnsi"/>
        </w:rPr>
        <w:t>. Islam is an expansive religion with detailed laws providing guidance and structure to Muslim peoples</w:t>
      </w:r>
      <w:r w:rsidR="009D7516" w:rsidRPr="00220C89">
        <w:rPr>
          <w:rFonts w:cstheme="minorHAnsi"/>
        </w:rPr>
        <w:t>’</w:t>
      </w:r>
      <w:r w:rsidR="00657901" w:rsidRPr="00220C89">
        <w:rPr>
          <w:rFonts w:cstheme="minorHAnsi"/>
        </w:rPr>
        <w:t xml:space="preserve"> lives and the communities</w:t>
      </w:r>
      <w:r w:rsidR="00B761FE" w:rsidRPr="00220C89">
        <w:rPr>
          <w:rStyle w:val="FootnoteReference"/>
          <w:rFonts w:cstheme="minorHAnsi"/>
        </w:rPr>
        <w:footnoteReference w:id="4"/>
      </w:r>
      <w:r w:rsidR="00657901" w:rsidRPr="00220C89">
        <w:rPr>
          <w:rFonts w:cstheme="minorHAnsi"/>
        </w:rPr>
        <w:t xml:space="preserve">. Within the Quran there is the concept of </w:t>
      </w:r>
      <w:proofErr w:type="spellStart"/>
      <w:r w:rsidR="00657901" w:rsidRPr="00220C89">
        <w:rPr>
          <w:rFonts w:cstheme="minorHAnsi"/>
        </w:rPr>
        <w:t>Shari’ah</w:t>
      </w:r>
      <w:proofErr w:type="spellEnd"/>
      <w:r w:rsidR="00657901" w:rsidRPr="00220C89">
        <w:rPr>
          <w:rFonts w:cstheme="minorHAnsi"/>
        </w:rPr>
        <w:t xml:space="preserve"> which means ‘the way’ and roughly means God’s will or the way of </w:t>
      </w:r>
      <w:r w:rsidR="009D7516" w:rsidRPr="00220C89">
        <w:rPr>
          <w:rFonts w:cstheme="minorHAnsi"/>
        </w:rPr>
        <w:t>G</w:t>
      </w:r>
      <w:r w:rsidR="00657901" w:rsidRPr="00220C89">
        <w:rPr>
          <w:rFonts w:cstheme="minorHAnsi"/>
        </w:rPr>
        <w:t xml:space="preserve">od. </w:t>
      </w:r>
      <w:proofErr w:type="spellStart"/>
      <w:r w:rsidR="00657901" w:rsidRPr="00220C89">
        <w:rPr>
          <w:rFonts w:cstheme="minorHAnsi"/>
        </w:rPr>
        <w:t>Shari’ah</w:t>
      </w:r>
      <w:proofErr w:type="spellEnd"/>
      <w:r w:rsidR="00657901" w:rsidRPr="00220C89">
        <w:rPr>
          <w:rFonts w:cstheme="minorHAnsi"/>
        </w:rPr>
        <w:t xml:space="preserve"> is often synonyms with the word law and </w:t>
      </w:r>
      <w:proofErr w:type="spellStart"/>
      <w:r w:rsidR="00657901" w:rsidRPr="00220C89">
        <w:rPr>
          <w:rFonts w:cstheme="minorHAnsi"/>
        </w:rPr>
        <w:t>Shari’ah</w:t>
      </w:r>
      <w:proofErr w:type="spellEnd"/>
      <w:r w:rsidR="00657901" w:rsidRPr="00220C89">
        <w:rPr>
          <w:rFonts w:cstheme="minorHAnsi"/>
        </w:rPr>
        <w:t xml:space="preserve"> is sometimes viewed as a system of politics</w:t>
      </w:r>
      <w:r w:rsidR="009D7516" w:rsidRPr="00220C89">
        <w:rPr>
          <w:rFonts w:cstheme="minorHAnsi"/>
        </w:rPr>
        <w:t>,</w:t>
      </w:r>
      <w:r w:rsidR="00657901" w:rsidRPr="00220C89">
        <w:rPr>
          <w:rFonts w:cstheme="minorHAnsi"/>
        </w:rPr>
        <w:t xml:space="preserve"> but it is broader than that and whilst politics and law come into it, it is better regarded as an ideology or way of life</w:t>
      </w:r>
      <w:r w:rsidR="00B761FE" w:rsidRPr="00220C89">
        <w:rPr>
          <w:rStyle w:val="FootnoteReference"/>
          <w:rFonts w:cstheme="minorHAnsi"/>
        </w:rPr>
        <w:footnoteReference w:id="5"/>
      </w:r>
      <w:r w:rsidR="00657901" w:rsidRPr="00220C89">
        <w:rPr>
          <w:rFonts w:cstheme="minorHAnsi"/>
        </w:rPr>
        <w:t xml:space="preserve">. </w:t>
      </w:r>
    </w:p>
    <w:p w14:paraId="0D556C8D" w14:textId="3B11D97D" w:rsidR="00517C6C" w:rsidRPr="00220C89" w:rsidRDefault="00517C6C" w:rsidP="00220C89">
      <w:pPr>
        <w:spacing w:line="360" w:lineRule="auto"/>
        <w:rPr>
          <w:rFonts w:cstheme="minorHAnsi"/>
        </w:rPr>
      </w:pPr>
      <w:r w:rsidRPr="00220C89">
        <w:rPr>
          <w:rFonts w:cstheme="minorHAnsi"/>
        </w:rPr>
        <w:t>The word Fiqh is used to describe</w:t>
      </w:r>
      <w:r w:rsidR="00984E35" w:rsidRPr="00220C89">
        <w:rPr>
          <w:rFonts w:cstheme="minorHAnsi"/>
        </w:rPr>
        <w:t xml:space="preserve"> </w:t>
      </w:r>
      <w:r w:rsidRPr="00220C89">
        <w:rPr>
          <w:rFonts w:cstheme="minorHAnsi"/>
        </w:rPr>
        <w:t>man</w:t>
      </w:r>
      <w:r w:rsidR="00B57988" w:rsidRPr="00220C89">
        <w:rPr>
          <w:rFonts w:cstheme="minorHAnsi"/>
        </w:rPr>
        <w:t>’</w:t>
      </w:r>
      <w:r w:rsidRPr="00220C89">
        <w:rPr>
          <w:rFonts w:cstheme="minorHAnsi"/>
        </w:rPr>
        <w:t xml:space="preserve">s understanding of the word of God and the discussion surrounding mans responsibilities in how to conduct oneself in accordance </w:t>
      </w:r>
      <w:proofErr w:type="gramStart"/>
      <w:r w:rsidRPr="00220C89">
        <w:rPr>
          <w:rFonts w:cstheme="minorHAnsi"/>
        </w:rPr>
        <w:t>to</w:t>
      </w:r>
      <w:proofErr w:type="gramEnd"/>
      <w:r w:rsidRPr="00220C89">
        <w:rPr>
          <w:rFonts w:cstheme="minorHAnsi"/>
        </w:rPr>
        <w:t xml:space="preserve"> the Islamic teachings of the Quran</w:t>
      </w:r>
      <w:r w:rsidR="00984E35" w:rsidRPr="00220C89">
        <w:rPr>
          <w:rFonts w:cstheme="minorHAnsi"/>
        </w:rPr>
        <w:t>.</w:t>
      </w:r>
      <w:r w:rsidR="00984E35" w:rsidRPr="00220C89">
        <w:rPr>
          <w:rStyle w:val="FootnoteReference"/>
          <w:rFonts w:cstheme="minorHAnsi"/>
        </w:rPr>
        <w:footnoteReference w:id="6"/>
      </w:r>
      <w:r w:rsidRPr="00220C89">
        <w:rPr>
          <w:rFonts w:cstheme="minorHAnsi"/>
        </w:rPr>
        <w:t xml:space="preserve">  </w:t>
      </w:r>
    </w:p>
    <w:p w14:paraId="6515A121" w14:textId="77777777" w:rsidR="00671F5B" w:rsidRPr="00220C89" w:rsidRDefault="00671F5B" w:rsidP="00220C89">
      <w:pPr>
        <w:spacing w:line="360" w:lineRule="auto"/>
        <w:rPr>
          <w:rFonts w:cstheme="minorHAnsi"/>
        </w:rPr>
      </w:pPr>
    </w:p>
    <w:p w14:paraId="29975F5F" w14:textId="5AE6E372" w:rsidR="00135C8C" w:rsidRPr="00220C89" w:rsidRDefault="00825D4A" w:rsidP="00220C89">
      <w:pPr>
        <w:spacing w:line="360" w:lineRule="auto"/>
        <w:rPr>
          <w:rFonts w:cstheme="minorHAnsi"/>
          <w:b/>
          <w:bCs/>
        </w:rPr>
      </w:pPr>
      <w:r w:rsidRPr="00220C89">
        <w:rPr>
          <w:rFonts w:cstheme="minorHAnsi"/>
          <w:b/>
          <w:bCs/>
        </w:rPr>
        <w:t xml:space="preserve">Christian </w:t>
      </w:r>
      <w:r w:rsidR="00135C8C" w:rsidRPr="00220C89">
        <w:rPr>
          <w:rFonts w:cstheme="minorHAnsi"/>
          <w:b/>
          <w:bCs/>
        </w:rPr>
        <w:t>Tradition</w:t>
      </w:r>
    </w:p>
    <w:p w14:paraId="26877AF6" w14:textId="02CD971B" w:rsidR="00AD58BC" w:rsidRPr="00220C89" w:rsidRDefault="00AD58BC" w:rsidP="00220C89">
      <w:pPr>
        <w:spacing w:line="360" w:lineRule="auto"/>
        <w:rPr>
          <w:rFonts w:cstheme="minorHAnsi"/>
        </w:rPr>
      </w:pPr>
      <w:r w:rsidRPr="00220C89">
        <w:rPr>
          <w:rFonts w:cstheme="minorHAnsi"/>
        </w:rPr>
        <w:t xml:space="preserve">Tradition is like peer pressure from the old and dead. </w:t>
      </w:r>
    </w:p>
    <w:p w14:paraId="40B0ACC1" w14:textId="763BCCB5" w:rsidR="00AF681B" w:rsidRPr="00220C89" w:rsidRDefault="00517C6C" w:rsidP="00220C89">
      <w:pPr>
        <w:spacing w:line="360" w:lineRule="auto"/>
        <w:rPr>
          <w:rFonts w:cstheme="minorHAnsi"/>
        </w:rPr>
      </w:pPr>
      <w:r w:rsidRPr="00220C89">
        <w:rPr>
          <w:rFonts w:cstheme="minorHAnsi"/>
        </w:rPr>
        <w:t>.</w:t>
      </w:r>
    </w:p>
    <w:p w14:paraId="750A8D58" w14:textId="0AADBD22" w:rsidR="00DA61CE" w:rsidRPr="00220C89" w:rsidRDefault="00DA61CE" w:rsidP="00220C89">
      <w:pPr>
        <w:spacing w:line="360" w:lineRule="auto"/>
        <w:rPr>
          <w:rFonts w:cstheme="minorHAnsi"/>
        </w:rPr>
      </w:pPr>
      <w:r w:rsidRPr="00220C89">
        <w:rPr>
          <w:rFonts w:cstheme="minorHAnsi"/>
        </w:rPr>
        <w:t>Which key parts of tradition create problems or help resolve problems?</w:t>
      </w:r>
    </w:p>
    <w:p w14:paraId="463D7068" w14:textId="65C55814" w:rsidR="00DA61CE" w:rsidRPr="00220C89" w:rsidRDefault="00DA61CE" w:rsidP="00220C89">
      <w:pPr>
        <w:spacing w:line="360" w:lineRule="auto"/>
        <w:rPr>
          <w:rFonts w:cstheme="minorHAnsi"/>
        </w:rPr>
      </w:pPr>
      <w:r w:rsidRPr="00220C89">
        <w:rPr>
          <w:rFonts w:cstheme="minorHAnsi"/>
        </w:rPr>
        <w:t xml:space="preserve">Discuss how tradition are created to suit certain times and spaces and the difficulties in applying them </w:t>
      </w:r>
      <w:proofErr w:type="gramStart"/>
      <w:r w:rsidRPr="00220C89">
        <w:rPr>
          <w:rFonts w:cstheme="minorHAnsi"/>
        </w:rPr>
        <w:t>to</w:t>
      </w:r>
      <w:proofErr w:type="gramEnd"/>
      <w:r w:rsidRPr="00220C89">
        <w:rPr>
          <w:rFonts w:cstheme="minorHAnsi"/>
        </w:rPr>
        <w:t xml:space="preserve"> today?</w:t>
      </w:r>
    </w:p>
    <w:p w14:paraId="5ED0E662" w14:textId="4C0EB976" w:rsidR="003E5C00" w:rsidRPr="00220C89" w:rsidRDefault="003E5C00" w:rsidP="00220C89">
      <w:pPr>
        <w:spacing w:line="360" w:lineRule="auto"/>
        <w:rPr>
          <w:rFonts w:cstheme="minorHAnsi"/>
        </w:rPr>
      </w:pPr>
      <w:r w:rsidRPr="00220C89">
        <w:rPr>
          <w:rFonts w:cstheme="minorHAnsi"/>
        </w:rPr>
        <w:t xml:space="preserve">Christianity and Islam view the soul differently. </w:t>
      </w:r>
      <w:r w:rsidR="00987088" w:rsidRPr="00220C89">
        <w:rPr>
          <w:rFonts w:cstheme="minorHAnsi"/>
        </w:rPr>
        <w:t>Christians</w:t>
      </w:r>
      <w:r w:rsidRPr="00220C89">
        <w:rPr>
          <w:rFonts w:cstheme="minorHAnsi"/>
        </w:rPr>
        <w:t xml:space="preserve"> believe the soul is pure and good but can be tainted. But in </w:t>
      </w:r>
      <w:r w:rsidR="00987088" w:rsidRPr="00220C89">
        <w:rPr>
          <w:rFonts w:cstheme="minorHAnsi"/>
        </w:rPr>
        <w:t>Islam</w:t>
      </w:r>
      <w:r w:rsidRPr="00220C89">
        <w:rPr>
          <w:rFonts w:cstheme="minorHAnsi"/>
        </w:rPr>
        <w:t xml:space="preserve"> they believe the soul is both good and bad </w:t>
      </w:r>
    </w:p>
    <w:p w14:paraId="6BEDB28A" w14:textId="77777777" w:rsidR="00AF681B" w:rsidRPr="00220C89" w:rsidRDefault="00AF681B" w:rsidP="00220C89">
      <w:pPr>
        <w:spacing w:line="360" w:lineRule="auto"/>
        <w:rPr>
          <w:rFonts w:cstheme="minorHAnsi"/>
        </w:rPr>
      </w:pPr>
    </w:p>
    <w:p w14:paraId="72695870" w14:textId="18E74DB3" w:rsidR="00AF681B" w:rsidRPr="00220C89" w:rsidRDefault="00AF681B" w:rsidP="00220C89">
      <w:pPr>
        <w:spacing w:line="360" w:lineRule="auto"/>
        <w:rPr>
          <w:rFonts w:cstheme="minorHAnsi"/>
          <w:b/>
          <w:bCs/>
        </w:rPr>
      </w:pPr>
      <w:r w:rsidRPr="00220C89">
        <w:rPr>
          <w:rFonts w:cstheme="minorHAnsi"/>
          <w:b/>
          <w:bCs/>
        </w:rPr>
        <w:t>Islamic</w:t>
      </w:r>
      <w:r w:rsidRPr="00220C89">
        <w:rPr>
          <w:rFonts w:cstheme="minorHAnsi"/>
          <w:b/>
          <w:bCs/>
        </w:rPr>
        <w:t xml:space="preserve"> Tradition</w:t>
      </w:r>
    </w:p>
    <w:p w14:paraId="62042A7A" w14:textId="472E0786" w:rsidR="00AF681B" w:rsidRPr="00220C89" w:rsidRDefault="00984E35" w:rsidP="00220C89">
      <w:pPr>
        <w:shd w:val="clear" w:color="auto" w:fill="FFFFFF"/>
        <w:spacing w:line="360" w:lineRule="auto"/>
        <w:textAlignment w:val="baseline"/>
        <w:rPr>
          <w:rFonts w:eastAsia="Times New Roman" w:cstheme="minorHAnsi"/>
          <w:color w:val="222222"/>
          <w:bdr w:val="none" w:sz="0" w:space="0" w:color="auto" w:frame="1"/>
          <w:shd w:val="clear" w:color="auto" w:fill="FFFFFF"/>
          <w:lang w:eastAsia="en-GB"/>
        </w:rPr>
      </w:pPr>
      <w:r w:rsidRPr="00220C89">
        <w:rPr>
          <w:rFonts w:eastAsia="Times New Roman" w:cstheme="minorHAnsi"/>
          <w:color w:val="222222"/>
          <w:bdr w:val="none" w:sz="0" w:space="0" w:color="auto" w:frame="1"/>
          <w:shd w:val="clear" w:color="auto" w:fill="FFFFFF"/>
          <w:lang w:eastAsia="en-GB"/>
        </w:rPr>
        <w:t xml:space="preserve">Tradition and Scripture are difficult to hold separately and examine in Islam. As many of the Islamic traditions derive their origin from scripture for instance the word </w:t>
      </w:r>
      <w:r w:rsidR="00AF681B" w:rsidRPr="00AF681B">
        <w:rPr>
          <w:rFonts w:eastAsia="Times New Roman" w:cstheme="minorHAnsi"/>
          <w:color w:val="222222"/>
          <w:bdr w:val="none" w:sz="0" w:space="0" w:color="auto" w:frame="1"/>
          <w:shd w:val="clear" w:color="auto" w:fill="FFFFFF"/>
          <w:lang w:eastAsia="en-GB"/>
        </w:rPr>
        <w:t>Hadith</w:t>
      </w:r>
      <w:r w:rsidR="00AF681B" w:rsidRPr="00220C89">
        <w:rPr>
          <w:rStyle w:val="FootnoteReference"/>
          <w:rFonts w:eastAsia="Times New Roman" w:cstheme="minorHAnsi"/>
          <w:color w:val="222222"/>
          <w:bdr w:val="none" w:sz="0" w:space="0" w:color="auto" w:frame="1"/>
          <w:shd w:val="clear" w:color="auto" w:fill="FFFFFF"/>
          <w:lang w:eastAsia="en-GB"/>
        </w:rPr>
        <w:footnoteReference w:id="7"/>
      </w:r>
      <w:r w:rsidRPr="00220C89">
        <w:rPr>
          <w:rFonts w:eastAsia="Times New Roman" w:cstheme="minorHAnsi"/>
          <w:color w:val="222222"/>
          <w:bdr w:val="none" w:sz="0" w:space="0" w:color="auto" w:frame="1"/>
          <w:shd w:val="clear" w:color="auto" w:fill="FFFFFF"/>
          <w:lang w:eastAsia="en-GB"/>
        </w:rPr>
        <w:t xml:space="preserve"> is used to describe a prophetic tradition in Islam, however, whilst researching Hadith I also found that it refers to specific texts which </w:t>
      </w:r>
      <w:r w:rsidR="00C67948" w:rsidRPr="00220C89">
        <w:rPr>
          <w:rFonts w:eastAsia="Times New Roman" w:cstheme="minorHAnsi"/>
          <w:color w:val="222222"/>
          <w:bdr w:val="none" w:sz="0" w:space="0" w:color="auto" w:frame="1"/>
          <w:shd w:val="clear" w:color="auto" w:fill="FFFFFF"/>
          <w:lang w:eastAsia="en-GB"/>
        </w:rPr>
        <w:t xml:space="preserve">where written after the Quran and there has been debate over which if any should be </w:t>
      </w:r>
      <w:r w:rsidR="00C67948" w:rsidRPr="00220C89">
        <w:rPr>
          <w:rFonts w:eastAsia="Times New Roman" w:cstheme="minorHAnsi"/>
          <w:color w:val="222222"/>
          <w:bdr w:val="none" w:sz="0" w:space="0" w:color="auto" w:frame="1"/>
          <w:shd w:val="clear" w:color="auto" w:fill="FFFFFF"/>
          <w:lang w:eastAsia="en-GB"/>
        </w:rPr>
        <w:lastRenderedPageBreak/>
        <w:t xml:space="preserve">included in teachings and whether or not they can be attributed to the word of Mohamed. This is </w:t>
      </w:r>
      <w:proofErr w:type="gramStart"/>
      <w:r w:rsidR="00C67948" w:rsidRPr="00220C89">
        <w:rPr>
          <w:rFonts w:eastAsia="Times New Roman" w:cstheme="minorHAnsi"/>
          <w:color w:val="222222"/>
          <w:bdr w:val="none" w:sz="0" w:space="0" w:color="auto" w:frame="1"/>
          <w:shd w:val="clear" w:color="auto" w:fill="FFFFFF"/>
          <w:lang w:eastAsia="en-GB"/>
        </w:rPr>
        <w:t>similar to</w:t>
      </w:r>
      <w:proofErr w:type="gramEnd"/>
      <w:r w:rsidR="00C67948" w:rsidRPr="00220C89">
        <w:rPr>
          <w:rFonts w:eastAsia="Times New Roman" w:cstheme="minorHAnsi"/>
          <w:color w:val="222222"/>
          <w:bdr w:val="none" w:sz="0" w:space="0" w:color="auto" w:frame="1"/>
          <w:shd w:val="clear" w:color="auto" w:fill="FFFFFF"/>
          <w:lang w:eastAsia="en-GB"/>
        </w:rPr>
        <w:t xml:space="preserve"> the way that the Christian Traditions impacted on the scriptures and the way they were taught, preached and adhered to, such as in the differences between the New and Old testaments.</w:t>
      </w:r>
      <w:r w:rsidR="00C67948" w:rsidRPr="00220C89">
        <w:rPr>
          <w:rStyle w:val="FootnoteReference"/>
          <w:rFonts w:eastAsia="Times New Roman" w:cstheme="minorHAnsi"/>
          <w:color w:val="222222"/>
          <w:bdr w:val="none" w:sz="0" w:space="0" w:color="auto" w:frame="1"/>
          <w:shd w:val="clear" w:color="auto" w:fill="FFFFFF"/>
          <w:lang w:eastAsia="en-GB"/>
        </w:rPr>
        <w:footnoteReference w:id="8"/>
      </w:r>
      <w:r w:rsidR="00C67948" w:rsidRPr="00220C89">
        <w:rPr>
          <w:rFonts w:eastAsia="Times New Roman" w:cstheme="minorHAnsi"/>
          <w:color w:val="222222"/>
          <w:bdr w:val="none" w:sz="0" w:space="0" w:color="auto" w:frame="1"/>
          <w:shd w:val="clear" w:color="auto" w:fill="FFFFFF"/>
          <w:lang w:eastAsia="en-GB"/>
        </w:rPr>
        <w:t xml:space="preserve"> </w:t>
      </w:r>
    </w:p>
    <w:p w14:paraId="1F0242AB" w14:textId="34C469FF" w:rsidR="00517C6C" w:rsidRPr="00220C89" w:rsidRDefault="00517C6C" w:rsidP="00220C89">
      <w:pPr>
        <w:shd w:val="clear" w:color="auto" w:fill="FFFFFF"/>
        <w:spacing w:line="360" w:lineRule="auto"/>
        <w:textAlignment w:val="baseline"/>
        <w:rPr>
          <w:rFonts w:eastAsia="Times New Roman" w:cstheme="minorHAnsi"/>
          <w:color w:val="222222"/>
          <w:bdr w:val="none" w:sz="0" w:space="0" w:color="auto" w:frame="1"/>
          <w:shd w:val="clear" w:color="auto" w:fill="FFFFFF"/>
          <w:lang w:eastAsia="en-GB"/>
        </w:rPr>
      </w:pPr>
    </w:p>
    <w:p w14:paraId="6E23273D" w14:textId="329421B4" w:rsidR="00517C6C" w:rsidRPr="00220C89" w:rsidRDefault="00517C6C" w:rsidP="00220C89">
      <w:pPr>
        <w:shd w:val="clear" w:color="auto" w:fill="FFFFFF"/>
        <w:spacing w:line="360" w:lineRule="auto"/>
        <w:textAlignment w:val="baseline"/>
        <w:rPr>
          <w:rFonts w:eastAsia="Times New Roman" w:cstheme="minorHAnsi"/>
          <w:color w:val="222222"/>
          <w:bdr w:val="none" w:sz="0" w:space="0" w:color="auto" w:frame="1"/>
          <w:shd w:val="clear" w:color="auto" w:fill="FFFFFF"/>
          <w:lang w:eastAsia="en-GB"/>
        </w:rPr>
      </w:pPr>
      <w:r w:rsidRPr="00220C89">
        <w:rPr>
          <w:rFonts w:eastAsia="Times New Roman" w:cstheme="minorHAnsi"/>
          <w:color w:val="222222"/>
          <w:bdr w:val="none" w:sz="0" w:space="0" w:color="auto" w:frame="1"/>
          <w:shd w:val="clear" w:color="auto" w:fill="FFFFFF"/>
          <w:lang w:eastAsia="en-GB"/>
        </w:rPr>
        <w:t xml:space="preserve">Sunnah in Islam is the tradition of Islamic jurisprudence, often described as the practice of human understanding of the </w:t>
      </w:r>
      <w:proofErr w:type="spellStart"/>
      <w:r w:rsidRPr="00220C89">
        <w:rPr>
          <w:rFonts w:eastAsia="Times New Roman" w:cstheme="minorHAnsi"/>
          <w:color w:val="222222"/>
          <w:bdr w:val="none" w:sz="0" w:space="0" w:color="auto" w:frame="1"/>
          <w:shd w:val="clear" w:color="auto" w:fill="FFFFFF"/>
          <w:lang w:eastAsia="en-GB"/>
        </w:rPr>
        <w:t>shari’ah</w:t>
      </w:r>
      <w:proofErr w:type="spellEnd"/>
      <w:r w:rsidRPr="00220C89">
        <w:rPr>
          <w:rFonts w:eastAsia="Times New Roman" w:cstheme="minorHAnsi"/>
          <w:color w:val="222222"/>
          <w:bdr w:val="none" w:sz="0" w:space="0" w:color="auto" w:frame="1"/>
          <w:shd w:val="clear" w:color="auto" w:fill="FFFFFF"/>
          <w:lang w:eastAsia="en-GB"/>
        </w:rPr>
        <w:t xml:space="preserve">, how </w:t>
      </w:r>
      <w:proofErr w:type="spellStart"/>
      <w:r w:rsidRPr="00220C89">
        <w:rPr>
          <w:rFonts w:eastAsia="Times New Roman" w:cstheme="minorHAnsi"/>
          <w:color w:val="222222"/>
          <w:bdr w:val="none" w:sz="0" w:space="0" w:color="auto" w:frame="1"/>
          <w:shd w:val="clear" w:color="auto" w:fill="FFFFFF"/>
          <w:lang w:eastAsia="en-GB"/>
        </w:rPr>
        <w:t>muslims</w:t>
      </w:r>
      <w:proofErr w:type="spellEnd"/>
      <w:r w:rsidRPr="00220C89">
        <w:rPr>
          <w:rFonts w:eastAsia="Times New Roman" w:cstheme="minorHAnsi"/>
          <w:color w:val="222222"/>
          <w:bdr w:val="none" w:sz="0" w:space="0" w:color="auto" w:frame="1"/>
          <w:shd w:val="clear" w:color="auto" w:fill="FFFFFF"/>
          <w:lang w:eastAsia="en-GB"/>
        </w:rPr>
        <w:t xml:space="preserve"> have understood divine Islamic law as revealed to them in the Quran of the teachings and practices of the Islamic prophet </w:t>
      </w:r>
      <w:proofErr w:type="gramStart"/>
      <w:r w:rsidRPr="00220C89">
        <w:rPr>
          <w:rFonts w:eastAsia="Times New Roman" w:cstheme="minorHAnsi"/>
          <w:color w:val="222222"/>
          <w:bdr w:val="none" w:sz="0" w:space="0" w:color="auto" w:frame="1"/>
          <w:shd w:val="clear" w:color="auto" w:fill="FFFFFF"/>
          <w:lang w:eastAsia="en-GB"/>
        </w:rPr>
        <w:t>Muhammad</w:t>
      </w:r>
      <w:proofErr w:type="gramEnd"/>
    </w:p>
    <w:p w14:paraId="77DDCA15" w14:textId="129E83B7" w:rsidR="00517C6C" w:rsidRPr="00220C89" w:rsidRDefault="00517C6C" w:rsidP="00220C89">
      <w:pPr>
        <w:shd w:val="clear" w:color="auto" w:fill="FFFFFF"/>
        <w:spacing w:line="360" w:lineRule="auto"/>
        <w:textAlignment w:val="baseline"/>
        <w:rPr>
          <w:rFonts w:eastAsia="Times New Roman" w:cstheme="minorHAnsi"/>
          <w:color w:val="222222"/>
          <w:bdr w:val="none" w:sz="0" w:space="0" w:color="auto" w:frame="1"/>
          <w:shd w:val="clear" w:color="auto" w:fill="FFFFFF"/>
          <w:lang w:eastAsia="en-GB"/>
        </w:rPr>
      </w:pPr>
    </w:p>
    <w:p w14:paraId="662FAF29" w14:textId="54DB3188" w:rsidR="00517C6C" w:rsidRPr="00220C89" w:rsidRDefault="00517C6C" w:rsidP="00220C89">
      <w:pPr>
        <w:shd w:val="clear" w:color="auto" w:fill="FFFFFF"/>
        <w:spacing w:line="360" w:lineRule="auto"/>
        <w:textAlignment w:val="baseline"/>
        <w:rPr>
          <w:rFonts w:eastAsia="Times New Roman" w:cstheme="minorHAnsi"/>
          <w:color w:val="222222"/>
          <w:bdr w:val="none" w:sz="0" w:space="0" w:color="auto" w:frame="1"/>
          <w:shd w:val="clear" w:color="auto" w:fill="FFFFFF"/>
          <w:lang w:eastAsia="en-GB"/>
        </w:rPr>
      </w:pPr>
      <w:r w:rsidRPr="00220C89">
        <w:rPr>
          <w:rFonts w:eastAsia="Times New Roman" w:cstheme="minorHAnsi"/>
          <w:color w:val="222222"/>
          <w:bdr w:val="none" w:sz="0" w:space="0" w:color="auto" w:frame="1"/>
          <w:shd w:val="clear" w:color="auto" w:fill="FFFFFF"/>
          <w:lang w:eastAsia="en-GB"/>
        </w:rPr>
        <w:t>Fiqh is more like the human understanding of the divine laws that has grown through conversation and debate over how these laws are interpreted.</w:t>
      </w:r>
    </w:p>
    <w:p w14:paraId="494EF315" w14:textId="77777777" w:rsidR="00AF681B" w:rsidRPr="00AF681B" w:rsidRDefault="00AF681B" w:rsidP="00220C89">
      <w:pPr>
        <w:shd w:val="clear" w:color="auto" w:fill="FFFFFF"/>
        <w:spacing w:line="360" w:lineRule="auto"/>
        <w:textAlignment w:val="baseline"/>
        <w:rPr>
          <w:rFonts w:eastAsia="Times New Roman" w:cstheme="minorHAnsi"/>
          <w:color w:val="7232AD"/>
          <w:lang w:eastAsia="en-GB"/>
        </w:rPr>
      </w:pPr>
    </w:p>
    <w:p w14:paraId="0B75297B" w14:textId="77777777" w:rsidR="00671F5B" w:rsidRPr="00220C89" w:rsidRDefault="00671F5B" w:rsidP="00220C89">
      <w:pPr>
        <w:spacing w:line="360" w:lineRule="auto"/>
        <w:rPr>
          <w:rFonts w:cstheme="minorHAnsi"/>
        </w:rPr>
      </w:pPr>
    </w:p>
    <w:p w14:paraId="2F328618" w14:textId="7F916661" w:rsidR="00135C8C" w:rsidRPr="00220C89" w:rsidRDefault="00825D4A" w:rsidP="00220C89">
      <w:pPr>
        <w:spacing w:line="360" w:lineRule="auto"/>
        <w:rPr>
          <w:rFonts w:cstheme="minorHAnsi"/>
          <w:b/>
          <w:bCs/>
        </w:rPr>
      </w:pPr>
      <w:bookmarkStart w:id="0" w:name="_Hlk126758177"/>
      <w:r w:rsidRPr="00220C89">
        <w:rPr>
          <w:rFonts w:cstheme="minorHAnsi"/>
          <w:b/>
          <w:bCs/>
        </w:rPr>
        <w:t xml:space="preserve">Christian </w:t>
      </w:r>
      <w:r w:rsidR="00135C8C" w:rsidRPr="00220C89">
        <w:rPr>
          <w:rFonts w:cstheme="minorHAnsi"/>
          <w:b/>
          <w:bCs/>
        </w:rPr>
        <w:t>Reason</w:t>
      </w:r>
    </w:p>
    <w:bookmarkEnd w:id="0"/>
    <w:p w14:paraId="1561679B" w14:textId="6B2F3EDB" w:rsidR="009D5CFC" w:rsidRPr="00220C89" w:rsidRDefault="009D5CFC" w:rsidP="00220C89">
      <w:pPr>
        <w:spacing w:line="360" w:lineRule="auto"/>
        <w:rPr>
          <w:rFonts w:cstheme="minorHAnsi"/>
        </w:rPr>
      </w:pPr>
      <w:r w:rsidRPr="00220C89">
        <w:rPr>
          <w:rFonts w:cstheme="minorHAnsi"/>
        </w:rPr>
        <w:t xml:space="preserve">Reason is often the domain of philosopher in both religions and a lot of questions originate from trying to interpret various sections of scripture. </w:t>
      </w:r>
    </w:p>
    <w:p w14:paraId="0E8B4662" w14:textId="5E6EC9CE" w:rsidR="0098655D" w:rsidRPr="00220C89" w:rsidRDefault="0098655D" w:rsidP="00220C89">
      <w:pPr>
        <w:spacing w:line="360" w:lineRule="auto"/>
        <w:rPr>
          <w:rFonts w:cstheme="minorHAnsi"/>
        </w:rPr>
      </w:pPr>
      <w:r w:rsidRPr="00220C89">
        <w:rPr>
          <w:rFonts w:cstheme="minorHAnsi"/>
        </w:rPr>
        <w:t xml:space="preserve">How you view scripture influences philosophical questions like the q of freewill </w:t>
      </w:r>
    </w:p>
    <w:p w14:paraId="4D4063BE" w14:textId="77777777" w:rsidR="006A3519" w:rsidRDefault="009D5CFC" w:rsidP="00220C89">
      <w:pPr>
        <w:spacing w:line="360" w:lineRule="auto"/>
        <w:rPr>
          <w:rFonts w:cstheme="minorHAnsi"/>
        </w:rPr>
      </w:pPr>
      <w:r w:rsidRPr="00220C89">
        <w:rPr>
          <w:rFonts w:cstheme="minorHAnsi"/>
        </w:rPr>
        <w:t>Reason or revelation? Which should be more influential. These are epistemological questions. Can we use reason to guide us?</w:t>
      </w:r>
    </w:p>
    <w:p w14:paraId="3F4CF808" w14:textId="075E71CC" w:rsidR="009D5CFC" w:rsidRPr="00220C89" w:rsidRDefault="006A3519" w:rsidP="00220C89">
      <w:pPr>
        <w:spacing w:line="360" w:lineRule="auto"/>
        <w:rPr>
          <w:rFonts w:cstheme="minorHAnsi"/>
        </w:rPr>
      </w:pPr>
      <w:r>
        <w:rPr>
          <w:rFonts w:cstheme="minorHAnsi"/>
        </w:rPr>
        <w:t>W</w:t>
      </w:r>
      <w:r w:rsidR="009D5CFC" w:rsidRPr="00220C89">
        <w:rPr>
          <w:rFonts w:cstheme="minorHAnsi"/>
        </w:rPr>
        <w:t xml:space="preserve">hat role does reason play in interpreting the scripture. Its either that scripture should guide reason </w:t>
      </w:r>
      <w:proofErr w:type="spellStart"/>
      <w:r w:rsidR="009D5CFC" w:rsidRPr="00220C89">
        <w:rPr>
          <w:rFonts w:cstheme="minorHAnsi"/>
        </w:rPr>
        <w:t>or</w:t>
      </w:r>
      <w:proofErr w:type="spellEnd"/>
      <w:r w:rsidR="009D5CFC" w:rsidRPr="00220C89">
        <w:rPr>
          <w:rFonts w:cstheme="minorHAnsi"/>
        </w:rPr>
        <w:t xml:space="preserve"> that reason should guide the interpretation of scripture</w:t>
      </w:r>
      <w:r w:rsidR="00987088" w:rsidRPr="00220C89">
        <w:rPr>
          <w:rFonts w:cstheme="minorHAnsi"/>
        </w:rPr>
        <w:t>.</w:t>
      </w:r>
    </w:p>
    <w:p w14:paraId="6DB937AA" w14:textId="653E37E9" w:rsidR="00517C6C" w:rsidRPr="00220C89" w:rsidRDefault="00517C6C" w:rsidP="00220C89">
      <w:pPr>
        <w:spacing w:line="360" w:lineRule="auto"/>
        <w:rPr>
          <w:rFonts w:cstheme="minorHAnsi"/>
          <w:b/>
          <w:bCs/>
        </w:rPr>
      </w:pPr>
      <w:r w:rsidRPr="00220C89">
        <w:rPr>
          <w:rFonts w:cstheme="minorHAnsi"/>
          <w:b/>
          <w:bCs/>
        </w:rPr>
        <w:t>Islamic</w:t>
      </w:r>
      <w:r w:rsidRPr="00220C89">
        <w:rPr>
          <w:rFonts w:cstheme="minorHAnsi"/>
          <w:b/>
          <w:bCs/>
        </w:rPr>
        <w:t xml:space="preserve"> Reason</w:t>
      </w:r>
    </w:p>
    <w:p w14:paraId="5663D30B" w14:textId="77777777" w:rsidR="006A3519" w:rsidRPr="00220C89" w:rsidRDefault="006A3519" w:rsidP="006A3519">
      <w:pPr>
        <w:spacing w:line="360" w:lineRule="auto"/>
        <w:rPr>
          <w:rFonts w:cstheme="minorHAnsi"/>
        </w:rPr>
      </w:pPr>
      <w:r w:rsidRPr="00220C89">
        <w:rPr>
          <w:rFonts w:cstheme="minorHAnsi"/>
        </w:rPr>
        <w:t>Ash’ari and Mu’tazuila: Revelationism and Rationalism in the 8-10</w:t>
      </w:r>
      <w:r w:rsidRPr="00220C89">
        <w:rPr>
          <w:rFonts w:cstheme="minorHAnsi"/>
          <w:vertAlign w:val="superscript"/>
        </w:rPr>
        <w:t>th</w:t>
      </w:r>
      <w:r w:rsidRPr="00220C89">
        <w:rPr>
          <w:rFonts w:cstheme="minorHAnsi"/>
        </w:rPr>
        <w:t xml:space="preserve"> century Islam. </w:t>
      </w:r>
    </w:p>
    <w:p w14:paraId="4EA42DA7" w14:textId="77777777" w:rsidR="006A3519" w:rsidRPr="00220C89" w:rsidRDefault="006A3519" w:rsidP="006A3519">
      <w:pPr>
        <w:spacing w:line="360" w:lineRule="auto"/>
        <w:rPr>
          <w:rFonts w:cstheme="minorHAnsi"/>
        </w:rPr>
      </w:pPr>
      <w:r w:rsidRPr="00220C89">
        <w:rPr>
          <w:rFonts w:cstheme="minorHAnsi"/>
        </w:rPr>
        <w:t xml:space="preserve">Examples of theology/philosophy.  Ash’ari Only God knows the good/evil of an action, as opposed to the Mu’tazila Humans can use reason to determine good and evil. Good commands only good things. Divisions in whether to prioritise reason or to accept only the commands of the divine usually </w:t>
      </w:r>
      <w:r w:rsidRPr="00220C89">
        <w:rPr>
          <w:rFonts w:cstheme="minorHAnsi"/>
        </w:rPr>
        <w:lastRenderedPageBreak/>
        <w:t xml:space="preserve">referring more directly to the scripture. The appeal to reason becomes stronger in multiracial, </w:t>
      </w:r>
      <w:proofErr w:type="gramStart"/>
      <w:r w:rsidRPr="00220C89">
        <w:rPr>
          <w:rFonts w:cstheme="minorHAnsi"/>
        </w:rPr>
        <w:t>multi ethnic</w:t>
      </w:r>
      <w:proofErr w:type="gramEnd"/>
      <w:r w:rsidRPr="00220C89">
        <w:rPr>
          <w:rFonts w:cstheme="minorHAnsi"/>
        </w:rPr>
        <w:t xml:space="preserve"> and multi-cultural societies. </w:t>
      </w:r>
    </w:p>
    <w:p w14:paraId="6DDC1AD6" w14:textId="2FFE8405" w:rsidR="00517C6C" w:rsidRPr="00220C89" w:rsidRDefault="00517C6C" w:rsidP="00220C89">
      <w:pPr>
        <w:spacing w:line="360" w:lineRule="auto"/>
        <w:rPr>
          <w:rFonts w:cstheme="minorHAnsi"/>
        </w:rPr>
      </w:pPr>
    </w:p>
    <w:p w14:paraId="521B8C75" w14:textId="627E3E50" w:rsidR="00517C6C" w:rsidRPr="00220C89" w:rsidRDefault="00517C6C" w:rsidP="00220C89">
      <w:pPr>
        <w:spacing w:line="360" w:lineRule="auto"/>
        <w:rPr>
          <w:rFonts w:cstheme="minorHAnsi"/>
        </w:rPr>
      </w:pPr>
      <w:r w:rsidRPr="00220C89">
        <w:rPr>
          <w:rFonts w:cstheme="minorHAnsi"/>
        </w:rPr>
        <w:t>Akhlaq in Al-Ghazali’s</w:t>
      </w:r>
    </w:p>
    <w:p w14:paraId="033604FF" w14:textId="77777777" w:rsidR="00987088" w:rsidRPr="00220C89" w:rsidRDefault="00987088" w:rsidP="00220C89">
      <w:pPr>
        <w:spacing w:line="360" w:lineRule="auto"/>
        <w:rPr>
          <w:rFonts w:cstheme="minorHAnsi"/>
        </w:rPr>
      </w:pPr>
    </w:p>
    <w:p w14:paraId="5BDD4304" w14:textId="39EACE41" w:rsidR="007239F6" w:rsidRPr="00220C89" w:rsidRDefault="007239F6" w:rsidP="00220C89">
      <w:pPr>
        <w:spacing w:line="360" w:lineRule="auto"/>
        <w:rPr>
          <w:rFonts w:cstheme="minorHAnsi"/>
        </w:rPr>
      </w:pPr>
      <w:r w:rsidRPr="00220C89">
        <w:rPr>
          <w:rFonts w:cstheme="minorHAnsi"/>
        </w:rPr>
        <w:t>There are massive contradictions within the ethical decision making of religions. Making God like decisions on social matters.</w:t>
      </w:r>
    </w:p>
    <w:p w14:paraId="30D0A385" w14:textId="28BBD3AA" w:rsidR="00673643" w:rsidRPr="00220C89" w:rsidRDefault="00673643" w:rsidP="00220C89">
      <w:pPr>
        <w:spacing w:line="360" w:lineRule="auto"/>
        <w:rPr>
          <w:rFonts w:cstheme="minorHAnsi"/>
        </w:rPr>
      </w:pPr>
      <w:r w:rsidRPr="00220C89">
        <w:rPr>
          <w:rFonts w:cstheme="minorHAnsi"/>
        </w:rPr>
        <w:br w:type="page"/>
      </w:r>
    </w:p>
    <w:p w14:paraId="7541D31A" w14:textId="6FA56F8C" w:rsidR="007D3A39" w:rsidRPr="00220C89" w:rsidRDefault="00673643" w:rsidP="00220C89">
      <w:pPr>
        <w:spacing w:line="360" w:lineRule="auto"/>
        <w:rPr>
          <w:rFonts w:cstheme="minorHAnsi"/>
          <w:b/>
          <w:bCs/>
        </w:rPr>
      </w:pPr>
      <w:r w:rsidRPr="00220C89">
        <w:rPr>
          <w:rFonts w:cstheme="minorHAnsi"/>
          <w:b/>
          <w:bCs/>
        </w:rPr>
        <w:lastRenderedPageBreak/>
        <w:t xml:space="preserve">Bibliography </w:t>
      </w:r>
    </w:p>
    <w:p w14:paraId="3EFBB87E" w14:textId="77777777" w:rsidR="00B57988" w:rsidRPr="00220C89" w:rsidRDefault="00B57988" w:rsidP="00220C89">
      <w:pPr>
        <w:shd w:val="clear" w:color="auto" w:fill="FFFFFF"/>
        <w:spacing w:line="360" w:lineRule="auto"/>
        <w:textAlignment w:val="baseline"/>
        <w:rPr>
          <w:rFonts w:cstheme="minorHAnsi"/>
        </w:rPr>
      </w:pPr>
      <w:r w:rsidRPr="00220C89">
        <w:rPr>
          <w:rFonts w:cstheme="minorHAnsi"/>
        </w:rPr>
        <w:t xml:space="preserve">Brown, Jonathan A.C. “Hadith”, </w:t>
      </w:r>
      <w:r w:rsidRPr="00220C89">
        <w:rPr>
          <w:rFonts w:cstheme="minorHAnsi"/>
          <w:i/>
          <w:iCs/>
        </w:rPr>
        <w:t xml:space="preserve">Oxford Bibliographies </w:t>
      </w:r>
      <w:r w:rsidRPr="00220C89">
        <w:rPr>
          <w:rFonts w:cstheme="minorHAnsi"/>
        </w:rPr>
        <w:t xml:space="preserve">(1.2.2023) </w:t>
      </w:r>
      <w:hyperlink r:id="rId8" w:history="1">
        <w:r w:rsidRPr="00220C89">
          <w:rPr>
            <w:rStyle w:val="Hyperlink"/>
            <w:rFonts w:cstheme="minorHAnsi"/>
            <w:color w:val="auto"/>
          </w:rPr>
          <w:t>https://www.oxfordbibliographies.com/display/document/obo-9780195390155/obo-9780195390155-0030.xml#:~:text=A%20Hadith%20(Arabic%20plural%20aHadith,his%20authoritative%20precedent%20(Sunna</w:t>
        </w:r>
      </w:hyperlink>
      <w:r w:rsidRPr="00220C89">
        <w:rPr>
          <w:rFonts w:cstheme="minorHAnsi"/>
        </w:rPr>
        <w:t>)</w:t>
      </w:r>
    </w:p>
    <w:p w14:paraId="59E18AD8" w14:textId="77777777" w:rsidR="00B57988" w:rsidRPr="00220C89" w:rsidRDefault="00B57988" w:rsidP="00220C89">
      <w:pPr>
        <w:shd w:val="clear" w:color="auto" w:fill="FFFFFF"/>
        <w:spacing w:line="360" w:lineRule="auto"/>
        <w:textAlignment w:val="baseline"/>
        <w:rPr>
          <w:rFonts w:eastAsia="Times New Roman" w:cstheme="minorHAnsi"/>
          <w:lang w:eastAsia="en-GB"/>
        </w:rPr>
      </w:pPr>
      <w:r w:rsidRPr="00220C89">
        <w:rPr>
          <w:rFonts w:eastAsia="Times New Roman" w:cstheme="minorHAnsi"/>
          <w:highlight w:val="yellow"/>
          <w:lang w:eastAsia="en-GB"/>
        </w:rPr>
        <w:t xml:space="preserve">D'Costa, Gavin, "Other faiths and Christian ethics", </w:t>
      </w:r>
      <w:r w:rsidRPr="00220C89">
        <w:rPr>
          <w:rFonts w:eastAsia="Times New Roman" w:cstheme="minorHAnsi"/>
          <w:i/>
          <w:iCs/>
          <w:highlight w:val="yellow"/>
          <w:lang w:eastAsia="en-GB"/>
        </w:rPr>
        <w:t>The Cambridge companion to Christian ethics</w:t>
      </w:r>
      <w:r w:rsidRPr="00220C89">
        <w:rPr>
          <w:rFonts w:eastAsia="Times New Roman" w:cstheme="minorHAnsi"/>
          <w:highlight w:val="yellow"/>
          <w:lang w:eastAsia="en-GB"/>
        </w:rPr>
        <w:t>.</w:t>
      </w:r>
      <w:r w:rsidRPr="00220C89">
        <w:rPr>
          <w:rFonts w:eastAsia="Times New Roman" w:cstheme="minorHAnsi"/>
          <w:highlight w:val="yellow"/>
          <w:lang w:eastAsia="en-GB"/>
        </w:rPr>
        <w:t xml:space="preserve"> E</w:t>
      </w:r>
      <w:r w:rsidRPr="00220C89">
        <w:rPr>
          <w:rFonts w:eastAsia="Times New Roman" w:cstheme="minorHAnsi"/>
          <w:highlight w:val="yellow"/>
          <w:lang w:eastAsia="en-GB"/>
        </w:rPr>
        <w:t>dited by Robin Gill (Cambridge University Press, 2012), 154-167</w:t>
      </w:r>
    </w:p>
    <w:p w14:paraId="3C986ED7" w14:textId="77777777" w:rsidR="00B57988" w:rsidRPr="00220C89" w:rsidRDefault="00B57988" w:rsidP="00220C89">
      <w:pPr>
        <w:spacing w:line="360" w:lineRule="auto"/>
        <w:rPr>
          <w:rFonts w:eastAsia="Times New Roman" w:cstheme="minorHAnsi"/>
          <w:color w:val="222222"/>
          <w:bdr w:val="none" w:sz="0" w:space="0" w:color="auto" w:frame="1"/>
          <w:shd w:val="clear" w:color="auto" w:fill="FFFFFF"/>
          <w:lang w:eastAsia="en-GB"/>
        </w:rPr>
      </w:pPr>
      <w:r w:rsidRPr="00220C89">
        <w:rPr>
          <w:rFonts w:eastAsia="Times New Roman" w:cstheme="minorHAnsi"/>
          <w:color w:val="222222"/>
          <w:bdr w:val="none" w:sz="0" w:space="0" w:color="auto" w:frame="1"/>
          <w:shd w:val="clear" w:color="auto" w:fill="FFFFFF"/>
          <w:lang w:eastAsia="en-GB"/>
        </w:rPr>
        <w:t>Denny, Frederick. </w:t>
      </w:r>
      <w:r w:rsidRPr="00220C89">
        <w:rPr>
          <w:rFonts w:eastAsia="Times New Roman" w:cstheme="minorHAnsi"/>
          <w:i/>
          <w:iCs/>
          <w:color w:val="222222"/>
          <w:bdr w:val="none" w:sz="0" w:space="0" w:color="auto" w:frame="1"/>
          <w:shd w:val="clear" w:color="auto" w:fill="FFFFFF"/>
          <w:lang w:eastAsia="en-GB"/>
        </w:rPr>
        <w:t>An introduction to Islam</w:t>
      </w:r>
      <w:r w:rsidRPr="00220C89">
        <w:rPr>
          <w:rFonts w:eastAsia="Times New Roman" w:cstheme="minorHAnsi"/>
          <w:color w:val="222222"/>
          <w:bdr w:val="none" w:sz="0" w:space="0" w:color="auto" w:frame="1"/>
          <w:shd w:val="clear" w:color="auto" w:fill="FFFFFF"/>
          <w:lang w:eastAsia="en-GB"/>
        </w:rPr>
        <w:t>. (Oxford, Routledge, 2015).</w:t>
      </w:r>
    </w:p>
    <w:p w14:paraId="3EE0F6F0" w14:textId="77777777" w:rsidR="00B57988" w:rsidRPr="00220C89" w:rsidRDefault="00B57988" w:rsidP="00220C89">
      <w:pPr>
        <w:shd w:val="clear" w:color="auto" w:fill="FFFFFF"/>
        <w:spacing w:line="360" w:lineRule="auto"/>
        <w:textAlignment w:val="baseline"/>
        <w:rPr>
          <w:rFonts w:eastAsia="Times New Roman" w:cstheme="minorHAnsi"/>
          <w:lang w:eastAsia="en-GB"/>
        </w:rPr>
      </w:pPr>
      <w:r w:rsidRPr="00220C89">
        <w:rPr>
          <w:rFonts w:eastAsia="Times New Roman" w:cstheme="minorHAnsi"/>
          <w:highlight w:val="yellow"/>
          <w:lang w:eastAsia="en-GB"/>
        </w:rPr>
        <w:t xml:space="preserve">Gill, Robin, (ed.), </w:t>
      </w:r>
      <w:r w:rsidRPr="00220C89">
        <w:rPr>
          <w:rFonts w:eastAsia="Times New Roman" w:cstheme="minorHAnsi"/>
          <w:i/>
          <w:iCs/>
          <w:highlight w:val="yellow"/>
          <w:lang w:eastAsia="en-GB"/>
        </w:rPr>
        <w:t>The Cambridge companion to Christian ethics</w:t>
      </w:r>
      <w:r w:rsidRPr="00220C89">
        <w:rPr>
          <w:rFonts w:eastAsia="Times New Roman" w:cstheme="minorHAnsi"/>
          <w:highlight w:val="yellow"/>
          <w:lang w:eastAsia="en-GB"/>
        </w:rPr>
        <w:t>. (Cambridge University Press, 2012).</w:t>
      </w:r>
    </w:p>
    <w:p w14:paraId="576E1DF1" w14:textId="77777777" w:rsidR="00B57988" w:rsidRPr="00220C89" w:rsidRDefault="00B57988" w:rsidP="00220C89">
      <w:pPr>
        <w:spacing w:line="360" w:lineRule="auto"/>
        <w:rPr>
          <w:rFonts w:cstheme="minorHAnsi"/>
        </w:rPr>
      </w:pPr>
      <w:r w:rsidRPr="00220C89">
        <w:rPr>
          <w:rFonts w:cstheme="minorHAnsi"/>
        </w:rPr>
        <w:t xml:space="preserve">Kelsey, David. H. </w:t>
      </w:r>
      <w:r w:rsidRPr="00220C89">
        <w:rPr>
          <w:rFonts w:cstheme="minorHAnsi"/>
          <w:i/>
          <w:iCs/>
        </w:rPr>
        <w:t>The uses of scripture in recent theology</w:t>
      </w:r>
      <w:r w:rsidRPr="00220C89">
        <w:rPr>
          <w:rFonts w:cstheme="minorHAnsi"/>
        </w:rPr>
        <w:t xml:space="preserve"> (Philadelphia, Fortress Press, 1975</w:t>
      </w:r>
      <w:r w:rsidRPr="00220C89">
        <w:rPr>
          <w:rFonts w:cstheme="minorHAnsi"/>
        </w:rPr>
        <w:t>)</w:t>
      </w:r>
    </w:p>
    <w:p w14:paraId="367F8EB4" w14:textId="77777777" w:rsidR="00B57988" w:rsidRPr="00220C89" w:rsidRDefault="00B57988" w:rsidP="00220C89">
      <w:pPr>
        <w:shd w:val="clear" w:color="auto" w:fill="FFFFFF"/>
        <w:spacing w:line="360" w:lineRule="auto"/>
        <w:textAlignment w:val="baseline"/>
        <w:rPr>
          <w:rFonts w:eastAsia="Times New Roman" w:cstheme="minorHAnsi"/>
          <w:bdr w:val="none" w:sz="0" w:space="0" w:color="auto" w:frame="1"/>
          <w:shd w:val="clear" w:color="auto" w:fill="FFFFFF"/>
          <w:lang w:eastAsia="en-GB"/>
        </w:rPr>
      </w:pPr>
      <w:r w:rsidRPr="00AF681B">
        <w:rPr>
          <w:rFonts w:eastAsia="Times New Roman" w:cstheme="minorHAnsi"/>
          <w:color w:val="222222"/>
          <w:bdr w:val="none" w:sz="0" w:space="0" w:color="auto" w:frame="1"/>
          <w:shd w:val="clear" w:color="auto" w:fill="FFFFFF"/>
          <w:lang w:eastAsia="en-GB"/>
        </w:rPr>
        <w:t>Musa, Aisha Y. "Hadith as scripture: discussions on the authority of prophetic traditions in Islam." </w:t>
      </w:r>
      <w:r w:rsidRPr="00AF681B">
        <w:rPr>
          <w:rFonts w:eastAsia="Times New Roman" w:cstheme="minorHAnsi"/>
          <w:i/>
          <w:iCs/>
          <w:shd w:val="clear" w:color="auto" w:fill="FFFFFF"/>
          <w:lang w:eastAsia="en-GB"/>
        </w:rPr>
        <w:t>American Journal of Islamic Social Sciences</w:t>
      </w:r>
      <w:r w:rsidRPr="00AF681B">
        <w:rPr>
          <w:rFonts w:eastAsia="Times New Roman" w:cstheme="minorHAnsi"/>
          <w:bdr w:val="none" w:sz="0" w:space="0" w:color="auto" w:frame="1"/>
          <w:shd w:val="clear" w:color="auto" w:fill="FFFFFF"/>
          <w:lang w:eastAsia="en-GB"/>
        </w:rPr>
        <w:t> 27.1 (2010): 132.</w:t>
      </w:r>
    </w:p>
    <w:p w14:paraId="5692554C" w14:textId="77777777" w:rsidR="00B57988" w:rsidRPr="00220C89" w:rsidRDefault="00B57988" w:rsidP="00220C89">
      <w:pPr>
        <w:pStyle w:val="FootnoteText"/>
        <w:spacing w:after="160" w:line="360" w:lineRule="auto"/>
        <w:rPr>
          <w:rFonts w:cstheme="minorHAnsi"/>
          <w:sz w:val="22"/>
          <w:szCs w:val="22"/>
        </w:rPr>
      </w:pPr>
      <w:r w:rsidRPr="00220C89">
        <w:rPr>
          <w:rFonts w:cstheme="minorHAnsi"/>
          <w:i/>
          <w:iCs/>
          <w:sz w:val="22"/>
          <w:szCs w:val="22"/>
        </w:rPr>
        <w:t>New Testament: English Standard Version</w:t>
      </w:r>
      <w:r w:rsidRPr="00220C89">
        <w:rPr>
          <w:rFonts w:cstheme="minorHAnsi"/>
          <w:sz w:val="22"/>
          <w:szCs w:val="22"/>
        </w:rPr>
        <w:t>. (London, Harper Collins 2010).</w:t>
      </w:r>
    </w:p>
    <w:p w14:paraId="46DF3082" w14:textId="77777777" w:rsidR="00B57988" w:rsidRPr="00220C89" w:rsidRDefault="00B57988" w:rsidP="00220C89">
      <w:pPr>
        <w:spacing w:line="360" w:lineRule="auto"/>
        <w:rPr>
          <w:rFonts w:cstheme="minorHAnsi"/>
        </w:rPr>
      </w:pPr>
      <w:r w:rsidRPr="00220C89">
        <w:rPr>
          <w:rStyle w:val="xcontentpasted3"/>
          <w:rFonts w:cstheme="minorHAnsi"/>
          <w:color w:val="222222"/>
          <w:bdr w:val="none" w:sz="0" w:space="0" w:color="auto" w:frame="1"/>
          <w:shd w:val="clear" w:color="auto" w:fill="FFFFFF"/>
        </w:rPr>
        <w:t xml:space="preserve">Riddell, Peter G., Tony Street, and Anthony </w:t>
      </w:r>
      <w:proofErr w:type="spellStart"/>
      <w:r w:rsidRPr="00220C89">
        <w:rPr>
          <w:rStyle w:val="xcontentpasted3"/>
          <w:rFonts w:cstheme="minorHAnsi"/>
          <w:color w:val="222222"/>
          <w:bdr w:val="none" w:sz="0" w:space="0" w:color="auto" w:frame="1"/>
          <w:shd w:val="clear" w:color="auto" w:fill="FFFFFF"/>
        </w:rPr>
        <w:t>Hearle</w:t>
      </w:r>
      <w:proofErr w:type="spellEnd"/>
      <w:r w:rsidRPr="00220C89">
        <w:rPr>
          <w:rStyle w:val="xcontentpasted3"/>
          <w:rFonts w:cstheme="minorHAnsi"/>
          <w:color w:val="222222"/>
          <w:bdr w:val="none" w:sz="0" w:space="0" w:color="auto" w:frame="1"/>
          <w:shd w:val="clear" w:color="auto" w:fill="FFFFFF"/>
        </w:rPr>
        <w:t xml:space="preserve"> Johns, eds. </w:t>
      </w:r>
      <w:r w:rsidRPr="00220C89">
        <w:rPr>
          <w:rFonts w:cstheme="minorHAnsi"/>
          <w:i/>
          <w:iCs/>
          <w:color w:val="222222"/>
          <w:shd w:val="clear" w:color="auto" w:fill="FFFFFF"/>
        </w:rPr>
        <w:t xml:space="preserve">Islam-Essays in Scripture, Thought and Society: A Festschrift in Honour of Anthony H. </w:t>
      </w:r>
      <w:proofErr w:type="spellStart"/>
      <w:r w:rsidRPr="00220C89">
        <w:rPr>
          <w:rFonts w:cstheme="minorHAnsi"/>
          <w:i/>
          <w:iCs/>
          <w:color w:val="222222"/>
          <w:shd w:val="clear" w:color="auto" w:fill="FFFFFF"/>
        </w:rPr>
        <w:t>Johnes</w:t>
      </w:r>
      <w:proofErr w:type="spellEnd"/>
      <w:r w:rsidRPr="00220C89">
        <w:rPr>
          <w:rStyle w:val="xcontentpasted3"/>
          <w:rFonts w:cstheme="minorHAnsi"/>
          <w:color w:val="222222"/>
          <w:bdr w:val="none" w:sz="0" w:space="0" w:color="auto" w:frame="1"/>
          <w:shd w:val="clear" w:color="auto" w:fill="FFFFFF"/>
        </w:rPr>
        <w:t>. Vol. 28. (Boston, Brill, 1997).</w:t>
      </w:r>
    </w:p>
    <w:p w14:paraId="7B54B447" w14:textId="77777777" w:rsidR="00B57988" w:rsidRPr="00220C89" w:rsidRDefault="00B57988" w:rsidP="00220C89">
      <w:pPr>
        <w:pStyle w:val="FootnoteText"/>
        <w:spacing w:after="160" w:line="360" w:lineRule="auto"/>
        <w:rPr>
          <w:rFonts w:cstheme="minorHAnsi"/>
          <w:sz w:val="22"/>
          <w:szCs w:val="22"/>
        </w:rPr>
      </w:pPr>
      <w:r w:rsidRPr="00220C89">
        <w:rPr>
          <w:rFonts w:cstheme="minorHAnsi"/>
          <w:sz w:val="22"/>
          <w:szCs w:val="22"/>
        </w:rPr>
        <w:t xml:space="preserve">Ryken, Leyland, </w:t>
      </w:r>
      <w:r w:rsidRPr="00220C89">
        <w:rPr>
          <w:rFonts w:cstheme="minorHAnsi"/>
          <w:i/>
          <w:iCs/>
          <w:sz w:val="22"/>
          <w:szCs w:val="22"/>
        </w:rPr>
        <w:t>The word of God in English: Criteria for excellence in Bible Translation</w:t>
      </w:r>
      <w:r w:rsidRPr="00220C89">
        <w:rPr>
          <w:rFonts w:cstheme="minorHAnsi"/>
          <w:sz w:val="22"/>
          <w:szCs w:val="22"/>
        </w:rPr>
        <w:t>. (Wheaton, Crossway Books, 2002</w:t>
      </w:r>
      <w:r w:rsidRPr="00220C89">
        <w:rPr>
          <w:rFonts w:cstheme="minorHAnsi"/>
          <w:sz w:val="22"/>
          <w:szCs w:val="22"/>
        </w:rPr>
        <w:t>)</w:t>
      </w:r>
    </w:p>
    <w:p w14:paraId="7B950BD0" w14:textId="77777777" w:rsidR="00B57988" w:rsidRPr="00220C89" w:rsidRDefault="00B57988" w:rsidP="00220C89">
      <w:pPr>
        <w:pStyle w:val="FootnoteText"/>
        <w:spacing w:after="160" w:line="360" w:lineRule="auto"/>
        <w:rPr>
          <w:rFonts w:cstheme="minorHAnsi"/>
          <w:sz w:val="22"/>
          <w:szCs w:val="22"/>
        </w:rPr>
      </w:pPr>
      <w:proofErr w:type="spellStart"/>
      <w:r w:rsidRPr="00220C89">
        <w:rPr>
          <w:rFonts w:cstheme="minorHAnsi"/>
          <w:color w:val="222222"/>
          <w:sz w:val="22"/>
          <w:szCs w:val="22"/>
          <w:bdr w:val="none" w:sz="0" w:space="0" w:color="auto" w:frame="1"/>
          <w:shd w:val="clear" w:color="auto" w:fill="FFFFFF"/>
        </w:rPr>
        <w:t>Weeramantry</w:t>
      </w:r>
      <w:proofErr w:type="spellEnd"/>
      <w:r w:rsidRPr="00220C89">
        <w:rPr>
          <w:rFonts w:cstheme="minorHAnsi"/>
          <w:color w:val="222222"/>
          <w:sz w:val="22"/>
          <w:szCs w:val="22"/>
          <w:bdr w:val="none" w:sz="0" w:space="0" w:color="auto" w:frame="1"/>
          <w:shd w:val="clear" w:color="auto" w:fill="FFFFFF"/>
        </w:rPr>
        <w:t>, Christopher Gregory. </w:t>
      </w:r>
      <w:r w:rsidRPr="00220C89">
        <w:rPr>
          <w:rFonts w:cstheme="minorHAnsi"/>
          <w:i/>
          <w:iCs/>
          <w:color w:val="222222"/>
          <w:sz w:val="22"/>
          <w:szCs w:val="22"/>
          <w:shd w:val="clear" w:color="auto" w:fill="FFFFFF"/>
        </w:rPr>
        <w:t>Islamic jurisprudence: an international perspective</w:t>
      </w:r>
      <w:r w:rsidRPr="00220C89">
        <w:rPr>
          <w:rFonts w:cstheme="minorHAnsi"/>
          <w:color w:val="222222"/>
          <w:sz w:val="22"/>
          <w:szCs w:val="22"/>
          <w:bdr w:val="none" w:sz="0" w:space="0" w:color="auto" w:frame="1"/>
          <w:shd w:val="clear" w:color="auto" w:fill="FFFFFF"/>
        </w:rPr>
        <w:t>. (Berlin, Springer, 1988), 30</w:t>
      </w:r>
    </w:p>
    <w:p w14:paraId="33EBF1ED" w14:textId="77777777" w:rsidR="00B57988" w:rsidRPr="00AF681B" w:rsidRDefault="00B57988" w:rsidP="00220C89">
      <w:pPr>
        <w:shd w:val="clear" w:color="auto" w:fill="FFFFFF"/>
        <w:spacing w:line="360" w:lineRule="auto"/>
        <w:textAlignment w:val="baseline"/>
        <w:rPr>
          <w:rFonts w:eastAsia="Times New Roman" w:cstheme="minorHAnsi"/>
          <w:color w:val="7232AD"/>
          <w:lang w:eastAsia="en-GB"/>
        </w:rPr>
      </w:pPr>
    </w:p>
    <w:p w14:paraId="43C9180D" w14:textId="77777777" w:rsidR="00673643" w:rsidRPr="00220C89" w:rsidRDefault="00673643" w:rsidP="00220C89">
      <w:pPr>
        <w:spacing w:line="360" w:lineRule="auto"/>
        <w:rPr>
          <w:rFonts w:cstheme="minorHAnsi"/>
        </w:rPr>
      </w:pPr>
    </w:p>
    <w:sectPr w:rsidR="00673643" w:rsidRPr="00220C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6884E" w14:textId="77777777" w:rsidR="00B7746B" w:rsidRDefault="00B7746B" w:rsidP="00B761FE">
      <w:pPr>
        <w:spacing w:after="0" w:line="240" w:lineRule="auto"/>
      </w:pPr>
      <w:r>
        <w:separator/>
      </w:r>
    </w:p>
  </w:endnote>
  <w:endnote w:type="continuationSeparator" w:id="0">
    <w:p w14:paraId="2DFBE2A1" w14:textId="77777777" w:rsidR="00B7746B" w:rsidRDefault="00B7746B" w:rsidP="00B76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FA0CA" w14:textId="77777777" w:rsidR="00B7746B" w:rsidRDefault="00B7746B" w:rsidP="00B761FE">
      <w:pPr>
        <w:spacing w:after="0" w:line="240" w:lineRule="auto"/>
      </w:pPr>
      <w:r>
        <w:separator/>
      </w:r>
    </w:p>
  </w:footnote>
  <w:footnote w:type="continuationSeparator" w:id="0">
    <w:p w14:paraId="2D40628F" w14:textId="77777777" w:rsidR="00B7746B" w:rsidRDefault="00B7746B" w:rsidP="00B761FE">
      <w:pPr>
        <w:spacing w:after="0" w:line="240" w:lineRule="auto"/>
      </w:pPr>
      <w:r>
        <w:continuationSeparator/>
      </w:r>
    </w:p>
  </w:footnote>
  <w:footnote w:id="1">
    <w:p w14:paraId="1EDD4C29" w14:textId="1FFDF0BB" w:rsidR="00B761FE" w:rsidRDefault="00B761FE">
      <w:pPr>
        <w:pStyle w:val="FootnoteText"/>
      </w:pPr>
      <w:r>
        <w:rPr>
          <w:rStyle w:val="FootnoteReference"/>
        </w:rPr>
        <w:footnoteRef/>
      </w:r>
      <w:r>
        <w:t xml:space="preserve"> </w:t>
      </w:r>
      <w:r w:rsidRPr="00B761FE">
        <w:t xml:space="preserve">Ryken, Leyland, </w:t>
      </w:r>
      <w:r w:rsidRPr="00B761FE">
        <w:rPr>
          <w:i/>
          <w:iCs/>
        </w:rPr>
        <w:t>The word of God in English: Criteria for excellence in Bible Translation</w:t>
      </w:r>
      <w:r w:rsidRPr="00B761FE">
        <w:t>. (Wheaton, Crossway Books, 2002</w:t>
      </w:r>
      <w:r w:rsidR="00673643">
        <w:t>)</w:t>
      </w:r>
    </w:p>
  </w:footnote>
  <w:footnote w:id="2">
    <w:p w14:paraId="0BAC7A90" w14:textId="7C1B227D" w:rsidR="00AF681B" w:rsidRDefault="00AF681B">
      <w:pPr>
        <w:pStyle w:val="FootnoteText"/>
      </w:pPr>
      <w:r>
        <w:rPr>
          <w:rStyle w:val="FootnoteReference"/>
        </w:rPr>
        <w:footnoteRef/>
      </w:r>
      <w:r>
        <w:t xml:space="preserve"> </w:t>
      </w:r>
      <w:r w:rsidRPr="00AF681B">
        <w:t>New Testament: English Standard Version. (London, Harper Collins 2010).</w:t>
      </w:r>
    </w:p>
  </w:footnote>
  <w:footnote w:id="3">
    <w:p w14:paraId="72750639" w14:textId="7DBEE902" w:rsidR="00B761FE" w:rsidRDefault="00B761FE">
      <w:pPr>
        <w:pStyle w:val="FootnoteText"/>
      </w:pPr>
      <w:r>
        <w:rPr>
          <w:rStyle w:val="FootnoteReference"/>
        </w:rPr>
        <w:footnoteRef/>
      </w:r>
      <w:r>
        <w:t xml:space="preserve"> </w:t>
      </w:r>
      <w:r w:rsidRPr="00B761FE">
        <w:t xml:space="preserve">Kelsey, David. H. </w:t>
      </w:r>
      <w:r w:rsidRPr="00B761FE">
        <w:rPr>
          <w:i/>
          <w:iCs/>
        </w:rPr>
        <w:t>The uses of scripture in recent theology</w:t>
      </w:r>
      <w:r w:rsidRPr="00B761FE">
        <w:t xml:space="preserve"> (Philadelphia, Fortress Press, 1975</w:t>
      </w:r>
      <w:r w:rsidR="00673643">
        <w:t>)</w:t>
      </w:r>
    </w:p>
  </w:footnote>
  <w:footnote w:id="4">
    <w:p w14:paraId="57233E39" w14:textId="018326D0" w:rsidR="00B761FE" w:rsidRPr="00B761FE" w:rsidRDefault="00B761FE" w:rsidP="00AF681B">
      <w:pPr>
        <w:shd w:val="clear" w:color="auto" w:fill="FFFFFF"/>
        <w:spacing w:after="0"/>
        <w:textAlignment w:val="baseline"/>
        <w:rPr>
          <w:rFonts w:ascii="Candara" w:eastAsia="Times New Roman" w:hAnsi="Candara" w:cs="Times New Roman"/>
          <w:color w:val="7232AD"/>
          <w:sz w:val="24"/>
          <w:szCs w:val="24"/>
          <w:lang w:eastAsia="en-GB"/>
        </w:rPr>
      </w:pPr>
      <w:r>
        <w:rPr>
          <w:rStyle w:val="FootnoteReference"/>
        </w:rPr>
        <w:footnoteRef/>
      </w:r>
      <w:r>
        <w:t xml:space="preserve"> </w:t>
      </w:r>
      <w:r w:rsidRPr="00B761FE">
        <w:rPr>
          <w:rFonts w:ascii="Arial" w:eastAsia="Times New Roman" w:hAnsi="Arial" w:cs="Arial"/>
          <w:color w:val="222222"/>
          <w:sz w:val="20"/>
          <w:szCs w:val="20"/>
          <w:bdr w:val="none" w:sz="0" w:space="0" w:color="auto" w:frame="1"/>
          <w:shd w:val="clear" w:color="auto" w:fill="FFFFFF"/>
          <w:lang w:eastAsia="en-GB"/>
        </w:rPr>
        <w:t>Denny, Frederick. </w:t>
      </w:r>
      <w:r w:rsidRPr="00B761FE">
        <w:rPr>
          <w:rFonts w:ascii="Arial" w:eastAsia="Times New Roman" w:hAnsi="Arial" w:cs="Arial"/>
          <w:i/>
          <w:iCs/>
          <w:color w:val="222222"/>
          <w:sz w:val="20"/>
          <w:szCs w:val="20"/>
          <w:bdr w:val="none" w:sz="0" w:space="0" w:color="auto" w:frame="1"/>
          <w:shd w:val="clear" w:color="auto" w:fill="FFFFFF"/>
          <w:lang w:eastAsia="en-GB"/>
        </w:rPr>
        <w:t>An introduction to Islam</w:t>
      </w:r>
      <w:r w:rsidRPr="00B761FE">
        <w:rPr>
          <w:rFonts w:ascii="Arial" w:eastAsia="Times New Roman" w:hAnsi="Arial" w:cs="Arial"/>
          <w:color w:val="222222"/>
          <w:sz w:val="20"/>
          <w:szCs w:val="20"/>
          <w:bdr w:val="none" w:sz="0" w:space="0" w:color="auto" w:frame="1"/>
          <w:shd w:val="clear" w:color="auto" w:fill="FFFFFF"/>
          <w:lang w:eastAsia="en-GB"/>
        </w:rPr>
        <w:t>. (Oxford, Routledge, 2015).</w:t>
      </w:r>
    </w:p>
  </w:footnote>
  <w:footnote w:id="5">
    <w:p w14:paraId="1A64A18C" w14:textId="19773B83" w:rsidR="00B761FE" w:rsidRDefault="00B761FE">
      <w:pPr>
        <w:pStyle w:val="FootnoteText"/>
      </w:pPr>
      <w:r>
        <w:rPr>
          <w:rStyle w:val="FootnoteReference"/>
        </w:rPr>
        <w:footnoteRef/>
      </w:r>
      <w:r>
        <w:t xml:space="preserve"> </w:t>
      </w:r>
      <w:r>
        <w:rPr>
          <w:rStyle w:val="xcontentpasted3"/>
          <w:rFonts w:ascii="Arial" w:hAnsi="Arial" w:cs="Arial"/>
          <w:color w:val="222222"/>
          <w:bdr w:val="none" w:sz="0" w:space="0" w:color="auto" w:frame="1"/>
          <w:shd w:val="clear" w:color="auto" w:fill="FFFFFF"/>
        </w:rPr>
        <w:t xml:space="preserve">Riddell, Peter G., Tony Street, and Anthony </w:t>
      </w:r>
      <w:proofErr w:type="spellStart"/>
      <w:r>
        <w:rPr>
          <w:rStyle w:val="xcontentpasted3"/>
          <w:rFonts w:ascii="Arial" w:hAnsi="Arial" w:cs="Arial"/>
          <w:color w:val="222222"/>
          <w:bdr w:val="none" w:sz="0" w:space="0" w:color="auto" w:frame="1"/>
          <w:shd w:val="clear" w:color="auto" w:fill="FFFFFF"/>
        </w:rPr>
        <w:t>Hearle</w:t>
      </w:r>
      <w:proofErr w:type="spellEnd"/>
      <w:r>
        <w:rPr>
          <w:rStyle w:val="xcontentpasted3"/>
          <w:rFonts w:ascii="Arial" w:hAnsi="Arial" w:cs="Arial"/>
          <w:color w:val="222222"/>
          <w:bdr w:val="none" w:sz="0" w:space="0" w:color="auto" w:frame="1"/>
          <w:shd w:val="clear" w:color="auto" w:fill="FFFFFF"/>
        </w:rPr>
        <w:t xml:space="preserve"> Johns, eds. </w:t>
      </w:r>
      <w:r>
        <w:rPr>
          <w:rFonts w:ascii="Arial" w:hAnsi="Arial" w:cs="Arial"/>
          <w:i/>
          <w:iCs/>
          <w:color w:val="222222"/>
          <w:shd w:val="clear" w:color="auto" w:fill="FFFFFF"/>
        </w:rPr>
        <w:t xml:space="preserve">Islam-Essays in Scripture, Thought and Society: A Festschrift in Honour of Anthony H. </w:t>
      </w:r>
      <w:proofErr w:type="spellStart"/>
      <w:r>
        <w:rPr>
          <w:rFonts w:ascii="Arial" w:hAnsi="Arial" w:cs="Arial"/>
          <w:i/>
          <w:iCs/>
          <w:color w:val="222222"/>
          <w:shd w:val="clear" w:color="auto" w:fill="FFFFFF"/>
        </w:rPr>
        <w:t>Johnes</w:t>
      </w:r>
      <w:proofErr w:type="spellEnd"/>
      <w:r>
        <w:rPr>
          <w:rStyle w:val="xcontentpasted3"/>
          <w:rFonts w:ascii="Arial" w:hAnsi="Arial" w:cs="Arial"/>
          <w:color w:val="222222"/>
          <w:bdr w:val="none" w:sz="0" w:space="0" w:color="auto" w:frame="1"/>
          <w:shd w:val="clear" w:color="auto" w:fill="FFFFFF"/>
        </w:rPr>
        <w:t>. Vol. 28. (Boston, Brill, 1997).</w:t>
      </w:r>
    </w:p>
  </w:footnote>
  <w:footnote w:id="6">
    <w:p w14:paraId="028D6570" w14:textId="44FA66F6" w:rsidR="00984E35" w:rsidRDefault="00984E35">
      <w:pPr>
        <w:pStyle w:val="FootnoteText"/>
      </w:pPr>
      <w:r>
        <w:rPr>
          <w:rStyle w:val="FootnoteReference"/>
        </w:rPr>
        <w:footnoteRef/>
      </w:r>
      <w:r>
        <w:t xml:space="preserve"> </w:t>
      </w:r>
      <w:proofErr w:type="spellStart"/>
      <w:r>
        <w:rPr>
          <w:rFonts w:ascii="Arial" w:hAnsi="Arial" w:cs="Arial"/>
          <w:color w:val="222222"/>
          <w:bdr w:val="none" w:sz="0" w:space="0" w:color="auto" w:frame="1"/>
          <w:shd w:val="clear" w:color="auto" w:fill="FFFFFF"/>
        </w:rPr>
        <w:t>Weeramantry</w:t>
      </w:r>
      <w:proofErr w:type="spellEnd"/>
      <w:r>
        <w:rPr>
          <w:rFonts w:ascii="Arial" w:hAnsi="Arial" w:cs="Arial"/>
          <w:color w:val="222222"/>
          <w:bdr w:val="none" w:sz="0" w:space="0" w:color="auto" w:frame="1"/>
          <w:shd w:val="clear" w:color="auto" w:fill="FFFFFF"/>
        </w:rPr>
        <w:t>, Christopher Gregory. </w:t>
      </w:r>
      <w:r>
        <w:rPr>
          <w:rFonts w:ascii="Arial" w:hAnsi="Arial" w:cs="Arial"/>
          <w:i/>
          <w:iCs/>
          <w:color w:val="222222"/>
          <w:shd w:val="clear" w:color="auto" w:fill="FFFFFF"/>
        </w:rPr>
        <w:t>Islamic jurisprudence: an international perspective</w:t>
      </w:r>
      <w:r>
        <w:rPr>
          <w:rFonts w:ascii="Arial" w:hAnsi="Arial" w:cs="Arial"/>
          <w:color w:val="222222"/>
          <w:bdr w:val="none" w:sz="0" w:space="0" w:color="auto" w:frame="1"/>
          <w:shd w:val="clear" w:color="auto" w:fill="FFFFFF"/>
        </w:rPr>
        <w:t>. (Berlin, Springer, 1988), 30</w:t>
      </w:r>
    </w:p>
  </w:footnote>
  <w:footnote w:id="7">
    <w:p w14:paraId="6CEE4A91" w14:textId="0962AF2D" w:rsidR="00AF681B" w:rsidRPr="00AF681B" w:rsidRDefault="00AF681B" w:rsidP="00AF681B">
      <w:pPr>
        <w:shd w:val="clear" w:color="auto" w:fill="FFFFFF"/>
        <w:textAlignment w:val="baseline"/>
        <w:rPr>
          <w:rFonts w:ascii="Candara" w:eastAsia="Times New Roman" w:hAnsi="Candara" w:cs="Times New Roman"/>
          <w:color w:val="7232AD"/>
          <w:sz w:val="24"/>
          <w:szCs w:val="24"/>
          <w:lang w:eastAsia="en-GB"/>
        </w:rPr>
      </w:pPr>
      <w:r>
        <w:rPr>
          <w:rStyle w:val="FootnoteReference"/>
        </w:rPr>
        <w:footnoteRef/>
      </w:r>
      <w:r>
        <w:t xml:space="preserve"> </w:t>
      </w:r>
      <w:r w:rsidRPr="00AF681B">
        <w:rPr>
          <w:rFonts w:ascii="Arial" w:eastAsia="Times New Roman" w:hAnsi="Arial" w:cs="Arial"/>
          <w:color w:val="222222"/>
          <w:sz w:val="20"/>
          <w:szCs w:val="20"/>
          <w:bdr w:val="none" w:sz="0" w:space="0" w:color="auto" w:frame="1"/>
          <w:shd w:val="clear" w:color="auto" w:fill="FFFFFF"/>
          <w:lang w:eastAsia="en-GB"/>
        </w:rPr>
        <w:t>Musa, Aisha Y. "Hadith as scripture: discussions on the authority of prophetic traditions in Islam." </w:t>
      </w:r>
      <w:r w:rsidRPr="00AF681B">
        <w:rPr>
          <w:rFonts w:ascii="Arial" w:eastAsia="Times New Roman" w:hAnsi="Arial" w:cs="Arial"/>
          <w:i/>
          <w:iCs/>
          <w:color w:val="222222"/>
          <w:sz w:val="20"/>
          <w:szCs w:val="20"/>
          <w:shd w:val="clear" w:color="auto" w:fill="FFFFFF"/>
          <w:lang w:eastAsia="en-GB"/>
        </w:rPr>
        <w:t>American Journal of Islamic Social Sciences</w:t>
      </w:r>
      <w:r w:rsidRPr="00AF681B">
        <w:rPr>
          <w:rFonts w:ascii="Arial" w:eastAsia="Times New Roman" w:hAnsi="Arial" w:cs="Arial"/>
          <w:color w:val="222222"/>
          <w:sz w:val="20"/>
          <w:szCs w:val="20"/>
          <w:bdr w:val="none" w:sz="0" w:space="0" w:color="auto" w:frame="1"/>
          <w:shd w:val="clear" w:color="auto" w:fill="FFFFFF"/>
          <w:lang w:eastAsia="en-GB"/>
        </w:rPr>
        <w:t> 27.1 (2010): 132.</w:t>
      </w:r>
    </w:p>
    <w:p w14:paraId="2B5ED8EE" w14:textId="0CAF7E03" w:rsidR="00AF681B" w:rsidRDefault="00AF681B">
      <w:pPr>
        <w:pStyle w:val="FootnoteText"/>
      </w:pPr>
    </w:p>
  </w:footnote>
  <w:footnote w:id="8">
    <w:p w14:paraId="4BE387FB" w14:textId="5638CA7A" w:rsidR="00C67948" w:rsidRDefault="00C67948" w:rsidP="00C67948">
      <w:pPr>
        <w:pStyle w:val="FootnoteText"/>
      </w:pPr>
      <w:r>
        <w:rPr>
          <w:rStyle w:val="FootnoteReference"/>
        </w:rPr>
        <w:footnoteRef/>
      </w:r>
      <w:r>
        <w:t xml:space="preserve"> Brown, </w:t>
      </w:r>
      <w:r>
        <w:t xml:space="preserve">Jonathan A.C. </w:t>
      </w:r>
      <w:r>
        <w:t>“</w:t>
      </w:r>
      <w:r>
        <w:t>Hadith</w:t>
      </w:r>
      <w:r>
        <w:t>”</w:t>
      </w:r>
      <w:r w:rsidR="00673643">
        <w:t xml:space="preserve">, </w:t>
      </w:r>
      <w:r w:rsidR="00673643" w:rsidRPr="00673643">
        <w:rPr>
          <w:i/>
          <w:iCs/>
        </w:rPr>
        <w:t>O</w:t>
      </w:r>
      <w:r w:rsidRPr="00673643">
        <w:rPr>
          <w:i/>
          <w:iCs/>
        </w:rPr>
        <w:t>xford Bibliographies</w:t>
      </w:r>
      <w:r w:rsidR="00673643" w:rsidRPr="00673643">
        <w:rPr>
          <w:i/>
          <w:iCs/>
        </w:rPr>
        <w:t xml:space="preserve"> </w:t>
      </w:r>
      <w:r w:rsidR="00673643">
        <w:t xml:space="preserve">(1.2.2023) </w:t>
      </w:r>
      <w:hyperlink r:id="rId1" w:history="1">
        <w:r w:rsidR="00673643" w:rsidRPr="00B65ECA">
          <w:rPr>
            <w:rStyle w:val="Hyperlink"/>
          </w:rPr>
          <w:t>https://www.oxfordbibliographies.com/display/document/obo-9780195390155/obo-9780195390155-0030.xml#:~:text=A%20Hadith%20(Arabic%20plural%20aHadith,his%20authoritative%20precedent%20(Sunna</w:t>
        </w:r>
      </w:hyperlink>
      <w:r w:rsidR="00673643" w:rsidRPr="00673643">
        <w:t>).</w:t>
      </w:r>
      <w:r w:rsidR="00673643">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205571"/>
    <w:multiLevelType w:val="hybridMultilevel"/>
    <w:tmpl w:val="3B105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9718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8C"/>
    <w:rsid w:val="00014B34"/>
    <w:rsid w:val="00027403"/>
    <w:rsid w:val="00052182"/>
    <w:rsid w:val="00080302"/>
    <w:rsid w:val="000F08A2"/>
    <w:rsid w:val="00115D4D"/>
    <w:rsid w:val="001222B0"/>
    <w:rsid w:val="00135C8C"/>
    <w:rsid w:val="001725E3"/>
    <w:rsid w:val="001727EC"/>
    <w:rsid w:val="001B7960"/>
    <w:rsid w:val="001D22BA"/>
    <w:rsid w:val="001E2F48"/>
    <w:rsid w:val="00220C89"/>
    <w:rsid w:val="0027122E"/>
    <w:rsid w:val="00295CD2"/>
    <w:rsid w:val="00300DBD"/>
    <w:rsid w:val="00392DD0"/>
    <w:rsid w:val="00396A13"/>
    <w:rsid w:val="003D0398"/>
    <w:rsid w:val="003D0C84"/>
    <w:rsid w:val="003E3024"/>
    <w:rsid w:val="003E5C00"/>
    <w:rsid w:val="00416433"/>
    <w:rsid w:val="00430483"/>
    <w:rsid w:val="00496AB1"/>
    <w:rsid w:val="00497DD2"/>
    <w:rsid w:val="00517C6C"/>
    <w:rsid w:val="00563DBA"/>
    <w:rsid w:val="00574CE0"/>
    <w:rsid w:val="005A115B"/>
    <w:rsid w:val="005B78BC"/>
    <w:rsid w:val="00601BE8"/>
    <w:rsid w:val="00616EF9"/>
    <w:rsid w:val="00617F0B"/>
    <w:rsid w:val="00657901"/>
    <w:rsid w:val="00671F5B"/>
    <w:rsid w:val="00673643"/>
    <w:rsid w:val="0067456C"/>
    <w:rsid w:val="006A1E96"/>
    <w:rsid w:val="006A3519"/>
    <w:rsid w:val="006A4C2C"/>
    <w:rsid w:val="00701E6A"/>
    <w:rsid w:val="00702853"/>
    <w:rsid w:val="00707C61"/>
    <w:rsid w:val="007239F6"/>
    <w:rsid w:val="00733C91"/>
    <w:rsid w:val="0075002F"/>
    <w:rsid w:val="00760E09"/>
    <w:rsid w:val="00763787"/>
    <w:rsid w:val="00793921"/>
    <w:rsid w:val="007D3A39"/>
    <w:rsid w:val="007D3AA7"/>
    <w:rsid w:val="00825440"/>
    <w:rsid w:val="00825D4A"/>
    <w:rsid w:val="00827F6A"/>
    <w:rsid w:val="008A1D1C"/>
    <w:rsid w:val="00984E35"/>
    <w:rsid w:val="0098655D"/>
    <w:rsid w:val="00987088"/>
    <w:rsid w:val="009D5CFC"/>
    <w:rsid w:val="009D7516"/>
    <w:rsid w:val="00A24D46"/>
    <w:rsid w:val="00A42700"/>
    <w:rsid w:val="00A52225"/>
    <w:rsid w:val="00A5300B"/>
    <w:rsid w:val="00AB14F5"/>
    <w:rsid w:val="00AB4046"/>
    <w:rsid w:val="00AD58BC"/>
    <w:rsid w:val="00AF681B"/>
    <w:rsid w:val="00B57988"/>
    <w:rsid w:val="00B67342"/>
    <w:rsid w:val="00B67AD5"/>
    <w:rsid w:val="00B761FE"/>
    <w:rsid w:val="00B7746B"/>
    <w:rsid w:val="00B95105"/>
    <w:rsid w:val="00BB5278"/>
    <w:rsid w:val="00BD0CA4"/>
    <w:rsid w:val="00C0207B"/>
    <w:rsid w:val="00C21250"/>
    <w:rsid w:val="00C3523F"/>
    <w:rsid w:val="00C67948"/>
    <w:rsid w:val="00C9572A"/>
    <w:rsid w:val="00CB6C40"/>
    <w:rsid w:val="00CD4318"/>
    <w:rsid w:val="00D35F6A"/>
    <w:rsid w:val="00D557C6"/>
    <w:rsid w:val="00D60A42"/>
    <w:rsid w:val="00D66492"/>
    <w:rsid w:val="00D81D51"/>
    <w:rsid w:val="00D93E34"/>
    <w:rsid w:val="00D96D70"/>
    <w:rsid w:val="00DA61CE"/>
    <w:rsid w:val="00E04EBD"/>
    <w:rsid w:val="00E46685"/>
    <w:rsid w:val="00E52A44"/>
    <w:rsid w:val="00E549EC"/>
    <w:rsid w:val="00E73D16"/>
    <w:rsid w:val="00E7540C"/>
    <w:rsid w:val="00E80A04"/>
    <w:rsid w:val="00E87516"/>
    <w:rsid w:val="00EB58E9"/>
    <w:rsid w:val="00F11E07"/>
    <w:rsid w:val="00F1356D"/>
    <w:rsid w:val="00F24C79"/>
    <w:rsid w:val="00F777A0"/>
    <w:rsid w:val="00FB6432"/>
    <w:rsid w:val="00FD3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28569"/>
  <w15:chartTrackingRefBased/>
  <w15:docId w15:val="{8E7B3531-F6D4-432E-BB31-F0283106F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C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C8C"/>
    <w:pPr>
      <w:ind w:left="720"/>
      <w:contextualSpacing/>
    </w:pPr>
  </w:style>
  <w:style w:type="paragraph" w:styleId="FootnoteText">
    <w:name w:val="footnote text"/>
    <w:basedOn w:val="Normal"/>
    <w:link w:val="FootnoteTextChar"/>
    <w:uiPriority w:val="99"/>
    <w:semiHidden/>
    <w:unhideWhenUsed/>
    <w:rsid w:val="00B761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61FE"/>
    <w:rPr>
      <w:sz w:val="20"/>
      <w:szCs w:val="20"/>
    </w:rPr>
  </w:style>
  <w:style w:type="character" w:styleId="FootnoteReference">
    <w:name w:val="footnote reference"/>
    <w:basedOn w:val="DefaultParagraphFont"/>
    <w:uiPriority w:val="99"/>
    <w:semiHidden/>
    <w:unhideWhenUsed/>
    <w:rsid w:val="00B761FE"/>
    <w:rPr>
      <w:vertAlign w:val="superscript"/>
    </w:rPr>
  </w:style>
  <w:style w:type="character" w:customStyle="1" w:styleId="xcontentpasted3">
    <w:name w:val="x_contentpasted3"/>
    <w:basedOn w:val="DefaultParagraphFont"/>
    <w:rsid w:val="00B761FE"/>
  </w:style>
  <w:style w:type="character" w:customStyle="1" w:styleId="xcontentpasted1">
    <w:name w:val="x_contentpasted1"/>
    <w:basedOn w:val="DefaultParagraphFont"/>
    <w:rsid w:val="00B761FE"/>
  </w:style>
  <w:style w:type="character" w:customStyle="1" w:styleId="xcontentpasted2">
    <w:name w:val="x_contentpasted2"/>
    <w:basedOn w:val="DefaultParagraphFont"/>
    <w:rsid w:val="00B761FE"/>
  </w:style>
  <w:style w:type="character" w:styleId="Hyperlink">
    <w:name w:val="Hyperlink"/>
    <w:basedOn w:val="DefaultParagraphFont"/>
    <w:uiPriority w:val="99"/>
    <w:unhideWhenUsed/>
    <w:rsid w:val="00673643"/>
    <w:rPr>
      <w:color w:val="0563C1" w:themeColor="hyperlink"/>
      <w:u w:val="single"/>
    </w:rPr>
  </w:style>
  <w:style w:type="character" w:styleId="UnresolvedMention">
    <w:name w:val="Unresolved Mention"/>
    <w:basedOn w:val="DefaultParagraphFont"/>
    <w:uiPriority w:val="99"/>
    <w:semiHidden/>
    <w:unhideWhenUsed/>
    <w:rsid w:val="006736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44070">
      <w:bodyDiv w:val="1"/>
      <w:marLeft w:val="0"/>
      <w:marRight w:val="0"/>
      <w:marTop w:val="0"/>
      <w:marBottom w:val="0"/>
      <w:divBdr>
        <w:top w:val="none" w:sz="0" w:space="0" w:color="auto"/>
        <w:left w:val="none" w:sz="0" w:space="0" w:color="auto"/>
        <w:bottom w:val="none" w:sz="0" w:space="0" w:color="auto"/>
        <w:right w:val="none" w:sz="0" w:space="0" w:color="auto"/>
      </w:divBdr>
    </w:div>
    <w:div w:id="1802652178">
      <w:bodyDiv w:val="1"/>
      <w:marLeft w:val="0"/>
      <w:marRight w:val="0"/>
      <w:marTop w:val="0"/>
      <w:marBottom w:val="0"/>
      <w:divBdr>
        <w:top w:val="none" w:sz="0" w:space="0" w:color="auto"/>
        <w:left w:val="none" w:sz="0" w:space="0" w:color="auto"/>
        <w:bottom w:val="none" w:sz="0" w:space="0" w:color="auto"/>
        <w:right w:val="none" w:sz="0" w:space="0" w:color="auto"/>
      </w:divBdr>
    </w:div>
    <w:div w:id="2075347661">
      <w:bodyDiv w:val="1"/>
      <w:marLeft w:val="0"/>
      <w:marRight w:val="0"/>
      <w:marTop w:val="0"/>
      <w:marBottom w:val="0"/>
      <w:divBdr>
        <w:top w:val="none" w:sz="0" w:space="0" w:color="auto"/>
        <w:left w:val="none" w:sz="0" w:space="0" w:color="auto"/>
        <w:bottom w:val="none" w:sz="0" w:space="0" w:color="auto"/>
        <w:right w:val="none" w:sz="0" w:space="0" w:color="auto"/>
      </w:divBdr>
      <w:divsChild>
        <w:div w:id="29496393">
          <w:marLeft w:val="0"/>
          <w:marRight w:val="0"/>
          <w:marTop w:val="0"/>
          <w:marBottom w:val="0"/>
          <w:divBdr>
            <w:top w:val="none" w:sz="0" w:space="0" w:color="auto"/>
            <w:left w:val="none" w:sz="0" w:space="0" w:color="auto"/>
            <w:bottom w:val="none" w:sz="0" w:space="0" w:color="auto"/>
            <w:right w:val="none" w:sz="0" w:space="0" w:color="auto"/>
          </w:divBdr>
        </w:div>
        <w:div w:id="1354191981">
          <w:marLeft w:val="0"/>
          <w:marRight w:val="0"/>
          <w:marTop w:val="0"/>
          <w:marBottom w:val="0"/>
          <w:divBdr>
            <w:top w:val="none" w:sz="0" w:space="0" w:color="auto"/>
            <w:left w:val="none" w:sz="0" w:space="0" w:color="auto"/>
            <w:bottom w:val="none" w:sz="0" w:space="0" w:color="auto"/>
            <w:right w:val="none" w:sz="0" w:space="0" w:color="auto"/>
          </w:divBdr>
        </w:div>
      </w:divsChild>
    </w:div>
    <w:div w:id="2094625614">
      <w:bodyDiv w:val="1"/>
      <w:marLeft w:val="0"/>
      <w:marRight w:val="0"/>
      <w:marTop w:val="0"/>
      <w:marBottom w:val="0"/>
      <w:divBdr>
        <w:top w:val="none" w:sz="0" w:space="0" w:color="auto"/>
        <w:left w:val="none" w:sz="0" w:space="0" w:color="auto"/>
        <w:bottom w:val="none" w:sz="0" w:space="0" w:color="auto"/>
        <w:right w:val="none" w:sz="0" w:space="0" w:color="auto"/>
      </w:divBdr>
      <w:divsChild>
        <w:div w:id="427388726">
          <w:marLeft w:val="0"/>
          <w:marRight w:val="0"/>
          <w:marTop w:val="0"/>
          <w:marBottom w:val="0"/>
          <w:divBdr>
            <w:top w:val="none" w:sz="0" w:space="0" w:color="auto"/>
            <w:left w:val="none" w:sz="0" w:space="0" w:color="auto"/>
            <w:bottom w:val="none" w:sz="0" w:space="0" w:color="auto"/>
            <w:right w:val="none" w:sz="0" w:space="0" w:color="auto"/>
          </w:divBdr>
        </w:div>
        <w:div w:id="413355377">
          <w:marLeft w:val="0"/>
          <w:marRight w:val="0"/>
          <w:marTop w:val="0"/>
          <w:marBottom w:val="0"/>
          <w:divBdr>
            <w:top w:val="none" w:sz="0" w:space="0" w:color="auto"/>
            <w:left w:val="none" w:sz="0" w:space="0" w:color="auto"/>
            <w:bottom w:val="none" w:sz="0" w:space="0" w:color="auto"/>
            <w:right w:val="none" w:sz="0" w:space="0" w:color="auto"/>
          </w:divBdr>
        </w:div>
      </w:divsChild>
    </w:div>
    <w:div w:id="2110078398">
      <w:bodyDiv w:val="1"/>
      <w:marLeft w:val="0"/>
      <w:marRight w:val="0"/>
      <w:marTop w:val="0"/>
      <w:marBottom w:val="0"/>
      <w:divBdr>
        <w:top w:val="none" w:sz="0" w:space="0" w:color="auto"/>
        <w:left w:val="none" w:sz="0" w:space="0" w:color="auto"/>
        <w:bottom w:val="none" w:sz="0" w:space="0" w:color="auto"/>
        <w:right w:val="none" w:sz="0" w:space="0" w:color="auto"/>
      </w:divBdr>
      <w:divsChild>
        <w:div w:id="1623000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bibliographies.com/display/document/obo-9780195390155/obo-9780195390155-0030.xml#:~:text=A%20Hadith%20(Arabic%20plural%20aHadith,his%20authoritative%20precedent%20(Sunn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oxfordbibliographies.com/display/document/obo-9780195390155/obo-9780195390155-0030.xml#:~:text=A%20Hadith%20(Arabic%20plural%20aHadith,his%20authoritative%20precedent%20(Sun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5683E-B305-46C1-890E-0C9F0DBCB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17174</TotalTime>
  <Pages>5</Pages>
  <Words>1079</Words>
  <Characters>6153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12</cp:revision>
  <dcterms:created xsi:type="dcterms:W3CDTF">2023-01-24T15:58:00Z</dcterms:created>
  <dcterms:modified xsi:type="dcterms:W3CDTF">2023-02-08T15:07:00Z</dcterms:modified>
</cp:coreProperties>
</file>