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1B50B" w14:textId="77777777" w:rsidR="00523F8D" w:rsidRDefault="001B70FC">
      <w:pPr>
        <w:spacing w:before="240" w:after="240" w:line="36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noProof/>
          <w:sz w:val="44"/>
          <w:szCs w:val="44"/>
        </w:rPr>
        <w:drawing>
          <wp:inline distT="114300" distB="114300" distL="114300" distR="114300" wp14:anchorId="3751B53A" wp14:editId="3751B53B">
            <wp:extent cx="2638425" cy="1076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38425" cy="1076325"/>
                    </a:xfrm>
                    <a:prstGeom prst="rect">
                      <a:avLst/>
                    </a:prstGeom>
                    <a:ln/>
                  </pic:spPr>
                </pic:pic>
              </a:graphicData>
            </a:graphic>
          </wp:inline>
        </w:drawing>
      </w:r>
    </w:p>
    <w:p w14:paraId="3751B50C" w14:textId="77777777" w:rsidR="00523F8D" w:rsidRDefault="00523F8D">
      <w:pPr>
        <w:spacing w:before="240" w:after="240" w:line="360" w:lineRule="auto"/>
        <w:jc w:val="center"/>
        <w:rPr>
          <w:rFonts w:ascii="Times New Roman" w:eastAsia="Times New Roman" w:hAnsi="Times New Roman" w:cs="Times New Roman"/>
          <w:b/>
          <w:bCs/>
          <w:sz w:val="44"/>
          <w:szCs w:val="44"/>
        </w:rPr>
      </w:pPr>
    </w:p>
    <w:p w14:paraId="3751B50D" w14:textId="77777777" w:rsidR="00523F8D" w:rsidRDefault="001B70FC">
      <w:pPr>
        <w:spacing w:before="240" w:after="240" w:line="36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Programme: Certificate of Higher Education Skills for the Workplace (Health &amp; Social Care)</w:t>
      </w:r>
    </w:p>
    <w:p w14:paraId="3751B50E" w14:textId="77777777" w:rsidR="00523F8D" w:rsidRDefault="001B70FC">
      <w:pPr>
        <w:spacing w:before="240" w:after="240" w:line="36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Module: Introduction to Health and Social Care</w:t>
      </w:r>
    </w:p>
    <w:p w14:paraId="3751B50F" w14:textId="77777777" w:rsidR="00523F8D" w:rsidRDefault="001B70FC">
      <w:pPr>
        <w:spacing w:before="240" w:after="240" w:line="36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Module code: LCHS4003</w:t>
      </w:r>
    </w:p>
    <w:p w14:paraId="3751B510" w14:textId="77777777" w:rsidR="00523F8D" w:rsidRDefault="00523F8D">
      <w:pPr>
        <w:spacing w:before="240" w:after="240" w:line="360" w:lineRule="auto"/>
        <w:jc w:val="center"/>
        <w:rPr>
          <w:rFonts w:ascii="Times New Roman" w:eastAsia="Times New Roman" w:hAnsi="Times New Roman" w:cs="Times New Roman"/>
          <w:b/>
          <w:bCs/>
          <w:sz w:val="44"/>
          <w:szCs w:val="44"/>
        </w:rPr>
      </w:pPr>
    </w:p>
    <w:p w14:paraId="3751B511" w14:textId="4CD82C2C" w:rsidR="00523F8D" w:rsidRDefault="001B70FC">
      <w:pPr>
        <w:spacing w:before="240" w:after="240" w:line="360" w:lineRule="auto"/>
        <w:jc w:val="center"/>
        <w:rPr>
          <w:rFonts w:ascii="Times New Roman" w:eastAsia="Times New Roman" w:hAnsi="Times New Roman" w:cs="Times New Roman"/>
          <w:b/>
          <w:bCs/>
          <w:i/>
          <w:iCs/>
          <w:sz w:val="36"/>
          <w:szCs w:val="36"/>
        </w:rPr>
      </w:pPr>
      <w:r>
        <w:rPr>
          <w:rFonts w:ascii="Times New Roman" w:eastAsia="Times New Roman" w:hAnsi="Times New Roman" w:cs="Times New Roman"/>
          <w:b/>
          <w:bCs/>
          <w:i/>
          <w:iCs/>
          <w:sz w:val="36"/>
          <w:szCs w:val="36"/>
        </w:rPr>
        <w:t>Student name:</w:t>
      </w:r>
      <w:r w:rsidR="00E5105E">
        <w:rPr>
          <w:rFonts w:ascii="Times New Roman" w:eastAsia="Times New Roman" w:hAnsi="Times New Roman" w:cs="Times New Roman"/>
          <w:b/>
          <w:bCs/>
          <w:i/>
          <w:iCs/>
          <w:sz w:val="36"/>
          <w:szCs w:val="36"/>
        </w:rPr>
        <w:t xml:space="preserve"> Meshach Francis</w:t>
      </w:r>
      <w:r>
        <w:rPr>
          <w:rFonts w:ascii="Times New Roman" w:eastAsia="Times New Roman" w:hAnsi="Times New Roman" w:cs="Times New Roman"/>
          <w:b/>
          <w:bCs/>
          <w:i/>
          <w:iCs/>
          <w:sz w:val="36"/>
          <w:szCs w:val="36"/>
        </w:rPr>
        <w:br/>
        <w:t xml:space="preserve"> Student ID number:</w:t>
      </w:r>
      <w:r w:rsidR="00E5105E">
        <w:rPr>
          <w:rFonts w:ascii="Times New Roman" w:eastAsia="Times New Roman" w:hAnsi="Times New Roman" w:cs="Times New Roman"/>
          <w:b/>
          <w:bCs/>
          <w:i/>
          <w:iCs/>
          <w:sz w:val="36"/>
          <w:szCs w:val="36"/>
        </w:rPr>
        <w:t>2439402</w:t>
      </w:r>
    </w:p>
    <w:p w14:paraId="3751B512" w14:textId="77777777" w:rsidR="00523F8D" w:rsidRDefault="001B70FC">
      <w:pPr>
        <w:pStyle w:val="Heading1"/>
        <w:spacing w:before="360"/>
      </w:pPr>
      <w:bookmarkStart w:id="0" w:name="_5rf7iauwsuo7" w:colFirst="0" w:colLast="0"/>
      <w:bookmarkEnd w:id="0"/>
      <w:r>
        <w:br w:type="page"/>
      </w:r>
    </w:p>
    <w:bookmarkStart w:id="1" w:name="_9dfs1q2zz8ix" w:colFirst="0" w:colLast="0" w:displacedByCustomXml="next"/>
    <w:bookmarkEnd w:id="1" w:displacedByCustomXml="next"/>
    <w:sdt>
      <w:sdtPr>
        <w:rPr>
          <w:rFonts w:ascii="Arial" w:eastAsia="Arial" w:hAnsi="Arial" w:cs="Arial"/>
          <w:b w:val="0"/>
          <w:bCs w:val="0"/>
          <w:color w:val="auto"/>
          <w:sz w:val="22"/>
          <w:szCs w:val="22"/>
          <w:lang w:val="en-IN" w:eastAsia="en-IN"/>
        </w:rPr>
        <w:id w:val="1656036226"/>
        <w:docPartObj>
          <w:docPartGallery w:val="Table of Contents"/>
          <w:docPartUnique/>
        </w:docPartObj>
      </w:sdtPr>
      <w:sdtEndPr>
        <w:rPr>
          <w:noProof/>
        </w:rPr>
      </w:sdtEndPr>
      <w:sdtContent>
        <w:p w14:paraId="3751B513" w14:textId="77777777" w:rsidR="00673EED" w:rsidRPr="00673EED" w:rsidRDefault="00673EED" w:rsidP="00673EED">
          <w:pPr>
            <w:pStyle w:val="TOCHeading"/>
            <w:jc w:val="center"/>
            <w:rPr>
              <w:rFonts w:ascii="Times New Roman" w:hAnsi="Times New Roman" w:cs="Times New Roman"/>
              <w:color w:val="000000" w:themeColor="text1"/>
            </w:rPr>
          </w:pPr>
          <w:r w:rsidRPr="00673EED">
            <w:rPr>
              <w:rFonts w:ascii="Times New Roman" w:hAnsi="Times New Roman" w:cs="Times New Roman"/>
              <w:color w:val="000000" w:themeColor="text1"/>
            </w:rPr>
            <w:t>Table of Contents</w:t>
          </w:r>
        </w:p>
        <w:p w14:paraId="3751B514" w14:textId="77777777" w:rsidR="00673EED" w:rsidRPr="00673EED" w:rsidRDefault="00673EED">
          <w:pPr>
            <w:pStyle w:val="TOC1"/>
            <w:tabs>
              <w:tab w:val="right" w:leader="dot" w:pos="9019"/>
            </w:tabs>
            <w:rPr>
              <w:rFonts w:ascii="Times New Roman" w:hAnsi="Times New Roman" w:cs="Times New Roman"/>
              <w:noProof/>
              <w:sz w:val="24"/>
              <w:szCs w:val="24"/>
            </w:rPr>
          </w:pPr>
          <w:r w:rsidRPr="00673EED">
            <w:rPr>
              <w:rFonts w:ascii="Times New Roman" w:hAnsi="Times New Roman" w:cs="Times New Roman"/>
              <w:sz w:val="24"/>
              <w:szCs w:val="24"/>
            </w:rPr>
            <w:fldChar w:fldCharType="begin"/>
          </w:r>
          <w:r w:rsidRPr="00673EED">
            <w:rPr>
              <w:rFonts w:ascii="Times New Roman" w:hAnsi="Times New Roman" w:cs="Times New Roman"/>
              <w:sz w:val="24"/>
              <w:szCs w:val="24"/>
            </w:rPr>
            <w:instrText xml:space="preserve"> TOC \o "1-3" \h \z \u </w:instrText>
          </w:r>
          <w:r w:rsidRPr="00673EED">
            <w:rPr>
              <w:rFonts w:ascii="Times New Roman" w:hAnsi="Times New Roman" w:cs="Times New Roman"/>
              <w:sz w:val="24"/>
              <w:szCs w:val="24"/>
            </w:rPr>
            <w:fldChar w:fldCharType="separate"/>
          </w:r>
          <w:hyperlink w:anchor="_Toc215661486" w:history="1">
            <w:r w:rsidRPr="00673EED">
              <w:rPr>
                <w:rStyle w:val="Hyperlink"/>
                <w:rFonts w:ascii="Times New Roman" w:hAnsi="Times New Roman" w:cs="Times New Roman"/>
                <w:noProof/>
                <w:sz w:val="24"/>
                <w:szCs w:val="24"/>
              </w:rPr>
              <w:t>Introduction</w:t>
            </w:r>
            <w:r w:rsidRPr="00673EED">
              <w:rPr>
                <w:rFonts w:ascii="Times New Roman" w:hAnsi="Times New Roman" w:cs="Times New Roman"/>
                <w:noProof/>
                <w:webHidden/>
                <w:sz w:val="24"/>
                <w:szCs w:val="24"/>
              </w:rPr>
              <w:tab/>
            </w:r>
            <w:r w:rsidRPr="00673EED">
              <w:rPr>
                <w:rFonts w:ascii="Times New Roman" w:hAnsi="Times New Roman" w:cs="Times New Roman"/>
                <w:noProof/>
                <w:webHidden/>
                <w:sz w:val="24"/>
                <w:szCs w:val="24"/>
              </w:rPr>
              <w:fldChar w:fldCharType="begin"/>
            </w:r>
            <w:r w:rsidRPr="00673EED">
              <w:rPr>
                <w:rFonts w:ascii="Times New Roman" w:hAnsi="Times New Roman" w:cs="Times New Roman"/>
                <w:noProof/>
                <w:webHidden/>
                <w:sz w:val="24"/>
                <w:szCs w:val="24"/>
              </w:rPr>
              <w:instrText xml:space="preserve"> PAGEREF _Toc215661486 \h </w:instrText>
            </w:r>
            <w:r w:rsidRPr="00673EED">
              <w:rPr>
                <w:rFonts w:ascii="Times New Roman" w:hAnsi="Times New Roman" w:cs="Times New Roman"/>
                <w:noProof/>
                <w:webHidden/>
                <w:sz w:val="24"/>
                <w:szCs w:val="24"/>
              </w:rPr>
            </w:r>
            <w:r w:rsidRPr="00673EED">
              <w:rPr>
                <w:rFonts w:ascii="Times New Roman" w:hAnsi="Times New Roman" w:cs="Times New Roman"/>
                <w:noProof/>
                <w:webHidden/>
                <w:sz w:val="24"/>
                <w:szCs w:val="24"/>
              </w:rPr>
              <w:fldChar w:fldCharType="separate"/>
            </w:r>
            <w:r w:rsidRPr="00673EED">
              <w:rPr>
                <w:rFonts w:ascii="Times New Roman" w:hAnsi="Times New Roman" w:cs="Times New Roman"/>
                <w:noProof/>
                <w:webHidden/>
                <w:sz w:val="24"/>
                <w:szCs w:val="24"/>
              </w:rPr>
              <w:t>2</w:t>
            </w:r>
            <w:r w:rsidRPr="00673EED">
              <w:rPr>
                <w:rFonts w:ascii="Times New Roman" w:hAnsi="Times New Roman" w:cs="Times New Roman"/>
                <w:noProof/>
                <w:webHidden/>
                <w:sz w:val="24"/>
                <w:szCs w:val="24"/>
              </w:rPr>
              <w:fldChar w:fldCharType="end"/>
            </w:r>
          </w:hyperlink>
        </w:p>
        <w:p w14:paraId="3751B515" w14:textId="77777777" w:rsidR="00673EED" w:rsidRPr="00673EED" w:rsidRDefault="00673EED">
          <w:pPr>
            <w:pStyle w:val="TOC1"/>
            <w:tabs>
              <w:tab w:val="right" w:leader="dot" w:pos="9019"/>
            </w:tabs>
            <w:rPr>
              <w:rFonts w:ascii="Times New Roman" w:hAnsi="Times New Roman" w:cs="Times New Roman"/>
              <w:noProof/>
              <w:sz w:val="24"/>
              <w:szCs w:val="24"/>
            </w:rPr>
          </w:pPr>
          <w:hyperlink w:anchor="_Toc215661487" w:history="1">
            <w:r w:rsidRPr="00673EED">
              <w:rPr>
                <w:rStyle w:val="Hyperlink"/>
                <w:rFonts w:ascii="Times New Roman" w:hAnsi="Times New Roman" w:cs="Times New Roman"/>
                <w:noProof/>
                <w:sz w:val="24"/>
                <w:szCs w:val="24"/>
              </w:rPr>
              <w:t>1. Importance of Effective Communication in the Context of Mrs Mann’s Care</w:t>
            </w:r>
            <w:r w:rsidRPr="00673EED">
              <w:rPr>
                <w:rFonts w:ascii="Times New Roman" w:hAnsi="Times New Roman" w:cs="Times New Roman"/>
                <w:noProof/>
                <w:webHidden/>
                <w:sz w:val="24"/>
                <w:szCs w:val="24"/>
              </w:rPr>
              <w:tab/>
            </w:r>
            <w:r w:rsidRPr="00673EED">
              <w:rPr>
                <w:rFonts w:ascii="Times New Roman" w:hAnsi="Times New Roman" w:cs="Times New Roman"/>
                <w:noProof/>
                <w:webHidden/>
                <w:sz w:val="24"/>
                <w:szCs w:val="24"/>
              </w:rPr>
              <w:fldChar w:fldCharType="begin"/>
            </w:r>
            <w:r w:rsidRPr="00673EED">
              <w:rPr>
                <w:rFonts w:ascii="Times New Roman" w:hAnsi="Times New Roman" w:cs="Times New Roman"/>
                <w:noProof/>
                <w:webHidden/>
                <w:sz w:val="24"/>
                <w:szCs w:val="24"/>
              </w:rPr>
              <w:instrText xml:space="preserve"> PAGEREF _Toc215661487 \h </w:instrText>
            </w:r>
            <w:r w:rsidRPr="00673EED">
              <w:rPr>
                <w:rFonts w:ascii="Times New Roman" w:hAnsi="Times New Roman" w:cs="Times New Roman"/>
                <w:noProof/>
                <w:webHidden/>
                <w:sz w:val="24"/>
                <w:szCs w:val="24"/>
              </w:rPr>
            </w:r>
            <w:r w:rsidRPr="00673EED">
              <w:rPr>
                <w:rFonts w:ascii="Times New Roman" w:hAnsi="Times New Roman" w:cs="Times New Roman"/>
                <w:noProof/>
                <w:webHidden/>
                <w:sz w:val="24"/>
                <w:szCs w:val="24"/>
              </w:rPr>
              <w:fldChar w:fldCharType="separate"/>
            </w:r>
            <w:r w:rsidRPr="00673EED">
              <w:rPr>
                <w:rFonts w:ascii="Times New Roman" w:hAnsi="Times New Roman" w:cs="Times New Roman"/>
                <w:noProof/>
                <w:webHidden/>
                <w:sz w:val="24"/>
                <w:szCs w:val="24"/>
              </w:rPr>
              <w:t>2</w:t>
            </w:r>
            <w:r w:rsidRPr="00673EED">
              <w:rPr>
                <w:rFonts w:ascii="Times New Roman" w:hAnsi="Times New Roman" w:cs="Times New Roman"/>
                <w:noProof/>
                <w:webHidden/>
                <w:sz w:val="24"/>
                <w:szCs w:val="24"/>
              </w:rPr>
              <w:fldChar w:fldCharType="end"/>
            </w:r>
          </w:hyperlink>
        </w:p>
        <w:p w14:paraId="3751B516" w14:textId="77777777" w:rsidR="00673EED" w:rsidRPr="00673EED" w:rsidRDefault="00673EED">
          <w:pPr>
            <w:pStyle w:val="TOC1"/>
            <w:tabs>
              <w:tab w:val="right" w:leader="dot" w:pos="9019"/>
            </w:tabs>
            <w:rPr>
              <w:rFonts w:ascii="Times New Roman" w:hAnsi="Times New Roman" w:cs="Times New Roman"/>
              <w:noProof/>
              <w:sz w:val="24"/>
              <w:szCs w:val="24"/>
            </w:rPr>
          </w:pPr>
          <w:hyperlink w:anchor="_Toc215661488" w:history="1">
            <w:r w:rsidRPr="00673EED">
              <w:rPr>
                <w:rStyle w:val="Hyperlink"/>
                <w:rFonts w:ascii="Times New Roman" w:hAnsi="Times New Roman" w:cs="Times New Roman"/>
                <w:noProof/>
                <w:sz w:val="24"/>
                <w:szCs w:val="24"/>
              </w:rPr>
              <w:t>2. Importance of Good Administrative Skills Within Professional Practice in the Context of Mrs Mann’s Care</w:t>
            </w:r>
            <w:r w:rsidRPr="00673EED">
              <w:rPr>
                <w:rFonts w:ascii="Times New Roman" w:hAnsi="Times New Roman" w:cs="Times New Roman"/>
                <w:noProof/>
                <w:webHidden/>
                <w:sz w:val="24"/>
                <w:szCs w:val="24"/>
              </w:rPr>
              <w:tab/>
            </w:r>
            <w:r w:rsidRPr="00673EED">
              <w:rPr>
                <w:rFonts w:ascii="Times New Roman" w:hAnsi="Times New Roman" w:cs="Times New Roman"/>
                <w:noProof/>
                <w:webHidden/>
                <w:sz w:val="24"/>
                <w:szCs w:val="24"/>
              </w:rPr>
              <w:fldChar w:fldCharType="begin"/>
            </w:r>
            <w:r w:rsidRPr="00673EED">
              <w:rPr>
                <w:rFonts w:ascii="Times New Roman" w:hAnsi="Times New Roman" w:cs="Times New Roman"/>
                <w:noProof/>
                <w:webHidden/>
                <w:sz w:val="24"/>
                <w:szCs w:val="24"/>
              </w:rPr>
              <w:instrText xml:space="preserve"> PAGEREF _Toc215661488 \h </w:instrText>
            </w:r>
            <w:r w:rsidRPr="00673EED">
              <w:rPr>
                <w:rFonts w:ascii="Times New Roman" w:hAnsi="Times New Roman" w:cs="Times New Roman"/>
                <w:noProof/>
                <w:webHidden/>
                <w:sz w:val="24"/>
                <w:szCs w:val="24"/>
              </w:rPr>
            </w:r>
            <w:r w:rsidRPr="00673EED">
              <w:rPr>
                <w:rFonts w:ascii="Times New Roman" w:hAnsi="Times New Roman" w:cs="Times New Roman"/>
                <w:noProof/>
                <w:webHidden/>
                <w:sz w:val="24"/>
                <w:szCs w:val="24"/>
              </w:rPr>
              <w:fldChar w:fldCharType="separate"/>
            </w:r>
            <w:r w:rsidRPr="00673EED">
              <w:rPr>
                <w:rFonts w:ascii="Times New Roman" w:hAnsi="Times New Roman" w:cs="Times New Roman"/>
                <w:noProof/>
                <w:webHidden/>
                <w:sz w:val="24"/>
                <w:szCs w:val="24"/>
              </w:rPr>
              <w:t>3</w:t>
            </w:r>
            <w:r w:rsidRPr="00673EED">
              <w:rPr>
                <w:rFonts w:ascii="Times New Roman" w:hAnsi="Times New Roman" w:cs="Times New Roman"/>
                <w:noProof/>
                <w:webHidden/>
                <w:sz w:val="24"/>
                <w:szCs w:val="24"/>
              </w:rPr>
              <w:fldChar w:fldCharType="end"/>
            </w:r>
          </w:hyperlink>
        </w:p>
        <w:p w14:paraId="3751B517" w14:textId="77777777" w:rsidR="00673EED" w:rsidRPr="00673EED" w:rsidRDefault="00673EED">
          <w:pPr>
            <w:pStyle w:val="TOC1"/>
            <w:tabs>
              <w:tab w:val="right" w:leader="dot" w:pos="9019"/>
            </w:tabs>
            <w:rPr>
              <w:rFonts w:ascii="Times New Roman" w:hAnsi="Times New Roman" w:cs="Times New Roman"/>
              <w:noProof/>
              <w:sz w:val="24"/>
              <w:szCs w:val="24"/>
            </w:rPr>
          </w:pPr>
          <w:hyperlink w:anchor="_Toc215661489" w:history="1">
            <w:r w:rsidRPr="00673EED">
              <w:rPr>
                <w:rStyle w:val="Hyperlink"/>
                <w:rFonts w:ascii="Times New Roman" w:hAnsi="Times New Roman" w:cs="Times New Roman"/>
                <w:noProof/>
                <w:sz w:val="24"/>
                <w:szCs w:val="24"/>
              </w:rPr>
              <w:t>3. Importance of Working Collaboratively with Other Professionals in Mrs Mann’s Care</w:t>
            </w:r>
            <w:r w:rsidRPr="00673EED">
              <w:rPr>
                <w:rFonts w:ascii="Times New Roman" w:hAnsi="Times New Roman" w:cs="Times New Roman"/>
                <w:noProof/>
                <w:webHidden/>
                <w:sz w:val="24"/>
                <w:szCs w:val="24"/>
              </w:rPr>
              <w:tab/>
            </w:r>
            <w:r w:rsidRPr="00673EED">
              <w:rPr>
                <w:rFonts w:ascii="Times New Roman" w:hAnsi="Times New Roman" w:cs="Times New Roman"/>
                <w:noProof/>
                <w:webHidden/>
                <w:sz w:val="24"/>
                <w:szCs w:val="24"/>
              </w:rPr>
              <w:fldChar w:fldCharType="begin"/>
            </w:r>
            <w:r w:rsidRPr="00673EED">
              <w:rPr>
                <w:rFonts w:ascii="Times New Roman" w:hAnsi="Times New Roman" w:cs="Times New Roman"/>
                <w:noProof/>
                <w:webHidden/>
                <w:sz w:val="24"/>
                <w:szCs w:val="24"/>
              </w:rPr>
              <w:instrText xml:space="preserve"> PAGEREF _Toc215661489 \h </w:instrText>
            </w:r>
            <w:r w:rsidRPr="00673EED">
              <w:rPr>
                <w:rFonts w:ascii="Times New Roman" w:hAnsi="Times New Roman" w:cs="Times New Roman"/>
                <w:noProof/>
                <w:webHidden/>
                <w:sz w:val="24"/>
                <w:szCs w:val="24"/>
              </w:rPr>
            </w:r>
            <w:r w:rsidRPr="00673EED">
              <w:rPr>
                <w:rFonts w:ascii="Times New Roman" w:hAnsi="Times New Roman" w:cs="Times New Roman"/>
                <w:noProof/>
                <w:webHidden/>
                <w:sz w:val="24"/>
                <w:szCs w:val="24"/>
              </w:rPr>
              <w:fldChar w:fldCharType="separate"/>
            </w:r>
            <w:r w:rsidRPr="00673EED">
              <w:rPr>
                <w:rFonts w:ascii="Times New Roman" w:hAnsi="Times New Roman" w:cs="Times New Roman"/>
                <w:noProof/>
                <w:webHidden/>
                <w:sz w:val="24"/>
                <w:szCs w:val="24"/>
              </w:rPr>
              <w:t>5</w:t>
            </w:r>
            <w:r w:rsidRPr="00673EED">
              <w:rPr>
                <w:rFonts w:ascii="Times New Roman" w:hAnsi="Times New Roman" w:cs="Times New Roman"/>
                <w:noProof/>
                <w:webHidden/>
                <w:sz w:val="24"/>
                <w:szCs w:val="24"/>
              </w:rPr>
              <w:fldChar w:fldCharType="end"/>
            </w:r>
          </w:hyperlink>
        </w:p>
        <w:p w14:paraId="3751B518" w14:textId="77777777" w:rsidR="00673EED" w:rsidRPr="00673EED" w:rsidRDefault="00673EED">
          <w:pPr>
            <w:pStyle w:val="TOC1"/>
            <w:tabs>
              <w:tab w:val="right" w:leader="dot" w:pos="9019"/>
            </w:tabs>
            <w:rPr>
              <w:rFonts w:ascii="Times New Roman" w:hAnsi="Times New Roman" w:cs="Times New Roman"/>
              <w:noProof/>
              <w:sz w:val="24"/>
              <w:szCs w:val="24"/>
            </w:rPr>
          </w:pPr>
          <w:hyperlink w:anchor="_Toc215661490" w:history="1">
            <w:r w:rsidRPr="00673EED">
              <w:rPr>
                <w:rStyle w:val="Hyperlink"/>
                <w:rFonts w:ascii="Times New Roman" w:hAnsi="Times New Roman" w:cs="Times New Roman"/>
                <w:noProof/>
                <w:sz w:val="24"/>
                <w:szCs w:val="24"/>
              </w:rPr>
              <w:t>Conclusion</w:t>
            </w:r>
            <w:r w:rsidRPr="00673EED">
              <w:rPr>
                <w:rFonts w:ascii="Times New Roman" w:hAnsi="Times New Roman" w:cs="Times New Roman"/>
                <w:noProof/>
                <w:webHidden/>
                <w:sz w:val="24"/>
                <w:szCs w:val="24"/>
              </w:rPr>
              <w:tab/>
            </w:r>
            <w:r w:rsidRPr="00673EED">
              <w:rPr>
                <w:rFonts w:ascii="Times New Roman" w:hAnsi="Times New Roman" w:cs="Times New Roman"/>
                <w:noProof/>
                <w:webHidden/>
                <w:sz w:val="24"/>
                <w:szCs w:val="24"/>
              </w:rPr>
              <w:fldChar w:fldCharType="begin"/>
            </w:r>
            <w:r w:rsidRPr="00673EED">
              <w:rPr>
                <w:rFonts w:ascii="Times New Roman" w:hAnsi="Times New Roman" w:cs="Times New Roman"/>
                <w:noProof/>
                <w:webHidden/>
                <w:sz w:val="24"/>
                <w:szCs w:val="24"/>
              </w:rPr>
              <w:instrText xml:space="preserve"> PAGEREF _Toc215661490 \h </w:instrText>
            </w:r>
            <w:r w:rsidRPr="00673EED">
              <w:rPr>
                <w:rFonts w:ascii="Times New Roman" w:hAnsi="Times New Roman" w:cs="Times New Roman"/>
                <w:noProof/>
                <w:webHidden/>
                <w:sz w:val="24"/>
                <w:szCs w:val="24"/>
              </w:rPr>
            </w:r>
            <w:r w:rsidRPr="00673EED">
              <w:rPr>
                <w:rFonts w:ascii="Times New Roman" w:hAnsi="Times New Roman" w:cs="Times New Roman"/>
                <w:noProof/>
                <w:webHidden/>
                <w:sz w:val="24"/>
                <w:szCs w:val="24"/>
              </w:rPr>
              <w:fldChar w:fldCharType="separate"/>
            </w:r>
            <w:r w:rsidRPr="00673EED">
              <w:rPr>
                <w:rFonts w:ascii="Times New Roman" w:hAnsi="Times New Roman" w:cs="Times New Roman"/>
                <w:noProof/>
                <w:webHidden/>
                <w:sz w:val="24"/>
                <w:szCs w:val="24"/>
              </w:rPr>
              <w:t>6</w:t>
            </w:r>
            <w:r w:rsidRPr="00673EED">
              <w:rPr>
                <w:rFonts w:ascii="Times New Roman" w:hAnsi="Times New Roman" w:cs="Times New Roman"/>
                <w:noProof/>
                <w:webHidden/>
                <w:sz w:val="24"/>
                <w:szCs w:val="24"/>
              </w:rPr>
              <w:fldChar w:fldCharType="end"/>
            </w:r>
          </w:hyperlink>
        </w:p>
        <w:p w14:paraId="3751B519" w14:textId="77777777" w:rsidR="00673EED" w:rsidRPr="00673EED" w:rsidRDefault="00673EED">
          <w:pPr>
            <w:pStyle w:val="TOC1"/>
            <w:tabs>
              <w:tab w:val="right" w:leader="dot" w:pos="9019"/>
            </w:tabs>
            <w:rPr>
              <w:rFonts w:ascii="Times New Roman" w:hAnsi="Times New Roman" w:cs="Times New Roman"/>
              <w:noProof/>
              <w:sz w:val="24"/>
              <w:szCs w:val="24"/>
            </w:rPr>
          </w:pPr>
          <w:hyperlink w:anchor="_Toc215661491" w:history="1">
            <w:r w:rsidRPr="00673EED">
              <w:rPr>
                <w:rStyle w:val="Hyperlink"/>
                <w:rFonts w:ascii="Times New Roman" w:hAnsi="Times New Roman" w:cs="Times New Roman"/>
                <w:noProof/>
                <w:sz w:val="24"/>
                <w:szCs w:val="24"/>
              </w:rPr>
              <w:t>Reference List</w:t>
            </w:r>
            <w:r w:rsidRPr="00673EED">
              <w:rPr>
                <w:rFonts w:ascii="Times New Roman" w:hAnsi="Times New Roman" w:cs="Times New Roman"/>
                <w:noProof/>
                <w:webHidden/>
                <w:sz w:val="24"/>
                <w:szCs w:val="24"/>
              </w:rPr>
              <w:tab/>
            </w:r>
            <w:r w:rsidRPr="00673EED">
              <w:rPr>
                <w:rFonts w:ascii="Times New Roman" w:hAnsi="Times New Roman" w:cs="Times New Roman"/>
                <w:noProof/>
                <w:webHidden/>
                <w:sz w:val="24"/>
                <w:szCs w:val="24"/>
              </w:rPr>
              <w:fldChar w:fldCharType="begin"/>
            </w:r>
            <w:r w:rsidRPr="00673EED">
              <w:rPr>
                <w:rFonts w:ascii="Times New Roman" w:hAnsi="Times New Roman" w:cs="Times New Roman"/>
                <w:noProof/>
                <w:webHidden/>
                <w:sz w:val="24"/>
                <w:szCs w:val="24"/>
              </w:rPr>
              <w:instrText xml:space="preserve"> PAGEREF _Toc215661491 \h </w:instrText>
            </w:r>
            <w:r w:rsidRPr="00673EED">
              <w:rPr>
                <w:rFonts w:ascii="Times New Roman" w:hAnsi="Times New Roman" w:cs="Times New Roman"/>
                <w:noProof/>
                <w:webHidden/>
                <w:sz w:val="24"/>
                <w:szCs w:val="24"/>
              </w:rPr>
            </w:r>
            <w:r w:rsidRPr="00673EED">
              <w:rPr>
                <w:rFonts w:ascii="Times New Roman" w:hAnsi="Times New Roman" w:cs="Times New Roman"/>
                <w:noProof/>
                <w:webHidden/>
                <w:sz w:val="24"/>
                <w:szCs w:val="24"/>
              </w:rPr>
              <w:fldChar w:fldCharType="separate"/>
            </w:r>
            <w:r w:rsidRPr="00673EED">
              <w:rPr>
                <w:rFonts w:ascii="Times New Roman" w:hAnsi="Times New Roman" w:cs="Times New Roman"/>
                <w:noProof/>
                <w:webHidden/>
                <w:sz w:val="24"/>
                <w:szCs w:val="24"/>
              </w:rPr>
              <w:t>6</w:t>
            </w:r>
            <w:r w:rsidRPr="00673EED">
              <w:rPr>
                <w:rFonts w:ascii="Times New Roman" w:hAnsi="Times New Roman" w:cs="Times New Roman"/>
                <w:noProof/>
                <w:webHidden/>
                <w:sz w:val="24"/>
                <w:szCs w:val="24"/>
              </w:rPr>
              <w:fldChar w:fldCharType="end"/>
            </w:r>
          </w:hyperlink>
        </w:p>
        <w:p w14:paraId="3751B51A" w14:textId="77777777" w:rsidR="00673EED" w:rsidRDefault="00673EED">
          <w:r w:rsidRPr="00673EED">
            <w:rPr>
              <w:rFonts w:ascii="Times New Roman" w:hAnsi="Times New Roman" w:cs="Times New Roman"/>
              <w:b/>
              <w:bCs/>
              <w:noProof/>
              <w:sz w:val="24"/>
              <w:szCs w:val="24"/>
            </w:rPr>
            <w:fldChar w:fldCharType="end"/>
          </w:r>
        </w:p>
      </w:sdtContent>
    </w:sdt>
    <w:p w14:paraId="3751B51B" w14:textId="77777777" w:rsidR="00673EED" w:rsidRDefault="00673EED">
      <w:pPr>
        <w:rPr>
          <w:rFonts w:ascii="Times New Roman" w:eastAsia="Times New Roman" w:hAnsi="Times New Roman" w:cs="Times New Roman"/>
          <w:b/>
          <w:bCs/>
          <w:sz w:val="28"/>
          <w:szCs w:val="28"/>
        </w:rPr>
      </w:pPr>
      <w:bookmarkStart w:id="2" w:name="_Toc215661486"/>
      <w:r>
        <w:br w:type="page"/>
      </w:r>
    </w:p>
    <w:p w14:paraId="3751B51C" w14:textId="77777777" w:rsidR="00523F8D" w:rsidRDefault="001B70FC">
      <w:pPr>
        <w:pStyle w:val="Heading1"/>
        <w:spacing w:before="360"/>
      </w:pPr>
      <w:r>
        <w:lastRenderedPageBreak/>
        <w:t>Introduction</w:t>
      </w:r>
      <w:bookmarkEnd w:id="2"/>
      <w:r>
        <w:t xml:space="preserve"> </w:t>
      </w:r>
    </w:p>
    <w:p w14:paraId="3751B51D" w14:textId="77777777" w:rsidR="00523F8D" w:rsidRDefault="001B70FC">
      <w:pPr>
        <w:spacing w:before="360" w:line="360" w:lineRule="auto"/>
        <w:jc w:val="both"/>
        <w:rPr>
          <w:sz w:val="34"/>
          <w:szCs w:val="34"/>
        </w:rPr>
      </w:pPr>
      <w:r>
        <w:rPr>
          <w:rFonts w:ascii="Times New Roman" w:eastAsia="Times New Roman" w:hAnsi="Times New Roman" w:cs="Times New Roman"/>
          <w:sz w:val="24"/>
          <w:szCs w:val="24"/>
        </w:rPr>
        <w:t xml:space="preserve">This report focuses on the management of Mrs Mann, a 72-year-old female who was recently discharged following hip replacement surgery and is under continuous care from a multi-agency team, including domiciliary carers, her GP, and a community physiotherapist. Her poor English, the use of her daughter as an interpreter, and the recent issue with the inconsistent documentation of her case reflect the complexity of the case and the significance of the safe, coordinated professional practice. The report will cover three main areas important to her well-being, including effective communication, strong administrative skills, and working across multi-agencies. Using applicable legislation, models of communication and policy frameworks, the discussion explains how the practices help in ensuring person-centred, legal, and quality care. </w:t>
      </w:r>
    </w:p>
    <w:p w14:paraId="3751B51E" w14:textId="77777777" w:rsidR="00523F8D" w:rsidRDefault="001B70FC">
      <w:pPr>
        <w:pStyle w:val="Heading1"/>
        <w:keepNext w:val="0"/>
        <w:keepLines w:val="0"/>
        <w:spacing w:before="360"/>
      </w:pPr>
      <w:bookmarkStart w:id="3" w:name="_o0o54hktp12a" w:colFirst="0" w:colLast="0"/>
      <w:bookmarkStart w:id="4" w:name="_Toc215661487"/>
      <w:bookmarkEnd w:id="3"/>
      <w:r>
        <w:t>1. Importance of Effective Communication in the Context of Mrs Mann’s Care</w:t>
      </w:r>
      <w:bookmarkEnd w:id="4"/>
    </w:p>
    <w:p w14:paraId="3751B51F" w14:textId="77777777" w:rsidR="00523F8D" w:rsidRDefault="001B70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central to the provision of safe, person-centred care to Mrs Mann, whose case poses a number of communication challenges. Being a 72-year-old woman who was recently discharged after surgery to replace her hips, Mrs Mann is dependent on a multidisciplinary care team that comprises domiciliary carers, her GP, and a physiotherapist (</w:t>
      </w:r>
      <w:r>
        <w:rPr>
          <w:rFonts w:ascii="Times New Roman" w:eastAsia="Times New Roman" w:hAnsi="Times New Roman" w:cs="Times New Roman"/>
          <w:color w:val="222222"/>
          <w:sz w:val="24"/>
          <w:szCs w:val="24"/>
          <w:highlight w:val="white"/>
        </w:rPr>
        <w:t>Sharkiya, 2023)</w:t>
      </w:r>
      <w:r>
        <w:rPr>
          <w:rFonts w:ascii="Times New Roman" w:eastAsia="Times New Roman" w:hAnsi="Times New Roman" w:cs="Times New Roman"/>
          <w:sz w:val="24"/>
          <w:szCs w:val="24"/>
        </w:rPr>
        <w:t>. Her low level of English and reliance on her daughter to interpret meanings increases the significance of effective, understandable and culturally sensitive communication. In her case, this has already led to inconsistent documentation and delayed medication adjustment due to poor communication, which shows the actual danger to the safety and well-being when a breakdown of communication occurs (</w:t>
      </w:r>
      <w:r>
        <w:rPr>
          <w:rFonts w:ascii="Times New Roman" w:eastAsia="Times New Roman" w:hAnsi="Times New Roman" w:cs="Times New Roman"/>
          <w:color w:val="222222"/>
          <w:sz w:val="24"/>
          <w:szCs w:val="24"/>
          <w:highlight w:val="white"/>
        </w:rPr>
        <w:t xml:space="preserve">Al-Kalaldeh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2025)</w:t>
      </w:r>
      <w:r>
        <w:rPr>
          <w:rFonts w:ascii="Times New Roman" w:eastAsia="Times New Roman" w:hAnsi="Times New Roman" w:cs="Times New Roman"/>
          <w:sz w:val="24"/>
          <w:szCs w:val="24"/>
        </w:rPr>
        <w:t>. The communication with Mrs Mann and her family should be based on the</w:t>
      </w:r>
      <w:r>
        <w:rPr>
          <w:rFonts w:ascii="Times New Roman" w:eastAsia="Times New Roman" w:hAnsi="Times New Roman" w:cs="Times New Roman"/>
          <w:b/>
          <w:bCs/>
          <w:i/>
          <w:iCs/>
          <w:sz w:val="24"/>
          <w:szCs w:val="24"/>
        </w:rPr>
        <w:t xml:space="preserve"> Equality Act 2010, </w:t>
      </w:r>
      <w:r>
        <w:rPr>
          <w:rFonts w:ascii="Times New Roman" w:eastAsia="Times New Roman" w:hAnsi="Times New Roman" w:cs="Times New Roman"/>
          <w:sz w:val="24"/>
          <w:szCs w:val="24"/>
        </w:rPr>
        <w:t xml:space="preserve">which presupposes providing services so that they could make reasonable adjustments to avoid discrimination and offer equal access to care. </w:t>
      </w:r>
    </w:p>
    <w:p w14:paraId="3751B520" w14:textId="77777777" w:rsidR="00523F8D" w:rsidRDefault="001B70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Referring to the </w:t>
      </w:r>
      <w:r>
        <w:rPr>
          <w:rFonts w:ascii="Times New Roman" w:eastAsia="Times New Roman" w:hAnsi="Times New Roman" w:cs="Times New Roman"/>
          <w:b/>
          <w:bCs/>
          <w:i/>
          <w:iCs/>
          <w:sz w:val="24"/>
          <w:szCs w:val="24"/>
        </w:rPr>
        <w:t>Sender-Message-Channel-Receiver (SMCR) Model of Communication that was developed by Berlo (1960) i</w:t>
      </w:r>
      <w:r>
        <w:rPr>
          <w:rFonts w:ascii="Times New Roman" w:eastAsia="Times New Roman" w:hAnsi="Times New Roman" w:cs="Times New Roman"/>
          <w:sz w:val="24"/>
          <w:szCs w:val="24"/>
        </w:rPr>
        <w:t>s an organised approach toward comprehending how communication ought to be passed across in her case of care. The model by Berlo identifies four primary elements of the Sender, Message, Channel, and Receiver, whose factors include language, culture, communication skills, and attitudes (</w:t>
      </w:r>
      <w:r>
        <w:rPr>
          <w:rFonts w:ascii="Times New Roman" w:eastAsia="Times New Roman" w:hAnsi="Times New Roman" w:cs="Times New Roman"/>
          <w:color w:val="222222"/>
          <w:sz w:val="24"/>
          <w:szCs w:val="24"/>
          <w:highlight w:val="white"/>
        </w:rPr>
        <w:t>Omojuwa, 2025)</w:t>
      </w:r>
      <w:r>
        <w:rPr>
          <w:rFonts w:ascii="Times New Roman" w:eastAsia="Times New Roman" w:hAnsi="Times New Roman" w:cs="Times New Roman"/>
          <w:sz w:val="24"/>
          <w:szCs w:val="24"/>
        </w:rPr>
        <w:t xml:space="preserve">. In the case of Mrs </w:t>
      </w:r>
      <w:r>
        <w:rPr>
          <w:rFonts w:ascii="Times New Roman" w:eastAsia="Times New Roman" w:hAnsi="Times New Roman" w:cs="Times New Roman"/>
          <w:sz w:val="24"/>
          <w:szCs w:val="24"/>
        </w:rPr>
        <w:lastRenderedPageBreak/>
        <w:t>Mann, professionals will be Senders because they will provide directions regarding medication, mobility exercises or personal care. The Sender needs to be explicit, understanding, culture-aware and to a level of her English expertise. Given that the first language of Mrs Mann is Urdu, the language may need to be simplified to communicate, the use of medical terminologies should be avoided, and clarifications should be made. This is in tandem with the Equality Act 2010, which mandates the services to make reasonable adjustments in order to ensure that people are not disadvantaged due to language, disability, or cultural background. The Message, that which is being communicated, should be correct, appropriate and unambiguous. As an example, when the GP changes her painkiller, the message should contain the dosage, the timing, and possible side effects. Any discrepancy, like the ambiguous expression or omissions, may expose Mrs Mann to danger as witnessed in the delayed medication readjustment case. The means of communication is another significant factor. According to Berlo, understanding is improved by picking the right channel (</w:t>
      </w:r>
      <w:r>
        <w:rPr>
          <w:rFonts w:ascii="Times New Roman" w:eastAsia="Times New Roman" w:hAnsi="Times New Roman" w:cs="Times New Roman"/>
          <w:color w:val="222222"/>
          <w:sz w:val="24"/>
          <w:szCs w:val="24"/>
          <w:highlight w:val="white"/>
        </w:rPr>
        <w:t>Kusumalatha, 2023)</w:t>
      </w:r>
      <w:r>
        <w:rPr>
          <w:rFonts w:ascii="Times New Roman" w:eastAsia="Times New Roman" w:hAnsi="Times New Roman" w:cs="Times New Roman"/>
          <w:sz w:val="24"/>
          <w:szCs w:val="24"/>
        </w:rPr>
        <w:t xml:space="preserve">. The channels that can be used in the case of Mrs Mann can be verbal communication, medication documentation, physiotherapy guidelines, or electronic communication between professionals. In case English understanding is poor, translated leaflets, diagrams, or professional interpreting services should be used as channels. The interpretation provided by the family members alone might cause the information to be missed or misrepresented, and thus, trained interpreters will ensure accuracy and confidentiality. The Receiver-Mrs Mann/her daughter-in-law, must comprehend the information properly. Berlo emphasises that receivers carry their own culture, moodiness and linguistic capabilities to the encounter. </w:t>
      </w:r>
    </w:p>
    <w:p w14:paraId="3751B521" w14:textId="77777777" w:rsidR="00523F8D" w:rsidRDefault="001B70FC">
      <w:pPr>
        <w:pStyle w:val="Heading1"/>
        <w:keepNext w:val="0"/>
        <w:keepLines w:val="0"/>
        <w:spacing w:before="360"/>
      </w:pPr>
      <w:bookmarkStart w:id="5" w:name="_i0y4z0sljfx1" w:colFirst="0" w:colLast="0"/>
      <w:bookmarkStart w:id="6" w:name="_Toc215661488"/>
      <w:bookmarkEnd w:id="5"/>
      <w:r>
        <w:t>2. Importance of Good Administrative Skills Within Professional Practice in the Context of Mrs Mann’s Care</w:t>
      </w:r>
      <w:bookmarkEnd w:id="6"/>
      <w:r>
        <w:t xml:space="preserve"> </w:t>
      </w:r>
    </w:p>
    <w:p w14:paraId="3751B522" w14:textId="77777777" w:rsidR="00523F8D" w:rsidRDefault="001B70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Best administrative skills are the key to safe and reliable health and social care provision, especially in complicated cases like that of Mrs Mann. Her care includes several professionals: domiciliary carers who come twice a day, a GP who takes care of her medication, and a physiotherapist who visits her twice a week. All these practitioners have to use correct records, clear communication logs, and properly structured care documentation to help her rehabilitate (</w:t>
      </w:r>
      <w:r>
        <w:rPr>
          <w:rFonts w:ascii="Times New Roman" w:eastAsia="Times New Roman" w:hAnsi="Times New Roman" w:cs="Times New Roman"/>
          <w:color w:val="222222"/>
          <w:sz w:val="24"/>
          <w:szCs w:val="24"/>
          <w:highlight w:val="white"/>
        </w:rPr>
        <w:t xml:space="preserve">Krpálek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The issue in the case study regarding inadequate documentation and communication being overlooked, which forced the adjustment of </w:t>
      </w:r>
      <w:r>
        <w:rPr>
          <w:rFonts w:ascii="Times New Roman" w:eastAsia="Times New Roman" w:hAnsi="Times New Roman" w:cs="Times New Roman"/>
          <w:sz w:val="24"/>
          <w:szCs w:val="24"/>
        </w:rPr>
        <w:lastRenderedPageBreak/>
        <w:t>medication to be further delayed, illustrates how administrative incompetencies can give way to dangers to treatment and wellbeing directly.</w:t>
      </w:r>
    </w:p>
    <w:p w14:paraId="3751B523" w14:textId="77777777" w:rsidR="00523F8D" w:rsidRDefault="001B70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record keeping enhances continuity of care, aids in making clinical decisions, and also helps in promptly detecting any changes that may occur in the status of a service user. In the case of Mrs Mann, the mobility levels, pain levels, medications prescribed to her, the risk of falls, and concerns raised during visits should be recorded on a daily basis. In case one of the carers observes swelling or discomfort, and the next carer cannot receive this information due to incomplete or unclear documentation, important information is lost (</w:t>
      </w:r>
      <w:r>
        <w:rPr>
          <w:rFonts w:ascii="Times New Roman" w:eastAsia="Times New Roman" w:hAnsi="Times New Roman" w:cs="Times New Roman"/>
          <w:color w:val="222222"/>
          <w:sz w:val="24"/>
          <w:szCs w:val="24"/>
          <w:highlight w:val="white"/>
        </w:rPr>
        <w:t xml:space="preserve">Pursio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This may result in wrong decisions made, delayed interventions or duplication of work. The data kept on record has to be in accordance with the </w:t>
      </w:r>
      <w:r>
        <w:rPr>
          <w:rFonts w:ascii="Times New Roman" w:eastAsia="Times New Roman" w:hAnsi="Times New Roman" w:cs="Times New Roman"/>
          <w:b/>
          <w:bCs/>
          <w:i/>
          <w:iCs/>
          <w:sz w:val="24"/>
          <w:szCs w:val="24"/>
        </w:rPr>
        <w:t>Data Protection Act 2018 and the UK General Data Protection Regulation (UK GDPR),</w:t>
      </w:r>
      <w:r>
        <w:rPr>
          <w:rFonts w:ascii="Times New Roman" w:eastAsia="Times New Roman" w:hAnsi="Times New Roman" w:cs="Times New Roman"/>
          <w:sz w:val="24"/>
          <w:szCs w:val="24"/>
        </w:rPr>
        <w:t xml:space="preserve"> which considers the health records as special category data. This legislation dictates that the information should be truthful, kept in a safe environment, used legally and in good care, which is only when there is a need to do so. This, in practice, implies that the records of Mrs Mann will have to be kept current in real time, in safe electronic or locked paper systems, and only made available to authorised professionals. Any negligence, including dropping paper notes at her home or not updating the digital logs, would be a violation of these legal provisions.</w:t>
      </w:r>
    </w:p>
    <w:p w14:paraId="3751B524" w14:textId="77777777" w:rsidR="00523F8D" w:rsidRDefault="001B70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guideline is that of the Caldicott Principles, which have become a common practice in health and social care (</w:t>
      </w:r>
      <w:r>
        <w:rPr>
          <w:rFonts w:ascii="Times New Roman" w:eastAsia="Times New Roman" w:hAnsi="Times New Roman" w:cs="Times New Roman"/>
          <w:color w:val="222222"/>
          <w:sz w:val="24"/>
          <w:szCs w:val="24"/>
          <w:highlight w:val="white"/>
        </w:rPr>
        <w:t>Grace, and Uveges, 2022)</w:t>
      </w:r>
      <w:r>
        <w:rPr>
          <w:rFonts w:ascii="Times New Roman" w:eastAsia="Times New Roman" w:hAnsi="Times New Roman" w:cs="Times New Roman"/>
          <w:sz w:val="24"/>
          <w:szCs w:val="24"/>
        </w:rPr>
        <w:t xml:space="preserve">. They are a justification of the reason why information about patients is to be used, taking the bare minimum of information and access is limited to the need to know. As an example, the communication with the daughter of Mrs Mann (who most of the time interprets on her behalf) must be made sure that any information shared is pertinent to the care of Mrs Mann and must be recorded in a proper manner without being too much. The expectations of the administrative practice are also set by the policy frameworks, including the </w:t>
      </w:r>
      <w:r>
        <w:rPr>
          <w:rFonts w:ascii="Times New Roman" w:eastAsia="Times New Roman" w:hAnsi="Times New Roman" w:cs="Times New Roman"/>
          <w:b/>
          <w:bCs/>
          <w:i/>
          <w:iCs/>
          <w:sz w:val="24"/>
          <w:szCs w:val="24"/>
        </w:rPr>
        <w:t>NHS Records Management Code of Practice, the Care Quality Commission (CQC) Fundamental Standards, and local safeguarding procedures.</w:t>
      </w:r>
      <w:r>
        <w:rPr>
          <w:rFonts w:ascii="Times New Roman" w:eastAsia="Times New Roman" w:hAnsi="Times New Roman" w:cs="Times New Roman"/>
          <w:sz w:val="24"/>
          <w:szCs w:val="24"/>
        </w:rPr>
        <w:t xml:space="preserve"> According to these structures, all records must be clear, dated, legible, contemporaneous, and auditable (</w:t>
      </w:r>
      <w:r>
        <w:rPr>
          <w:rFonts w:ascii="Times New Roman" w:eastAsia="Times New Roman" w:hAnsi="Times New Roman" w:cs="Times New Roman"/>
          <w:color w:val="222222"/>
          <w:sz w:val="24"/>
          <w:szCs w:val="24"/>
          <w:highlight w:val="white"/>
        </w:rPr>
        <w:t>Monica, 2025)</w:t>
      </w:r>
      <w:r>
        <w:rPr>
          <w:rFonts w:ascii="Times New Roman" w:eastAsia="Times New Roman" w:hAnsi="Times New Roman" w:cs="Times New Roman"/>
          <w:sz w:val="24"/>
          <w:szCs w:val="24"/>
        </w:rPr>
        <w:t xml:space="preserve">. They also specify retention periods, e.g. records related to adult social care are normally retained several years after the care has ended to ensure responsibility and legal defence. Excellent administrative abilities also facilitate incident reporting, drug administration documentation, planning care and sharing of multidisciplinary information. The strict administrative procedures, in the case of Mrs Mann, </w:t>
      </w:r>
      <w:r>
        <w:rPr>
          <w:rFonts w:ascii="Times New Roman" w:eastAsia="Times New Roman" w:hAnsi="Times New Roman" w:cs="Times New Roman"/>
          <w:sz w:val="24"/>
          <w:szCs w:val="24"/>
        </w:rPr>
        <w:lastRenderedPageBreak/>
        <w:t>would have ensured good documentation, avoided misunderstanding among her care team members, and facilitated safer and prompt alteration of her medication.</w:t>
      </w:r>
    </w:p>
    <w:p w14:paraId="3751B525" w14:textId="77777777" w:rsidR="00523F8D" w:rsidRDefault="001B70FC">
      <w:pPr>
        <w:pStyle w:val="Heading1"/>
        <w:keepNext w:val="0"/>
        <w:keepLines w:val="0"/>
        <w:spacing w:before="360"/>
      </w:pPr>
      <w:bookmarkStart w:id="7" w:name="_jthcdoy32apj" w:colFirst="0" w:colLast="0"/>
      <w:bookmarkStart w:id="8" w:name="_Toc215661489"/>
      <w:bookmarkEnd w:id="7"/>
      <w:r>
        <w:t>3. Importance of Working Collaboratively with Other Professionals in Mrs Mann’s Care</w:t>
      </w:r>
      <w:bookmarkEnd w:id="8"/>
      <w:r>
        <w:t xml:space="preserve"> </w:t>
      </w:r>
    </w:p>
    <w:p w14:paraId="3751B526" w14:textId="77777777" w:rsidR="00523F8D" w:rsidRDefault="001B70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to providing safe, coordinated and holistic care to Mrs Mann is collaborative working, which requires the intervention of a physiotherapist, GP, and domiciliary care workers in her rehabilitation. The multi-agency cooperation also helps to minimise mistakes and avoid delays in treatment, continuity, and ensures that every professional makes contributions to a common vision of her needs (</w:t>
      </w:r>
      <w:r>
        <w:rPr>
          <w:rFonts w:ascii="Times New Roman" w:eastAsia="Times New Roman" w:hAnsi="Times New Roman" w:cs="Times New Roman"/>
          <w:color w:val="222222"/>
          <w:sz w:val="24"/>
          <w:szCs w:val="24"/>
          <w:highlight w:val="white"/>
        </w:rPr>
        <w:t xml:space="preserve">Labrague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Because of the surgery that Mrs Mann had recently undergone and her limited English language, collaborative working is essential to help monitor her progress, change her medication accordingly, and help. Several strategies of successful teamwork apply to the case. The application of Multidisciplinary Team (MDT) meetings enables professionals to address the issue of Mrs Mann, discuss her condition, and set common objectives concerning her rehabilitation. MDT meetings facilitate the shared decision-making process and make sure that all the practitioners are on the same page. Another significant aspect is the usage of Shared Care Plans, which have the same record with the details of her mobility needs, medication schedule, cultural demands, and the preferences regarding communication (</w:t>
      </w:r>
      <w:r>
        <w:rPr>
          <w:rFonts w:ascii="Times New Roman" w:eastAsia="Times New Roman" w:hAnsi="Times New Roman" w:cs="Times New Roman"/>
          <w:color w:val="222222"/>
          <w:sz w:val="24"/>
          <w:szCs w:val="24"/>
          <w:highlight w:val="white"/>
        </w:rPr>
        <w:t xml:space="preserve">Rawlinson,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Shared Care Plans eliminated duplication and enabled the agencies to strive to achieve the same goals. Formal communication may be reinforced with such structured instruments as the SBAR approach (Situation, Background, Assessment, Recommendation). SBAR assists care workers to escalate the issues to the GP or physiotherapist in a rational pattern and avoid misinformation, as well as prompting the response (</w:t>
      </w:r>
      <w:r>
        <w:rPr>
          <w:rFonts w:ascii="Times New Roman" w:eastAsia="Times New Roman" w:hAnsi="Times New Roman" w:cs="Times New Roman"/>
          <w:color w:val="222222"/>
          <w:sz w:val="24"/>
          <w:szCs w:val="24"/>
          <w:highlight w:val="white"/>
        </w:rPr>
        <w:t>Bendowska and Baum, 2023)</w:t>
      </w:r>
      <w:r>
        <w:rPr>
          <w:rFonts w:ascii="Times New Roman" w:eastAsia="Times New Roman" w:hAnsi="Times New Roman" w:cs="Times New Roman"/>
          <w:sz w:val="24"/>
          <w:szCs w:val="24"/>
        </w:rPr>
        <w:t>. ICPs also help continuity through mapping all steps of the recovery of Mrs Mann, defining roles, and coordinating interventions among services.</w:t>
      </w:r>
    </w:p>
    <w:p w14:paraId="3751B527" w14:textId="77777777" w:rsidR="00523F8D" w:rsidRDefault="001B70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there are also challenges of multi-agency work. Information flow can be restricted by differences in the organisational systems, time pressures, and irregular documentation. The language barrier of Mrs Mann is another complex issue. Some of the strategies that can be used to conquer these problems are the application of Professional Interpreting Services instead of the use of mere family members, proper and timely documentation and adoption of secure digital shared-record systems, as all the professionals </w:t>
      </w:r>
      <w:r>
        <w:rPr>
          <w:rFonts w:ascii="Times New Roman" w:eastAsia="Times New Roman" w:hAnsi="Times New Roman" w:cs="Times New Roman"/>
          <w:sz w:val="24"/>
          <w:szCs w:val="24"/>
        </w:rPr>
        <w:lastRenderedPageBreak/>
        <w:t>have direct access to the updates (</w:t>
      </w:r>
      <w:r>
        <w:rPr>
          <w:rFonts w:ascii="Times New Roman" w:eastAsia="Times New Roman" w:hAnsi="Times New Roman" w:cs="Times New Roman"/>
          <w:color w:val="222222"/>
          <w:sz w:val="24"/>
          <w:szCs w:val="24"/>
          <w:highlight w:val="white"/>
        </w:rPr>
        <w:t xml:space="preserve">Wei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Encouraging a culture of respect for each other, clarity of roles, and communication will also enhance collaboration. Routine supervision and reflective conversations will be used to overcome tensions and support professional accountability. In the end, in multi-agency practices, Mrs Mann will obtain a safe, seamless, and person-centred care that will assist her in her independence and recovery.</w:t>
      </w:r>
    </w:p>
    <w:p w14:paraId="3751B528" w14:textId="77777777" w:rsidR="00523F8D" w:rsidRDefault="001B70FC">
      <w:pPr>
        <w:pStyle w:val="Heading1"/>
        <w:spacing w:before="360"/>
      </w:pPr>
      <w:bookmarkStart w:id="9" w:name="_63v4mum0tm73" w:colFirst="0" w:colLast="0"/>
      <w:bookmarkStart w:id="10" w:name="_Toc215661490"/>
      <w:bookmarkEnd w:id="9"/>
      <w:r>
        <w:t>Conclusion</w:t>
      </w:r>
      <w:bookmarkEnd w:id="10"/>
      <w:r>
        <w:t xml:space="preserve"> </w:t>
      </w:r>
    </w:p>
    <w:p w14:paraId="3751B529" w14:textId="77777777" w:rsidR="00673EED" w:rsidRDefault="001B70FC">
      <w:pPr>
        <w:spacing w:before="3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the case of Mrs Mann demonstrates that effective communication, strong administrative practice, and multi-agency working are the pillars of safe and person-centred care. Effective communication, which is backed by the equality laws and model structures, would make sure that her needs, preferences, and language barriers are approached in a sensitive manner. Good administrative capacity, especially maintaining proper records that satisfy the requirements, is essential in avoiding mistakes like medication delays and the provision of credible information to all professionals. Shared communication tools, MDT meetings, and shared care plans encourage agencies to make decisions on her rehabilitation in a coordinated manner. It is more efficient and safe to address challenges with the help of professional interpreters, safe documentation systems, and role division. Collectively, these practices would form an integrated and responsive support system that would help Mrs Mann to heal with dignity, independence and confidence.</w:t>
      </w:r>
    </w:p>
    <w:p w14:paraId="3751B52A" w14:textId="77777777" w:rsidR="00673EED" w:rsidRDefault="00673EE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751B52B" w14:textId="77777777" w:rsidR="00523F8D" w:rsidRDefault="00523F8D">
      <w:pPr>
        <w:spacing w:before="360" w:line="360" w:lineRule="auto"/>
        <w:jc w:val="both"/>
        <w:rPr>
          <w:rFonts w:ascii="Times New Roman" w:eastAsia="Times New Roman" w:hAnsi="Times New Roman" w:cs="Times New Roman"/>
          <w:sz w:val="24"/>
          <w:szCs w:val="24"/>
        </w:rPr>
      </w:pPr>
    </w:p>
    <w:p w14:paraId="3751B52C" w14:textId="77777777" w:rsidR="00523F8D" w:rsidRDefault="001B70FC">
      <w:pPr>
        <w:pStyle w:val="Heading1"/>
        <w:spacing w:before="360"/>
      </w:pPr>
      <w:bookmarkStart w:id="11" w:name="_xnarpmsyrxho" w:colFirst="0" w:colLast="0"/>
      <w:bookmarkStart w:id="12" w:name="_Toc215661491"/>
      <w:bookmarkEnd w:id="11"/>
      <w:r>
        <w:t>Reference List</w:t>
      </w:r>
      <w:bookmarkEnd w:id="12"/>
    </w:p>
    <w:p w14:paraId="3751B52D"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Al-Kalaldeh, M., Amro, N., Qtait, M. and Alwawi, A., 2025. Barriers to effective nurse-patient communication in the emergency department. </w:t>
      </w:r>
      <w:r>
        <w:rPr>
          <w:rFonts w:ascii="Times New Roman" w:eastAsia="Times New Roman" w:hAnsi="Times New Roman" w:cs="Times New Roman"/>
          <w:i/>
          <w:iCs/>
          <w:color w:val="222222"/>
          <w:sz w:val="24"/>
          <w:szCs w:val="24"/>
          <w:highlight w:val="white"/>
        </w:rPr>
        <w:t>Emergency Nurse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33</w:t>
      </w:r>
      <w:r>
        <w:rPr>
          <w:rFonts w:ascii="Times New Roman" w:eastAsia="Times New Roman" w:hAnsi="Times New Roman" w:cs="Times New Roman"/>
          <w:color w:val="222222"/>
          <w:sz w:val="24"/>
          <w:szCs w:val="24"/>
          <w:highlight w:val="white"/>
        </w:rPr>
        <w:t>(5).</w:t>
      </w:r>
      <w:hyperlink r:id="rId8">
        <w:r>
          <w:rPr>
            <w:rFonts w:ascii="Times New Roman" w:eastAsia="Times New Roman" w:hAnsi="Times New Roman" w:cs="Times New Roman"/>
            <w:color w:val="1155CC"/>
            <w:sz w:val="24"/>
            <w:szCs w:val="24"/>
            <w:highlight w:val="white"/>
            <w:u w:val="single"/>
          </w:rPr>
          <w:t>https://journals.rcni.com/emergency-nurse/evidence-and-practice/barriers-to-effective-nursepatient-communication-in-the-emergency-department-en.2020.e1969</w:t>
        </w:r>
      </w:hyperlink>
      <w:r>
        <w:rPr>
          <w:rFonts w:ascii="Times New Roman" w:eastAsia="Times New Roman" w:hAnsi="Times New Roman" w:cs="Times New Roman"/>
          <w:color w:val="222222"/>
          <w:sz w:val="24"/>
          <w:szCs w:val="24"/>
          <w:highlight w:val="white"/>
        </w:rPr>
        <w:t xml:space="preserve"> </w:t>
      </w:r>
    </w:p>
    <w:p w14:paraId="3751B52E" w14:textId="77777777" w:rsidR="00673EED" w:rsidRDefault="00673E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Bendowska, A. and Baum, E., 2023. The significance of cooperation in interdisciplinary health care teams as perceived by polish medical students. </w:t>
      </w:r>
      <w:r>
        <w:rPr>
          <w:rFonts w:ascii="Times New Roman" w:eastAsia="Times New Roman" w:hAnsi="Times New Roman" w:cs="Times New Roman"/>
          <w:i/>
          <w:iCs/>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20</w:t>
      </w:r>
      <w:r>
        <w:rPr>
          <w:rFonts w:ascii="Times New Roman" w:eastAsia="Times New Roman" w:hAnsi="Times New Roman" w:cs="Times New Roman"/>
          <w:color w:val="222222"/>
          <w:sz w:val="24"/>
          <w:szCs w:val="24"/>
          <w:highlight w:val="white"/>
        </w:rPr>
        <w:t>(2), p.954.</w:t>
      </w:r>
      <w:hyperlink r:id="rId9">
        <w:r>
          <w:rPr>
            <w:rFonts w:ascii="Times New Roman" w:eastAsia="Times New Roman" w:hAnsi="Times New Roman" w:cs="Times New Roman"/>
            <w:color w:val="1155CC"/>
            <w:sz w:val="24"/>
            <w:szCs w:val="24"/>
            <w:highlight w:val="white"/>
            <w:u w:val="single"/>
          </w:rPr>
          <w:t>https://www.mdpi.com/1660-4601/20/2/954</w:t>
        </w:r>
      </w:hyperlink>
      <w:r>
        <w:rPr>
          <w:rFonts w:ascii="Times New Roman" w:eastAsia="Times New Roman" w:hAnsi="Times New Roman" w:cs="Times New Roman"/>
          <w:sz w:val="24"/>
          <w:szCs w:val="24"/>
        </w:rPr>
        <w:t xml:space="preserve"> </w:t>
      </w:r>
    </w:p>
    <w:p w14:paraId="3751B52F"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Grace, P.J. and Uveges, M.K., 2022. </w:t>
      </w:r>
      <w:r>
        <w:rPr>
          <w:rFonts w:ascii="Times New Roman" w:eastAsia="Times New Roman" w:hAnsi="Times New Roman" w:cs="Times New Roman"/>
          <w:i/>
          <w:iCs/>
          <w:color w:val="222222"/>
          <w:sz w:val="24"/>
          <w:szCs w:val="24"/>
          <w:highlight w:val="white"/>
        </w:rPr>
        <w:t>Nursing ethics and professional responsibility in advanced practice</w:t>
      </w:r>
      <w:r>
        <w:rPr>
          <w:rFonts w:ascii="Times New Roman" w:eastAsia="Times New Roman" w:hAnsi="Times New Roman" w:cs="Times New Roman"/>
          <w:color w:val="222222"/>
          <w:sz w:val="24"/>
          <w:szCs w:val="24"/>
          <w:highlight w:val="white"/>
        </w:rPr>
        <w:t>. Jones &amp; Bartlett Learning.</w:t>
      </w:r>
      <w:hyperlink r:id="rId10">
        <w:r>
          <w:rPr>
            <w:rFonts w:ascii="Times New Roman" w:eastAsia="Times New Roman" w:hAnsi="Times New Roman" w:cs="Times New Roman"/>
            <w:color w:val="1155CC"/>
            <w:sz w:val="24"/>
            <w:szCs w:val="24"/>
            <w:highlight w:val="white"/>
            <w:u w:val="single"/>
          </w:rPr>
          <w:t>https://books.google.com/books?hl=en&amp;lr=&amp;id=zep5EAAAQBAJ&amp;oi=fnd&amp;pg=PP1&amp;dq=.+Importance+of+Good+Administrative+Skills+Within+Professional+Practice+nursing&amp;ots=bwyw1wGTyO&amp;sig=7WB6nx904RX61k3Bpj8Xt78tPdw</w:t>
        </w:r>
      </w:hyperlink>
      <w:r>
        <w:rPr>
          <w:rFonts w:ascii="Times New Roman" w:eastAsia="Times New Roman" w:hAnsi="Times New Roman" w:cs="Times New Roman"/>
          <w:color w:val="222222"/>
          <w:sz w:val="24"/>
          <w:szCs w:val="24"/>
          <w:highlight w:val="white"/>
        </w:rPr>
        <w:t xml:space="preserve"> </w:t>
      </w:r>
    </w:p>
    <w:p w14:paraId="3751B530"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Krpálek, P., Berková, K., Kubišová, A., Krelová, K.K., Frendlovská, D. and Spiesová, D., 2021. Formation of professional competences and soft skills of public administration employees for sustainable professional development.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(10), p.5533.</w:t>
      </w:r>
      <w:hyperlink r:id="rId11">
        <w:r>
          <w:rPr>
            <w:rFonts w:ascii="Times New Roman" w:eastAsia="Times New Roman" w:hAnsi="Times New Roman" w:cs="Times New Roman"/>
            <w:color w:val="1155CC"/>
            <w:sz w:val="24"/>
            <w:szCs w:val="24"/>
            <w:highlight w:val="white"/>
            <w:u w:val="single"/>
          </w:rPr>
          <w:t>https://www.mdpi.com/2071-1050/13/10/5533</w:t>
        </w:r>
      </w:hyperlink>
      <w:r>
        <w:rPr>
          <w:rFonts w:ascii="Times New Roman" w:eastAsia="Times New Roman" w:hAnsi="Times New Roman" w:cs="Times New Roman"/>
          <w:color w:val="222222"/>
          <w:sz w:val="24"/>
          <w:szCs w:val="24"/>
          <w:highlight w:val="white"/>
        </w:rPr>
        <w:t xml:space="preserve"> </w:t>
      </w:r>
    </w:p>
    <w:p w14:paraId="3751B531"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Kusumalatha, D.V., 2023. Extension Communication Models and Strategies. </w:t>
      </w:r>
      <w:r>
        <w:rPr>
          <w:rFonts w:ascii="Times New Roman" w:eastAsia="Times New Roman" w:hAnsi="Times New Roman" w:cs="Times New Roman"/>
          <w:i/>
          <w:iCs/>
          <w:color w:val="222222"/>
          <w:sz w:val="24"/>
          <w:szCs w:val="24"/>
          <w:highlight w:val="white"/>
        </w:rPr>
        <w:t>Chief Editor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41</w:t>
      </w:r>
      <w:r>
        <w:rPr>
          <w:rFonts w:ascii="Times New Roman" w:eastAsia="Times New Roman" w:hAnsi="Times New Roman" w:cs="Times New Roman"/>
          <w:color w:val="222222"/>
          <w:sz w:val="24"/>
          <w:szCs w:val="24"/>
          <w:highlight w:val="white"/>
        </w:rPr>
        <w:t>.</w:t>
      </w:r>
      <w:hyperlink r:id="rId12" w:anchor="page=47">
        <w:r>
          <w:rPr>
            <w:rFonts w:ascii="Times New Roman" w:eastAsia="Times New Roman" w:hAnsi="Times New Roman" w:cs="Times New Roman"/>
            <w:color w:val="1155CC"/>
            <w:sz w:val="24"/>
            <w:szCs w:val="24"/>
            <w:highlight w:val="white"/>
            <w:u w:val="single"/>
          </w:rPr>
          <w:t>https://www.researchgate.net/profile/Tanvi-Sharma-29/publication/378067789_Economic_Problems_and_Financial_Support_to_Elderly_Women_in_Rural_and_Urban_Areas_of_Haryana/links/65c4e7661bed776ae3379b8b/Economic-Problems-and-Financial-Support-to-Elderly-Women-in-Rural-and-Urban-Areas-of-Haryana.pdf#page=47</w:t>
        </w:r>
      </w:hyperlink>
      <w:r>
        <w:rPr>
          <w:rFonts w:ascii="Times New Roman" w:eastAsia="Times New Roman" w:hAnsi="Times New Roman" w:cs="Times New Roman"/>
          <w:color w:val="222222"/>
          <w:sz w:val="24"/>
          <w:szCs w:val="24"/>
          <w:highlight w:val="white"/>
        </w:rPr>
        <w:t xml:space="preserve"> </w:t>
      </w:r>
    </w:p>
    <w:p w14:paraId="3751B532"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Labrague, L.J., Al Sabei, S., Al Rawajfah, O., AbuAlRub, R. and Burney, I., 2022. Interprofessional collaboration as a mediator in the relationship between nurse work environment, patient safety outcomes and job satisfaction among nurses. </w:t>
      </w:r>
      <w:r>
        <w:rPr>
          <w:rFonts w:ascii="Times New Roman" w:eastAsia="Times New Roman" w:hAnsi="Times New Roman" w:cs="Times New Roman"/>
          <w:i/>
          <w:iCs/>
          <w:color w:val="222222"/>
          <w:sz w:val="24"/>
          <w:szCs w:val="24"/>
          <w:highlight w:val="white"/>
        </w:rPr>
        <w:t>Journal of nursing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30</w:t>
      </w:r>
      <w:r>
        <w:rPr>
          <w:rFonts w:ascii="Times New Roman" w:eastAsia="Times New Roman" w:hAnsi="Times New Roman" w:cs="Times New Roman"/>
          <w:color w:val="222222"/>
          <w:sz w:val="24"/>
          <w:szCs w:val="24"/>
          <w:highlight w:val="white"/>
        </w:rPr>
        <w:t>(1), pp.268-278.</w:t>
      </w:r>
      <w:hyperlink r:id="rId13">
        <w:r>
          <w:rPr>
            <w:rFonts w:ascii="Times New Roman" w:eastAsia="Times New Roman" w:hAnsi="Times New Roman" w:cs="Times New Roman"/>
            <w:color w:val="1155CC"/>
            <w:sz w:val="24"/>
            <w:szCs w:val="24"/>
            <w:highlight w:val="white"/>
            <w:u w:val="single"/>
          </w:rPr>
          <w:t>https://onlinelibrary.wiley.com/doi/abs/10.1111/jonm.13491</w:t>
        </w:r>
      </w:hyperlink>
      <w:r>
        <w:rPr>
          <w:rFonts w:ascii="Times New Roman" w:eastAsia="Times New Roman" w:hAnsi="Times New Roman" w:cs="Times New Roman"/>
          <w:color w:val="222222"/>
          <w:sz w:val="24"/>
          <w:szCs w:val="24"/>
          <w:highlight w:val="white"/>
        </w:rPr>
        <w:t xml:space="preserve"> </w:t>
      </w:r>
    </w:p>
    <w:p w14:paraId="3751B533"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Monica, C., 2025. District laboratory practice in tropical countries.</w:t>
      </w:r>
      <w:hyperlink r:id="rId14">
        <w:r>
          <w:rPr>
            <w:rFonts w:ascii="Times New Roman" w:eastAsia="Times New Roman" w:hAnsi="Times New Roman" w:cs="Times New Roman"/>
            <w:color w:val="1155CC"/>
            <w:sz w:val="24"/>
            <w:szCs w:val="24"/>
            <w:highlight w:val="white"/>
            <w:u w:val="single"/>
          </w:rPr>
          <w:t>http://diglib.globalcollege.edu.et:8080/xmlui/bitstream/handle/123456789/2510/1monica29475.pdf?sequence=1&amp;isAllowed=y</w:t>
        </w:r>
      </w:hyperlink>
      <w:r>
        <w:rPr>
          <w:rFonts w:ascii="Times New Roman" w:eastAsia="Times New Roman" w:hAnsi="Times New Roman" w:cs="Times New Roman"/>
          <w:color w:val="222222"/>
          <w:sz w:val="24"/>
          <w:szCs w:val="24"/>
          <w:highlight w:val="white"/>
        </w:rPr>
        <w:t xml:space="preserve"> </w:t>
      </w:r>
    </w:p>
    <w:p w14:paraId="3751B534"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Omojuwa, B.A., 2025. </w:t>
      </w:r>
      <w:r>
        <w:rPr>
          <w:rFonts w:ascii="Times New Roman" w:eastAsia="Times New Roman" w:hAnsi="Times New Roman" w:cs="Times New Roman"/>
          <w:i/>
          <w:iCs/>
          <w:color w:val="222222"/>
          <w:sz w:val="24"/>
          <w:szCs w:val="24"/>
          <w:highlight w:val="white"/>
        </w:rPr>
        <w:t>Exploring the Communication Process Model</w:t>
      </w:r>
      <w:r>
        <w:rPr>
          <w:rFonts w:ascii="Times New Roman" w:eastAsia="Times New Roman" w:hAnsi="Times New Roman" w:cs="Times New Roman"/>
          <w:color w:val="222222"/>
          <w:sz w:val="24"/>
          <w:szCs w:val="24"/>
          <w:highlight w:val="white"/>
        </w:rPr>
        <w:t xml:space="preserve"> (Doctoral dissertation, Mount Saint Vincent University).</w:t>
      </w:r>
      <w:hyperlink r:id="rId15">
        <w:r>
          <w:rPr>
            <w:rFonts w:ascii="Times New Roman" w:eastAsia="Times New Roman" w:hAnsi="Times New Roman" w:cs="Times New Roman"/>
            <w:color w:val="1155CC"/>
            <w:sz w:val="24"/>
            <w:szCs w:val="24"/>
            <w:highlight w:val="white"/>
            <w:u w:val="single"/>
          </w:rPr>
          <w:t>https://ec.msvu.ca/bitstreams/a5a735ce-680e-4ac3-bb5a-af0196780dba/download</w:t>
        </w:r>
      </w:hyperlink>
      <w:r>
        <w:rPr>
          <w:rFonts w:ascii="Times New Roman" w:eastAsia="Times New Roman" w:hAnsi="Times New Roman" w:cs="Times New Roman"/>
          <w:color w:val="222222"/>
          <w:sz w:val="24"/>
          <w:szCs w:val="24"/>
          <w:highlight w:val="white"/>
        </w:rPr>
        <w:t xml:space="preserve"> </w:t>
      </w:r>
    </w:p>
    <w:p w14:paraId="3751B535"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Pursio, K., Kankkunen, P., Sanner‐Stiehr, E. and Kvist, T., 2021. Professional autonomy in nursing: An integrative review. </w:t>
      </w:r>
      <w:r>
        <w:rPr>
          <w:rFonts w:ascii="Times New Roman" w:eastAsia="Times New Roman" w:hAnsi="Times New Roman" w:cs="Times New Roman"/>
          <w:i/>
          <w:iCs/>
          <w:color w:val="222222"/>
          <w:sz w:val="24"/>
          <w:szCs w:val="24"/>
          <w:highlight w:val="white"/>
        </w:rPr>
        <w:t>Journal of nursing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29</w:t>
      </w:r>
      <w:r>
        <w:rPr>
          <w:rFonts w:ascii="Times New Roman" w:eastAsia="Times New Roman" w:hAnsi="Times New Roman" w:cs="Times New Roman"/>
          <w:color w:val="222222"/>
          <w:sz w:val="24"/>
          <w:szCs w:val="24"/>
          <w:highlight w:val="white"/>
        </w:rPr>
        <w:t>(6), pp.1565-1577.</w:t>
      </w:r>
      <w:hyperlink r:id="rId16">
        <w:r>
          <w:rPr>
            <w:rFonts w:ascii="Times New Roman" w:eastAsia="Times New Roman" w:hAnsi="Times New Roman" w:cs="Times New Roman"/>
            <w:color w:val="1155CC"/>
            <w:sz w:val="24"/>
            <w:szCs w:val="24"/>
            <w:highlight w:val="white"/>
            <w:u w:val="single"/>
          </w:rPr>
          <w:t>https://onlinelibrary.wiley.com/doi/abs/10.1111/jonm.13282</w:t>
        </w:r>
      </w:hyperlink>
      <w:r>
        <w:rPr>
          <w:rFonts w:ascii="Times New Roman" w:eastAsia="Times New Roman" w:hAnsi="Times New Roman" w:cs="Times New Roman"/>
          <w:color w:val="222222"/>
          <w:sz w:val="24"/>
          <w:szCs w:val="24"/>
          <w:highlight w:val="white"/>
        </w:rPr>
        <w:t xml:space="preserve"> </w:t>
      </w:r>
    </w:p>
    <w:p w14:paraId="3751B536"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Rawlinson, C., Carron, T., Cohidon, C., Arditi, C., Hong, Q.N., Pluye, P., Peytremann-Bridevaux, I. and Gilles, I., 2021. An overview of reviews on interprofessional collaboration in primary care: barriers and facilitators. </w:t>
      </w:r>
      <w:r>
        <w:rPr>
          <w:rFonts w:ascii="Times New Roman" w:eastAsia="Times New Roman" w:hAnsi="Times New Roman" w:cs="Times New Roman"/>
          <w:i/>
          <w:iCs/>
          <w:color w:val="222222"/>
          <w:sz w:val="24"/>
          <w:szCs w:val="24"/>
          <w:highlight w:val="white"/>
        </w:rPr>
        <w:t>International journal of integrated care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21</w:t>
      </w:r>
      <w:r>
        <w:rPr>
          <w:rFonts w:ascii="Times New Roman" w:eastAsia="Times New Roman" w:hAnsi="Times New Roman" w:cs="Times New Roman"/>
          <w:color w:val="222222"/>
          <w:sz w:val="24"/>
          <w:szCs w:val="24"/>
          <w:highlight w:val="white"/>
        </w:rPr>
        <w:t>(2), p.32.</w:t>
      </w:r>
      <w:hyperlink r:id="rId17">
        <w:r>
          <w:rPr>
            <w:rFonts w:ascii="Times New Roman" w:eastAsia="Times New Roman" w:hAnsi="Times New Roman" w:cs="Times New Roman"/>
            <w:color w:val="1155CC"/>
            <w:sz w:val="24"/>
            <w:szCs w:val="24"/>
            <w:highlight w:val="white"/>
            <w:u w:val="single"/>
          </w:rPr>
          <w:t>https://pmc.ncbi.nlm.nih.gov/articles/PMC8231480/</w:t>
        </w:r>
      </w:hyperlink>
      <w:r>
        <w:rPr>
          <w:rFonts w:ascii="Times New Roman" w:eastAsia="Times New Roman" w:hAnsi="Times New Roman" w:cs="Times New Roman"/>
          <w:color w:val="222222"/>
          <w:sz w:val="24"/>
          <w:szCs w:val="24"/>
          <w:highlight w:val="white"/>
        </w:rPr>
        <w:t xml:space="preserve"> </w:t>
      </w:r>
    </w:p>
    <w:p w14:paraId="3751B537"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Sharkiya, S.H., 2023. Quality communication can improve patient-centred health outcomes among older patients: a rapid review. </w:t>
      </w:r>
      <w:r>
        <w:rPr>
          <w:rFonts w:ascii="Times New Roman" w:eastAsia="Times New Roman" w:hAnsi="Times New Roman" w:cs="Times New Roman"/>
          <w:i/>
          <w:iCs/>
          <w:color w:val="222222"/>
          <w:sz w:val="24"/>
          <w:szCs w:val="24"/>
          <w:highlight w:val="white"/>
        </w:rPr>
        <w:t>BMC Health Services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23</w:t>
      </w:r>
      <w:r>
        <w:rPr>
          <w:rFonts w:ascii="Times New Roman" w:eastAsia="Times New Roman" w:hAnsi="Times New Roman" w:cs="Times New Roman"/>
          <w:color w:val="222222"/>
          <w:sz w:val="24"/>
          <w:szCs w:val="24"/>
          <w:highlight w:val="white"/>
        </w:rPr>
        <w:t>(1), p.886.</w:t>
      </w:r>
      <w:hyperlink r:id="rId18">
        <w:r>
          <w:rPr>
            <w:rFonts w:ascii="Times New Roman" w:eastAsia="Times New Roman" w:hAnsi="Times New Roman" w:cs="Times New Roman"/>
            <w:color w:val="1155CC"/>
            <w:sz w:val="24"/>
            <w:szCs w:val="24"/>
            <w:highlight w:val="white"/>
            <w:u w:val="single"/>
          </w:rPr>
          <w:t>https://link.springer.com/article/10.1186/s12913-023-09869-8</w:t>
        </w:r>
      </w:hyperlink>
      <w:r>
        <w:rPr>
          <w:rFonts w:ascii="Times New Roman" w:eastAsia="Times New Roman" w:hAnsi="Times New Roman" w:cs="Times New Roman"/>
          <w:color w:val="222222"/>
          <w:sz w:val="24"/>
          <w:szCs w:val="24"/>
          <w:highlight w:val="white"/>
        </w:rPr>
        <w:t xml:space="preserve"> </w:t>
      </w:r>
    </w:p>
    <w:p w14:paraId="3751B538" w14:textId="77777777" w:rsidR="00673EED" w:rsidRDefault="00673EE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Wei, H., Horns, P., Sears, S.F., Huang, K., Smith, C.M. and Wei, T.L., 2022. A systematic meta-review of systematic reviews about interprofessional collaboration: facilitators, barriers, and outcomes. </w:t>
      </w:r>
      <w:r>
        <w:rPr>
          <w:rFonts w:ascii="Times New Roman" w:eastAsia="Times New Roman" w:hAnsi="Times New Roman" w:cs="Times New Roman"/>
          <w:i/>
          <w:iCs/>
          <w:color w:val="222222"/>
          <w:sz w:val="24"/>
          <w:szCs w:val="24"/>
          <w:highlight w:val="white"/>
        </w:rPr>
        <w:t>Journal of interprofessional care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36</w:t>
      </w:r>
      <w:r>
        <w:rPr>
          <w:rFonts w:ascii="Times New Roman" w:eastAsia="Times New Roman" w:hAnsi="Times New Roman" w:cs="Times New Roman"/>
          <w:color w:val="222222"/>
          <w:sz w:val="24"/>
          <w:szCs w:val="24"/>
          <w:highlight w:val="white"/>
        </w:rPr>
        <w:t>(5), pp.735-749.</w:t>
      </w:r>
      <w:hyperlink r:id="rId19">
        <w:r>
          <w:rPr>
            <w:rFonts w:ascii="Times New Roman" w:eastAsia="Times New Roman" w:hAnsi="Times New Roman" w:cs="Times New Roman"/>
            <w:color w:val="1155CC"/>
            <w:sz w:val="24"/>
            <w:szCs w:val="24"/>
            <w:highlight w:val="white"/>
            <w:u w:val="single"/>
          </w:rPr>
          <w:t>https://www.tandfonline.com/doi/abs/10.1080/13561820.2021.1973975</w:t>
        </w:r>
      </w:hyperlink>
      <w:r>
        <w:rPr>
          <w:rFonts w:ascii="Times New Roman" w:eastAsia="Times New Roman" w:hAnsi="Times New Roman" w:cs="Times New Roman"/>
          <w:color w:val="222222"/>
          <w:sz w:val="24"/>
          <w:szCs w:val="24"/>
          <w:highlight w:val="white"/>
        </w:rPr>
        <w:t xml:space="preserve"> </w:t>
      </w:r>
    </w:p>
    <w:p w14:paraId="3751B539" w14:textId="77777777" w:rsidR="00523F8D" w:rsidRDefault="00523F8D"/>
    <w:sectPr w:rsidR="00523F8D" w:rsidSect="00673EED">
      <w:footerReference w:type="default" r:id="rId2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48F66" w14:textId="77777777" w:rsidR="00C87DFF" w:rsidRDefault="00C87DFF" w:rsidP="00673EED">
      <w:pPr>
        <w:spacing w:line="240" w:lineRule="auto"/>
      </w:pPr>
      <w:r>
        <w:separator/>
      </w:r>
    </w:p>
  </w:endnote>
  <w:endnote w:type="continuationSeparator" w:id="0">
    <w:p w14:paraId="6B324FC2" w14:textId="77777777" w:rsidR="00C87DFF" w:rsidRDefault="00C87DFF" w:rsidP="00673E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1D76F0A-A836-481C-9C38-EB94A16773FE}"/>
  </w:font>
  <w:font w:name="Calibri">
    <w:panose1 w:val="020F0502020204030204"/>
    <w:charset w:val="00"/>
    <w:family w:val="swiss"/>
    <w:pitch w:val="variable"/>
    <w:sig w:usb0="E4002EFF" w:usb1="C200247B" w:usb2="00000009" w:usb3="00000000" w:csb0="000001FF" w:csb1="00000000"/>
    <w:embedRegular r:id="rId2" w:fontKey="{2C610939-EF13-4F62-918C-33B7E530D76B}"/>
    <w:embedBold r:id="rId3" w:fontKey="{46794403-F931-4624-B7B9-3211C3F9BDCE}"/>
  </w:font>
  <w:font w:name="Cambria">
    <w:panose1 w:val="02040503050406030204"/>
    <w:charset w:val="00"/>
    <w:family w:val="roman"/>
    <w:pitch w:val="variable"/>
    <w:sig w:usb0="E00006FF" w:usb1="420024FF" w:usb2="02000000" w:usb3="00000000" w:csb0="0000019F" w:csb1="00000000"/>
    <w:embedRegular r:id="rId4" w:fontKey="{DDF3F76C-ADEA-4193-B1CE-3C09C1161D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972960"/>
      <w:docPartObj>
        <w:docPartGallery w:val="Page Numbers (Bottom of Page)"/>
        <w:docPartUnique/>
      </w:docPartObj>
    </w:sdtPr>
    <w:sdtContent>
      <w:sdt>
        <w:sdtPr>
          <w:id w:val="860082579"/>
          <w:docPartObj>
            <w:docPartGallery w:val="Page Numbers (Top of Page)"/>
            <w:docPartUnique/>
          </w:docPartObj>
        </w:sdtPr>
        <w:sdtContent>
          <w:p w14:paraId="3751B540" w14:textId="77777777" w:rsidR="00673EED" w:rsidRDefault="00673EED">
            <w:pPr>
              <w:pStyle w:val="Footer"/>
              <w:jc w:val="right"/>
            </w:pPr>
            <w:r w:rsidRPr="00673EED">
              <w:rPr>
                <w:rFonts w:ascii="Times New Roman" w:hAnsi="Times New Roman" w:cs="Times New Roman"/>
                <w:sz w:val="24"/>
                <w:szCs w:val="24"/>
              </w:rPr>
              <w:t xml:space="preserve">Page </w:t>
            </w:r>
            <w:r w:rsidRPr="00673EED">
              <w:rPr>
                <w:rFonts w:ascii="Times New Roman" w:hAnsi="Times New Roman" w:cs="Times New Roman"/>
                <w:b/>
                <w:bCs/>
                <w:sz w:val="24"/>
                <w:szCs w:val="24"/>
              </w:rPr>
              <w:fldChar w:fldCharType="begin"/>
            </w:r>
            <w:r w:rsidRPr="00673EED">
              <w:rPr>
                <w:rFonts w:ascii="Times New Roman" w:hAnsi="Times New Roman" w:cs="Times New Roman"/>
                <w:b/>
                <w:bCs/>
                <w:sz w:val="24"/>
                <w:szCs w:val="24"/>
              </w:rPr>
              <w:instrText xml:space="preserve"> PAGE </w:instrText>
            </w:r>
            <w:r w:rsidRPr="00673EED">
              <w:rPr>
                <w:rFonts w:ascii="Times New Roman" w:hAnsi="Times New Roman" w:cs="Times New Roman"/>
                <w:b/>
                <w:bCs/>
                <w:sz w:val="24"/>
                <w:szCs w:val="24"/>
              </w:rPr>
              <w:fldChar w:fldCharType="separate"/>
            </w:r>
            <w:r>
              <w:rPr>
                <w:rFonts w:ascii="Times New Roman" w:hAnsi="Times New Roman" w:cs="Times New Roman"/>
                <w:b/>
                <w:bCs/>
                <w:noProof/>
                <w:sz w:val="24"/>
                <w:szCs w:val="24"/>
              </w:rPr>
              <w:t>2</w:t>
            </w:r>
            <w:r w:rsidRPr="00673EED">
              <w:rPr>
                <w:rFonts w:ascii="Times New Roman" w:hAnsi="Times New Roman" w:cs="Times New Roman"/>
                <w:b/>
                <w:bCs/>
                <w:sz w:val="24"/>
                <w:szCs w:val="24"/>
              </w:rPr>
              <w:fldChar w:fldCharType="end"/>
            </w:r>
            <w:r w:rsidRPr="00673EED">
              <w:rPr>
                <w:rFonts w:ascii="Times New Roman" w:hAnsi="Times New Roman" w:cs="Times New Roman"/>
                <w:sz w:val="24"/>
                <w:szCs w:val="24"/>
              </w:rPr>
              <w:t xml:space="preserve"> of </w:t>
            </w:r>
            <w:r w:rsidRPr="00673EED">
              <w:rPr>
                <w:rFonts w:ascii="Times New Roman" w:hAnsi="Times New Roman" w:cs="Times New Roman"/>
                <w:b/>
                <w:bCs/>
                <w:sz w:val="24"/>
                <w:szCs w:val="24"/>
              </w:rPr>
              <w:fldChar w:fldCharType="begin"/>
            </w:r>
            <w:r w:rsidRPr="00673EED">
              <w:rPr>
                <w:rFonts w:ascii="Times New Roman" w:hAnsi="Times New Roman" w:cs="Times New Roman"/>
                <w:b/>
                <w:bCs/>
                <w:sz w:val="24"/>
                <w:szCs w:val="24"/>
              </w:rPr>
              <w:instrText xml:space="preserve"> NUMPAGES  </w:instrText>
            </w:r>
            <w:r w:rsidRPr="00673EED">
              <w:rPr>
                <w:rFonts w:ascii="Times New Roman" w:hAnsi="Times New Roman" w:cs="Times New Roman"/>
                <w:b/>
                <w:bCs/>
                <w:sz w:val="24"/>
                <w:szCs w:val="24"/>
              </w:rPr>
              <w:fldChar w:fldCharType="separate"/>
            </w:r>
            <w:r>
              <w:rPr>
                <w:rFonts w:ascii="Times New Roman" w:hAnsi="Times New Roman" w:cs="Times New Roman"/>
                <w:b/>
                <w:bCs/>
                <w:noProof/>
                <w:sz w:val="24"/>
                <w:szCs w:val="24"/>
              </w:rPr>
              <w:t>9</w:t>
            </w:r>
            <w:r w:rsidRPr="00673EED">
              <w:rPr>
                <w:rFonts w:ascii="Times New Roman" w:hAnsi="Times New Roman" w:cs="Times New Roman"/>
                <w:b/>
                <w:bCs/>
                <w:sz w:val="24"/>
                <w:szCs w:val="24"/>
              </w:rPr>
              <w:fldChar w:fldCharType="end"/>
            </w:r>
          </w:p>
        </w:sdtContent>
      </w:sdt>
    </w:sdtContent>
  </w:sdt>
  <w:p w14:paraId="3751B541" w14:textId="77777777" w:rsidR="00673EED" w:rsidRDefault="00673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2ACEA" w14:textId="77777777" w:rsidR="00C87DFF" w:rsidRDefault="00C87DFF" w:rsidP="00673EED">
      <w:pPr>
        <w:spacing w:line="240" w:lineRule="auto"/>
      </w:pPr>
      <w:r>
        <w:separator/>
      </w:r>
    </w:p>
  </w:footnote>
  <w:footnote w:type="continuationSeparator" w:id="0">
    <w:p w14:paraId="7D5CFBF8" w14:textId="77777777" w:rsidR="00C87DFF" w:rsidRDefault="00C87DFF" w:rsidP="00673EE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23F8D"/>
    <w:rsid w:val="001B70FC"/>
    <w:rsid w:val="0023679A"/>
    <w:rsid w:val="00523F8D"/>
    <w:rsid w:val="00673EED"/>
    <w:rsid w:val="00C87DFF"/>
    <w:rsid w:val="00E510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B50B"/>
  <w15:docId w15:val="{7513F24A-A695-4309-BCD5-9933F0765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8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before="280" w:after="8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73E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EED"/>
    <w:rPr>
      <w:rFonts w:ascii="Tahoma" w:hAnsi="Tahoma" w:cs="Tahoma"/>
      <w:sz w:val="16"/>
      <w:szCs w:val="16"/>
    </w:rPr>
  </w:style>
  <w:style w:type="paragraph" w:styleId="TOCHeading">
    <w:name w:val="TOC Heading"/>
    <w:basedOn w:val="Heading1"/>
    <w:next w:val="Normal"/>
    <w:uiPriority w:val="39"/>
    <w:semiHidden/>
    <w:unhideWhenUsed/>
    <w:qFormat/>
    <w:rsid w:val="00673EED"/>
    <w:pPr>
      <w:spacing w:before="480" w:after="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673EED"/>
    <w:pPr>
      <w:spacing w:after="100"/>
    </w:pPr>
  </w:style>
  <w:style w:type="character" w:styleId="Hyperlink">
    <w:name w:val="Hyperlink"/>
    <w:basedOn w:val="DefaultParagraphFont"/>
    <w:uiPriority w:val="99"/>
    <w:unhideWhenUsed/>
    <w:rsid w:val="00673EED"/>
    <w:rPr>
      <w:color w:val="0000FF" w:themeColor="hyperlink"/>
      <w:u w:val="single"/>
    </w:rPr>
  </w:style>
  <w:style w:type="paragraph" w:styleId="Header">
    <w:name w:val="header"/>
    <w:basedOn w:val="Normal"/>
    <w:link w:val="HeaderChar"/>
    <w:uiPriority w:val="99"/>
    <w:unhideWhenUsed/>
    <w:rsid w:val="00673EED"/>
    <w:pPr>
      <w:tabs>
        <w:tab w:val="center" w:pos="4513"/>
        <w:tab w:val="right" w:pos="9026"/>
      </w:tabs>
      <w:spacing w:line="240" w:lineRule="auto"/>
    </w:pPr>
  </w:style>
  <w:style w:type="character" w:customStyle="1" w:styleId="HeaderChar">
    <w:name w:val="Header Char"/>
    <w:basedOn w:val="DefaultParagraphFont"/>
    <w:link w:val="Header"/>
    <w:uiPriority w:val="99"/>
    <w:rsid w:val="00673EED"/>
  </w:style>
  <w:style w:type="paragraph" w:styleId="Footer">
    <w:name w:val="footer"/>
    <w:basedOn w:val="Normal"/>
    <w:link w:val="FooterChar"/>
    <w:uiPriority w:val="99"/>
    <w:unhideWhenUsed/>
    <w:rsid w:val="00673EED"/>
    <w:pPr>
      <w:tabs>
        <w:tab w:val="center" w:pos="4513"/>
        <w:tab w:val="right" w:pos="9026"/>
      </w:tabs>
      <w:spacing w:line="240" w:lineRule="auto"/>
    </w:pPr>
  </w:style>
  <w:style w:type="character" w:customStyle="1" w:styleId="FooterChar">
    <w:name w:val="Footer Char"/>
    <w:basedOn w:val="DefaultParagraphFont"/>
    <w:link w:val="Footer"/>
    <w:uiPriority w:val="99"/>
    <w:rsid w:val="00673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ournals.rcni.com/emergency-nurse/evidence-and-practice/barriers-to-effective-nursepatient-communication-in-the-emergency-department-en.2020.e1969" TargetMode="External"/><Relationship Id="rId13" Type="http://schemas.openxmlformats.org/officeDocument/2006/relationships/hyperlink" Target="https://onlinelibrary.wiley.com/doi/abs/10.1111/jonm.13491" TargetMode="External"/><Relationship Id="rId18" Type="http://schemas.openxmlformats.org/officeDocument/2006/relationships/hyperlink" Target="https://link.springer.com/article/10.1186/s12913-023-09869-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researchgate.net/profile/Tanvi-Sharma-29/publication/378067789_Economic_Problems_and_Financial_Support_to_Elderly_Women_in_Rural_and_Urban_Areas_of_Haryana/links/65c4e7661bed776ae3379b8b/Economic-Problems-and-Financial-Support-to-Elderly-Women-in-Rural-and-Urban-Areas-of-Haryana.pdf" TargetMode="External"/><Relationship Id="rId17" Type="http://schemas.openxmlformats.org/officeDocument/2006/relationships/hyperlink" Target="https://pmc.ncbi.nlm.nih.gov/articles/PMC8231480/" TargetMode="External"/><Relationship Id="rId2" Type="http://schemas.openxmlformats.org/officeDocument/2006/relationships/styles" Target="styles.xml"/><Relationship Id="rId16" Type="http://schemas.openxmlformats.org/officeDocument/2006/relationships/hyperlink" Target="https://onlinelibrary.wiley.com/doi/abs/10.1111/jonm.1328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2071-1050/13/10/5533" TargetMode="External"/><Relationship Id="rId5" Type="http://schemas.openxmlformats.org/officeDocument/2006/relationships/footnotes" Target="footnotes.xml"/><Relationship Id="rId15" Type="http://schemas.openxmlformats.org/officeDocument/2006/relationships/hyperlink" Target="https://ec.msvu.ca/bitstreams/a5a735ce-680e-4ac3-bb5a-af0196780dba/download" TargetMode="External"/><Relationship Id="rId10" Type="http://schemas.openxmlformats.org/officeDocument/2006/relationships/hyperlink" Target="https://books.google.com/books?hl=en&amp;lr=&amp;id=zep5EAAAQBAJ&amp;oi=fnd&amp;pg=PP1&amp;dq=.+Importance+of+Good+Administrative+Skills+Within+Professional+Practice+nursing&amp;ots=bwyw1wGTyO&amp;sig=7WB6nx904RX61k3Bpj8Xt78tPdw" TargetMode="External"/><Relationship Id="rId19" Type="http://schemas.openxmlformats.org/officeDocument/2006/relationships/hyperlink" Target="https://www.tandfonline.com/doi/abs/10.1080/13561820.2021.1973975" TargetMode="External"/><Relationship Id="rId4" Type="http://schemas.openxmlformats.org/officeDocument/2006/relationships/webSettings" Target="webSettings.xml"/><Relationship Id="rId9" Type="http://schemas.openxmlformats.org/officeDocument/2006/relationships/hyperlink" Target="https://www.mdpi.com/1660-4601/20/2/954" TargetMode="External"/><Relationship Id="rId14" Type="http://schemas.openxmlformats.org/officeDocument/2006/relationships/hyperlink" Target="http://diglib.globalcollege.edu.et:8080/xmlui/bitstream/handle/123456789/2510/1monica29475.pdf?sequence=1&amp;isAllowed=y"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5B470-89DE-476D-BF11-86627A805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3167</Words>
  <Characters>14666</Characters>
  <Application>Microsoft Office Word</Application>
  <DocSecurity>0</DocSecurity>
  <Lines>1833</Lines>
  <Paragraphs>495</Paragraphs>
  <ScaleCrop>false</ScaleCrop>
  <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Luz Perpetua Diaz Alarcon (2439120)</cp:lastModifiedBy>
  <cp:revision>3</cp:revision>
  <dcterms:created xsi:type="dcterms:W3CDTF">2025-12-03T08:07:00Z</dcterms:created>
  <dcterms:modified xsi:type="dcterms:W3CDTF">2025-12-13T14:08:00Z</dcterms:modified>
</cp:coreProperties>
</file>