
<file path=[Content_Types].xml><?xml version="1.0" encoding="utf-8"?>
<Types xmlns="http://schemas.openxmlformats.org/package/2006/content-types">
  <Default Extension="rels" ContentType="application/vnd.openxmlformats-package.relationships+xml"/>
  <Default Extension="xml" ContentType="application/xml"/>
  <Override PartName="/word/footnotes.xml" ContentType="application/vnd.openxmlformats-officedocument.wordprocessingml.footnotes+xml"/>
  <Override PartName="/customXml/itemProps1.xml" ContentType="application/vnd.openxmlformats-officedocument.customXmlProperties+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body>
    <w:p xmlns:wp14="http://schemas.microsoft.com/office/word/2010/wordml" w:rsidR="005F2B9D" w:rsidP="005F2B9D" w:rsidRDefault="005F2B9D" w14:paraId="672A6659" wp14:textId="77777777">
      <w:pPr>
        <w:jc w:val="center"/>
        <w:rPr>
          <w:b/>
          <w:sz w:val="40"/>
          <w:szCs w:val="40"/>
        </w:rPr>
      </w:pPr>
    </w:p>
    <w:p xmlns:wp14="http://schemas.microsoft.com/office/word/2010/wordml" w:rsidR="005F2B9D" w:rsidP="005F2B9D" w:rsidRDefault="005F2B9D" w14:paraId="0A37501D" wp14:textId="77777777">
      <w:pPr>
        <w:jc w:val="center"/>
        <w:rPr>
          <w:b/>
          <w:sz w:val="40"/>
          <w:szCs w:val="40"/>
        </w:rPr>
      </w:pPr>
    </w:p>
    <w:p xmlns:wp14="http://schemas.microsoft.com/office/word/2010/wordml" w:rsidRPr="005F2B9D" w:rsidR="00AA0A23" w:rsidP="005F2B9D" w:rsidRDefault="00604AAF" w14:paraId="36F23556" wp14:textId="77777777">
      <w:pPr>
        <w:jc w:val="center"/>
        <w:rPr>
          <w:b/>
          <w:sz w:val="40"/>
          <w:szCs w:val="40"/>
        </w:rPr>
      </w:pPr>
      <w:r w:rsidRPr="005F2B9D">
        <w:rPr>
          <w:b/>
          <w:sz w:val="40"/>
          <w:szCs w:val="40"/>
        </w:rPr>
        <w:t>Programme: BA (Hons) Business Management</w:t>
      </w:r>
    </w:p>
    <w:p xmlns:wp14="http://schemas.microsoft.com/office/word/2010/wordml" w:rsidRPr="005F2B9D" w:rsidR="00AA0A23" w:rsidP="005F2B9D" w:rsidRDefault="00604AAF" w14:paraId="736D3B62" wp14:textId="77777777">
      <w:pPr>
        <w:jc w:val="center"/>
        <w:rPr>
          <w:b/>
          <w:sz w:val="40"/>
          <w:szCs w:val="40"/>
        </w:rPr>
      </w:pPr>
      <w:r w:rsidRPr="005F2B9D">
        <w:rPr>
          <w:b/>
          <w:sz w:val="40"/>
          <w:szCs w:val="40"/>
        </w:rPr>
        <w:t>Module: International Financial Management</w:t>
      </w:r>
    </w:p>
    <w:p xmlns:wp14="http://schemas.microsoft.com/office/word/2010/wordml" w:rsidRPr="005F2B9D" w:rsidR="00AA0A23" w:rsidP="39F07D51" w:rsidRDefault="00604AAF" w14:paraId="58CD221C" wp14:textId="03410118">
      <w:pPr>
        <w:jc w:val="center"/>
        <w:rPr>
          <w:b w:val="1"/>
          <w:bCs w:val="1"/>
          <w:sz w:val="40"/>
          <w:szCs w:val="40"/>
        </w:rPr>
      </w:pPr>
      <w:r w:rsidRPr="39F07D51" w:rsidR="00604AAF">
        <w:rPr>
          <w:b w:val="1"/>
          <w:bCs w:val="1"/>
          <w:sz w:val="40"/>
          <w:szCs w:val="40"/>
        </w:rPr>
        <w:t xml:space="preserve">Module </w:t>
      </w:r>
      <w:r w:rsidRPr="39F07D51" w:rsidR="0D6E2BD9">
        <w:rPr>
          <w:b w:val="1"/>
          <w:bCs w:val="1"/>
          <w:sz w:val="40"/>
          <w:szCs w:val="40"/>
        </w:rPr>
        <w:t>C</w:t>
      </w:r>
      <w:r w:rsidRPr="39F07D51" w:rsidR="00604AAF">
        <w:rPr>
          <w:b w:val="1"/>
          <w:bCs w:val="1"/>
          <w:sz w:val="40"/>
          <w:szCs w:val="40"/>
        </w:rPr>
        <w:t>ode: LCBB6002</w:t>
      </w:r>
    </w:p>
    <w:p w:rsidR="1EAA15E4" w:rsidP="39F07D51" w:rsidRDefault="1EAA15E4" w14:paraId="7B9B5D09" w14:textId="00E8A37D">
      <w:pPr>
        <w:jc w:val="center"/>
        <w:rPr>
          <w:b w:val="1"/>
          <w:bCs w:val="1"/>
          <w:sz w:val="40"/>
          <w:szCs w:val="40"/>
        </w:rPr>
      </w:pPr>
      <w:r w:rsidRPr="39F07D51" w:rsidR="1EAA15E4">
        <w:rPr>
          <w:b w:val="1"/>
          <w:bCs w:val="1"/>
          <w:sz w:val="40"/>
          <w:szCs w:val="40"/>
        </w:rPr>
        <w:t>Module Leader: Dr Mudassar Hasan</w:t>
      </w:r>
    </w:p>
    <w:p xmlns:wp14="http://schemas.microsoft.com/office/word/2010/wordml" w:rsidR="005F2B9D" w:rsidP="005F2B9D" w:rsidRDefault="005F2B9D" w14:paraId="5DAB6C7B" wp14:textId="77777777">
      <w:pPr>
        <w:jc w:val="center"/>
        <w:rPr>
          <w:b/>
          <w:sz w:val="40"/>
          <w:szCs w:val="40"/>
        </w:rPr>
      </w:pPr>
    </w:p>
    <w:p xmlns:wp14="http://schemas.microsoft.com/office/word/2010/wordml" w:rsidR="005F2B9D" w:rsidP="005F2B9D" w:rsidRDefault="005F2B9D" w14:paraId="02EB378F" wp14:textId="77777777">
      <w:pPr>
        <w:jc w:val="center"/>
        <w:rPr>
          <w:b/>
          <w:sz w:val="40"/>
          <w:szCs w:val="40"/>
        </w:rPr>
      </w:pPr>
    </w:p>
    <w:p xmlns:wp14="http://schemas.microsoft.com/office/word/2010/wordml" w:rsidR="005F2B9D" w:rsidP="005F2B9D" w:rsidRDefault="005F2B9D" w14:paraId="6A05A809" wp14:textId="77777777">
      <w:pPr>
        <w:jc w:val="center"/>
        <w:rPr>
          <w:b/>
          <w:sz w:val="40"/>
          <w:szCs w:val="40"/>
        </w:rPr>
      </w:pPr>
    </w:p>
    <w:p xmlns:wp14="http://schemas.microsoft.com/office/word/2010/wordml" w:rsidR="005F2B9D" w:rsidP="005F2B9D" w:rsidRDefault="005F2B9D" w14:paraId="5A39BBE3" wp14:textId="77777777">
      <w:pPr>
        <w:jc w:val="center"/>
        <w:rPr>
          <w:b/>
          <w:sz w:val="40"/>
          <w:szCs w:val="40"/>
        </w:rPr>
      </w:pPr>
    </w:p>
    <w:p xmlns:wp14="http://schemas.microsoft.com/office/word/2010/wordml" w:rsidR="005F2B9D" w:rsidP="005F2B9D" w:rsidRDefault="005F2B9D" w14:paraId="41C8F396" wp14:textId="77777777">
      <w:pPr>
        <w:jc w:val="center"/>
        <w:rPr>
          <w:b/>
          <w:sz w:val="40"/>
          <w:szCs w:val="40"/>
        </w:rPr>
      </w:pPr>
    </w:p>
    <w:p xmlns:wp14="http://schemas.microsoft.com/office/word/2010/wordml" w:rsidR="005F2B9D" w:rsidP="005F2B9D" w:rsidRDefault="005F2B9D" w14:paraId="72A3D3EC" wp14:textId="77777777">
      <w:pPr>
        <w:jc w:val="center"/>
        <w:rPr>
          <w:b/>
          <w:sz w:val="40"/>
          <w:szCs w:val="40"/>
        </w:rPr>
      </w:pPr>
    </w:p>
    <w:p xmlns:wp14="http://schemas.microsoft.com/office/word/2010/wordml" w:rsidR="005F2B9D" w:rsidP="005F2B9D" w:rsidRDefault="005F2B9D" w14:paraId="0D0B940D" wp14:textId="77777777">
      <w:pPr>
        <w:jc w:val="center"/>
        <w:rPr>
          <w:b/>
          <w:sz w:val="40"/>
          <w:szCs w:val="40"/>
        </w:rPr>
      </w:pPr>
    </w:p>
    <w:p xmlns:wp14="http://schemas.microsoft.com/office/word/2010/wordml" w:rsidRPr="005F2B9D" w:rsidR="00AA0A23" w:rsidP="39F07D51" w:rsidRDefault="00604AAF" w14:paraId="382E3B85" wp14:textId="26EBB2F6">
      <w:pPr>
        <w:jc w:val="center"/>
        <w:rPr>
          <w:b w:val="1"/>
          <w:bCs w:val="1"/>
          <w:sz w:val="40"/>
          <w:szCs w:val="40"/>
        </w:rPr>
      </w:pPr>
      <w:r w:rsidRPr="39F07D51" w:rsidR="00604AAF">
        <w:rPr>
          <w:b w:val="1"/>
          <w:bCs w:val="1"/>
          <w:sz w:val="40"/>
          <w:szCs w:val="40"/>
        </w:rPr>
        <w:t>Student Name:</w:t>
      </w:r>
      <w:r w:rsidRPr="39F07D51" w:rsidR="4BB42FDE">
        <w:rPr>
          <w:b w:val="1"/>
          <w:bCs w:val="1"/>
          <w:sz w:val="40"/>
          <w:szCs w:val="40"/>
        </w:rPr>
        <w:t xml:space="preserve"> Catalina Ionela Vilcea</w:t>
      </w:r>
    </w:p>
    <w:p xmlns:wp14="http://schemas.microsoft.com/office/word/2010/wordml" w:rsidRPr="005F2B9D" w:rsidR="00AA0A23" w:rsidP="39F07D51" w:rsidRDefault="00604AAF" w14:paraId="0E559CC5" wp14:textId="22D2336F">
      <w:pPr>
        <w:jc w:val="center"/>
        <w:rPr>
          <w:b w:val="1"/>
          <w:bCs w:val="1"/>
          <w:sz w:val="40"/>
          <w:szCs w:val="40"/>
        </w:rPr>
      </w:pPr>
      <w:r w:rsidRPr="39F07D51" w:rsidR="00604AAF">
        <w:rPr>
          <w:b w:val="1"/>
          <w:bCs w:val="1"/>
          <w:sz w:val="40"/>
          <w:szCs w:val="40"/>
        </w:rPr>
        <w:t>Student ID:</w:t>
      </w:r>
      <w:r w:rsidRPr="39F07D51" w:rsidR="17E096D8">
        <w:rPr>
          <w:b w:val="1"/>
          <w:bCs w:val="1"/>
          <w:sz w:val="40"/>
          <w:szCs w:val="40"/>
        </w:rPr>
        <w:t xml:space="preserve"> 2228224</w:t>
      </w:r>
    </w:p>
    <w:p xmlns:wp14="http://schemas.microsoft.com/office/word/2010/wordml" w:rsidRPr="005F2B9D" w:rsidR="00AA0A23" w:rsidP="39F07D51" w:rsidRDefault="00994DA8" w14:paraId="3C6476F0" wp14:textId="04E1216E">
      <w:pPr>
        <w:jc w:val="center"/>
        <w:rPr>
          <w:b w:val="1"/>
          <w:bCs w:val="1"/>
          <w:sz w:val="40"/>
          <w:szCs w:val="40"/>
        </w:rPr>
      </w:pPr>
      <w:bookmarkStart w:name="_GoBack" w:id="0"/>
      <w:bookmarkEnd w:id="0"/>
    </w:p>
    <w:p xmlns:wp14="http://schemas.microsoft.com/office/word/2010/wordml" w:rsidRPr="005F2B9D" w:rsidR="00AA0A23" w:rsidP="005F2B9D" w:rsidRDefault="00604AAF" w14:paraId="0E27B00A" wp14:textId="77777777">
      <w:pPr>
        <w:jc w:val="center"/>
        <w:rPr>
          <w:b/>
          <w:sz w:val="40"/>
          <w:szCs w:val="40"/>
        </w:rPr>
      </w:pPr>
      <w:r w:rsidRPr="005F2B9D">
        <w:rPr>
          <w:sz w:val="40"/>
          <w:szCs w:val="40"/>
        </w:rPr>
        <w:br w:type="page"/>
      </w:r>
    </w:p>
    <w:p xmlns:wp14="http://schemas.microsoft.com/office/word/2010/wordml" w:rsidR="00AA0A23" w:rsidP="005F2B9D" w:rsidRDefault="00604AAF" w14:paraId="2664F4B3" wp14:textId="77777777">
      <w:pPr>
        <w:pStyle w:val="Titre1"/>
        <w:jc w:val="center"/>
      </w:pPr>
      <w:bookmarkStart w:name="_heading=h.gjdgxs" w:colFirst="0" w:colLast="0" w:id="1"/>
      <w:bookmarkEnd w:id="1"/>
      <w:r>
        <w:t>Executive Summary</w:t>
      </w:r>
    </w:p>
    <w:p xmlns:wp14="http://schemas.microsoft.com/office/word/2010/wordml" w:rsidR="00AA0A23" w:rsidP="005F2B9D" w:rsidRDefault="00604AAF" w14:paraId="583CA880" wp14:textId="77777777">
      <w:r>
        <w:t>This report outlines strategic recommendations for the family board of a private limited service company preparing for an AIM listing in the UK. With the listing resulting in the family’s shareholding reducing to 30%, while external shareholders acquire 70%, maintaining control becomes a critical concern. The report emphasizes the importance of robust corporate governance and effective agency theory application. It explains that sound governance practices—through transparent disclosure, accountability, and performance-aligned decision-making—are vital in protecting shareholder interests and ensuring sustainable corporate growth.</w:t>
      </w:r>
    </w:p>
    <w:p xmlns:wp14="http://schemas.microsoft.com/office/word/2010/wordml" w:rsidR="00AA0A23" w:rsidP="005F2B9D" w:rsidRDefault="00604AAF" w14:paraId="71EEF11D" wp14:textId="77777777">
      <w:r>
        <w:t xml:space="preserve">To address the challenge of control retention, the report examines mechanisms such as dual-class share structures, golden shares, and detailed shareholder agreements, which can provide the family board with enhanced voting rights and veto powers despite holding a minority of the equity. </w:t>
      </w:r>
      <w:r w:rsidRPr="00BF0F58" w:rsidR="00BF0F58">
        <w:t xml:space="preserve">The report goes on to outline the key elements of directors' remuneration, which it says should include a balance of fixed remuneration and remuneration related to performance. It advocates an independent remuneration committee for fairness, openness, and </w:t>
      </w:r>
      <w:r w:rsidR="00BF0F58">
        <w:t>a link with market rates</w:t>
      </w:r>
      <w:r>
        <w:t>.</w:t>
      </w:r>
    </w:p>
    <w:p xmlns:wp14="http://schemas.microsoft.com/office/word/2010/wordml" w:rsidR="00BF0F58" w:rsidP="005F2B9D" w:rsidRDefault="00604AAF" w14:paraId="3B4DA4FD" wp14:textId="77777777">
      <w:r>
        <w:t xml:space="preserve">Furthermore, the report assesses the institutional differences between potential listings in Shanghai and the </w:t>
      </w:r>
      <w:r w:rsidR="007079B7">
        <w:t>UK</w:t>
      </w:r>
      <w:r>
        <w:t xml:space="preserve">. It highlights significant regulatory, cultural, and operational distinctions that could influence governance practices, risk management, and investor relations. </w:t>
      </w:r>
      <w:r w:rsidR="00BF0F58">
        <w:t>These insights help the board of directors make appropriate decisions regarding where the headquarters should be located.</w:t>
      </w:r>
    </w:p>
    <w:p xmlns:wp14="http://schemas.microsoft.com/office/word/2010/wordml" w:rsidR="00AA0A23" w:rsidP="005F2B9D" w:rsidRDefault="00BF0F58" w14:paraId="373836FA" wp14:textId="77777777">
      <w:r>
        <w:t>The sum of these recommendations is to underpin the company's governance framework, entrench the control of the board in it, and set the firm up for prosperity in the increasingly competitive and unpredictable international financial environment</w:t>
      </w:r>
      <w:r w:rsidR="00604AAF">
        <w:t>.</w:t>
      </w:r>
    </w:p>
    <w:p xmlns:wp14="http://schemas.microsoft.com/office/word/2010/wordml" w:rsidR="00AA0A23" w:rsidP="005F2B9D" w:rsidRDefault="00AA0A23" w14:paraId="60061E4C" wp14:textId="77777777">
      <w:pPr>
        <w:rPr>
          <w:b/>
          <w:sz w:val="32"/>
          <w:szCs w:val="32"/>
        </w:rPr>
      </w:pPr>
    </w:p>
    <w:p xmlns:wp14="http://schemas.microsoft.com/office/word/2010/wordml" w:rsidR="00AA0A23" w:rsidP="005F2B9D" w:rsidRDefault="00604AAF" w14:paraId="44EAFD9C" wp14:textId="77777777">
      <w:pPr>
        <w:rPr>
          <w:b/>
          <w:sz w:val="32"/>
          <w:szCs w:val="32"/>
        </w:rPr>
      </w:pPr>
      <w:r>
        <w:br w:type="page"/>
      </w:r>
    </w:p>
    <w:p xmlns:wp14="http://schemas.microsoft.com/office/word/2010/wordml" w:rsidR="00AA0A23" w:rsidP="005F2B9D" w:rsidRDefault="00604AAF" w14:paraId="22E0FC93" wp14:textId="77777777">
      <w:pPr>
        <w:keepNext/>
        <w:keepLines/>
        <w:pBdr>
          <w:top w:val="nil"/>
          <w:left w:val="nil"/>
          <w:bottom w:val="nil"/>
          <w:right w:val="nil"/>
          <w:between w:val="nil"/>
        </w:pBdr>
        <w:spacing w:before="240"/>
        <w:jc w:val="left"/>
        <w:rPr>
          <w:rFonts w:ascii="Calibri" w:hAnsi="Calibri" w:eastAsia="Calibri" w:cs="Calibri"/>
          <w:color w:val="2E75B5"/>
          <w:sz w:val="32"/>
          <w:szCs w:val="32"/>
        </w:rPr>
      </w:pPr>
      <w:bookmarkStart w:name="_heading=h.30j0zll" w:colFirst="0" w:colLast="0" w:id="2"/>
      <w:bookmarkEnd w:id="2"/>
      <w:r>
        <w:rPr>
          <w:rFonts w:ascii="Calibri" w:hAnsi="Calibri" w:eastAsia="Calibri" w:cs="Calibri"/>
          <w:color w:val="2E75B5"/>
          <w:sz w:val="32"/>
          <w:szCs w:val="32"/>
        </w:rPr>
        <w:t>Table of Contents</w:t>
      </w:r>
    </w:p>
    <w:sdt>
      <w:sdtPr>
        <w:id w:val="-186370618"/>
        <w:docPartObj>
          <w:docPartGallery w:val="Table of Contents"/>
          <w:docPartUnique/>
        </w:docPartObj>
      </w:sdtPr>
      <w:sdtContent>
        <w:p xmlns:wp14="http://schemas.microsoft.com/office/word/2010/wordml" w:rsidR="00AA0A23" w:rsidP="005F2B9D" w:rsidRDefault="00BC6353" w14:paraId="5E98789F" wp14:textId="77777777">
          <w:pPr>
            <w:pBdr>
              <w:top w:val="nil"/>
              <w:left w:val="nil"/>
              <w:bottom w:val="nil"/>
              <w:right w:val="nil"/>
              <w:between w:val="nil"/>
            </w:pBdr>
            <w:tabs>
              <w:tab w:val="right" w:leader="dot" w:pos="9350"/>
            </w:tabs>
            <w:spacing w:after="100"/>
            <w:rPr>
              <w:color w:val="000000"/>
            </w:rPr>
          </w:pPr>
          <w:r>
            <w:fldChar w:fldCharType="begin"/>
          </w:r>
          <w:r w:rsidR="00604AAF">
            <w:instrText xml:space="preserve"> TOC \h \u \z \t "Heading 1,1,Heading 2,2,Heading 3,3,"</w:instrText>
          </w:r>
          <w:r>
            <w:fldChar w:fldCharType="separate"/>
          </w:r>
          <w:hyperlink w:anchor="_heading=h.gjdgxs">
            <w:r w:rsidR="00604AAF">
              <w:rPr>
                <w:color w:val="000000"/>
              </w:rPr>
              <w:t>Executive Summary</w:t>
            </w:r>
            <w:r w:rsidR="00604AAF">
              <w:rPr>
                <w:color w:val="000000"/>
              </w:rPr>
              <w:tab/>
            </w:r>
            <w:r w:rsidR="00604AAF">
              <w:rPr>
                <w:color w:val="000000"/>
              </w:rPr>
              <w:t>2</w:t>
            </w:r>
          </w:hyperlink>
        </w:p>
        <w:p xmlns:wp14="http://schemas.microsoft.com/office/word/2010/wordml" w:rsidR="00AA0A23" w:rsidP="005F2B9D" w:rsidRDefault="00BC6353" w14:paraId="23B43C61" wp14:textId="77777777">
          <w:pPr>
            <w:pBdr>
              <w:top w:val="nil"/>
              <w:left w:val="nil"/>
              <w:bottom w:val="nil"/>
              <w:right w:val="nil"/>
              <w:between w:val="nil"/>
            </w:pBdr>
            <w:tabs>
              <w:tab w:val="right" w:leader="dot" w:pos="9350"/>
            </w:tabs>
            <w:spacing w:after="100"/>
            <w:rPr>
              <w:color w:val="000000"/>
            </w:rPr>
          </w:pPr>
          <w:hyperlink w:anchor="_heading=h.1fob9te">
            <w:r w:rsidR="00604AAF">
              <w:rPr>
                <w:color w:val="000000"/>
              </w:rPr>
              <w:t>Introduction</w:t>
            </w:r>
            <w:r w:rsidR="00604AAF">
              <w:rPr>
                <w:color w:val="000000"/>
              </w:rPr>
              <w:tab/>
            </w:r>
            <w:r w:rsidR="00604AAF">
              <w:rPr>
                <w:color w:val="000000"/>
              </w:rPr>
              <w:t>4</w:t>
            </w:r>
          </w:hyperlink>
        </w:p>
        <w:p xmlns:wp14="http://schemas.microsoft.com/office/word/2010/wordml" w:rsidR="00AA0A23" w:rsidP="005F2B9D" w:rsidRDefault="00BC6353" w14:paraId="2F06B017" wp14:textId="77777777">
          <w:pPr>
            <w:pBdr>
              <w:top w:val="nil"/>
              <w:left w:val="nil"/>
              <w:bottom w:val="nil"/>
              <w:right w:val="nil"/>
              <w:between w:val="nil"/>
            </w:pBdr>
            <w:tabs>
              <w:tab w:val="right" w:leader="dot" w:pos="9350"/>
            </w:tabs>
            <w:spacing w:after="100"/>
            <w:rPr>
              <w:color w:val="000000"/>
            </w:rPr>
          </w:pPr>
          <w:hyperlink w:anchor="_heading=h.3znysh7">
            <w:r w:rsidR="00604AAF">
              <w:rPr>
                <w:color w:val="000000"/>
              </w:rPr>
              <w:t>Concept and requirements of corporate governance and agency theory and their significance to PLC</w:t>
            </w:r>
            <w:r w:rsidR="00604AAF">
              <w:rPr>
                <w:color w:val="000000"/>
              </w:rPr>
              <w:tab/>
            </w:r>
            <w:r w:rsidR="00604AAF">
              <w:rPr>
                <w:color w:val="000000"/>
              </w:rPr>
              <w:t>4</w:t>
            </w:r>
          </w:hyperlink>
        </w:p>
        <w:p xmlns:wp14="http://schemas.microsoft.com/office/word/2010/wordml" w:rsidR="00AA0A23" w:rsidP="005F2B9D" w:rsidRDefault="00BC6353" w14:paraId="2053802E" wp14:textId="77777777">
          <w:pPr>
            <w:pBdr>
              <w:top w:val="nil"/>
              <w:left w:val="nil"/>
              <w:bottom w:val="nil"/>
              <w:right w:val="nil"/>
              <w:between w:val="nil"/>
            </w:pBdr>
            <w:tabs>
              <w:tab w:val="right" w:leader="dot" w:pos="9350"/>
            </w:tabs>
            <w:spacing w:after="100"/>
            <w:rPr>
              <w:color w:val="000000"/>
            </w:rPr>
          </w:pPr>
          <w:hyperlink w:anchor="_heading=h.2et92p0">
            <w:r w:rsidR="00604AAF">
              <w:rPr>
                <w:color w:val="000000"/>
              </w:rPr>
              <w:t>How can the current board retain control of the company whilst holding 30% of the company’s shareholding?</w:t>
            </w:r>
            <w:r w:rsidR="00604AAF">
              <w:rPr>
                <w:color w:val="000000"/>
              </w:rPr>
              <w:tab/>
            </w:r>
            <w:r w:rsidR="00604AAF">
              <w:rPr>
                <w:color w:val="000000"/>
              </w:rPr>
              <w:t>5</w:t>
            </w:r>
          </w:hyperlink>
        </w:p>
        <w:p xmlns:wp14="http://schemas.microsoft.com/office/word/2010/wordml" w:rsidR="00AA0A23" w:rsidP="005F2B9D" w:rsidRDefault="00BC6353" w14:paraId="734F5411" wp14:textId="77777777">
          <w:pPr>
            <w:pBdr>
              <w:top w:val="nil"/>
              <w:left w:val="nil"/>
              <w:bottom w:val="nil"/>
              <w:right w:val="nil"/>
              <w:between w:val="nil"/>
            </w:pBdr>
            <w:tabs>
              <w:tab w:val="right" w:leader="dot" w:pos="9350"/>
            </w:tabs>
            <w:spacing w:after="100"/>
            <w:rPr>
              <w:color w:val="000000"/>
            </w:rPr>
          </w:pPr>
          <w:hyperlink w:anchor="_heading=h.tyjcwt">
            <w:r w:rsidR="00604AAF">
              <w:rPr>
                <w:color w:val="000000"/>
              </w:rPr>
              <w:t>Director Remuneration and Fair Compensation Structures</w:t>
            </w:r>
            <w:r w:rsidR="00604AAF">
              <w:rPr>
                <w:color w:val="000000"/>
              </w:rPr>
              <w:tab/>
            </w:r>
            <w:r w:rsidR="00604AAF">
              <w:rPr>
                <w:color w:val="000000"/>
              </w:rPr>
              <w:t>6</w:t>
            </w:r>
          </w:hyperlink>
        </w:p>
        <w:p xmlns:wp14="http://schemas.microsoft.com/office/word/2010/wordml" w:rsidR="00AA0A23" w:rsidP="005F2B9D" w:rsidRDefault="00BC6353" w14:paraId="073A1BCF" wp14:textId="77777777">
          <w:pPr>
            <w:pBdr>
              <w:top w:val="nil"/>
              <w:left w:val="nil"/>
              <w:bottom w:val="nil"/>
              <w:right w:val="nil"/>
              <w:between w:val="nil"/>
            </w:pBdr>
            <w:tabs>
              <w:tab w:val="right" w:leader="dot" w:pos="9350"/>
            </w:tabs>
            <w:spacing w:after="100"/>
            <w:ind w:left="220"/>
            <w:rPr>
              <w:color w:val="000000"/>
            </w:rPr>
          </w:pPr>
          <w:hyperlink w:anchor="_heading=h.3dy6vkm">
            <w:r w:rsidR="00604AAF">
              <w:rPr>
                <w:color w:val="000000"/>
              </w:rPr>
              <w:t>Key Components of Director Remuneration</w:t>
            </w:r>
            <w:r w:rsidR="00604AAF">
              <w:rPr>
                <w:color w:val="000000"/>
              </w:rPr>
              <w:tab/>
            </w:r>
            <w:r w:rsidR="00604AAF">
              <w:rPr>
                <w:color w:val="000000"/>
              </w:rPr>
              <w:t>6</w:t>
            </w:r>
          </w:hyperlink>
        </w:p>
        <w:p xmlns:wp14="http://schemas.microsoft.com/office/word/2010/wordml" w:rsidR="00AA0A23" w:rsidP="005F2B9D" w:rsidRDefault="00BC6353" w14:paraId="03C33C5C" wp14:textId="77777777">
          <w:pPr>
            <w:pBdr>
              <w:top w:val="nil"/>
              <w:left w:val="nil"/>
              <w:bottom w:val="nil"/>
              <w:right w:val="nil"/>
              <w:between w:val="nil"/>
            </w:pBdr>
            <w:tabs>
              <w:tab w:val="right" w:leader="dot" w:pos="9350"/>
            </w:tabs>
            <w:spacing w:after="100"/>
            <w:ind w:left="220"/>
            <w:rPr>
              <w:color w:val="000000"/>
            </w:rPr>
          </w:pPr>
          <w:hyperlink w:anchor="_heading=h.1t3h5sf">
            <w:r w:rsidR="00604AAF">
              <w:rPr>
                <w:color w:val="000000"/>
              </w:rPr>
              <w:t>Relevant Structures for Ensuring Fair Compensation</w:t>
            </w:r>
            <w:r w:rsidR="00604AAF">
              <w:rPr>
                <w:color w:val="000000"/>
              </w:rPr>
              <w:tab/>
            </w:r>
            <w:r w:rsidR="00604AAF">
              <w:rPr>
                <w:color w:val="000000"/>
              </w:rPr>
              <w:t>6</w:t>
            </w:r>
          </w:hyperlink>
        </w:p>
        <w:p xmlns:wp14="http://schemas.microsoft.com/office/word/2010/wordml" w:rsidR="00AA0A23" w:rsidP="005F2B9D" w:rsidRDefault="00BC6353" w14:paraId="5E3C725C" wp14:textId="77777777">
          <w:pPr>
            <w:pBdr>
              <w:top w:val="nil"/>
              <w:left w:val="nil"/>
              <w:bottom w:val="nil"/>
              <w:right w:val="nil"/>
              <w:between w:val="nil"/>
            </w:pBdr>
            <w:tabs>
              <w:tab w:val="right" w:leader="dot" w:pos="9350"/>
            </w:tabs>
            <w:spacing w:after="100"/>
            <w:rPr>
              <w:color w:val="000000"/>
            </w:rPr>
          </w:pPr>
          <w:hyperlink w:anchor="_heading=h.4d34og8">
            <w:r w:rsidR="00604AAF">
              <w:rPr>
                <w:color w:val="000000"/>
              </w:rPr>
              <w:t xml:space="preserve">Institutional Differences: Shanghai vs. The </w:t>
            </w:r>
            <w:r w:rsidR="007079B7">
              <w:rPr>
                <w:color w:val="000000"/>
              </w:rPr>
              <w:t>UK</w:t>
            </w:r>
            <w:r w:rsidR="00604AAF">
              <w:rPr>
                <w:color w:val="000000"/>
              </w:rPr>
              <w:tab/>
            </w:r>
            <w:r w:rsidR="00604AAF">
              <w:rPr>
                <w:color w:val="000000"/>
              </w:rPr>
              <w:t>7</w:t>
            </w:r>
          </w:hyperlink>
        </w:p>
        <w:p xmlns:wp14="http://schemas.microsoft.com/office/word/2010/wordml" w:rsidR="00AA0A23" w:rsidP="005F2B9D" w:rsidRDefault="00BC6353" w14:paraId="135C748C" wp14:textId="77777777">
          <w:pPr>
            <w:pBdr>
              <w:top w:val="nil"/>
              <w:left w:val="nil"/>
              <w:bottom w:val="nil"/>
              <w:right w:val="nil"/>
              <w:between w:val="nil"/>
            </w:pBdr>
            <w:tabs>
              <w:tab w:val="right" w:leader="dot" w:pos="9350"/>
            </w:tabs>
            <w:spacing w:after="100"/>
            <w:rPr>
              <w:color w:val="000000"/>
            </w:rPr>
          </w:pPr>
          <w:hyperlink w:anchor="_heading=h.2s8eyo1">
            <w:r w:rsidR="00604AAF">
              <w:rPr>
                <w:color w:val="000000"/>
              </w:rPr>
              <w:t>Conclusion</w:t>
            </w:r>
            <w:r w:rsidR="00604AAF">
              <w:rPr>
                <w:color w:val="000000"/>
              </w:rPr>
              <w:tab/>
            </w:r>
            <w:r w:rsidR="00604AAF">
              <w:rPr>
                <w:color w:val="000000"/>
              </w:rPr>
              <w:t>8</w:t>
            </w:r>
          </w:hyperlink>
        </w:p>
        <w:p xmlns:wp14="http://schemas.microsoft.com/office/word/2010/wordml" w:rsidR="00AA0A23" w:rsidP="005F2B9D" w:rsidRDefault="00BC6353" w14:paraId="2E3A4831" wp14:textId="77777777">
          <w:pPr>
            <w:pBdr>
              <w:top w:val="nil"/>
              <w:left w:val="nil"/>
              <w:bottom w:val="nil"/>
              <w:right w:val="nil"/>
              <w:between w:val="nil"/>
            </w:pBdr>
            <w:tabs>
              <w:tab w:val="right" w:leader="dot" w:pos="9350"/>
            </w:tabs>
            <w:spacing w:after="100"/>
            <w:rPr>
              <w:color w:val="000000"/>
            </w:rPr>
          </w:pPr>
          <w:hyperlink w:anchor="_heading=h.17dp8vu">
            <w:r w:rsidR="00604AAF">
              <w:rPr>
                <w:color w:val="000000"/>
              </w:rPr>
              <w:t>Recommendations</w:t>
            </w:r>
            <w:r w:rsidR="00604AAF">
              <w:rPr>
                <w:color w:val="000000"/>
              </w:rPr>
              <w:tab/>
            </w:r>
            <w:r w:rsidR="00604AAF">
              <w:rPr>
                <w:color w:val="000000"/>
              </w:rPr>
              <w:t>8</w:t>
            </w:r>
          </w:hyperlink>
        </w:p>
        <w:p xmlns:wp14="http://schemas.microsoft.com/office/word/2010/wordml" w:rsidR="00AA0A23" w:rsidP="005F2B9D" w:rsidRDefault="00BC6353" w14:paraId="76D8EC64" wp14:textId="77777777">
          <w:pPr>
            <w:pBdr>
              <w:top w:val="nil"/>
              <w:left w:val="nil"/>
              <w:bottom w:val="nil"/>
              <w:right w:val="nil"/>
              <w:between w:val="nil"/>
            </w:pBdr>
            <w:tabs>
              <w:tab w:val="right" w:leader="dot" w:pos="9350"/>
            </w:tabs>
            <w:spacing w:after="100"/>
            <w:rPr>
              <w:color w:val="000000"/>
            </w:rPr>
          </w:pPr>
          <w:hyperlink w:anchor="_heading=h.3rdcrjn">
            <w:r w:rsidR="00604AAF">
              <w:rPr>
                <w:color w:val="000000"/>
              </w:rPr>
              <w:t>References</w:t>
            </w:r>
            <w:r w:rsidR="00604AAF">
              <w:rPr>
                <w:color w:val="000000"/>
              </w:rPr>
              <w:tab/>
            </w:r>
            <w:r w:rsidR="00604AAF">
              <w:rPr>
                <w:color w:val="000000"/>
              </w:rPr>
              <w:t>9</w:t>
            </w:r>
          </w:hyperlink>
        </w:p>
        <w:p xmlns:wp14="http://schemas.microsoft.com/office/word/2010/wordml" w:rsidR="00AA0A23" w:rsidP="005F2B9D" w:rsidRDefault="00BC6353" w14:paraId="4B94D5A5" wp14:textId="77777777">
          <w:r>
            <w:fldChar w:fldCharType="end"/>
          </w:r>
        </w:p>
      </w:sdtContent>
    </w:sdt>
    <w:p xmlns:wp14="http://schemas.microsoft.com/office/word/2010/wordml" w:rsidR="00AA0A23" w:rsidP="005F2B9D" w:rsidRDefault="00604AAF" w14:paraId="3DEEC669" wp14:textId="77777777">
      <w:pPr>
        <w:rPr>
          <w:sz w:val="32"/>
          <w:szCs w:val="32"/>
        </w:rPr>
      </w:pPr>
      <w:r>
        <w:br w:type="page"/>
      </w:r>
    </w:p>
    <w:p xmlns:wp14="http://schemas.microsoft.com/office/word/2010/wordml" w:rsidR="00AA0A23" w:rsidP="005F2B9D" w:rsidRDefault="00604AAF" w14:paraId="3E7A9F1C" wp14:textId="77777777">
      <w:pPr>
        <w:pStyle w:val="Titre1"/>
      </w:pPr>
      <w:bookmarkStart w:name="_heading=h.1fob9te" w:colFirst="0" w:colLast="0" w:id="3"/>
      <w:bookmarkEnd w:id="3"/>
      <w:r>
        <w:t>Introduction</w:t>
      </w:r>
    </w:p>
    <w:p xmlns:wp14="http://schemas.microsoft.com/office/word/2010/wordml" w:rsidR="00AA0A23" w:rsidP="005F2B9D" w:rsidRDefault="00BC6353" w14:paraId="7047F3E9" wp14:textId="77777777">
      <w:sdt>
        <w:sdtPr>
          <w:tag w:val="goog_rdk_0"/>
          <w:id w:val="1052034128"/>
        </w:sdtPr>
        <w:sdtContent/>
      </w:sdt>
      <w:r w:rsidR="00604AAF">
        <w:t xml:space="preserve">In light of the company's impending listing on the London Stock Exchange's AIM, this study analyses critical factors for the board to consider. It delves into important parts of agency theory and corporate governance, focussing on how they apply to public limited businesses. Using tools like dual-class shares and shareholder agreements, the paper suggests a course of action for maintaining control while owning 30% of the company. In order to help with well-informed decisions on possible headquarters relocation, it assesses the institutional differences between the </w:t>
      </w:r>
      <w:r w:rsidR="007079B7">
        <w:t>UK</w:t>
      </w:r>
      <w:r w:rsidR="00604AAF">
        <w:t xml:space="preserve"> and Shanghai and lays out best practices for director compensation. As a whole, the study lays out concrete, long-term strategies for development that won't fizzle out and for far better, more effective corporate governance.</w:t>
      </w:r>
    </w:p>
    <w:p xmlns:wp14="http://schemas.microsoft.com/office/word/2010/wordml" w:rsidR="00AA0A23" w:rsidP="005F2B9D" w:rsidRDefault="00604AAF" w14:paraId="3F7263AB" wp14:textId="77777777">
      <w:pPr>
        <w:pStyle w:val="Titre1"/>
      </w:pPr>
      <w:bookmarkStart w:name="_heading=h.3znysh7" w:colFirst="0" w:colLast="0" w:id="4"/>
      <w:bookmarkEnd w:id="4"/>
      <w:r>
        <w:t>Concept and requirements of corporate governance and agency theory and their significance to PLC</w:t>
      </w:r>
    </w:p>
    <w:p xmlns:wp14="http://schemas.microsoft.com/office/word/2010/wordml" w:rsidR="00AA0A23" w:rsidP="005F2B9D" w:rsidRDefault="00BF0F58" w14:paraId="62C4C523" wp14:textId="77777777">
      <w:r w:rsidRPr="00BF0F58">
        <w:t>What we refer to as "corporate governance" is actually a guide on how to run the affairs of businesses. It defines the relationship that would exist between the board, the management team, the shareholders, and every other interested party within an organization and outlines the scope for achieving the organizational goals as stated by Aguilera and Crespi-Cladera, 2016. Strong corporate governance within a public LLC is quite essential because it outlines a clear chain of command and, subsequently, ensures that decisions are made impartially and in the best interests of investors. In most instances, this system requires a well-defined set of responsibilities for the board of directors, the creation of certain committees, and stringent reporting and tran</w:t>
      </w:r>
      <w:r>
        <w:t>sparency standards</w:t>
      </w:r>
      <w:r w:rsidR="00604AAF">
        <w:t>. Good corporate governance, aside from ensuring compliance with regulatory requirements, yields responsible conduct and risk management practices.</w:t>
      </w:r>
    </w:p>
    <w:p xmlns:wp14="http://schemas.microsoft.com/office/word/2010/wordml" w:rsidR="00BF0F58" w:rsidP="005F2B9D" w:rsidRDefault="00604AAF" w14:paraId="5719EE7E" wp14:textId="77777777">
      <w:r>
        <w:t xml:space="preserve">On the other hand, agency theory deals with the potential conflicts between managers and investors. Shareholders of most publicly traded companies depend on management to undertake critical business decisions, even though these shareholders may have conflicting interest (Claessens and Yurtoglu, 2018). Separation of ownership from control also leads to agency problems. This condition may cause managers to advance personal interests rather than that of the shareholders. Agency theory proposes a number of solutions to this problem, including rules requiring full disclosure, rigorous monitoring systems, and performance-based remuneration to align incentives. </w:t>
      </w:r>
      <w:r w:rsidR="00BF0F58">
        <w:t>These measures will help in closing the information gap and ensure that the decisions made by the management will be beneficial for the business in the long run.</w:t>
      </w:r>
    </w:p>
    <w:p xmlns:wp14="http://schemas.microsoft.com/office/word/2010/wordml" w:rsidR="00AA0A23" w:rsidP="005F2B9D" w:rsidRDefault="00BF0F58" w14:paraId="58C9C238" wp14:textId="77777777">
      <w:r>
        <w:t>The companies that want to get listed in the AIM at UK should have a sound knowledge of the agency theory and also follow the best practices of corporate governance. Due to this, the company will be able to attract more investors and also will be fully compliant with laws and regulations</w:t>
      </w:r>
      <w:r w:rsidR="00604AAF">
        <w:t>. When interests are aligned and oversight is robust, sustainable growth and a better company reputation follow (Fama and Jensen, 2019). The company may safeguard its investors' interests and maintain competitiveness in the modern market by integrating proactive agency management with strong governance procedures.</w:t>
      </w:r>
    </w:p>
    <w:p xmlns:wp14="http://schemas.microsoft.com/office/word/2010/wordml" w:rsidR="00AA0A23" w:rsidP="005F2B9D" w:rsidRDefault="00604AAF" w14:paraId="49EF78BC" wp14:textId="77777777">
      <w:pPr>
        <w:pStyle w:val="Titre1"/>
      </w:pPr>
      <w:bookmarkStart w:name="_heading=h.2et92p0" w:colFirst="0" w:colLast="0" w:id="5"/>
      <w:bookmarkEnd w:id="5"/>
      <w:r>
        <w:t>How can the current board retain control of the company whilst holding 30% of the company’s shareholding?</w:t>
      </w:r>
    </w:p>
    <w:p xmlns:wp14="http://schemas.microsoft.com/office/word/2010/wordml" w:rsidR="00AA0A23" w:rsidP="005F2B9D" w:rsidRDefault="00604AAF" w14:paraId="1BC9F835" wp14:textId="77777777">
      <w:r>
        <w:t>Keeping control of a corporation while holding just 30% of the shares requires careful preparation and the use of certain corporate governance practices. It is common practice to build a dual-class share structure (Solomon, 2019). Here, the company offers two different types of stock to investors. A company's voting power is divided between two classes: the first, which is typically controlled by the founding family, and the second, which is available to outside investors. The existing board of directors under such an arrangement could still keep decision-making capabilities, even when owning only a fraction of the corporation. In a given company, for example, family-held shares might count as 10 votes apiece compared to publicly traded shares worth only one vote.</w:t>
      </w:r>
    </w:p>
    <w:p xmlns:wp14="http://schemas.microsoft.com/office/word/2010/wordml" w:rsidR="00AA0A23" w:rsidP="005F2B9D" w:rsidRDefault="00604AAF" w14:paraId="3C010708" wp14:textId="77777777">
      <w:r>
        <w:t>Another path that a family might take is to use a "golden share" or other singular class of shares that grants the voting power to defeat critical corporate decisions. The family board, in structuring the shares in this way, aims to prevent hostile takeovers or significant shifts in business direction that would give them greater control over the future of the company. Shareholder agreements may be carefully drawn to protect the interests of the family also. These agreements can include voting processes, board membership rules, or share transfer constraints, all designed to keep the power in-house but minimize their financial stake in the company (Mallin, 2018).</w:t>
      </w:r>
    </w:p>
    <w:p xmlns:wp14="http://schemas.microsoft.com/office/word/2010/wordml" w:rsidR="00AA0A23" w:rsidP="005F2B9D" w:rsidRDefault="00604AAF" w14:paraId="0021588A" wp14:textId="77777777">
      <w:r>
        <w:t>Another possible alternative is the strategic alliance of the board with other investors, who may feel optimistic about the prospects of the company. As a matter of fact, these investors may grant the board preferential consideration of their decisions or even an assurance of support, provided they commit to supporting them. This coalition not only empowers the board but also aligns the interests of the external shareholders with that of the family.</w:t>
      </w:r>
    </w:p>
    <w:p xmlns:wp14="http://schemas.microsoft.com/office/word/2010/wordml" w:rsidR="00AA0A23" w:rsidP="005F2B9D" w:rsidRDefault="00604AAF" w14:paraId="3656B9AB" wp14:textId="77777777">
      <w:pPr>
        <w:rPr>
          <w:color w:val="2E75B5"/>
          <w:sz w:val="28"/>
          <w:szCs w:val="28"/>
        </w:rPr>
      </w:pPr>
      <w:r>
        <w:br w:type="page"/>
      </w:r>
    </w:p>
    <w:p xmlns:wp14="http://schemas.microsoft.com/office/word/2010/wordml" w:rsidR="00AA0A23" w:rsidP="005F2B9D" w:rsidRDefault="00604AAF" w14:paraId="3A07C688" wp14:textId="77777777">
      <w:pPr>
        <w:pStyle w:val="Titre1"/>
      </w:pPr>
      <w:bookmarkStart w:name="_heading=h.tyjcwt" w:colFirst="0" w:colLast="0" w:id="6"/>
      <w:bookmarkEnd w:id="6"/>
      <w:r>
        <w:t>Director Remuneration and Fair Compensation Structures</w:t>
      </w:r>
    </w:p>
    <w:p xmlns:wp14="http://schemas.microsoft.com/office/word/2010/wordml" w:rsidR="00AA0A23" w:rsidP="005F2B9D" w:rsidRDefault="00604AAF" w14:paraId="46F3E36E" wp14:textId="77777777">
      <w:r>
        <w:t>A clearly transparent and reasonable compensation structure attracts and retains top-quality directors, enhancing good corporate governance. Director compensation should be chosen in line with market benchmarks, individual contributions, and overall performance of the firm. This aligns the board's interests with those of the firm and shareholders.</w:t>
      </w:r>
    </w:p>
    <w:p xmlns:wp14="http://schemas.microsoft.com/office/word/2010/wordml" w:rsidR="00AA0A23" w:rsidP="005F2B9D" w:rsidRDefault="00604AAF" w14:paraId="36DCE9C4" wp14:textId="77777777">
      <w:pPr>
        <w:pStyle w:val="Titre2"/>
      </w:pPr>
      <w:bookmarkStart w:name="_heading=h.3dy6vkm" w:colFirst="0" w:colLast="0" w:id="7"/>
      <w:bookmarkEnd w:id="7"/>
      <w:r>
        <w:t>Key Components of Director Remuneration</w:t>
      </w:r>
    </w:p>
    <w:p xmlns:wp14="http://schemas.microsoft.com/office/word/2010/wordml" w:rsidR="00AA0A23" w:rsidP="005F2B9D" w:rsidRDefault="00604AAF" w14:paraId="6552FFCB" wp14:textId="77777777">
      <w:r>
        <w:t>Both fixed and variable compensation are common features of any well-designed remuneration package. The fixed component represents the reward for the time, experience, and fiduciary responsibility of directors. By contrast, variable leading performance-related pay that is closely aligned with predetermined targets would encompass share options, bonuses, and performance-related benefits (Daily et al., 2017). This class of metrics could include financial targets, strategic indicators, and corporate governance achievements. It means that directors are more likely to put the needs of the business and its shareholders first when their pay is contingent on their performance.</w:t>
      </w:r>
    </w:p>
    <w:p xmlns:wp14="http://schemas.microsoft.com/office/word/2010/wordml" w:rsidR="00AA0A23" w:rsidP="005F2B9D" w:rsidRDefault="00604AAF" w14:paraId="606AF6EB" wp14:textId="77777777">
      <w:pPr>
        <w:pStyle w:val="Titre2"/>
      </w:pPr>
      <w:bookmarkStart w:name="_heading=h.1t3h5sf" w:colFirst="0" w:colLast="0" w:id="8"/>
      <w:bookmarkEnd w:id="8"/>
      <w:r>
        <w:t>Relevant Structures for Ensuring Fair Compensation</w:t>
      </w:r>
    </w:p>
    <w:p xmlns:wp14="http://schemas.microsoft.com/office/word/2010/wordml" w:rsidR="00AA0A23" w:rsidP="005F2B9D" w:rsidRDefault="00604AAF" w14:paraId="154A5701" wp14:textId="77777777">
      <w:r>
        <w:t>It is very important to form a separate Remuneration Committee to ensure objectivity and equity. Its main composition shall consist of a majority of independent and non-executive directors who review and approve the pay policies and packages. The Committee shall regularly benchmark and assess the market to ensure that the remuneration is competitive, considering the market standards (Gillan, 2020).</w:t>
      </w:r>
    </w:p>
    <w:p xmlns:wp14="http://schemas.microsoft.com/office/word/2010/wordml" w:rsidR="00AA0A23" w:rsidP="005F2B9D" w:rsidRDefault="00604AAF" w14:paraId="58AD1FC1" wp14:textId="77777777">
      <w:r>
        <w:t>Another important aspect is that annual reports need to be fully transparent with regard to compensation plans. This level of transparency, while serving to meet the regulatory requirements, helps in gaining the confidence of the shareholders by showing that proper consideration has been given to options regarding compensation (Shleifer and Vishny, 2021). Severance regulations and clawback clauses are some other important attributes that enable clawing back incentives in case of misconduct or underperformance. Such measures will link the compensation of directors with long-term performance and value to shareholders.</w:t>
      </w:r>
    </w:p>
    <w:p xmlns:wp14="http://schemas.microsoft.com/office/word/2010/wordml" w:rsidR="00AA0A23" w:rsidP="005F2B9D" w:rsidRDefault="00604AAF" w14:paraId="45FB0818" wp14:textId="77777777">
      <w:pPr>
        <w:rPr>
          <w:color w:val="2E75B5"/>
          <w:sz w:val="28"/>
          <w:szCs w:val="28"/>
        </w:rPr>
      </w:pPr>
      <w:r>
        <w:br w:type="page"/>
      </w:r>
    </w:p>
    <w:p xmlns:wp14="http://schemas.microsoft.com/office/word/2010/wordml" w:rsidR="00AA0A23" w:rsidP="005F2B9D" w:rsidRDefault="00604AAF" w14:paraId="369D3E8B" wp14:textId="77777777">
      <w:pPr>
        <w:pStyle w:val="Titre1"/>
      </w:pPr>
      <w:bookmarkStart w:name="_heading=h.4d34og8" w:colFirst="0" w:colLast="0" w:id="9"/>
      <w:bookmarkEnd w:id="9"/>
      <w:r>
        <w:t xml:space="preserve">Institutional Differences: Shanghai vs. The </w:t>
      </w:r>
      <w:r w:rsidR="007079B7">
        <w:t>UK</w:t>
      </w:r>
    </w:p>
    <w:p xmlns:wp14="http://schemas.microsoft.com/office/word/2010/wordml" w:rsidR="00AA0A23" w:rsidP="005F2B9D" w:rsidRDefault="00604AAF" w14:paraId="46865A68" wp14:textId="77777777">
      <w:r>
        <w:t xml:space="preserve">If the board wants to go public either in Shanghai or the </w:t>
      </w:r>
      <w:r w:rsidR="007079B7">
        <w:t>UK</w:t>
      </w:r>
      <w:r>
        <w:t>, there are a few institutional differences. These are crucial and will most likely have a bearing on the corporate strategy, regulatory compliance, and daily running of affairs.</w:t>
      </w:r>
    </w:p>
    <w:p xmlns:wp14="http://schemas.microsoft.com/office/word/2010/wordml" w:rsidR="00AA0A23" w:rsidP="005F2B9D" w:rsidRDefault="00604AAF" w14:paraId="6CAA8A4A" wp14:textId="77777777">
      <w:r>
        <w:rPr>
          <w:b/>
        </w:rPr>
        <w:t>Regulatory Environment and Corporate Governance</w:t>
      </w:r>
    </w:p>
    <w:p xmlns:wp14="http://schemas.microsoft.com/office/word/2010/wordml" w:rsidR="00AA0A23" w:rsidP="005F2B9D" w:rsidRDefault="00604AAF" w14:paraId="4ECDBAE3" wp14:textId="77777777">
      <w:r>
        <w:t>A Shanghai-based company has to comply with the rules put down by the Chinese government and the Shanghai Stock Exchange. The general regulatory environment in China is notably opaque, with extensive government participation compared to Western standards of corporate law. There could be more government oversight and intervention regarding strategic decisions of the board and interests related to the state (Goergen, 2021). This may also involve changes regarding internal controls and auditing procedures to accommodate significant differences in reporting standards and disclosure requirements compared to the United Kingdom and Shanghai.</w:t>
      </w:r>
    </w:p>
    <w:p xmlns:wp14="http://schemas.microsoft.com/office/word/2010/wordml" w:rsidR="00AA0A23" w:rsidP="005F2B9D" w:rsidRDefault="00604AAF" w14:paraId="5820B161" wp14:textId="77777777">
      <w:r>
        <w:t xml:space="preserve">However, in the </w:t>
      </w:r>
      <w:r w:rsidR="007079B7">
        <w:t>UK</w:t>
      </w:r>
      <w:r>
        <w:t xml:space="preserve">, the regulatory environment is relatively better and more in line with the EU's standards. </w:t>
      </w:r>
      <w:r w:rsidR="007079B7">
        <w:t>UK</w:t>
      </w:r>
      <w:r>
        <w:t xml:space="preserve"> corporate governance displays great transparency, extends rights to shareholders, and has a board that is open and varied. In the event that listing in the </w:t>
      </w:r>
      <w:r w:rsidR="007079B7">
        <w:t>UK</w:t>
      </w:r>
      <w:r>
        <w:t xml:space="preserve"> is aimed for, </w:t>
      </w:r>
      <w:r w:rsidR="007079B7">
        <w:t>UK</w:t>
      </w:r>
      <w:r>
        <w:t xml:space="preserve"> law and the regulations of the European Union will be the bases. In this category, which also comprises most, the minority shareholder protection is stronger (Roe, 2020). Investor confidence and market efficiency may both improve in this environment since it follows the Western standards.</w:t>
      </w:r>
    </w:p>
    <w:p xmlns:wp14="http://schemas.microsoft.com/office/word/2010/wordml" w:rsidR="00AA0A23" w:rsidP="005F2B9D" w:rsidRDefault="00604AAF" w14:paraId="0831E49E" wp14:textId="77777777">
      <w:r>
        <w:rPr>
          <w:b/>
        </w:rPr>
        <w:t>Cultural and Market Considerations</w:t>
      </w:r>
    </w:p>
    <w:p xmlns:wp14="http://schemas.microsoft.com/office/word/2010/wordml" w:rsidR="00AA0A23" w:rsidP="005F2B9D" w:rsidRDefault="00604AAF" w14:paraId="68BE7308" wp14:textId="77777777">
      <w:r>
        <w:t xml:space="preserve">Cultural variables play a significant part. For example, local conditions and the way Shanghainese businesspeople make a decision and bargain could affect doing business in that city. Deeper understanding and establishing local contacts and relationships play an essential part to success within the Chinese environment (Tricker, 2023). However, the current board could feel more comfortable in the Western corporate culture of the </w:t>
      </w:r>
      <w:r w:rsidR="007079B7">
        <w:t>UK</w:t>
      </w:r>
      <w:r>
        <w:t>, especially given the country's long history of openness and participation of all important stakeholders.</w:t>
      </w:r>
    </w:p>
    <w:p xmlns:wp14="http://schemas.microsoft.com/office/word/2010/wordml" w:rsidR="00AA0A23" w:rsidP="005F2B9D" w:rsidRDefault="00604AAF" w14:paraId="0622FC76" wp14:textId="77777777">
      <w:r>
        <w:rPr>
          <w:b/>
        </w:rPr>
        <w:t>Operational Implications</w:t>
      </w:r>
    </w:p>
    <w:p xmlns:wp14="http://schemas.microsoft.com/office/word/2010/wordml" w:rsidR="00AA0A23" w:rsidP="005F2B9D" w:rsidRDefault="00604AAF" w14:paraId="3199A44F" wp14:textId="77777777">
      <w:r>
        <w:t>Transferring headquarters to either location would need adjustments to reporting structures, regulatory mandates, and management practices. In order to match the jurisdiction with the company's strategic objectives, risk appetite, and long-term governance needs, the board must carefully consider these institutional distinctions (Jensen and Meckling, 2019).</w:t>
      </w:r>
    </w:p>
    <w:p xmlns:wp14="http://schemas.microsoft.com/office/word/2010/wordml" w:rsidR="00AA0A23" w:rsidP="005F2B9D" w:rsidRDefault="00604AAF" w14:paraId="2B2A7A39" wp14:textId="77777777">
      <w:pPr>
        <w:pStyle w:val="Titre1"/>
      </w:pPr>
      <w:bookmarkStart w:name="_heading=h.2s8eyo1" w:colFirst="0" w:colLast="0" w:id="10"/>
      <w:bookmarkEnd w:id="10"/>
      <w:r>
        <w:t>Conclusion</w:t>
      </w:r>
    </w:p>
    <w:p xmlns:wp14="http://schemas.microsoft.com/office/word/2010/wordml" w:rsidR="00AA0A23" w:rsidP="005F2B9D" w:rsidRDefault="00604AAF" w14:paraId="22690DC7" wp14:textId="77777777">
      <w:r>
        <w:t xml:space="preserve">For public limited firms to have effective supervision, be transparent, and expand sustainably, the paper stresses that strong agency theory and corporate governance are essential. It emphasises ways to maintain control with a 30% stake, such golden shares and dual-class share structures, while still guaranteeing board autonomy and strategic harmony. Independent monitoring strengthens performance-driven incentives and equitable pay within the compensation structure. As a last point, it is helpful to make educated judgements about moving and entering new markets by learning about the institutional distinctions between Shanghai and the </w:t>
      </w:r>
      <w:r w:rsidR="007079B7">
        <w:t>UK</w:t>
      </w:r>
      <w:r>
        <w:t>. In sum, the key to success in the long run is coordinating governance efforts with strategic goals. That way, you can be confident that your competitive edge will last.</w:t>
      </w:r>
    </w:p>
    <w:p xmlns:wp14="http://schemas.microsoft.com/office/word/2010/wordml" w:rsidR="00AA0A23" w:rsidP="005F2B9D" w:rsidRDefault="00604AAF" w14:paraId="6F18CB14" wp14:textId="77777777">
      <w:pPr>
        <w:pStyle w:val="Titre1"/>
      </w:pPr>
      <w:bookmarkStart w:name="_heading=h.17dp8vu" w:colFirst="0" w:colLast="0" w:id="11"/>
      <w:bookmarkEnd w:id="11"/>
      <w:r>
        <w:t>Recommendations</w:t>
      </w:r>
    </w:p>
    <w:p xmlns:wp14="http://schemas.microsoft.com/office/word/2010/wordml" w:rsidR="00AA0A23" w:rsidP="005F2B9D" w:rsidRDefault="00604AAF" w14:paraId="2352801C" wp14:textId="77777777">
      <w:r>
        <w:t xml:space="preserve">The board should adopt a dual-class share structure and an independent salary committee, among other strong corporate governance measures, according to our conclusions (Zattonipoand Cuomo, 2022). Retain control by negotiating shareholder agreements and granting family shareholders stronger voting rights. Directors' pay should be tied to their performance, and rules should be openly disclosed. Also, the board has to think about cultural and legal differences between the </w:t>
      </w:r>
      <w:r w:rsidR="007079B7">
        <w:t>UK</w:t>
      </w:r>
      <w:r>
        <w:t xml:space="preserve"> and Shanghai while evaluating listing possibilities. To help retain control and expand in the long run, form strategic relationships with investors who share your goals. By implementing these suggestions, the company's governance structure will be strengthened, putting it in a better position for its AIM listing and guaranteeing its long-term success.</w:t>
      </w:r>
    </w:p>
    <w:p xmlns:wp14="http://schemas.microsoft.com/office/word/2010/wordml" w:rsidR="00AA0A23" w:rsidP="005F2B9D" w:rsidRDefault="00604AAF" w14:paraId="049F31CB" wp14:textId="77777777">
      <w:r>
        <w:br w:type="page"/>
      </w:r>
    </w:p>
    <w:p xmlns:wp14="http://schemas.microsoft.com/office/word/2010/wordml" w:rsidR="00AA0A23" w:rsidP="005F2B9D" w:rsidRDefault="00604AAF" w14:paraId="071E4E01" wp14:textId="77777777">
      <w:pPr>
        <w:pStyle w:val="Titre1"/>
      </w:pPr>
      <w:bookmarkStart w:name="_heading=h.3rdcrjn" w:colFirst="0" w:colLast="0" w:id="12"/>
      <w:bookmarkEnd w:id="12"/>
      <w:r>
        <w:t>References</w:t>
      </w:r>
    </w:p>
    <w:p xmlns:wp14="http://schemas.microsoft.com/office/word/2010/wordml" w:rsidR="00AA0A23" w:rsidP="005F2B9D" w:rsidRDefault="00BC6353" w14:paraId="0D8BE5C3" wp14:textId="77777777">
      <w:sdt>
        <w:sdtPr>
          <w:tag w:val="goog_rdk_1"/>
          <w:id w:val="367661061"/>
        </w:sdtPr>
        <w:sdtContent/>
      </w:sdt>
      <w:r w:rsidR="00604AAF">
        <w:t xml:space="preserve">Aguilera, R.V. and Crespi-Cladera, R. (2016) ‘Global corporate governance: On the relevance of firms’ ownership structure’, </w:t>
      </w:r>
      <w:r w:rsidRPr="00EE7FD9" w:rsidR="00604AAF">
        <w:rPr>
          <w:i/>
        </w:rPr>
        <w:t>Journal of World Business</w:t>
      </w:r>
      <w:r w:rsidR="00604AAF">
        <w:t>, 51(1), pp. 50–57.</w:t>
      </w:r>
    </w:p>
    <w:p xmlns:wp14="http://schemas.microsoft.com/office/word/2010/wordml" w:rsidR="00AA0A23" w:rsidP="005F2B9D" w:rsidRDefault="00604AAF" w14:paraId="52256FBC" wp14:textId="77777777">
      <w:r>
        <w:t xml:space="preserve">Claessens, S. and Yurtoglu, B.B. (2018) ‘Corporate governance in emerging markets: A survey’, </w:t>
      </w:r>
      <w:r w:rsidRPr="00EE7FD9">
        <w:rPr>
          <w:i/>
        </w:rPr>
        <w:t>Emerging Markets Review</w:t>
      </w:r>
      <w:r>
        <w:t>, 37, pp. 1–33.</w:t>
      </w:r>
    </w:p>
    <w:p xmlns:wp14="http://schemas.microsoft.com/office/word/2010/wordml" w:rsidR="00AA0A23" w:rsidP="005F2B9D" w:rsidRDefault="00604AAF" w14:paraId="102D3488" wp14:textId="77777777">
      <w:r>
        <w:t xml:space="preserve">Daily, C.M., Dalton, D.R. and Cannella, A.A. (2017) ‘Corporate governance: Decades of dialogue and data’, </w:t>
      </w:r>
      <w:r w:rsidRPr="00EE7FD9">
        <w:rPr>
          <w:i/>
        </w:rPr>
        <w:t>Academy of Management Review</w:t>
      </w:r>
      <w:r>
        <w:t>, 42(1), pp. 44–64.</w:t>
      </w:r>
    </w:p>
    <w:p xmlns:wp14="http://schemas.microsoft.com/office/word/2010/wordml" w:rsidR="00AA0A23" w:rsidP="005F2B9D" w:rsidRDefault="00604AAF" w14:paraId="446100A1" wp14:textId="77777777">
      <w:r>
        <w:t xml:space="preserve">Fama, E.F. and Jensen, M.C. (2019) ‘Separation of ownership and control’, </w:t>
      </w:r>
      <w:r w:rsidRPr="00EE7FD9">
        <w:rPr>
          <w:i/>
        </w:rPr>
        <w:t>Journal of Law and Economics</w:t>
      </w:r>
      <w:r>
        <w:t>, 26(2), pp. 301–325.</w:t>
      </w:r>
    </w:p>
    <w:p xmlns:wp14="http://schemas.microsoft.com/office/word/2010/wordml" w:rsidR="00AA0A23" w:rsidP="005F2B9D" w:rsidRDefault="00604AAF" w14:paraId="2ADE6C88" wp14:textId="77777777">
      <w:r>
        <w:t xml:space="preserve">Gillan, S.L. (2020) ‘Recent developments in corporate governance: An overview’, </w:t>
      </w:r>
      <w:r w:rsidRPr="00EE7FD9">
        <w:rPr>
          <w:i/>
        </w:rPr>
        <w:t>Journal of Corporate Finance</w:t>
      </w:r>
      <w:r>
        <w:t>, 65, pp. 101-108.</w:t>
      </w:r>
    </w:p>
    <w:p xmlns:wp14="http://schemas.microsoft.com/office/word/2010/wordml" w:rsidR="00AA0A23" w:rsidP="005F2B9D" w:rsidRDefault="00604AAF" w14:paraId="5B052D8F" wp14:textId="77777777">
      <w:r>
        <w:t xml:space="preserve">Goergen, M. (2021) </w:t>
      </w:r>
      <w:r w:rsidRPr="00EE7FD9">
        <w:rPr>
          <w:i/>
        </w:rPr>
        <w:t>International corporate governance</w:t>
      </w:r>
      <w:r>
        <w:t>. 3rd edn. London: Pearson.</w:t>
      </w:r>
    </w:p>
    <w:p xmlns:wp14="http://schemas.microsoft.com/office/word/2010/wordml" w:rsidR="00AA0A23" w:rsidP="005F2B9D" w:rsidRDefault="00604AAF" w14:paraId="6F09F53B" wp14:textId="77777777">
      <w:r>
        <w:t xml:space="preserve">Jensen, M.C. and Meckling, W.H. (2019) ‘Theory of the firm: Managerial behavior, agency costs, and ownership structure’, </w:t>
      </w:r>
      <w:r w:rsidRPr="00EE7FD9">
        <w:rPr>
          <w:i/>
        </w:rPr>
        <w:t>Journal of Financial Economics</w:t>
      </w:r>
      <w:r>
        <w:t>, 3(4), pp. 305–360.</w:t>
      </w:r>
    </w:p>
    <w:p xmlns:wp14="http://schemas.microsoft.com/office/word/2010/wordml" w:rsidR="00AA0A23" w:rsidP="005F2B9D" w:rsidRDefault="00604AAF" w14:paraId="55A62BE7" wp14:textId="77777777">
      <w:r>
        <w:t xml:space="preserve">Mallin, C.A. (2018) </w:t>
      </w:r>
      <w:r w:rsidRPr="00EE7FD9">
        <w:rPr>
          <w:i/>
        </w:rPr>
        <w:t>Corporate governance</w:t>
      </w:r>
      <w:r>
        <w:t>. 6th edn. Oxford: Oxford University Press.</w:t>
      </w:r>
    </w:p>
    <w:p xmlns:wp14="http://schemas.microsoft.com/office/word/2010/wordml" w:rsidR="00AA0A23" w:rsidP="005F2B9D" w:rsidRDefault="00604AAF" w14:paraId="2E7E040D" wp14:textId="77777777">
      <w:r>
        <w:t xml:space="preserve">Roe, M.J. (2020) </w:t>
      </w:r>
      <w:r w:rsidRPr="00EE7FD9">
        <w:rPr>
          <w:i/>
        </w:rPr>
        <w:t>Political determinants of corporate governance: Political context, corporate impact</w:t>
      </w:r>
      <w:r>
        <w:t>. Cambridge: Oxford University Press.</w:t>
      </w:r>
    </w:p>
    <w:p xmlns:wp14="http://schemas.microsoft.com/office/word/2010/wordml" w:rsidR="00AA0A23" w:rsidP="005F2B9D" w:rsidRDefault="00604AAF" w14:paraId="05143D6D" wp14:textId="77777777">
      <w:r>
        <w:t xml:space="preserve">Shleifer, A. and Vishny, R.W. (2021) ‘A survey of corporate governance’, </w:t>
      </w:r>
      <w:r w:rsidRPr="00EE7FD9">
        <w:rPr>
          <w:i/>
        </w:rPr>
        <w:t>Journal of Finance</w:t>
      </w:r>
      <w:r>
        <w:t>, 52(2), pp. 737–783.</w:t>
      </w:r>
    </w:p>
    <w:p xmlns:wp14="http://schemas.microsoft.com/office/word/2010/wordml" w:rsidR="00AA0A23" w:rsidP="005F2B9D" w:rsidRDefault="00604AAF" w14:paraId="38FD62C1" wp14:textId="77777777">
      <w:r>
        <w:t xml:space="preserve">Solomon, J. (2019) </w:t>
      </w:r>
      <w:r w:rsidRPr="00EE7FD9">
        <w:rPr>
          <w:i/>
        </w:rPr>
        <w:t>Corporate governance and accountability</w:t>
      </w:r>
      <w:r>
        <w:t>. 5th edn. Chichester: Wiley.</w:t>
      </w:r>
    </w:p>
    <w:p xmlns:wp14="http://schemas.microsoft.com/office/word/2010/wordml" w:rsidR="00AA0A23" w:rsidP="005F2B9D" w:rsidRDefault="00604AAF" w14:paraId="21964F11" wp14:textId="77777777">
      <w:r>
        <w:t xml:space="preserve">Tricker, B. (2023) </w:t>
      </w:r>
      <w:r w:rsidRPr="00EE7FD9">
        <w:rPr>
          <w:i/>
        </w:rPr>
        <w:t>Corporate governance: Principles, policies, and practices</w:t>
      </w:r>
      <w:r>
        <w:t>. 5th edn. Oxford: Oxford University Press.</w:t>
      </w:r>
    </w:p>
    <w:p xmlns:wp14="http://schemas.microsoft.com/office/word/2010/wordml" w:rsidR="00AA0A23" w:rsidP="005F2B9D" w:rsidRDefault="00604AAF" w14:paraId="5F959606" wp14:textId="77777777">
      <w:r>
        <w:t xml:space="preserve">Zattoni, A. and Cuomo, F. (2022) ‘How independent are independent directors? Insights from board social ties’, </w:t>
      </w:r>
      <w:r w:rsidRPr="00EE7FD9">
        <w:rPr>
          <w:i/>
        </w:rPr>
        <w:t>Corporate Governance: An International Review</w:t>
      </w:r>
      <w:r>
        <w:t>, 30(2), pp. 118–133.</w:t>
      </w:r>
    </w:p>
    <w:p xmlns:wp14="http://schemas.microsoft.com/office/word/2010/wordml" w:rsidR="00AA0A23" w:rsidRDefault="00AA0A23" w14:paraId="53128261" wp14:textId="77777777"/>
    <w:sectPr w:rsidR="00AA0A23" w:rsidSect="00BC6353">
      <w:footerReference w:type="default" r:id="rId7"/>
      <w:pgSz w:w="12240" w:h="15840" w:orient="portrait"/>
      <w:pgMar w:top="1440" w:right="1440" w:bottom="1440" w:left="1440" w:header="720" w:footer="720" w:gutter="0"/>
      <w:pgNumType w:start="1"/>
      <w:cols w:space="720"/>
    </w:sectPr>
  </w:body>
</w:document>
</file>

<file path=word/endnotes.xml><?xml version="1.0" encoding="utf-8"?>
<w:endnotes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endnote w:type="separator" w:id="0">
    <w:p xmlns:wp14="http://schemas.microsoft.com/office/word/2010/wordml" w:rsidR="005E5952" w:rsidRDefault="005E5952" w14:paraId="4101652C" wp14:textId="77777777">
      <w:pPr>
        <w:spacing w:line="240" w:lineRule="auto"/>
      </w:pPr>
      <w:r>
        <w:separator/>
      </w:r>
    </w:p>
  </w:endnote>
  <w:endnote w:type="continuationSeparator" w:id="1">
    <w:p xmlns:wp14="http://schemas.microsoft.com/office/word/2010/wordml" w:rsidR="005E5952" w:rsidRDefault="005E5952" w14:paraId="4B99056E" wp14:textId="77777777">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auto"/>
    <w:pitch w:val="default"/>
    <w:sig w:usb0="00000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p xmlns:wp14="http://schemas.microsoft.com/office/word/2010/wordml" w:rsidR="00AA0A23" w:rsidRDefault="00BC6353" w14:paraId="6F5B4441" wp14:textId="77777777">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sidR="00604AAF">
      <w:rPr>
        <w:color w:val="000000"/>
      </w:rPr>
      <w:instrText>PAGE</w:instrText>
    </w:r>
    <w:r>
      <w:rPr>
        <w:color w:val="000000"/>
      </w:rPr>
      <w:fldChar w:fldCharType="separate"/>
    </w:r>
    <w:r w:rsidR="005F2B9D">
      <w:rPr>
        <w:noProof/>
        <w:color w:val="000000"/>
      </w:rPr>
      <w:t>9</w:t>
    </w:r>
    <w:r>
      <w:rPr>
        <w:color w:val="000000"/>
      </w:rPr>
      <w:fldChar w:fldCharType="end"/>
    </w:r>
  </w:p>
  <w:p xmlns:wp14="http://schemas.microsoft.com/office/word/2010/wordml" w:rsidR="00AA0A23" w:rsidRDefault="00AA0A23" w14:paraId="62486C05" wp14:textId="77777777">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footnote w:type="separator" w:id="0">
    <w:p xmlns:wp14="http://schemas.microsoft.com/office/word/2010/wordml" w:rsidR="005E5952" w:rsidRDefault="005E5952" w14:paraId="1299C43A" wp14:textId="77777777">
      <w:pPr>
        <w:spacing w:line="240" w:lineRule="auto"/>
      </w:pPr>
      <w:r>
        <w:separator/>
      </w:r>
    </w:p>
  </w:footnote>
  <w:footnote w:type="continuationSeparator" w:id="1">
    <w:p xmlns:wp14="http://schemas.microsoft.com/office/word/2010/wordml" w:rsidR="005E5952" w:rsidRDefault="005E5952" w14:paraId="4DDBEF00" wp14:textId="77777777">
      <w:pPr>
        <w:spacing w:line="240" w:lineRule="auto"/>
      </w:pPr>
      <w:r>
        <w:continuationSeparator/>
      </w:r>
    </w:p>
  </w:footnote>
</w:footnotes>
</file>

<file path=word/settings.xml><?xml version="1.0" encoding="utf-8"?>
<w:settings xmlns:w14="http://schemas.microsoft.com/office/word/2010/wordml" xmlns:wp14="http://schemas.microsoft.com/office/word/2010/wordprocessingDrawing"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xmlns:mc="http://schemas.openxmlformats.org/markup-compatibility/2006" xmlns:w15="http://schemas.microsoft.com/office/word/2012/wordml" mc:Ignorable="w14 wp14 w15">
  <w:zoom w:percent="60"/>
  <w:trackRevisions w:val="false"/>
  <w:defaultTabStop w:val="720"/>
  <w:hyphenationZone w:val="425"/>
  <w:characterSpacingControl w:val="doNotCompress"/>
  <w:footnotePr>
    <w:footnote w:id="0"/>
    <w:footnote w:id="1"/>
  </w:footnotePr>
  <w:endnotePr>
    <w:endnote w:id="0"/>
    <w:endnote w:id="1"/>
  </w:endnotePr>
  <w:compat/>
  <w:rsids>
    <w:rsidRoot w:val="00AA0A23"/>
    <w:rsid w:val="00405F00"/>
    <w:rsid w:val="004F64A8"/>
    <w:rsid w:val="005E5952"/>
    <w:rsid w:val="005F2B9D"/>
    <w:rsid w:val="00604AAF"/>
    <w:rsid w:val="007079B7"/>
    <w:rsid w:val="00994DA8"/>
    <w:rsid w:val="00AA0A23"/>
    <w:rsid w:val="00AC780C"/>
    <w:rsid w:val="00BC6353"/>
    <w:rsid w:val="00BF0F58"/>
    <w:rsid w:val="00EE7FD9"/>
    <w:rsid w:val="0D6E2BD9"/>
    <w:rsid w:val="17E096D8"/>
    <w:rsid w:val="1EAA15E4"/>
    <w:rsid w:val="39F07D51"/>
    <w:rsid w:val="4BB42FDE"/>
    <w:rsid w:val="6E43F068"/>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4507FEE"/>
  <w15:docId w15:val="{23A8EB77-38EE-46EB-89E2-184BC832DBA0}"/>
</w:settings>
</file>

<file path=word/styles.xml><?xml version="1.0" encoding="utf-8"?>
<w:styles xmlns:w14="http://schemas.microsoft.com/office/word/2010/wordml" xmlns:wp14="http://schemas.microsoft.com/office/word/2010/wordprocessingDrawing" xmlns:r="http://schemas.openxmlformats.org/officeDocument/2006/relationships" xmlns:w="http://schemas.openxmlformats.org/wordprocessingml/2006/main" xmlns:mc="http://schemas.openxmlformats.org/markup-compatibility/2006" mc:Ignorable="w14 wp14">
  <w:docDefaults>
    <w:rPrDefault>
      <w:rPr>
        <w:rFonts w:ascii="Arial" w:hAnsi="Arial" w:eastAsia="Arial" w:cs="Arial"/>
        <w:sz w:val="22"/>
        <w:szCs w:val="22"/>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ED517A"/>
  </w:style>
  <w:style w:type="paragraph" w:styleId="Titre1">
    <w:name w:val="heading 1"/>
    <w:basedOn w:val="Normal"/>
    <w:next w:val="Normal"/>
    <w:link w:val="Titre1Car"/>
    <w:uiPriority w:val="9"/>
    <w:qFormat/>
    <w:rsid w:val="00ED517A"/>
    <w:pPr>
      <w:keepNext/>
      <w:keepLines/>
      <w:spacing w:before="240"/>
      <w:outlineLvl w:val="0"/>
    </w:pPr>
    <w:rPr>
      <w:rFonts w:eastAsiaTheme="majorEastAsia" w:cstheme="majorBidi"/>
      <w:color w:val="2E74B5" w:themeColor="accent1" w:themeShade="BF"/>
      <w:sz w:val="28"/>
      <w:szCs w:val="32"/>
    </w:rPr>
  </w:style>
  <w:style w:type="paragraph" w:styleId="Titre2">
    <w:name w:val="heading 2"/>
    <w:basedOn w:val="Normal"/>
    <w:next w:val="Normal"/>
    <w:link w:val="Titre2Car"/>
    <w:uiPriority w:val="9"/>
    <w:unhideWhenUsed/>
    <w:qFormat/>
    <w:rsid w:val="00ED517A"/>
    <w:pPr>
      <w:keepNext/>
      <w:keepLines/>
      <w:spacing w:before="40"/>
      <w:outlineLvl w:val="1"/>
    </w:pPr>
    <w:rPr>
      <w:rFonts w:eastAsiaTheme="majorEastAsia" w:cstheme="majorBidi"/>
      <w:color w:val="2E74B5" w:themeColor="accent1" w:themeShade="BF"/>
      <w:sz w:val="26"/>
      <w:szCs w:val="26"/>
    </w:rPr>
  </w:style>
  <w:style w:type="paragraph" w:styleId="Titre3">
    <w:name w:val="heading 3"/>
    <w:basedOn w:val="Normal"/>
    <w:next w:val="Normal"/>
    <w:link w:val="Titre3Car"/>
    <w:uiPriority w:val="9"/>
    <w:semiHidden/>
    <w:unhideWhenUsed/>
    <w:qFormat/>
    <w:rsid w:val="007667BE"/>
    <w:pPr>
      <w:keepNext/>
      <w:keepLines/>
      <w:spacing w:before="40"/>
      <w:outlineLvl w:val="2"/>
    </w:pPr>
    <w:rPr>
      <w:rFonts w:asciiTheme="majorHAnsi" w:hAnsiTheme="majorHAnsi" w:eastAsiaTheme="majorEastAsia" w:cstheme="majorBidi"/>
      <w:color w:val="1F4D78" w:themeColor="accent1" w:themeShade="7F"/>
      <w:sz w:val="24"/>
      <w:szCs w:val="24"/>
    </w:rPr>
  </w:style>
  <w:style w:type="paragraph" w:styleId="Titre4">
    <w:name w:val="heading 4"/>
    <w:basedOn w:val="Normal"/>
    <w:next w:val="Normal"/>
    <w:rsid w:val="00BC6353"/>
    <w:pPr>
      <w:keepNext/>
      <w:keepLines/>
      <w:spacing w:before="240" w:after="40"/>
      <w:outlineLvl w:val="3"/>
    </w:pPr>
    <w:rPr>
      <w:b/>
      <w:sz w:val="24"/>
      <w:szCs w:val="24"/>
    </w:rPr>
  </w:style>
  <w:style w:type="paragraph" w:styleId="Titre5">
    <w:name w:val="heading 5"/>
    <w:basedOn w:val="Normal"/>
    <w:next w:val="Normal"/>
    <w:rsid w:val="00BC6353"/>
    <w:pPr>
      <w:keepNext/>
      <w:keepLines/>
      <w:spacing w:before="220" w:after="40"/>
      <w:outlineLvl w:val="4"/>
    </w:pPr>
    <w:rPr>
      <w:b/>
    </w:rPr>
  </w:style>
  <w:style w:type="paragraph" w:styleId="Titre6">
    <w:name w:val="heading 6"/>
    <w:basedOn w:val="Normal"/>
    <w:next w:val="Normal"/>
    <w:rsid w:val="00BC6353"/>
    <w:pPr>
      <w:keepNext/>
      <w:keepLines/>
      <w:spacing w:before="200" w:after="40"/>
      <w:outlineLvl w:val="5"/>
    </w:pPr>
    <w:rPr>
      <w:b/>
      <w:sz w:val="20"/>
      <w:szCs w:val="20"/>
    </w:rPr>
  </w:style>
  <w:style w:type="character" w:styleId="Policepardfaut" w:default="1">
    <w:name w:val="Default Paragraph Font"/>
    <w:uiPriority w:val="1"/>
    <w:semiHidden/>
    <w:unhideWhenUsed/>
  </w:style>
  <w:style w:type="table" w:styleId="TableauNormal" w:default="1">
    <w:name w:val="Normal Table"/>
    <w:uiPriority w:val="99"/>
    <w:semiHidden/>
    <w:unhideWhenUsed/>
    <w:qFormat/>
    <w:tblPr>
      <w:tblInd w:w="0" w:type="dxa"/>
      <w:tblCellMar>
        <w:top w:w="0" w:type="dxa"/>
        <w:left w:w="108" w:type="dxa"/>
        <w:bottom w:w="0" w:type="dxa"/>
        <w:right w:w="108" w:type="dxa"/>
      </w:tblCellMar>
    </w:tblPr>
  </w:style>
  <w:style w:type="numbering" w:styleId="Aucuneliste" w:default="1">
    <w:name w:val="No List"/>
    <w:uiPriority w:val="99"/>
    <w:semiHidden/>
    <w:unhideWhenUsed/>
  </w:style>
  <w:style w:type="paragraph" w:styleId="Titre">
    <w:name w:val="Title"/>
    <w:basedOn w:val="Normal"/>
    <w:next w:val="Normal"/>
    <w:rsid w:val="00BC6353"/>
    <w:pPr>
      <w:keepNext/>
      <w:keepLines/>
      <w:spacing w:before="480" w:after="120"/>
    </w:pPr>
    <w:rPr>
      <w:b/>
      <w:sz w:val="72"/>
      <w:szCs w:val="72"/>
    </w:rPr>
  </w:style>
  <w:style w:type="character" w:styleId="Titre1Car" w:customStyle="1">
    <w:name w:val="Titre 1 Car"/>
    <w:basedOn w:val="Policepardfaut"/>
    <w:link w:val="Titre1"/>
    <w:uiPriority w:val="9"/>
    <w:rsid w:val="00ED517A"/>
    <w:rPr>
      <w:rFonts w:ascii="Arial" w:hAnsi="Arial" w:eastAsiaTheme="majorEastAsia" w:cstheme="majorBidi"/>
      <w:color w:val="2E74B5" w:themeColor="accent1" w:themeShade="BF"/>
      <w:sz w:val="28"/>
      <w:szCs w:val="32"/>
    </w:rPr>
  </w:style>
  <w:style w:type="character" w:styleId="Titre2Car" w:customStyle="1">
    <w:name w:val="Titre 2 Car"/>
    <w:basedOn w:val="Policepardfaut"/>
    <w:link w:val="Titre2"/>
    <w:uiPriority w:val="9"/>
    <w:rsid w:val="00ED517A"/>
    <w:rPr>
      <w:rFonts w:ascii="Arial" w:hAnsi="Arial" w:eastAsiaTheme="majorEastAsia" w:cstheme="majorBidi"/>
      <w:color w:val="2E74B5" w:themeColor="accent1" w:themeShade="BF"/>
      <w:sz w:val="26"/>
      <w:szCs w:val="26"/>
    </w:rPr>
  </w:style>
  <w:style w:type="paragraph" w:styleId="En-tte">
    <w:name w:val="header"/>
    <w:basedOn w:val="Normal"/>
    <w:link w:val="En-tteCar"/>
    <w:uiPriority w:val="99"/>
    <w:unhideWhenUsed/>
    <w:rsid w:val="00ED517A"/>
    <w:pPr>
      <w:tabs>
        <w:tab w:val="center" w:pos="4680"/>
        <w:tab w:val="right" w:pos="9360"/>
      </w:tabs>
      <w:spacing w:line="240" w:lineRule="auto"/>
    </w:pPr>
  </w:style>
  <w:style w:type="character" w:styleId="En-tteCar" w:customStyle="1">
    <w:name w:val="En-tête Car"/>
    <w:basedOn w:val="Policepardfaut"/>
    <w:link w:val="En-tte"/>
    <w:uiPriority w:val="99"/>
    <w:rsid w:val="00ED517A"/>
    <w:rPr>
      <w:rFonts w:ascii="Arial" w:hAnsi="Arial"/>
    </w:rPr>
  </w:style>
  <w:style w:type="paragraph" w:styleId="Pieddepage">
    <w:name w:val="footer"/>
    <w:basedOn w:val="Normal"/>
    <w:link w:val="PieddepageCar"/>
    <w:uiPriority w:val="99"/>
    <w:unhideWhenUsed/>
    <w:rsid w:val="00ED517A"/>
    <w:pPr>
      <w:tabs>
        <w:tab w:val="center" w:pos="4680"/>
        <w:tab w:val="right" w:pos="9360"/>
      </w:tabs>
      <w:spacing w:line="240" w:lineRule="auto"/>
    </w:pPr>
  </w:style>
  <w:style w:type="character" w:styleId="PieddepageCar" w:customStyle="1">
    <w:name w:val="Pied de page Car"/>
    <w:basedOn w:val="Policepardfaut"/>
    <w:link w:val="Pieddepage"/>
    <w:uiPriority w:val="99"/>
    <w:rsid w:val="00ED517A"/>
    <w:rPr>
      <w:rFonts w:ascii="Arial" w:hAnsi="Arial"/>
    </w:rPr>
  </w:style>
  <w:style w:type="paragraph" w:styleId="En-ttedetabledesmatires">
    <w:name w:val="TOC Heading"/>
    <w:basedOn w:val="Titre1"/>
    <w:next w:val="Normal"/>
    <w:uiPriority w:val="39"/>
    <w:unhideWhenUsed/>
    <w:qFormat/>
    <w:rsid w:val="00ED517A"/>
    <w:pPr>
      <w:spacing w:line="259" w:lineRule="auto"/>
      <w:jc w:val="left"/>
      <w:outlineLvl w:val="9"/>
    </w:pPr>
    <w:rPr>
      <w:rFonts w:asciiTheme="majorHAnsi" w:hAnsiTheme="majorHAnsi"/>
      <w:sz w:val="32"/>
    </w:rPr>
  </w:style>
  <w:style w:type="character" w:styleId="Titre3Car" w:customStyle="1">
    <w:name w:val="Titre 3 Car"/>
    <w:basedOn w:val="Policepardfaut"/>
    <w:link w:val="Titre3"/>
    <w:uiPriority w:val="9"/>
    <w:semiHidden/>
    <w:rsid w:val="007667BE"/>
    <w:rPr>
      <w:rFonts w:asciiTheme="majorHAnsi" w:hAnsiTheme="majorHAnsi" w:eastAsiaTheme="majorEastAsia" w:cstheme="majorBidi"/>
      <w:color w:val="1F4D78" w:themeColor="accent1" w:themeShade="7F"/>
      <w:sz w:val="24"/>
      <w:szCs w:val="24"/>
    </w:rPr>
  </w:style>
  <w:style w:type="paragraph" w:styleId="TM1">
    <w:name w:val="toc 1"/>
    <w:basedOn w:val="Normal"/>
    <w:next w:val="Normal"/>
    <w:autoRedefine/>
    <w:uiPriority w:val="39"/>
    <w:unhideWhenUsed/>
    <w:rsid w:val="00795AA2"/>
    <w:pPr>
      <w:spacing w:after="100"/>
    </w:pPr>
  </w:style>
  <w:style w:type="paragraph" w:styleId="TM2">
    <w:name w:val="toc 2"/>
    <w:basedOn w:val="Normal"/>
    <w:next w:val="Normal"/>
    <w:autoRedefine/>
    <w:uiPriority w:val="39"/>
    <w:unhideWhenUsed/>
    <w:rsid w:val="00795AA2"/>
    <w:pPr>
      <w:spacing w:after="100"/>
      <w:ind w:left="220"/>
    </w:pPr>
  </w:style>
  <w:style w:type="character" w:styleId="Lienhypertexte">
    <w:name w:val="Hyperlink"/>
    <w:basedOn w:val="Policepardfaut"/>
    <w:uiPriority w:val="99"/>
    <w:unhideWhenUsed/>
    <w:rsid w:val="00795AA2"/>
    <w:rPr>
      <w:color w:val="0563C1" w:themeColor="hyperlink"/>
      <w:u w:val="single"/>
    </w:rPr>
  </w:style>
  <w:style w:type="paragraph" w:styleId="Sous-titre">
    <w:name w:val="Subtitle"/>
    <w:basedOn w:val="Normal"/>
    <w:next w:val="Normal"/>
    <w:rsid w:val="00BC6353"/>
    <w:pPr>
      <w:keepNext/>
      <w:keepLines/>
      <w:spacing w:before="360" w:after="80"/>
    </w:pPr>
    <w:rPr>
      <w:rFonts w:ascii="Georgia" w:hAnsi="Georgia" w:eastAsia="Georgia" w:cs="Georgia"/>
      <w:i/>
      <w:color w:val="666666"/>
      <w:sz w:val="48"/>
      <w:szCs w:val="48"/>
    </w:rPr>
  </w:style>
  <w:style w:type="paragraph" w:styleId="Commentaire">
    <w:name w:val="annotation text"/>
    <w:basedOn w:val="Normal"/>
    <w:link w:val="CommentaireCar"/>
    <w:uiPriority w:val="99"/>
    <w:semiHidden/>
    <w:unhideWhenUsed/>
    <w:rsid w:val="00BC6353"/>
    <w:pPr>
      <w:spacing w:line="240" w:lineRule="auto"/>
    </w:pPr>
    <w:rPr>
      <w:sz w:val="20"/>
      <w:szCs w:val="20"/>
    </w:rPr>
  </w:style>
  <w:style w:type="character" w:styleId="CommentaireCar" w:customStyle="1">
    <w:name w:val="Commentaire Car"/>
    <w:basedOn w:val="Policepardfaut"/>
    <w:link w:val="Commentaire"/>
    <w:uiPriority w:val="99"/>
    <w:semiHidden/>
    <w:rsid w:val="00BC6353"/>
    <w:rPr>
      <w:sz w:val="20"/>
      <w:szCs w:val="20"/>
    </w:rPr>
  </w:style>
  <w:style w:type="character" w:styleId="Marquedecommentaire">
    <w:name w:val="annotation reference"/>
    <w:basedOn w:val="Policepardfaut"/>
    <w:uiPriority w:val="99"/>
    <w:semiHidden/>
    <w:unhideWhenUsed/>
    <w:rsid w:val="00BC6353"/>
    <w:rPr>
      <w:sz w:val="16"/>
      <w:szCs w:val="16"/>
    </w:rPr>
  </w:style>
  <w:style w:type="paragraph" w:styleId="Textedebulles">
    <w:name w:val="Balloon Text"/>
    <w:basedOn w:val="Normal"/>
    <w:link w:val="TextedebullesCar"/>
    <w:uiPriority w:val="99"/>
    <w:semiHidden/>
    <w:unhideWhenUsed/>
    <w:rsid w:val="00EE7FD9"/>
    <w:pPr>
      <w:spacing w:line="240" w:lineRule="auto"/>
    </w:pPr>
    <w:rPr>
      <w:rFonts w:ascii="Segoe UI" w:hAnsi="Segoe UI" w:cs="Segoe UI"/>
      <w:sz w:val="18"/>
      <w:szCs w:val="18"/>
    </w:rPr>
  </w:style>
  <w:style w:type="character" w:styleId="TextedebullesCar" w:customStyle="1">
    <w:name w:val="Texte de bulles Car"/>
    <w:basedOn w:val="Policepardfaut"/>
    <w:link w:val="Textedebulles"/>
    <w:uiPriority w:val="99"/>
    <w:semiHidden/>
    <w:rsid w:val="00EE7FD9"/>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footer" Target="footer1.xml" Id="rId7"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Fu/98fxdSNh5cHdacHOY/feK86g==">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</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KHAIRUL ISLAM</dc:creator>
  <lastModifiedBy>Andrei Vilcea</lastModifiedBy>
  <revision>9</revision>
  <dcterms:created xsi:type="dcterms:W3CDTF">2025-02-03T19:43:00.0000000Z</dcterms:created>
  <dcterms:modified xsi:type="dcterms:W3CDTF">2025-02-11T22:06:18.4553964Z</dcterms:modified>
</coreProperties>
</file>