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32252" w14:textId="118C661A" w:rsidR="005A38A2" w:rsidRDefault="005A38A2" w:rsidP="005A38A2">
      <w:pPr>
        <w:pStyle w:val="paragraph"/>
        <w:spacing w:before="0" w:beforeAutospacing="0" w:after="0" w:afterAutospacing="0"/>
        <w:jc w:val="center"/>
        <w:textAlignment w:val="baseline"/>
        <w:rPr>
          <w:rFonts w:ascii="Arial" w:hAnsi="Arial" w:cs="Arial"/>
          <w:sz w:val="18"/>
          <w:szCs w:val="18"/>
          <w:lang w:val="en-US"/>
        </w:rPr>
      </w:pPr>
      <w:r>
        <w:rPr>
          <w:rFonts w:ascii="Arial" w:hAnsi="Arial" w:cs="Arial"/>
          <w:sz w:val="18"/>
          <w:szCs w:val="18"/>
          <w:lang w:val="en-US"/>
        </w:rPr>
        <w:fldChar w:fldCharType="begin"/>
      </w:r>
      <w:r w:rsidR="00BF3BFD">
        <w:rPr>
          <w:rFonts w:ascii="Arial" w:hAnsi="Arial" w:cs="Arial"/>
          <w:sz w:val="18"/>
          <w:szCs w:val="18"/>
          <w:lang w:val="en-US"/>
        </w:rPr>
        <w:instrText xml:space="preserve"> INCLUDEPICTURE "C:\\var\\folders\\52\\bgg40vy556j4nk3tsr7hjx4h0000gn\\T\\com.microsoft.Word\\WebArchiveCopyPasteTempFiles\\9k=" \* MERGEFORMAT </w:instrText>
      </w:r>
      <w:r>
        <w:rPr>
          <w:rFonts w:ascii="Arial" w:hAnsi="Arial" w:cs="Arial"/>
          <w:sz w:val="18"/>
          <w:szCs w:val="18"/>
          <w:lang w:val="en-US"/>
        </w:rPr>
        <w:fldChar w:fldCharType="separate"/>
      </w:r>
      <w:r>
        <w:rPr>
          <w:rFonts w:ascii="Arial" w:hAnsi="Arial" w:cs="Arial"/>
          <w:noProof/>
          <w:sz w:val="18"/>
          <w:szCs w:val="18"/>
          <w:lang w:val="en-US"/>
        </w:rPr>
        <w:drawing>
          <wp:inline distT="0" distB="0" distL="0" distR="0" wp14:anchorId="15A2E761" wp14:editId="229D9B17">
            <wp:extent cx="5005653" cy="2309149"/>
            <wp:effectExtent l="0" t="0" r="0" b="2540"/>
            <wp:docPr id="1" name="Picture 1" descr="/var/folders/52/bgg40vy556j4nk3tsr7hjx4h0000gn/T/com.microsoft.Word/WebArchiveCopyPasteTempFiles/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2/bgg40vy556j4nk3tsr7hjx4h0000gn/T/com.microsoft.Word/WebArchiveCopyPasteTempFiles/9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19654" cy="2315608"/>
                    </a:xfrm>
                    <a:prstGeom prst="rect">
                      <a:avLst/>
                    </a:prstGeom>
                    <a:noFill/>
                    <a:ln>
                      <a:noFill/>
                    </a:ln>
                  </pic:spPr>
                </pic:pic>
              </a:graphicData>
            </a:graphic>
          </wp:inline>
        </w:drawing>
      </w:r>
      <w:r>
        <w:rPr>
          <w:rFonts w:ascii="Arial" w:hAnsi="Arial" w:cs="Arial"/>
          <w:sz w:val="18"/>
          <w:szCs w:val="18"/>
          <w:lang w:val="en-US"/>
        </w:rPr>
        <w:fldChar w:fldCharType="end"/>
      </w:r>
      <w:r>
        <w:rPr>
          <w:rStyle w:val="eop"/>
          <w:rFonts w:ascii="Calibri" w:hAnsi="Calibri" w:cs="Calibri"/>
          <w:lang w:val="en-US"/>
        </w:rPr>
        <w:t> </w:t>
      </w:r>
    </w:p>
    <w:p w14:paraId="18987277" w14:textId="77777777" w:rsidR="005A38A2" w:rsidRDefault="005A38A2" w:rsidP="005A38A2">
      <w:pPr>
        <w:pStyle w:val="paragraph"/>
        <w:spacing w:before="0" w:beforeAutospacing="0" w:after="0" w:afterAutospacing="0"/>
        <w:jc w:val="center"/>
        <w:textAlignment w:val="baseline"/>
        <w:rPr>
          <w:rFonts w:ascii="Arial" w:hAnsi="Arial" w:cs="Arial"/>
          <w:sz w:val="18"/>
          <w:szCs w:val="18"/>
          <w:lang w:val="en-US"/>
        </w:rPr>
      </w:pPr>
      <w:r>
        <w:rPr>
          <w:rStyle w:val="normaltextrun"/>
          <w:rFonts w:ascii="Calibri" w:hAnsi="Calibri" w:cs="Calibri"/>
        </w:rPr>
        <w:t> </w:t>
      </w:r>
      <w:r>
        <w:rPr>
          <w:rStyle w:val="eop"/>
          <w:rFonts w:ascii="Calibri" w:hAnsi="Calibri" w:cs="Calibri"/>
          <w:lang w:val="en-US"/>
        </w:rPr>
        <w:t> </w:t>
      </w:r>
    </w:p>
    <w:p w14:paraId="2B6C0E6E" w14:textId="77777777" w:rsidR="005A38A2" w:rsidRDefault="005A38A2" w:rsidP="005A38A2">
      <w:pPr>
        <w:pStyle w:val="paragraph"/>
        <w:spacing w:before="0" w:beforeAutospacing="0" w:after="0" w:afterAutospacing="0"/>
        <w:jc w:val="center"/>
        <w:textAlignment w:val="baseline"/>
        <w:rPr>
          <w:rFonts w:ascii="Arial" w:hAnsi="Arial" w:cs="Arial"/>
          <w:sz w:val="18"/>
          <w:szCs w:val="18"/>
          <w:lang w:val="en-US"/>
        </w:rPr>
      </w:pPr>
      <w:r>
        <w:rPr>
          <w:rStyle w:val="normaltextrun"/>
          <w:rFonts w:ascii="Calibri" w:hAnsi="Calibri" w:cs="Calibri"/>
        </w:rPr>
        <w:t> </w:t>
      </w:r>
      <w:r>
        <w:rPr>
          <w:rStyle w:val="eop"/>
          <w:rFonts w:ascii="Calibri" w:hAnsi="Calibri" w:cs="Calibri"/>
          <w:lang w:val="en-US"/>
        </w:rPr>
        <w:t> </w:t>
      </w:r>
    </w:p>
    <w:p w14:paraId="6B726B93"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rPr>
        <w:t> </w:t>
      </w:r>
      <w:r>
        <w:rPr>
          <w:rStyle w:val="eop"/>
          <w:rFonts w:ascii="Calibri" w:hAnsi="Calibri" w:cs="Calibri"/>
          <w:lang w:val="en-US"/>
        </w:rPr>
        <w:t> </w:t>
      </w:r>
    </w:p>
    <w:p w14:paraId="1F95C989" w14:textId="06D4FD1A" w:rsidR="005A38A2" w:rsidRDefault="005A38A2" w:rsidP="005A38A2">
      <w:pPr>
        <w:pStyle w:val="paragraph"/>
        <w:spacing w:before="0" w:beforeAutospacing="0" w:after="0" w:afterAutospacing="0"/>
        <w:jc w:val="center"/>
        <w:textAlignment w:val="baseline"/>
        <w:rPr>
          <w:rFonts w:ascii="Arial" w:hAnsi="Arial" w:cs="Arial"/>
          <w:sz w:val="18"/>
          <w:szCs w:val="18"/>
          <w:lang w:val="en-US"/>
        </w:rPr>
      </w:pPr>
      <w:r>
        <w:rPr>
          <w:rStyle w:val="normaltextrun"/>
          <w:rFonts w:ascii="Calibri" w:hAnsi="Calibri" w:cs="Calibri"/>
        </w:rPr>
        <w:t> </w:t>
      </w:r>
      <w:r>
        <w:rPr>
          <w:rStyle w:val="normaltextrun"/>
          <w:rFonts w:ascii="Calibri" w:hAnsi="Calibri" w:cs="Calibri"/>
          <w:b/>
          <w:bCs/>
        </w:rPr>
        <w:t>Assessment Component 2</w:t>
      </w:r>
      <w:r>
        <w:rPr>
          <w:rStyle w:val="normaltextrun"/>
          <w:rFonts w:ascii="Calibri" w:hAnsi="Calibri" w:cs="Calibri"/>
        </w:rPr>
        <w:t> </w:t>
      </w:r>
      <w:r>
        <w:rPr>
          <w:rStyle w:val="eop"/>
          <w:rFonts w:ascii="Calibri" w:hAnsi="Calibri" w:cs="Calibri"/>
          <w:lang w:val="en-US"/>
        </w:rPr>
        <w:t> </w:t>
      </w:r>
    </w:p>
    <w:p w14:paraId="50614C3C" w14:textId="77777777" w:rsidR="005A38A2" w:rsidRDefault="005A38A2" w:rsidP="005A38A2">
      <w:pPr>
        <w:pStyle w:val="paragraph"/>
        <w:spacing w:before="0" w:beforeAutospacing="0" w:after="0" w:afterAutospacing="0"/>
        <w:jc w:val="center"/>
        <w:textAlignment w:val="baseline"/>
        <w:rPr>
          <w:rFonts w:ascii="Arial" w:hAnsi="Arial" w:cs="Arial"/>
          <w:sz w:val="18"/>
          <w:szCs w:val="18"/>
          <w:lang w:val="en-US"/>
        </w:rPr>
      </w:pPr>
      <w:r>
        <w:rPr>
          <w:rStyle w:val="normaltextrun"/>
          <w:rFonts w:ascii="Calibri" w:hAnsi="Calibri" w:cs="Calibri"/>
          <w:b/>
          <w:bCs/>
        </w:rPr>
        <w:t>Essay</w:t>
      </w:r>
      <w:r>
        <w:rPr>
          <w:rStyle w:val="eop"/>
          <w:rFonts w:ascii="Calibri" w:hAnsi="Calibri" w:cs="Calibri"/>
          <w:lang w:val="en-US"/>
        </w:rPr>
        <w:t> </w:t>
      </w:r>
    </w:p>
    <w:p w14:paraId="3FB66DDE"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                                               </w:t>
      </w:r>
      <w:r>
        <w:rPr>
          <w:rStyle w:val="normaltextrun"/>
          <w:rFonts w:ascii="Calibri" w:hAnsi="Calibri" w:cs="Calibri"/>
        </w:rPr>
        <w:t> </w:t>
      </w:r>
      <w:r>
        <w:rPr>
          <w:rStyle w:val="eop"/>
          <w:rFonts w:ascii="Calibri" w:hAnsi="Calibri" w:cs="Calibri"/>
          <w:lang w:val="en-US"/>
        </w:rPr>
        <w:t> </w:t>
      </w:r>
    </w:p>
    <w:p w14:paraId="54A1AFD8"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rPr>
        <w:t> </w:t>
      </w:r>
      <w:r>
        <w:rPr>
          <w:rStyle w:val="eop"/>
          <w:rFonts w:ascii="Calibri" w:hAnsi="Calibri" w:cs="Calibri"/>
          <w:lang w:val="en-US"/>
        </w:rPr>
        <w:t> </w:t>
      </w:r>
    </w:p>
    <w:p w14:paraId="59E3D546"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Student name:</w:t>
      </w:r>
      <w:r>
        <w:rPr>
          <w:rStyle w:val="normaltextrun"/>
          <w:rFonts w:ascii="Calibri" w:hAnsi="Calibri" w:cs="Calibri"/>
        </w:rPr>
        <w:t> Naomi Philander</w:t>
      </w:r>
      <w:r>
        <w:rPr>
          <w:rStyle w:val="eop"/>
          <w:rFonts w:ascii="Calibri" w:hAnsi="Calibri" w:cs="Calibri"/>
          <w:lang w:val="en-US"/>
        </w:rPr>
        <w:t> </w:t>
      </w:r>
    </w:p>
    <w:p w14:paraId="1479B62C"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Student ID:</w:t>
      </w:r>
      <w:r>
        <w:rPr>
          <w:rStyle w:val="normaltextrun"/>
          <w:rFonts w:ascii="Calibri" w:hAnsi="Calibri" w:cs="Calibri"/>
        </w:rPr>
        <w:t> 1909017</w:t>
      </w:r>
      <w:r>
        <w:rPr>
          <w:rStyle w:val="eop"/>
          <w:rFonts w:ascii="Calibri" w:hAnsi="Calibri" w:cs="Calibri"/>
          <w:lang w:val="en-US"/>
        </w:rPr>
        <w:t> </w:t>
      </w:r>
    </w:p>
    <w:p w14:paraId="1C4E845D" w14:textId="7CAC27B1"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Module name:</w:t>
      </w:r>
      <w:r>
        <w:rPr>
          <w:rStyle w:val="apple-converted-space"/>
          <w:rFonts w:ascii="Calibri" w:hAnsi="Calibri" w:cs="Calibri"/>
          <w:b/>
          <w:bCs/>
        </w:rPr>
        <w:t> </w:t>
      </w:r>
      <w:r>
        <w:rPr>
          <w:rStyle w:val="normaltextrun"/>
          <w:rFonts w:ascii="Calibri" w:hAnsi="Calibri" w:cs="Calibri"/>
        </w:rPr>
        <w:t>Principles of Health and Social</w:t>
      </w:r>
      <w:r>
        <w:rPr>
          <w:rStyle w:val="apple-converted-space"/>
          <w:rFonts w:ascii="Calibri" w:hAnsi="Calibri" w:cs="Calibri"/>
        </w:rPr>
        <w:t> </w:t>
      </w:r>
      <w:r w:rsidR="00EE047C">
        <w:rPr>
          <w:rStyle w:val="normaltextrun"/>
          <w:rFonts w:ascii="Calibri" w:hAnsi="Calibri" w:cs="Calibri"/>
        </w:rPr>
        <w:t>practice</w:t>
      </w:r>
    </w:p>
    <w:p w14:paraId="0B38971D"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Module code: </w:t>
      </w:r>
      <w:r>
        <w:rPr>
          <w:rStyle w:val="normaltextrun"/>
          <w:rFonts w:ascii="Calibri" w:hAnsi="Calibri" w:cs="Calibri"/>
        </w:rPr>
        <w:t>BMHP5002 </w:t>
      </w:r>
      <w:r>
        <w:rPr>
          <w:rStyle w:val="eop"/>
          <w:rFonts w:ascii="Calibri" w:hAnsi="Calibri" w:cs="Calibri"/>
          <w:lang w:val="en-US"/>
        </w:rPr>
        <w:t> </w:t>
      </w:r>
    </w:p>
    <w:p w14:paraId="1509F746"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Lecturer name:</w:t>
      </w:r>
      <w:r>
        <w:rPr>
          <w:rStyle w:val="apple-converted-space"/>
          <w:rFonts w:ascii="Calibri" w:hAnsi="Calibri" w:cs="Calibri"/>
          <w:b/>
          <w:bCs/>
        </w:rPr>
        <w:t> </w:t>
      </w:r>
      <w:r>
        <w:rPr>
          <w:rStyle w:val="normaltextrun"/>
          <w:rFonts w:ascii="Calibri" w:hAnsi="Calibri" w:cs="Calibri"/>
        </w:rPr>
        <w:t>Racheal Adebayo</w:t>
      </w:r>
      <w:r>
        <w:rPr>
          <w:rStyle w:val="eop"/>
          <w:rFonts w:ascii="Calibri" w:hAnsi="Calibri" w:cs="Calibri"/>
          <w:lang w:val="en-US"/>
        </w:rPr>
        <w:t> </w:t>
      </w:r>
    </w:p>
    <w:p w14:paraId="3A5FF3B3" w14:textId="7F6370FE"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rPr>
        <w:t>Word count: </w:t>
      </w:r>
      <w:r>
        <w:rPr>
          <w:rStyle w:val="normaltextrun"/>
          <w:rFonts w:ascii="Calibri" w:hAnsi="Calibri" w:cs="Calibri"/>
        </w:rPr>
        <w:t> 2</w:t>
      </w:r>
      <w:r w:rsidR="00BF3BFD">
        <w:rPr>
          <w:rStyle w:val="normaltextrun"/>
          <w:rFonts w:ascii="Calibri" w:hAnsi="Calibri" w:cs="Calibri"/>
        </w:rPr>
        <w:t>675</w:t>
      </w:r>
    </w:p>
    <w:p w14:paraId="0E14E782"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eop"/>
          <w:rFonts w:ascii="Calibri" w:hAnsi="Calibri" w:cs="Calibri"/>
          <w:lang w:val="en-US"/>
        </w:rPr>
        <w:t> </w:t>
      </w:r>
    </w:p>
    <w:p w14:paraId="530212A9"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1192AC39"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42E5BD7B"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02A2E90F"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3ED3A1F7"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57F95F71"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14CF5350" w14:textId="77777777" w:rsidR="005A38A2" w:rsidRDefault="005A38A2" w:rsidP="005A38A2">
      <w:pPr>
        <w:pStyle w:val="paragraph"/>
        <w:spacing w:before="0" w:beforeAutospacing="0" w:after="0" w:afterAutospacing="0"/>
        <w:textAlignment w:val="baseline"/>
        <w:rPr>
          <w:rFonts w:ascii="Arial" w:hAnsi="Arial" w:cs="Arial"/>
          <w:sz w:val="18"/>
          <w:szCs w:val="18"/>
          <w:lang w:val="en-US"/>
        </w:rPr>
      </w:pPr>
      <w:r>
        <w:rPr>
          <w:rStyle w:val="eop"/>
          <w:rFonts w:ascii="Calibri" w:hAnsi="Calibri" w:cs="Calibri"/>
          <w:lang w:val="en-US"/>
        </w:rPr>
        <w:t> </w:t>
      </w:r>
    </w:p>
    <w:p w14:paraId="70BBCEB2"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r w:rsidRPr="00BF3BFD">
        <w:rPr>
          <w:rStyle w:val="eop"/>
          <w:rFonts w:ascii="Calibri" w:hAnsi="Calibri" w:cs="Calibri"/>
          <w:sz w:val="22"/>
          <w:szCs w:val="22"/>
          <w:lang w:val="en-US"/>
        </w:rPr>
        <w:t> </w:t>
      </w:r>
    </w:p>
    <w:p w14:paraId="6FF56A10"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r w:rsidRPr="00BF3BFD">
        <w:rPr>
          <w:rStyle w:val="eop"/>
          <w:rFonts w:ascii="Calibri" w:hAnsi="Calibri" w:cs="Calibri"/>
          <w:sz w:val="22"/>
          <w:szCs w:val="22"/>
          <w:lang w:val="en-US"/>
        </w:rPr>
        <w:t> </w:t>
      </w:r>
    </w:p>
    <w:p w14:paraId="34F2DB21"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r w:rsidRPr="00BF3BFD">
        <w:rPr>
          <w:rStyle w:val="eop"/>
          <w:rFonts w:ascii="Calibri" w:hAnsi="Calibri" w:cs="Calibri"/>
          <w:sz w:val="22"/>
          <w:szCs w:val="22"/>
          <w:lang w:val="en-US"/>
        </w:rPr>
        <w:t> </w:t>
      </w:r>
    </w:p>
    <w:p w14:paraId="63CD4971"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r w:rsidRPr="00BF3BFD">
        <w:rPr>
          <w:rStyle w:val="eop"/>
          <w:rFonts w:ascii="Calibri" w:hAnsi="Calibri" w:cs="Calibri"/>
          <w:sz w:val="22"/>
          <w:szCs w:val="22"/>
          <w:lang w:val="en-US"/>
        </w:rPr>
        <w:t> </w:t>
      </w:r>
    </w:p>
    <w:p w14:paraId="3DB8AA36" w14:textId="77777777" w:rsidR="005A38A2" w:rsidRPr="00BF3BFD" w:rsidRDefault="005A38A2" w:rsidP="00BF3BFD">
      <w:pPr>
        <w:pStyle w:val="paragraph"/>
        <w:spacing w:before="0" w:beforeAutospacing="0" w:after="0" w:afterAutospacing="0" w:line="360" w:lineRule="auto"/>
        <w:textAlignment w:val="baseline"/>
        <w:rPr>
          <w:rStyle w:val="eop"/>
          <w:rFonts w:ascii="Calibri" w:hAnsi="Calibri" w:cs="Calibri"/>
          <w:sz w:val="22"/>
          <w:szCs w:val="22"/>
          <w:lang w:val="en-US"/>
        </w:rPr>
      </w:pPr>
    </w:p>
    <w:p w14:paraId="30BCED22" w14:textId="77777777" w:rsidR="005A38A2" w:rsidRPr="00BF3BFD" w:rsidRDefault="005A38A2" w:rsidP="00BF3BFD">
      <w:pPr>
        <w:pStyle w:val="paragraph"/>
        <w:spacing w:before="0" w:beforeAutospacing="0" w:after="0" w:afterAutospacing="0" w:line="360" w:lineRule="auto"/>
        <w:textAlignment w:val="baseline"/>
        <w:rPr>
          <w:rStyle w:val="eop"/>
          <w:rFonts w:ascii="Calibri" w:hAnsi="Calibri" w:cs="Calibri"/>
          <w:sz w:val="22"/>
          <w:szCs w:val="22"/>
          <w:lang w:val="en-US"/>
        </w:rPr>
      </w:pPr>
    </w:p>
    <w:p w14:paraId="29089430" w14:textId="77777777" w:rsidR="005A38A2" w:rsidRPr="00BF3BFD" w:rsidRDefault="005A38A2" w:rsidP="00BF3BFD">
      <w:pPr>
        <w:pStyle w:val="paragraph"/>
        <w:spacing w:before="0" w:beforeAutospacing="0" w:after="0" w:afterAutospacing="0" w:line="360" w:lineRule="auto"/>
        <w:textAlignment w:val="baseline"/>
        <w:rPr>
          <w:rStyle w:val="eop"/>
          <w:rFonts w:ascii="Calibri" w:hAnsi="Calibri" w:cs="Calibri"/>
          <w:sz w:val="22"/>
          <w:szCs w:val="22"/>
          <w:lang w:val="en-US"/>
        </w:rPr>
      </w:pPr>
    </w:p>
    <w:p w14:paraId="558766B1" w14:textId="5AE1F1DD"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r w:rsidRPr="00BF3BFD">
        <w:rPr>
          <w:rStyle w:val="eop"/>
          <w:rFonts w:ascii="Calibri" w:hAnsi="Calibri" w:cs="Calibri"/>
          <w:sz w:val="22"/>
          <w:szCs w:val="22"/>
          <w:lang w:val="en-US"/>
        </w:rPr>
        <w:t> </w:t>
      </w:r>
    </w:p>
    <w:p w14:paraId="5FF6D705" w14:textId="77777777" w:rsidR="005A38A2" w:rsidRPr="00BF3BFD" w:rsidRDefault="005A38A2" w:rsidP="00BF3BFD">
      <w:pPr>
        <w:pStyle w:val="paragraph"/>
        <w:spacing w:before="0" w:beforeAutospacing="0" w:after="0" w:afterAutospacing="0" w:line="360" w:lineRule="auto"/>
        <w:textAlignment w:val="baseline"/>
        <w:rPr>
          <w:rStyle w:val="normaltextrun"/>
          <w:rFonts w:ascii="Calibri" w:hAnsi="Calibri" w:cs="Calibri"/>
          <w:sz w:val="22"/>
          <w:szCs w:val="22"/>
        </w:rPr>
      </w:pPr>
    </w:p>
    <w:p w14:paraId="241054CE" w14:textId="77777777" w:rsidR="005A38A2" w:rsidRPr="00BF3BFD" w:rsidRDefault="005A38A2" w:rsidP="00BF3BFD">
      <w:pPr>
        <w:pStyle w:val="paragraph"/>
        <w:spacing w:before="0" w:beforeAutospacing="0" w:after="0" w:afterAutospacing="0" w:line="360" w:lineRule="auto"/>
        <w:textAlignment w:val="baseline"/>
        <w:rPr>
          <w:rStyle w:val="normaltextrun"/>
          <w:rFonts w:ascii="Calibri" w:hAnsi="Calibri" w:cs="Calibri"/>
          <w:sz w:val="22"/>
          <w:szCs w:val="22"/>
        </w:rPr>
      </w:pPr>
    </w:p>
    <w:p w14:paraId="467B6AB1" w14:textId="78099E71"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lastRenderedPageBreak/>
        <w:t xml:space="preserve">Person Centred Care (PCC) is framework used to make informed decisions when placing patients at the centre of their health and care needs holistically but allowing them to choose how they prefer to be cared for. Healthcare professionals work as a multidisciplinary team in supporting patients with the knowledge, skills and confidence when making their own decisions. This also includes how the care is delivered </w:t>
      </w:r>
      <w:proofErr w:type="gramStart"/>
      <w:r w:rsidRPr="00BF3BFD">
        <w:rPr>
          <w:rStyle w:val="normaltextrun"/>
          <w:rFonts w:ascii="Calibri" w:hAnsi="Calibri" w:cs="Calibri"/>
          <w:sz w:val="22"/>
          <w:szCs w:val="22"/>
        </w:rPr>
        <w:t>in regards to</w:t>
      </w:r>
      <w:proofErr w:type="gramEnd"/>
      <w:r w:rsidRPr="00BF3BFD">
        <w:rPr>
          <w:rStyle w:val="normaltextrun"/>
          <w:rFonts w:ascii="Calibri" w:hAnsi="Calibri" w:cs="Calibri"/>
          <w:sz w:val="22"/>
          <w:szCs w:val="22"/>
        </w:rPr>
        <w:t xml:space="preserve"> the engagement of patients within the care, incorporating all physical aspects of the patient’s needs, their cultural beliefs and values, being sympathetic but ensuring that the choices made are shared and agreed amongst those involved in the care including the service user’s family and friends, according to McCormack and Mc Cannes (Morgan &amp; Yoder, 2012; p8). </w:t>
      </w:r>
      <w:r w:rsidRPr="00BF3BFD">
        <w:rPr>
          <w:rStyle w:val="eop"/>
          <w:rFonts w:ascii="Calibri" w:hAnsi="Calibri" w:cs="Calibri"/>
          <w:sz w:val="22"/>
          <w:szCs w:val="22"/>
        </w:rPr>
        <w:t> </w:t>
      </w:r>
    </w:p>
    <w:p w14:paraId="07B8F2B4"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The framework also mentions that all contact between health professionals, service users and patients should remain within boundaries as a working relationship that respects and value</w:t>
      </w:r>
      <w:r w:rsidRPr="00BF3BFD">
        <w:rPr>
          <w:rStyle w:val="apple-converted-space"/>
          <w:rFonts w:ascii="Calibri" w:hAnsi="Calibri" w:cs="Calibri"/>
          <w:sz w:val="22"/>
          <w:szCs w:val="22"/>
        </w:rPr>
        <w:t> </w:t>
      </w:r>
      <w:proofErr w:type="gramStart"/>
      <w:r w:rsidRPr="00BF3BFD">
        <w:rPr>
          <w:rStyle w:val="normaltextrun"/>
          <w:rFonts w:ascii="Calibri" w:hAnsi="Calibri" w:cs="Calibri"/>
          <w:sz w:val="22"/>
          <w:szCs w:val="22"/>
        </w:rPr>
        <w:t>each individual</w:t>
      </w:r>
      <w:proofErr w:type="gramEnd"/>
      <w:r w:rsidRPr="00BF3BFD">
        <w:rPr>
          <w:rStyle w:val="apple-converted-space"/>
          <w:rFonts w:ascii="Calibri" w:hAnsi="Calibri" w:cs="Calibri"/>
          <w:sz w:val="22"/>
          <w:szCs w:val="22"/>
        </w:rPr>
        <w:t> </w:t>
      </w:r>
      <w:r w:rsidRPr="00BF3BFD">
        <w:rPr>
          <w:rStyle w:val="normaltextrun"/>
          <w:rFonts w:ascii="Calibri" w:hAnsi="Calibri" w:cs="Calibri"/>
          <w:sz w:val="22"/>
          <w:szCs w:val="22"/>
        </w:rPr>
        <w:t>(McCormack</w:t>
      </w:r>
      <w:r w:rsidRPr="00BF3BFD">
        <w:rPr>
          <w:rStyle w:val="apple-converted-space"/>
          <w:rFonts w:ascii="Calibri" w:hAnsi="Calibri" w:cs="Calibri"/>
          <w:sz w:val="22"/>
          <w:szCs w:val="22"/>
        </w:rPr>
        <w:t> </w:t>
      </w:r>
      <w:r w:rsidRPr="00BF3BFD">
        <w:rPr>
          <w:rStyle w:val="normaltextrun"/>
          <w:rFonts w:ascii="Calibri" w:hAnsi="Calibri" w:cs="Calibri"/>
          <w:sz w:val="22"/>
          <w:szCs w:val="22"/>
        </w:rPr>
        <w:t>&amp; McCance, 2016). Following the principles and guidelines set within the Person-Centred Care Framework in the health and social care work environment can be irrational due to the unavailability or lack of staffing to complete various tasks. Finance can also be a main issue which</w:t>
      </w:r>
      <w:r w:rsidRPr="00BF3BFD">
        <w:rPr>
          <w:rStyle w:val="apple-converted-space"/>
          <w:rFonts w:ascii="Calibri" w:hAnsi="Calibri" w:cs="Calibri"/>
          <w:sz w:val="22"/>
          <w:szCs w:val="22"/>
        </w:rPr>
        <w:t> </w:t>
      </w:r>
      <w:r w:rsidRPr="00BF3BFD">
        <w:rPr>
          <w:rStyle w:val="normaltextrun"/>
          <w:rFonts w:ascii="Calibri" w:hAnsi="Calibri" w:cs="Calibri"/>
          <w:sz w:val="22"/>
          <w:szCs w:val="22"/>
        </w:rPr>
        <w:t>impacts</w:t>
      </w:r>
      <w:r w:rsidRPr="00BF3BFD">
        <w:rPr>
          <w:rStyle w:val="apple-converted-space"/>
          <w:rFonts w:ascii="Calibri" w:hAnsi="Calibri" w:cs="Calibri"/>
          <w:sz w:val="22"/>
          <w:szCs w:val="22"/>
        </w:rPr>
        <w:t> </w:t>
      </w:r>
      <w:r w:rsidRPr="00BF3BFD">
        <w:rPr>
          <w:rStyle w:val="normaltextrun"/>
          <w:rFonts w:ascii="Calibri" w:hAnsi="Calibri" w:cs="Calibri"/>
          <w:sz w:val="22"/>
          <w:szCs w:val="22"/>
        </w:rPr>
        <w:t>the framework, as costs throughout the years have increased causing cuts to budgets with staffing levels and pay checks. The principles of Person-Centred Care are very impressive and highly regarded as a good framework to use, however if the amount of staffing to patient or service user ratio is incorrect then it would not work. Hence, the evidence founded on reduced funds and staffing within the NHS can</w:t>
      </w:r>
      <w:r w:rsidRPr="00BF3BFD">
        <w:rPr>
          <w:rStyle w:val="apple-converted-space"/>
          <w:rFonts w:ascii="Calibri" w:hAnsi="Calibri" w:cs="Calibri"/>
          <w:sz w:val="22"/>
          <w:szCs w:val="22"/>
        </w:rPr>
        <w:t> </w:t>
      </w:r>
      <w:r w:rsidRPr="00BF3BFD">
        <w:rPr>
          <w:rStyle w:val="normaltextrun"/>
          <w:rFonts w:ascii="Calibri" w:hAnsi="Calibri" w:cs="Calibri"/>
          <w:sz w:val="22"/>
          <w:szCs w:val="22"/>
        </w:rPr>
        <w:t>impact</w:t>
      </w:r>
      <w:r w:rsidRPr="00BF3BFD">
        <w:rPr>
          <w:rStyle w:val="apple-converted-space"/>
          <w:rFonts w:ascii="Calibri" w:hAnsi="Calibri" w:cs="Calibri"/>
          <w:sz w:val="22"/>
          <w:szCs w:val="22"/>
        </w:rPr>
        <w:t> </w:t>
      </w:r>
      <w:r w:rsidRPr="00BF3BFD">
        <w:rPr>
          <w:rStyle w:val="normaltextrun"/>
          <w:rFonts w:ascii="Calibri" w:hAnsi="Calibri" w:cs="Calibri"/>
          <w:sz w:val="22"/>
          <w:szCs w:val="22"/>
        </w:rPr>
        <w:t>Person Centred Care.</w:t>
      </w:r>
      <w:r w:rsidRPr="00BF3BFD">
        <w:rPr>
          <w:rStyle w:val="eop"/>
          <w:rFonts w:ascii="Calibri" w:hAnsi="Calibri" w:cs="Calibri"/>
          <w:sz w:val="22"/>
          <w:szCs w:val="22"/>
        </w:rPr>
        <w:t> </w:t>
      </w:r>
    </w:p>
    <w:p w14:paraId="5D43942B"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According to the</w:t>
      </w:r>
      <w:r w:rsidRPr="00BF3BFD">
        <w:rPr>
          <w:rStyle w:val="apple-converted-space"/>
          <w:rFonts w:ascii="Calibri" w:hAnsi="Calibri" w:cs="Calibri"/>
          <w:sz w:val="22"/>
          <w:szCs w:val="22"/>
        </w:rPr>
        <w:t> </w:t>
      </w:r>
      <w:r w:rsidRPr="00BF3BFD">
        <w:rPr>
          <w:rStyle w:val="normaltextrun"/>
          <w:rFonts w:ascii="Calibri" w:hAnsi="Calibri" w:cs="Calibri"/>
          <w:sz w:val="22"/>
          <w:szCs w:val="22"/>
        </w:rPr>
        <w:t>(Alzheimer’s</w:t>
      </w:r>
      <w:r w:rsidRPr="00BF3BFD">
        <w:rPr>
          <w:rStyle w:val="apple-converted-space"/>
          <w:rFonts w:ascii="Calibri" w:hAnsi="Calibri" w:cs="Calibri"/>
          <w:sz w:val="22"/>
          <w:szCs w:val="22"/>
        </w:rPr>
        <w:t> </w:t>
      </w:r>
      <w:r w:rsidRPr="00BF3BFD">
        <w:rPr>
          <w:rStyle w:val="normaltextrun"/>
          <w:rFonts w:ascii="Calibri" w:hAnsi="Calibri" w:cs="Calibri"/>
          <w:sz w:val="22"/>
          <w:szCs w:val="22"/>
        </w:rPr>
        <w:t>Society, 2021)</w:t>
      </w:r>
      <w:r w:rsidRPr="00BF3BFD">
        <w:rPr>
          <w:rStyle w:val="apple-converted-space"/>
          <w:rFonts w:ascii="Calibri" w:hAnsi="Calibri" w:cs="Calibri"/>
          <w:sz w:val="22"/>
          <w:szCs w:val="22"/>
        </w:rPr>
        <w:t> </w:t>
      </w:r>
      <w:r w:rsidRPr="00BF3BFD">
        <w:rPr>
          <w:rStyle w:val="normaltextrun"/>
          <w:rFonts w:ascii="Calibri" w:hAnsi="Calibri" w:cs="Calibri"/>
          <w:sz w:val="22"/>
          <w:szCs w:val="22"/>
        </w:rPr>
        <w:t>dementia is referred to</w:t>
      </w:r>
      <w:r w:rsidRPr="00BF3BFD">
        <w:rPr>
          <w:rStyle w:val="apple-converted-space"/>
          <w:rFonts w:ascii="Calibri" w:hAnsi="Calibri" w:cs="Calibri"/>
          <w:sz w:val="22"/>
          <w:szCs w:val="22"/>
        </w:rPr>
        <w:t> </w:t>
      </w:r>
      <w:r w:rsidRPr="00BF3BFD">
        <w:rPr>
          <w:rStyle w:val="normaltextrun"/>
          <w:rFonts w:ascii="Calibri" w:hAnsi="Calibri" w:cs="Calibri"/>
          <w:sz w:val="22"/>
          <w:szCs w:val="22"/>
        </w:rPr>
        <w:t>the damage of the brain due to diseases resulting in</w:t>
      </w:r>
      <w:r w:rsidRPr="00BF3BFD">
        <w:rPr>
          <w:rStyle w:val="apple-converted-space"/>
          <w:rFonts w:ascii="Calibri" w:hAnsi="Calibri" w:cs="Calibri"/>
          <w:sz w:val="22"/>
          <w:szCs w:val="22"/>
        </w:rPr>
        <w:t> </w:t>
      </w:r>
      <w:r w:rsidRPr="00BF3BFD">
        <w:rPr>
          <w:rStyle w:val="normaltextrun"/>
          <w:rFonts w:ascii="Calibri" w:hAnsi="Calibri" w:cs="Calibri"/>
          <w:sz w:val="22"/>
          <w:szCs w:val="22"/>
        </w:rPr>
        <w:t>the loss of memory and difficulty with language, problem solving and thinking. These symptoms usually start small and gradually progresses which can severely affect individual’s daily activities, due to experiencing mood and behavioural changes.</w:t>
      </w:r>
      <w:r w:rsidRPr="00BF3BFD">
        <w:rPr>
          <w:rStyle w:val="apple-converted-space"/>
          <w:rFonts w:ascii="Calibri" w:hAnsi="Calibri" w:cs="Calibri"/>
          <w:sz w:val="22"/>
          <w:szCs w:val="22"/>
        </w:rPr>
        <w:t> </w:t>
      </w:r>
      <w:r w:rsidRPr="00BF3BFD">
        <w:rPr>
          <w:rStyle w:val="normaltextrun"/>
          <w:rFonts w:ascii="Calibri" w:hAnsi="Calibri" w:cs="Calibri"/>
          <w:sz w:val="22"/>
          <w:szCs w:val="22"/>
        </w:rPr>
        <w:t>The adult social services support individuals with dementia by ensuring that the local council provide help with personal and daily activities. Some of the assistance may include having carers, meals on wheels, access to day centres, laundry services and necessary aids and housing adaptions.</w:t>
      </w:r>
      <w:r w:rsidRPr="00BF3BFD">
        <w:rPr>
          <w:rStyle w:val="apple-converted-space"/>
          <w:rFonts w:ascii="Calibri" w:hAnsi="Calibri" w:cs="Calibri"/>
          <w:sz w:val="22"/>
          <w:szCs w:val="22"/>
        </w:rPr>
        <w:t> </w:t>
      </w:r>
      <w:r w:rsidRPr="00BF3BFD">
        <w:rPr>
          <w:rStyle w:val="normaltextrun"/>
          <w:rFonts w:ascii="Calibri" w:hAnsi="Calibri" w:cs="Calibri"/>
          <w:sz w:val="22"/>
          <w:szCs w:val="22"/>
        </w:rPr>
        <w:t xml:space="preserve">Social services may also provide information of local charities such as Age UK and Alzheimer’s Society </w:t>
      </w:r>
      <w:proofErr w:type="gramStart"/>
      <w:r w:rsidRPr="00BF3BFD">
        <w:rPr>
          <w:rStyle w:val="normaltextrun"/>
          <w:rFonts w:ascii="Calibri" w:hAnsi="Calibri" w:cs="Calibri"/>
          <w:sz w:val="22"/>
          <w:szCs w:val="22"/>
        </w:rPr>
        <w:t>and also</w:t>
      </w:r>
      <w:proofErr w:type="gramEnd"/>
      <w:r w:rsidRPr="00BF3BFD">
        <w:rPr>
          <w:rStyle w:val="normaltextrun"/>
          <w:rFonts w:ascii="Calibri" w:hAnsi="Calibri" w:cs="Calibri"/>
          <w:sz w:val="22"/>
          <w:szCs w:val="22"/>
        </w:rPr>
        <w:t xml:space="preserve"> help if the individual needs an assessment. </w:t>
      </w:r>
      <w:r w:rsidRPr="00BF3BFD">
        <w:rPr>
          <w:rStyle w:val="eop"/>
          <w:rFonts w:ascii="Calibri" w:hAnsi="Calibri" w:cs="Calibri"/>
          <w:sz w:val="22"/>
          <w:szCs w:val="22"/>
        </w:rPr>
        <w:t> </w:t>
      </w:r>
    </w:p>
    <w:p w14:paraId="049818FB"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The NHS may provide support with treatments such as speech and language therapy, physiotherapy, audiology, optometry, podiatry </w:t>
      </w:r>
      <w:proofErr w:type="gramStart"/>
      <w:r w:rsidRPr="00BF3BFD">
        <w:rPr>
          <w:rStyle w:val="normaltextrun"/>
          <w:rFonts w:ascii="Calibri" w:hAnsi="Calibri" w:cs="Calibri"/>
          <w:sz w:val="22"/>
          <w:szCs w:val="22"/>
        </w:rPr>
        <w:t>and also</w:t>
      </w:r>
      <w:proofErr w:type="gramEnd"/>
      <w:r w:rsidRPr="00BF3BFD">
        <w:rPr>
          <w:rStyle w:val="normaltextrun"/>
          <w:rFonts w:ascii="Calibri" w:hAnsi="Calibri" w:cs="Calibri"/>
          <w:sz w:val="22"/>
          <w:szCs w:val="22"/>
        </w:rPr>
        <w:t xml:space="preserve"> the older people mental health team alongside the admiral nurses (NHS, 2018). Age UK have a personalised integrated care which amalgamates voluntary organisations and local health care services providing an advance combination of non-medical and medical tailored support for individuals living with multiple</w:t>
      </w:r>
      <w:r w:rsidRPr="00BF3BFD">
        <w:rPr>
          <w:rStyle w:val="apple-converted-space"/>
          <w:rFonts w:ascii="Calibri" w:hAnsi="Calibri" w:cs="Calibri"/>
          <w:sz w:val="22"/>
          <w:szCs w:val="22"/>
        </w:rPr>
        <w:t> </w:t>
      </w:r>
      <w:r w:rsidRPr="00BF3BFD">
        <w:rPr>
          <w:rStyle w:val="normaltextrun"/>
          <w:rFonts w:ascii="Calibri" w:hAnsi="Calibri" w:cs="Calibri"/>
          <w:sz w:val="22"/>
          <w:szCs w:val="22"/>
        </w:rPr>
        <w:t>long-term</w:t>
      </w:r>
      <w:r w:rsidRPr="00BF3BFD">
        <w:rPr>
          <w:rStyle w:val="apple-converted-space"/>
          <w:rFonts w:ascii="Calibri" w:hAnsi="Calibri" w:cs="Calibri"/>
          <w:sz w:val="22"/>
          <w:szCs w:val="22"/>
        </w:rPr>
        <w:t> </w:t>
      </w:r>
      <w:r w:rsidRPr="00BF3BFD">
        <w:rPr>
          <w:rStyle w:val="normaltextrun"/>
          <w:rFonts w:ascii="Calibri" w:hAnsi="Calibri" w:cs="Calibri"/>
          <w:sz w:val="22"/>
          <w:szCs w:val="22"/>
        </w:rPr>
        <w:t xml:space="preserve">conditions who are at risk for hospital admissions. For example, age UK puts a care plan together from the different services across the health care sector to provide a tailored care to the older individual suffering with </w:t>
      </w:r>
      <w:r w:rsidRPr="00BF3BFD">
        <w:rPr>
          <w:rStyle w:val="normaltextrun"/>
          <w:rFonts w:ascii="Calibri" w:hAnsi="Calibri" w:cs="Calibri"/>
          <w:sz w:val="22"/>
          <w:szCs w:val="22"/>
        </w:rPr>
        <w:lastRenderedPageBreak/>
        <w:t>dementia. Another example is that they use a guided conversation with their service user to determine the goals that the older person may want to achieve that is most important to them.</w:t>
      </w:r>
      <w:r w:rsidRPr="00BF3BFD">
        <w:rPr>
          <w:rStyle w:val="eop"/>
          <w:rFonts w:ascii="Calibri" w:hAnsi="Calibri" w:cs="Calibri"/>
          <w:sz w:val="22"/>
          <w:szCs w:val="22"/>
        </w:rPr>
        <w:t> </w:t>
      </w:r>
    </w:p>
    <w:p w14:paraId="5A03031D"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The underlying concept of person-centred care approach mainly focuses on the components of care for individuals suffering with dementia, support and treatment that is most important to the patient, their families and carers without attempting to assume what the service user may want but basing it on the facts given. Walker and Avant’s framework was used to analyse the concept of PCC.</w:t>
      </w:r>
      <w:r w:rsidRPr="00BF3BFD">
        <w:rPr>
          <w:rStyle w:val="apple-converted-space"/>
          <w:rFonts w:ascii="Calibri" w:hAnsi="Calibri" w:cs="Calibri"/>
          <w:sz w:val="22"/>
          <w:szCs w:val="22"/>
        </w:rPr>
        <w:t> </w:t>
      </w:r>
      <w:r w:rsidRPr="00BF3BFD">
        <w:rPr>
          <w:rStyle w:val="normaltextrun"/>
          <w:rFonts w:ascii="Calibri" w:hAnsi="Calibri" w:cs="Calibri"/>
          <w:sz w:val="22"/>
          <w:szCs w:val="22"/>
        </w:rPr>
        <w:t>The origin of PCC has a long history and can be linked back to Florence Nightingale who distinguished nursing from medicine by not only concentrating so much on the disease but also the patients (Morgan et al, 2011). This works well with PCC as positively it pays close attention to what the patient may need in order to provide good quality care for that individual. In this case it would be the older person suffering with dementia and giving them the resources, they would like that may enable them to feel well looked after. On the other hand, Carl Rogers stated that individuals create an outlook based on our childhood that determines how important interactions are. As Roger classed this as unconditional positive regard that if patients are valued, respected and feel loved then it makes them feel notable.</w:t>
      </w:r>
      <w:r w:rsidRPr="00BF3BFD">
        <w:rPr>
          <w:rStyle w:val="eop"/>
          <w:rFonts w:ascii="Calibri" w:hAnsi="Calibri" w:cs="Calibri"/>
          <w:sz w:val="22"/>
          <w:szCs w:val="22"/>
        </w:rPr>
        <w:t> </w:t>
      </w:r>
    </w:p>
    <w:p w14:paraId="409B56A3"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PCC is very good at understanding patients when it comes to their care individually as according to literature research (Morgan et al, 2011). However, due to shortages in staffing levels mistakes can be made within the health and social care sector when it comes down to </w:t>
      </w:r>
      <w:proofErr w:type="gramStart"/>
      <w:r w:rsidRPr="00BF3BFD">
        <w:rPr>
          <w:rStyle w:val="normaltextrun"/>
          <w:rFonts w:ascii="Calibri" w:hAnsi="Calibri" w:cs="Calibri"/>
          <w:sz w:val="22"/>
          <w:szCs w:val="22"/>
        </w:rPr>
        <w:t>actually providing</w:t>
      </w:r>
      <w:proofErr w:type="gramEnd"/>
      <w:r w:rsidRPr="00BF3BFD">
        <w:rPr>
          <w:rStyle w:val="normaltextrun"/>
          <w:rFonts w:ascii="Calibri" w:hAnsi="Calibri" w:cs="Calibri"/>
          <w:sz w:val="22"/>
          <w:szCs w:val="22"/>
        </w:rPr>
        <w:t xml:space="preserve"> for the choices the patient or service user has requested. For instance, if the carer has many other patients to attend, his/her visit with the dementia service user may be rushed. This means that the level of care the patient is expected to receive may be a reduced quality of care. For individuals with dementia not following the choices that they prefer can cause them distress due to the way the disease affects the brain, making it more difficult to care for them.  </w:t>
      </w:r>
      <w:r w:rsidRPr="00BF3BFD">
        <w:rPr>
          <w:rStyle w:val="eop"/>
          <w:rFonts w:ascii="Calibri" w:hAnsi="Calibri" w:cs="Calibri"/>
          <w:sz w:val="22"/>
          <w:szCs w:val="22"/>
        </w:rPr>
        <w:t> </w:t>
      </w:r>
    </w:p>
    <w:p w14:paraId="225782A9"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In the nursing field within the health and social care sector the concept of underpinning theory that governs nursing practice can often be forgotten about as discussed earlier. Within the health and social care sector PCC requires that health care professionals build a good relationship with their service users or patients. This is to enable trust when providing care for those with dementia </w:t>
      </w:r>
      <w:proofErr w:type="gramStart"/>
      <w:r w:rsidRPr="00BF3BFD">
        <w:rPr>
          <w:rStyle w:val="normaltextrun"/>
          <w:rFonts w:ascii="Calibri" w:hAnsi="Calibri" w:cs="Calibri"/>
          <w:sz w:val="22"/>
          <w:szCs w:val="22"/>
        </w:rPr>
        <w:t>and also</w:t>
      </w:r>
      <w:proofErr w:type="gramEnd"/>
      <w:r w:rsidRPr="00BF3BFD">
        <w:rPr>
          <w:rStyle w:val="normaltextrun"/>
          <w:rFonts w:ascii="Calibri" w:hAnsi="Calibri" w:cs="Calibri"/>
          <w:sz w:val="22"/>
          <w:szCs w:val="22"/>
        </w:rPr>
        <w:t xml:space="preserve"> to allow them to open up and be able to express their wishes. Dementia patients like to also be understood since it can be frustrating for them but not feel like they are being judged for their beliefs and choices. Therefore, using the PCC guide within the health and social care sector for individuals with dementia will boost their self-esteem and self-efficacy. It is also important that health care providers reassure their patients or services users as they may be experiencing pain, or even feel worried about their health situation and may need to have treatments explained </w:t>
      </w:r>
      <w:r w:rsidRPr="00BF3BFD">
        <w:rPr>
          <w:rStyle w:val="normaltextrun"/>
          <w:rFonts w:ascii="Calibri" w:hAnsi="Calibri" w:cs="Calibri"/>
          <w:sz w:val="22"/>
          <w:szCs w:val="22"/>
        </w:rPr>
        <w:lastRenderedPageBreak/>
        <w:t xml:space="preserve">thoroughly to them. Allowing that trust to continue to build. Furthermore, avoiding tyring to just complete the task and knowing what's best than what the </w:t>
      </w:r>
      <w:proofErr w:type="gramStart"/>
      <w:r w:rsidRPr="00BF3BFD">
        <w:rPr>
          <w:rStyle w:val="normaltextrun"/>
          <w:rFonts w:ascii="Calibri" w:hAnsi="Calibri" w:cs="Calibri"/>
          <w:sz w:val="22"/>
          <w:szCs w:val="22"/>
        </w:rPr>
        <w:t>wishes</w:t>
      </w:r>
      <w:proofErr w:type="gramEnd"/>
      <w:r w:rsidRPr="00BF3BFD">
        <w:rPr>
          <w:rStyle w:val="normaltextrun"/>
          <w:rFonts w:ascii="Calibri" w:hAnsi="Calibri" w:cs="Calibri"/>
          <w:sz w:val="22"/>
          <w:szCs w:val="22"/>
        </w:rPr>
        <w:t xml:space="preserve"> of the patient is (Chapman, 2017).</w:t>
      </w:r>
      <w:r w:rsidRPr="00BF3BFD">
        <w:rPr>
          <w:rStyle w:val="eop"/>
          <w:rFonts w:ascii="Calibri" w:hAnsi="Calibri" w:cs="Calibri"/>
          <w:sz w:val="22"/>
          <w:szCs w:val="22"/>
        </w:rPr>
        <w:t> </w:t>
      </w:r>
    </w:p>
    <w:p w14:paraId="123C3FE6" w14:textId="15E33E5C"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There are five key principles within health and social </w:t>
      </w:r>
      <w:proofErr w:type="gramStart"/>
      <w:r w:rsidRPr="00BF3BFD">
        <w:rPr>
          <w:rStyle w:val="normaltextrun"/>
          <w:rFonts w:ascii="Calibri" w:hAnsi="Calibri" w:cs="Calibri"/>
          <w:sz w:val="22"/>
          <w:szCs w:val="22"/>
        </w:rPr>
        <w:t>care;</w:t>
      </w:r>
      <w:proofErr w:type="gramEnd"/>
      <w:r w:rsidRPr="00BF3BFD">
        <w:rPr>
          <w:rStyle w:val="normaltextrun"/>
          <w:rFonts w:ascii="Calibri" w:hAnsi="Calibri" w:cs="Calibri"/>
          <w:sz w:val="22"/>
          <w:szCs w:val="22"/>
        </w:rPr>
        <w:t xml:space="preserve"> truthfulness and confidentiality, autonomy and informed consent, beneficence and </w:t>
      </w:r>
      <w:r w:rsidR="00BF3BFD" w:rsidRPr="00BF3BFD">
        <w:rPr>
          <w:rStyle w:val="normaltextrun"/>
          <w:rFonts w:ascii="Calibri" w:hAnsi="Calibri" w:cs="Calibri"/>
          <w:sz w:val="22"/>
          <w:szCs w:val="22"/>
        </w:rPr>
        <w:t>omnificence</w:t>
      </w:r>
      <w:r w:rsidRPr="00BF3BFD">
        <w:rPr>
          <w:rStyle w:val="normaltextrun"/>
          <w:rFonts w:ascii="Calibri" w:hAnsi="Calibri" w:cs="Calibri"/>
          <w:sz w:val="22"/>
          <w:szCs w:val="22"/>
        </w:rPr>
        <w:t xml:space="preserve"> and lastly justice. However, four will be discussed and analysed. It is crucial that health care professionals are truthful with their patients or service users about their health and the treatments that they require so as not to lie to that individual. For example, as patients with dementia usually have memory loss during a conversation, they can forget what was immediately said and would ask am I losing my memory? At that moment even though it may seem frustrating to them, being open about their memory loss can give them an idea as to what is happening to them. </w:t>
      </w:r>
      <w:r w:rsidRPr="00BF3BFD">
        <w:rPr>
          <w:rStyle w:val="eop"/>
          <w:rFonts w:ascii="Calibri" w:hAnsi="Calibri" w:cs="Calibri"/>
          <w:sz w:val="22"/>
          <w:szCs w:val="22"/>
        </w:rPr>
        <w:t> </w:t>
      </w:r>
    </w:p>
    <w:p w14:paraId="2C6C1E5E"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proofErr w:type="gramStart"/>
      <w:r w:rsidRPr="00BF3BFD">
        <w:rPr>
          <w:rStyle w:val="normaltextrun"/>
          <w:rFonts w:ascii="Calibri" w:hAnsi="Calibri" w:cs="Calibri"/>
          <w:sz w:val="22"/>
          <w:szCs w:val="22"/>
        </w:rPr>
        <w:t>In regards to</w:t>
      </w:r>
      <w:proofErr w:type="gramEnd"/>
      <w:r w:rsidRPr="00BF3BFD">
        <w:rPr>
          <w:rStyle w:val="normaltextrun"/>
          <w:rFonts w:ascii="Calibri" w:hAnsi="Calibri" w:cs="Calibri"/>
          <w:sz w:val="22"/>
          <w:szCs w:val="22"/>
        </w:rPr>
        <w:t xml:space="preserve"> confidentiality it is important to keep information about the patient or service user concealed so as not to disclose information to unauthorised individuals. As this can grant access to the patient or service user’s care plan causing conflict of interest with the wishes of that individual. Negatively that would mean that if a relative got access and wanted to change the care plan for the patient or service user without consent then PCC would be affected. Autonomy refers to the independence of the patient or service user, allowing them to do as much as they can on their own. To fit this in with dementia patients would be to keep them in a familiar environment preferably their own home. Encouraging them to continue their daily activities with minimal assistance but always supervised. Consent plays a huge part when caring for individuals with dementia. Depending on the type of dementia and the progressiveness of the disease the Mental Capacity Act ensures that the individual is </w:t>
      </w:r>
      <w:proofErr w:type="gramStart"/>
      <w:r w:rsidRPr="00BF3BFD">
        <w:rPr>
          <w:rStyle w:val="normaltextrun"/>
          <w:rFonts w:ascii="Calibri" w:hAnsi="Calibri" w:cs="Calibri"/>
          <w:sz w:val="22"/>
          <w:szCs w:val="22"/>
        </w:rPr>
        <w:t>assess</w:t>
      </w:r>
      <w:proofErr w:type="gramEnd"/>
      <w:r w:rsidRPr="00BF3BFD">
        <w:rPr>
          <w:rStyle w:val="normaltextrun"/>
          <w:rFonts w:ascii="Calibri" w:hAnsi="Calibri" w:cs="Calibri"/>
          <w:sz w:val="22"/>
          <w:szCs w:val="22"/>
        </w:rPr>
        <w:t xml:space="preserve"> to get an idea as to whether or not the patient or service user has capacity (</w:t>
      </w:r>
      <w:proofErr w:type="spellStart"/>
      <w:r w:rsidRPr="00BF3BFD">
        <w:rPr>
          <w:rStyle w:val="normaltextrun"/>
          <w:rFonts w:ascii="Calibri" w:hAnsi="Calibri" w:cs="Calibri"/>
          <w:sz w:val="22"/>
          <w:szCs w:val="22"/>
        </w:rPr>
        <w:t>Devany</w:t>
      </w:r>
      <w:proofErr w:type="spellEnd"/>
      <w:r w:rsidRPr="00BF3BFD">
        <w:rPr>
          <w:rStyle w:val="normaltextrun"/>
          <w:rFonts w:ascii="Calibri" w:hAnsi="Calibri" w:cs="Calibri"/>
          <w:sz w:val="22"/>
          <w:szCs w:val="22"/>
        </w:rPr>
        <w:t>, 2016).  </w:t>
      </w:r>
      <w:r w:rsidRPr="00BF3BFD">
        <w:rPr>
          <w:rStyle w:val="eop"/>
          <w:rFonts w:ascii="Calibri" w:hAnsi="Calibri" w:cs="Calibri"/>
          <w:sz w:val="22"/>
          <w:szCs w:val="22"/>
        </w:rPr>
        <w:t> </w:t>
      </w:r>
    </w:p>
    <w:p w14:paraId="4AD5BE62"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The benefits of implementing PCC are said to produce positive outcomes such as improving the quality of life for the patient or service user with dementia, it enhances sleep patterns, in keeping their self-esteem up and diminishes anxiety. A broadened depth of literature shows that these principles allow service users and patients to live a better life but also enhances the working conditions for health and social care professionals. Incorporating small changes that accommodates the dementia patients will create effective results such as making the quality care a good experience for them. It would reduce the amount of time professionals spend on one task with individuals with dementia as they would have a much better coping mechanism when using PCC. Moreover, it would diminish the stress of health care professionals making it easier for them to handle their case load and work with dementia patients and service users. Another benefit is that using PCC allows dementia patients to be discharged early from hospital admissions which reduces the cost of occupying a bed (Fazio et al, 2018). </w:t>
      </w:r>
      <w:r w:rsidRPr="00BF3BFD">
        <w:rPr>
          <w:rStyle w:val="eop"/>
          <w:rFonts w:ascii="Calibri" w:hAnsi="Calibri" w:cs="Calibri"/>
          <w:sz w:val="22"/>
          <w:szCs w:val="22"/>
        </w:rPr>
        <w:t> </w:t>
      </w:r>
    </w:p>
    <w:p w14:paraId="04F5A553"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lastRenderedPageBreak/>
        <w:t xml:space="preserve">The negative aspects of using PCC with dementia individuals is that the strategies may not always go to plan because of the mood and behavioural changes than can occur, which comes down to the impact of the brain. Every individual is different so you cannot use the method of implementation for every dementia patient or service user. Not having enough resources to use PCC in order to manage dementia patients from risk of falls, increases the budget and surges the amount of hospital admissions. The overload of tasks on health care professionals causes them to become compassion fatigued leading to reduced patient or service user involvement and disregarding the PCC. Also, when professionals become too empathetic to patients or service users, it can be classed as being treated unfairly and unjust which is against the principles of ethics, </w:t>
      </w:r>
      <w:proofErr w:type="gramStart"/>
      <w:r w:rsidRPr="00BF3BFD">
        <w:rPr>
          <w:rStyle w:val="normaltextrun"/>
          <w:rFonts w:ascii="Calibri" w:hAnsi="Calibri" w:cs="Calibri"/>
          <w:sz w:val="22"/>
          <w:szCs w:val="22"/>
        </w:rPr>
        <w:t>whether or not</w:t>
      </w:r>
      <w:proofErr w:type="gramEnd"/>
      <w:r w:rsidRPr="00BF3BFD">
        <w:rPr>
          <w:rStyle w:val="normaltextrun"/>
          <w:rFonts w:ascii="Calibri" w:hAnsi="Calibri" w:cs="Calibri"/>
          <w:sz w:val="22"/>
          <w:szCs w:val="22"/>
        </w:rPr>
        <w:t xml:space="preserve"> it was intentional (</w:t>
      </w:r>
      <w:proofErr w:type="spellStart"/>
      <w:r w:rsidRPr="00BF3BFD">
        <w:rPr>
          <w:rStyle w:val="normaltextrun"/>
          <w:rFonts w:ascii="Calibri" w:hAnsi="Calibri" w:cs="Calibri"/>
          <w:sz w:val="22"/>
          <w:szCs w:val="22"/>
        </w:rPr>
        <w:t>Meranius</w:t>
      </w:r>
      <w:proofErr w:type="spellEnd"/>
      <w:r w:rsidRPr="00BF3BFD">
        <w:rPr>
          <w:rStyle w:val="apple-converted-space"/>
          <w:rFonts w:ascii="Calibri" w:hAnsi="Calibri" w:cs="Calibri"/>
          <w:sz w:val="22"/>
          <w:szCs w:val="22"/>
        </w:rPr>
        <w:t> </w:t>
      </w:r>
      <w:r w:rsidRPr="00BF3BFD">
        <w:rPr>
          <w:rStyle w:val="normaltextrun"/>
          <w:rFonts w:ascii="Calibri" w:hAnsi="Calibri" w:cs="Calibri"/>
          <w:sz w:val="22"/>
          <w:szCs w:val="22"/>
        </w:rPr>
        <w:t>et al, 2020).</w:t>
      </w:r>
      <w:r w:rsidRPr="00BF3BFD">
        <w:rPr>
          <w:rStyle w:val="eop"/>
          <w:rFonts w:ascii="Calibri" w:hAnsi="Calibri" w:cs="Calibri"/>
          <w:sz w:val="22"/>
          <w:szCs w:val="22"/>
        </w:rPr>
        <w:t> </w:t>
      </w:r>
    </w:p>
    <w:p w14:paraId="5ED40DF5"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Some examples of theoretical principles of PCC which is used in health care settings are ensuring that all professionals work collaboratively when providing care for the service user or patient. For example, carers, nurses, district nurses, social care workers, physiotherapist, speech and language therapist, pharmacists and doctors working as a multidisciplinary team to provide the care tailored to that individual. </w:t>
      </w:r>
      <w:proofErr w:type="gramStart"/>
      <w:r w:rsidRPr="00BF3BFD">
        <w:rPr>
          <w:rStyle w:val="normaltextrun"/>
          <w:rFonts w:ascii="Calibri" w:hAnsi="Calibri" w:cs="Calibri"/>
          <w:sz w:val="22"/>
          <w:szCs w:val="22"/>
        </w:rPr>
        <w:t>Another example,</w:t>
      </w:r>
      <w:proofErr w:type="gramEnd"/>
      <w:r w:rsidRPr="00BF3BFD">
        <w:rPr>
          <w:rStyle w:val="normaltextrun"/>
          <w:rFonts w:ascii="Calibri" w:hAnsi="Calibri" w:cs="Calibri"/>
          <w:sz w:val="22"/>
          <w:szCs w:val="22"/>
        </w:rPr>
        <w:t xml:space="preserve"> is having access to resources that may be able to facilitate the care needs to that individual. This would be ensuring the availability of a hoist and correct sling for some dementia individuals. Completing a stairs risk assessment to determine if it is safe for the patient to go upstairs in their own home to the bedroom or moving the patient’s bed to a safer level preventing falls. Respecting the dignity of the dementia patients especially when it comes to carers doing their personal care. So, carers should not discuss information about the patient with other colleagues in front the dementia service user about their personal care to make them feel bad about themselves. Unless it is to improve the quality of the patient’s personal care and involving the patient in the</w:t>
      </w:r>
      <w:r w:rsidRPr="00BF3BFD">
        <w:rPr>
          <w:rStyle w:val="apple-converted-space"/>
          <w:rFonts w:ascii="Calibri" w:hAnsi="Calibri" w:cs="Calibri"/>
          <w:sz w:val="22"/>
          <w:szCs w:val="22"/>
        </w:rPr>
        <w:t> </w:t>
      </w:r>
      <w:r w:rsidRPr="00BF3BFD">
        <w:rPr>
          <w:rStyle w:val="normaltextrun"/>
          <w:rFonts w:ascii="Calibri" w:hAnsi="Calibri" w:cs="Calibri"/>
          <w:sz w:val="22"/>
          <w:szCs w:val="22"/>
        </w:rPr>
        <w:t>conversation.</w:t>
      </w:r>
      <w:r w:rsidRPr="00BF3BFD">
        <w:rPr>
          <w:rStyle w:val="eop"/>
          <w:rFonts w:ascii="Calibri" w:hAnsi="Calibri" w:cs="Calibri"/>
          <w:sz w:val="22"/>
          <w:szCs w:val="22"/>
        </w:rPr>
        <w:t> </w:t>
      </w:r>
    </w:p>
    <w:p w14:paraId="082861AD"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The recommendation for quality care in dementia patients shows that there is no precise literature with evidence that individualises, complicates and is psychosocial </w:t>
      </w:r>
      <w:proofErr w:type="gramStart"/>
      <w:r w:rsidRPr="00BF3BFD">
        <w:rPr>
          <w:rStyle w:val="normaltextrun"/>
          <w:rFonts w:ascii="Calibri" w:hAnsi="Calibri" w:cs="Calibri"/>
          <w:sz w:val="22"/>
          <w:szCs w:val="22"/>
        </w:rPr>
        <w:t>in particular Person-Centred</w:t>
      </w:r>
      <w:proofErr w:type="gramEnd"/>
      <w:r w:rsidRPr="00BF3BFD">
        <w:rPr>
          <w:rStyle w:val="normaltextrun"/>
          <w:rFonts w:ascii="Calibri" w:hAnsi="Calibri" w:cs="Calibri"/>
          <w:sz w:val="22"/>
          <w:szCs w:val="22"/>
        </w:rPr>
        <w:t xml:space="preserve"> Care. Even though there is a limited amount of research in sample sizes, the various person-centred care strategy models, funding and motivation for psychosocial research. Further study needs to be done to gain more understanding of how to successfully assess a patient or service user for person-centred care. Along with the components essential for practice in the delivery of care for persons with dementia to reflect a difference in the quality-of-service provided. It is vital to know and understand the patient or service user that is living with dementia. As each patient or service user is distinctive and have their own way of living, especially with likes, dislikes, morals, values, beliefs, interest and abilities. This will improve the interaction and experience for that individual also the health care professional that is providing care.</w:t>
      </w:r>
      <w:r w:rsidRPr="00BF3BFD">
        <w:rPr>
          <w:rStyle w:val="eop"/>
          <w:rFonts w:ascii="Calibri" w:hAnsi="Calibri" w:cs="Calibri"/>
          <w:sz w:val="22"/>
          <w:szCs w:val="22"/>
        </w:rPr>
        <w:t> </w:t>
      </w:r>
    </w:p>
    <w:p w14:paraId="1037CC05"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lastRenderedPageBreak/>
        <w:t>Acknowledging the behaviour of the patient with dementia as an expression of communication and the health care professional being able to connect with that service user and confirming their reality into acceptance. To ensure that dementia patients feel involved, it is good to offer opportunities that may be beneficial to them in experiencing meaning in life, comfort and joy. This can be through their interests and preferences that makes it special for them. Individuals suffering with dementia should not be made to feel left out and should be included in forming relationships, so they can be supported but also realising the need for respect and dignity. Implementing this can be done when doing activities, instead of doing the task for, you can complete the exercise with the individual that has dementia. </w:t>
      </w:r>
      <w:r w:rsidRPr="00BF3BFD">
        <w:rPr>
          <w:rStyle w:val="eop"/>
          <w:rFonts w:ascii="Calibri" w:hAnsi="Calibri" w:cs="Calibri"/>
          <w:sz w:val="22"/>
          <w:szCs w:val="22"/>
        </w:rPr>
        <w:t> </w:t>
      </w:r>
    </w:p>
    <w:p w14:paraId="479A88B3"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Establishing a friendly community support system that allows one another to value each individual and praise each other's achievement along with sharing their experiences. Included in this community will be the relatives, the dementia service users and the health care professionals. As with every health and social care sector care practices should be evaluated regularly to ensure the safety of both the patients and staff and making the necessary adjustments where needed. In order to provide a safe environment or making sure that the activities that will be undergone are safe. This would also be looking into the practices, the models and disclosing the findings but also importantly looking for errors that would need to be reassessed and </w:t>
      </w:r>
      <w:proofErr w:type="gramStart"/>
      <w:r w:rsidRPr="00BF3BFD">
        <w:rPr>
          <w:rStyle w:val="normaltextrun"/>
          <w:rFonts w:ascii="Calibri" w:hAnsi="Calibri" w:cs="Calibri"/>
          <w:sz w:val="22"/>
          <w:szCs w:val="22"/>
        </w:rPr>
        <w:t>looked into</w:t>
      </w:r>
      <w:proofErr w:type="gramEnd"/>
      <w:r w:rsidRPr="00BF3BFD">
        <w:rPr>
          <w:rStyle w:val="normaltextrun"/>
          <w:rFonts w:ascii="Calibri" w:hAnsi="Calibri" w:cs="Calibri"/>
          <w:sz w:val="22"/>
          <w:szCs w:val="22"/>
        </w:rPr>
        <w:t>.</w:t>
      </w:r>
      <w:r w:rsidRPr="00BF3BFD">
        <w:rPr>
          <w:rStyle w:val="eop"/>
          <w:rFonts w:ascii="Calibri" w:hAnsi="Calibri" w:cs="Calibri"/>
          <w:sz w:val="22"/>
          <w:szCs w:val="22"/>
        </w:rPr>
        <w:t> </w:t>
      </w:r>
    </w:p>
    <w:p w14:paraId="0E7B0D4D"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In conclusion, person centred care can be a positive when implementing it into the care package for patients with dementia. It is advisable however, to carefully assess the needs of dementia patients sensitively as the disease has a huge impact on the brain, which reflects their behaviour. Using this framework will not only allow patients to feel included within their care when using their preferences but it also provides a support network for these service users to enhance their quality care experiences. Not only is the person-centred care framework beneficial for patients and service users with dementia but also health care professionals. As it gives them an idea of how to deliver care to </w:t>
      </w:r>
      <w:proofErr w:type="gramStart"/>
      <w:r w:rsidRPr="00BF3BFD">
        <w:rPr>
          <w:rStyle w:val="normaltextrun"/>
          <w:rFonts w:ascii="Calibri" w:hAnsi="Calibri" w:cs="Calibri"/>
          <w:sz w:val="22"/>
          <w:szCs w:val="22"/>
        </w:rPr>
        <w:t>each individual</w:t>
      </w:r>
      <w:proofErr w:type="gramEnd"/>
      <w:r w:rsidRPr="00BF3BFD">
        <w:rPr>
          <w:rStyle w:val="normaltextrun"/>
          <w:rFonts w:ascii="Calibri" w:hAnsi="Calibri" w:cs="Calibri"/>
          <w:sz w:val="22"/>
          <w:szCs w:val="22"/>
        </w:rPr>
        <w:t xml:space="preserve"> enhancing their experiences. However, also reducing the amount of stress that can affect the delivery of care. As also mentioned, using the person-centred care framework will significantly reduce the amount of funding it costs the National Health Service to host hospital admissions. Using the available resources to prevent and reduce falls especially within the patient’s own home environment.</w:t>
      </w:r>
      <w:r w:rsidRPr="00BF3BFD">
        <w:rPr>
          <w:rStyle w:val="eop"/>
          <w:rFonts w:ascii="Calibri" w:hAnsi="Calibri" w:cs="Calibri"/>
          <w:sz w:val="22"/>
          <w:szCs w:val="22"/>
        </w:rPr>
        <w:t> </w:t>
      </w:r>
    </w:p>
    <w:p w14:paraId="21BA0762"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eop"/>
          <w:rFonts w:ascii="Calibri" w:hAnsi="Calibri" w:cs="Calibri"/>
          <w:sz w:val="22"/>
          <w:szCs w:val="22"/>
        </w:rPr>
        <w:t> </w:t>
      </w:r>
    </w:p>
    <w:p w14:paraId="78BA0E38"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eop"/>
          <w:rFonts w:ascii="Calibri" w:hAnsi="Calibri" w:cs="Calibri"/>
          <w:sz w:val="22"/>
          <w:szCs w:val="22"/>
        </w:rPr>
        <w:t> </w:t>
      </w:r>
    </w:p>
    <w:p w14:paraId="14C06F76"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b/>
          <w:bCs/>
          <w:sz w:val="22"/>
          <w:szCs w:val="22"/>
          <w:u w:val="single"/>
        </w:rPr>
        <w:t>References</w:t>
      </w:r>
      <w:r w:rsidRPr="00BF3BFD">
        <w:rPr>
          <w:rStyle w:val="eop"/>
          <w:rFonts w:ascii="Calibri" w:hAnsi="Calibri" w:cs="Calibri"/>
          <w:sz w:val="22"/>
          <w:szCs w:val="22"/>
        </w:rPr>
        <w:t> </w:t>
      </w:r>
    </w:p>
    <w:p w14:paraId="3580B1BF"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Alzheimer's Society (2018).</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What is Dementia?</w:t>
      </w:r>
      <w:r w:rsidRPr="00BF3BFD">
        <w:rPr>
          <w:rStyle w:val="apple-converted-space"/>
          <w:rFonts w:ascii="Calibri" w:hAnsi="Calibri" w:cs="Calibri"/>
          <w:sz w:val="22"/>
          <w:szCs w:val="22"/>
        </w:rPr>
        <w:t> </w:t>
      </w:r>
      <w:r w:rsidRPr="00BF3BFD">
        <w:rPr>
          <w:rStyle w:val="normaltextrun"/>
          <w:rFonts w:ascii="Calibri" w:hAnsi="Calibri" w:cs="Calibri"/>
          <w:sz w:val="22"/>
          <w:szCs w:val="22"/>
        </w:rPr>
        <w:t>[online] Alzheimer’s Society. Available at:</w:t>
      </w:r>
      <w:r w:rsidRPr="00BF3BFD">
        <w:rPr>
          <w:rStyle w:val="apple-converted-space"/>
          <w:rFonts w:ascii="Calibri" w:hAnsi="Calibri" w:cs="Calibri"/>
          <w:sz w:val="22"/>
          <w:szCs w:val="22"/>
        </w:rPr>
        <w:t> </w:t>
      </w:r>
      <w:hyperlink r:id="rId6" w:tgtFrame="_blank" w:history="1">
        <w:r w:rsidRPr="00BF3BFD">
          <w:rPr>
            <w:rStyle w:val="normaltextrun"/>
            <w:rFonts w:ascii="Calibri" w:hAnsi="Calibri" w:cs="Calibri"/>
            <w:color w:val="0563C1"/>
            <w:sz w:val="22"/>
            <w:szCs w:val="22"/>
            <w:u w:val="single"/>
          </w:rPr>
          <w:t>https://www.alzheimers.org.uk/about-dementia/types-dementia/what-dementia</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252FC8DA"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lastRenderedPageBreak/>
        <w:t>‌Devaney, S. (2016).</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ETHICS FOR HEALTHCARE REGULATORS: ENHANCING COMPLIANCE WITH THE SEVEN PRINCIPLES OF PUBLIC LIFE</w:t>
      </w:r>
      <w:r w:rsidRPr="00BF3BFD">
        <w:rPr>
          <w:rStyle w:val="normaltextrun"/>
          <w:rFonts w:ascii="Calibri" w:hAnsi="Calibri" w:cs="Calibri"/>
          <w:sz w:val="22"/>
          <w:szCs w:val="22"/>
        </w:rPr>
        <w:t>. [online</w:t>
      </w:r>
      <w:proofErr w:type="gramStart"/>
      <w:r w:rsidRPr="00BF3BFD">
        <w:rPr>
          <w:rStyle w:val="normaltextrun"/>
          <w:rFonts w:ascii="Calibri" w:hAnsi="Calibri" w:cs="Calibri"/>
          <w:sz w:val="22"/>
          <w:szCs w:val="22"/>
        </w:rPr>
        <w:t>] .</w:t>
      </w:r>
      <w:proofErr w:type="gramEnd"/>
      <w:r w:rsidRPr="00BF3BFD">
        <w:rPr>
          <w:rStyle w:val="apple-converted-space"/>
          <w:rFonts w:ascii="Calibri" w:hAnsi="Calibri" w:cs="Calibri"/>
          <w:sz w:val="22"/>
          <w:szCs w:val="22"/>
        </w:rPr>
        <w:t> </w:t>
      </w:r>
      <w:r w:rsidRPr="00BF3BFD">
        <w:rPr>
          <w:rStyle w:val="normaltextrun"/>
          <w:rFonts w:ascii="Calibri" w:hAnsi="Calibri" w:cs="Calibri"/>
          <w:sz w:val="22"/>
          <w:szCs w:val="22"/>
        </w:rPr>
        <w:t>Available at:</w:t>
      </w:r>
      <w:r w:rsidRPr="00BF3BFD">
        <w:rPr>
          <w:rStyle w:val="apple-converted-space"/>
          <w:rFonts w:ascii="Calibri" w:hAnsi="Calibri" w:cs="Calibri"/>
          <w:sz w:val="22"/>
          <w:szCs w:val="22"/>
        </w:rPr>
        <w:t> </w:t>
      </w:r>
      <w:hyperlink r:id="rId7" w:tgtFrame="_blank" w:history="1">
        <w:r w:rsidRPr="00BF3BFD">
          <w:rPr>
            <w:rStyle w:val="normaltextrun"/>
            <w:rFonts w:ascii="Calibri" w:hAnsi="Calibri" w:cs="Calibri"/>
            <w:color w:val="0563C1"/>
            <w:sz w:val="22"/>
            <w:szCs w:val="22"/>
            <w:u w:val="single"/>
          </w:rPr>
          <w:t>https://assets.publishing.service.gov.uk/government/uploads/system/uploads/attachment_data/file/550543/Dr_Sarah_Devaney_-_Ethics_for_regulators.pdf</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35390C37"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 xml:space="preserve">‌Fazio, S., Pace, D., </w:t>
      </w:r>
      <w:proofErr w:type="spellStart"/>
      <w:r w:rsidRPr="00BF3BFD">
        <w:rPr>
          <w:rStyle w:val="normaltextrun"/>
          <w:rFonts w:ascii="Calibri" w:hAnsi="Calibri" w:cs="Calibri"/>
          <w:sz w:val="22"/>
          <w:szCs w:val="22"/>
        </w:rPr>
        <w:t>Flinner</w:t>
      </w:r>
      <w:proofErr w:type="spellEnd"/>
      <w:r w:rsidRPr="00BF3BFD">
        <w:rPr>
          <w:rStyle w:val="normaltextrun"/>
          <w:rFonts w:ascii="Calibri" w:hAnsi="Calibri" w:cs="Calibri"/>
          <w:sz w:val="22"/>
          <w:szCs w:val="22"/>
        </w:rPr>
        <w:t>, J. and</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Kallmyer</w:t>
      </w:r>
      <w:proofErr w:type="spellEnd"/>
      <w:r w:rsidRPr="00BF3BFD">
        <w:rPr>
          <w:rStyle w:val="normaltextrun"/>
          <w:rFonts w:ascii="Calibri" w:hAnsi="Calibri" w:cs="Calibri"/>
          <w:sz w:val="22"/>
          <w:szCs w:val="22"/>
        </w:rPr>
        <w:t>, B. (2018). The Fundamentals of Person-Centred Care for Individuals with Dementia.</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The Gerontologist</w:t>
      </w:r>
      <w:r w:rsidRPr="00BF3BFD">
        <w:rPr>
          <w:rStyle w:val="normaltextrun"/>
          <w:rFonts w:ascii="Calibri" w:hAnsi="Calibri" w:cs="Calibri"/>
          <w:sz w:val="22"/>
          <w:szCs w:val="22"/>
        </w:rPr>
        <w:t>, [online] 58(suppl_1),</w:t>
      </w:r>
      <w:r w:rsidRPr="00BF3BFD">
        <w:rPr>
          <w:rStyle w:val="apple-converted-space"/>
          <w:rFonts w:ascii="Calibri" w:hAnsi="Calibri" w:cs="Calibri"/>
          <w:sz w:val="22"/>
          <w:szCs w:val="22"/>
        </w:rPr>
        <w:t> </w:t>
      </w:r>
      <w:proofErr w:type="gramStart"/>
      <w:r w:rsidRPr="00BF3BFD">
        <w:rPr>
          <w:rStyle w:val="normaltextrun"/>
          <w:rFonts w:ascii="Calibri" w:hAnsi="Calibri" w:cs="Calibri"/>
          <w:sz w:val="22"/>
          <w:szCs w:val="22"/>
        </w:rPr>
        <w:t>pp.S</w:t>
      </w:r>
      <w:proofErr w:type="gramEnd"/>
      <w:r w:rsidRPr="00BF3BFD">
        <w:rPr>
          <w:rStyle w:val="normaltextrun"/>
          <w:rFonts w:ascii="Calibri" w:hAnsi="Calibri" w:cs="Calibri"/>
          <w:sz w:val="22"/>
          <w:szCs w:val="22"/>
        </w:rPr>
        <w:t>10–S19. Available at:</w:t>
      </w:r>
      <w:r w:rsidRPr="00BF3BFD">
        <w:rPr>
          <w:rStyle w:val="apple-converted-space"/>
          <w:rFonts w:ascii="Calibri" w:hAnsi="Calibri" w:cs="Calibri"/>
          <w:sz w:val="22"/>
          <w:szCs w:val="22"/>
        </w:rPr>
        <w:t> </w:t>
      </w:r>
      <w:hyperlink r:id="rId8" w:tgtFrame="_blank" w:history="1">
        <w:r w:rsidRPr="00BF3BFD">
          <w:rPr>
            <w:rStyle w:val="normaltextrun"/>
            <w:rFonts w:ascii="Calibri" w:hAnsi="Calibri" w:cs="Calibri"/>
            <w:color w:val="0563C1"/>
            <w:sz w:val="22"/>
            <w:szCs w:val="22"/>
            <w:u w:val="single"/>
          </w:rPr>
          <w:t>https://academic.oup.com/gerontologist/article/58/suppl_1/S10/4816735</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68967C95"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NT Contributor (2017).</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Nursing theories 1: person-centred care | Nursing Times</w:t>
      </w:r>
      <w:r w:rsidRPr="00BF3BFD">
        <w:rPr>
          <w:rStyle w:val="normaltextrun"/>
          <w:rFonts w:ascii="Calibri" w:hAnsi="Calibri" w:cs="Calibri"/>
          <w:sz w:val="22"/>
          <w:szCs w:val="22"/>
        </w:rPr>
        <w:t>. [online] Nursing Times. Available at:</w:t>
      </w:r>
      <w:r w:rsidRPr="00BF3BFD">
        <w:rPr>
          <w:rStyle w:val="apple-converted-space"/>
          <w:rFonts w:ascii="Calibri" w:hAnsi="Calibri" w:cs="Calibri"/>
          <w:sz w:val="22"/>
          <w:szCs w:val="22"/>
        </w:rPr>
        <w:t> </w:t>
      </w:r>
      <w:hyperlink r:id="rId9" w:tgtFrame="_blank" w:history="1">
        <w:r w:rsidRPr="00BF3BFD">
          <w:rPr>
            <w:rStyle w:val="normaltextrun"/>
            <w:rFonts w:ascii="Calibri" w:hAnsi="Calibri" w:cs="Calibri"/>
            <w:color w:val="0563C1"/>
            <w:sz w:val="22"/>
            <w:szCs w:val="22"/>
            <w:u w:val="single"/>
          </w:rPr>
          <w:t>https://www.nursingtimes.net/roles/nurse-educators/nursing-theories-1-person-centred-care-23-10-2017/</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703661D4"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‌NHS Choices (2019).</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Dementia guide</w:t>
      </w:r>
      <w:r w:rsidRPr="00BF3BFD">
        <w:rPr>
          <w:rStyle w:val="normaltextrun"/>
          <w:rFonts w:ascii="Calibri" w:hAnsi="Calibri" w:cs="Calibri"/>
          <w:sz w:val="22"/>
          <w:szCs w:val="22"/>
        </w:rPr>
        <w:t>. [online] NHS. Available at:</w:t>
      </w:r>
      <w:r w:rsidRPr="00BF3BFD">
        <w:rPr>
          <w:rStyle w:val="apple-converted-space"/>
          <w:rFonts w:ascii="Calibri" w:hAnsi="Calibri" w:cs="Calibri"/>
          <w:sz w:val="22"/>
          <w:szCs w:val="22"/>
        </w:rPr>
        <w:t> </w:t>
      </w:r>
      <w:hyperlink r:id="rId10" w:tgtFrame="_blank" w:history="1">
        <w:r w:rsidRPr="00BF3BFD">
          <w:rPr>
            <w:rStyle w:val="normaltextrun"/>
            <w:rFonts w:ascii="Calibri" w:hAnsi="Calibri" w:cs="Calibri"/>
            <w:color w:val="0563C1"/>
            <w:sz w:val="22"/>
            <w:szCs w:val="22"/>
            <w:u w:val="single"/>
          </w:rPr>
          <w:t>https://www.nhs.uk/conditions/dementia/social-services-and-the-nhs/</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7153EBF6"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Morgan, S. and Yoder, L.H. (2011). A Concept Analysis of Person-Centred Care.</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Journal of Holistic Nursing</w:t>
      </w:r>
      <w:r w:rsidRPr="00BF3BFD">
        <w:rPr>
          <w:rStyle w:val="normaltextrun"/>
          <w:rFonts w:ascii="Calibri" w:hAnsi="Calibri" w:cs="Calibri"/>
          <w:sz w:val="22"/>
          <w:szCs w:val="22"/>
        </w:rPr>
        <w:t>, [online] 30(1), pp.6–15. Available at:</w:t>
      </w:r>
      <w:r w:rsidRPr="00BF3BFD">
        <w:rPr>
          <w:rStyle w:val="apple-converted-space"/>
          <w:rFonts w:ascii="Calibri" w:hAnsi="Calibri" w:cs="Calibri"/>
          <w:sz w:val="22"/>
          <w:szCs w:val="22"/>
        </w:rPr>
        <w:t> </w:t>
      </w:r>
      <w:hyperlink r:id="rId11" w:tgtFrame="_blank" w:history="1">
        <w:r w:rsidRPr="00BF3BFD">
          <w:rPr>
            <w:rStyle w:val="normaltextrun"/>
            <w:rFonts w:ascii="Calibri" w:hAnsi="Calibri" w:cs="Calibri"/>
            <w:color w:val="0563C1"/>
            <w:sz w:val="22"/>
            <w:szCs w:val="22"/>
            <w:u w:val="single"/>
          </w:rPr>
          <w:t>https://researchers.dellmed.utexas.edu/en/publications/a-concept-analysis-of-person-centered-care</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3B903693"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McCormack, B. (2003). A conceptual framework for person-centred practice with older people.</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International Journal of Nursing Practice</w:t>
      </w:r>
      <w:r w:rsidRPr="00BF3BFD">
        <w:rPr>
          <w:rStyle w:val="normaltextrun"/>
          <w:rFonts w:ascii="Calibri" w:hAnsi="Calibri" w:cs="Calibri"/>
          <w:sz w:val="22"/>
          <w:szCs w:val="22"/>
        </w:rPr>
        <w:t>, [online] 9(3), pp.202–209. Available at:</w:t>
      </w:r>
      <w:r w:rsidRPr="00BF3BFD">
        <w:rPr>
          <w:rStyle w:val="apple-converted-space"/>
          <w:rFonts w:ascii="Calibri" w:hAnsi="Calibri" w:cs="Calibri"/>
          <w:sz w:val="22"/>
          <w:szCs w:val="22"/>
        </w:rPr>
        <w:t> </w:t>
      </w:r>
      <w:hyperlink r:id="rId12" w:tgtFrame="_blank" w:history="1">
        <w:r w:rsidRPr="00BF3BFD">
          <w:rPr>
            <w:rStyle w:val="normaltextrun"/>
            <w:rFonts w:ascii="Calibri" w:hAnsi="Calibri" w:cs="Calibri"/>
            <w:color w:val="0563C1"/>
            <w:sz w:val="22"/>
            <w:szCs w:val="22"/>
            <w:u w:val="single"/>
          </w:rPr>
          <w:t>https://onlinelibrary.wiley.com/doi/10.1046/j.1440-172X.2003.00423.x</w:t>
        </w:r>
      </w:hyperlink>
      <w:r w:rsidRPr="00BF3BFD">
        <w:rPr>
          <w:rStyle w:val="apple-converted-space"/>
          <w:rFonts w:ascii="Calibri" w:hAnsi="Calibri" w:cs="Calibri"/>
          <w:sz w:val="22"/>
          <w:szCs w:val="22"/>
        </w:rPr>
        <w:t> </w:t>
      </w:r>
      <w:r w:rsidRPr="00BF3BFD">
        <w:rPr>
          <w:rStyle w:val="eop"/>
          <w:rFonts w:ascii="Calibri" w:hAnsi="Calibri" w:cs="Calibri"/>
          <w:sz w:val="22"/>
          <w:szCs w:val="22"/>
        </w:rPr>
        <w:t> </w:t>
      </w:r>
    </w:p>
    <w:p w14:paraId="268A8922"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lang w:val="en-US"/>
        </w:rPr>
      </w:pPr>
      <w:proofErr w:type="spellStart"/>
      <w:r w:rsidRPr="00BF3BFD">
        <w:rPr>
          <w:rStyle w:val="normaltextrun"/>
          <w:rFonts w:ascii="Calibri" w:hAnsi="Calibri" w:cs="Calibri"/>
          <w:sz w:val="22"/>
          <w:szCs w:val="22"/>
        </w:rPr>
        <w:t>Mccormack</w:t>
      </w:r>
      <w:proofErr w:type="spellEnd"/>
      <w:r w:rsidRPr="00BF3BFD">
        <w:rPr>
          <w:rStyle w:val="normaltextrun"/>
          <w:rFonts w:ascii="Calibri" w:hAnsi="Calibri" w:cs="Calibri"/>
          <w:sz w:val="22"/>
          <w:szCs w:val="22"/>
        </w:rPr>
        <w:t>, B. (2020).</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FUNDAMENTALS OF PERSON-CENTRED</w:t>
      </w:r>
      <w:r w:rsidRPr="00BF3BFD">
        <w:rPr>
          <w:rStyle w:val="apple-converted-space"/>
          <w:rFonts w:ascii="Calibri" w:hAnsi="Calibri" w:cs="Calibri"/>
          <w:i/>
          <w:iCs/>
          <w:sz w:val="22"/>
          <w:szCs w:val="22"/>
        </w:rPr>
        <w:t> </w:t>
      </w:r>
      <w:proofErr w:type="gramStart"/>
      <w:r w:rsidRPr="00BF3BFD">
        <w:rPr>
          <w:rStyle w:val="normaltextrun"/>
          <w:rFonts w:ascii="Calibri" w:hAnsi="Calibri" w:cs="Calibri"/>
          <w:i/>
          <w:iCs/>
          <w:sz w:val="22"/>
          <w:szCs w:val="22"/>
        </w:rPr>
        <w:t>PRACTICE :</w:t>
      </w:r>
      <w:proofErr w:type="gramEnd"/>
      <w:r w:rsidRPr="00BF3BFD">
        <w:rPr>
          <w:rStyle w:val="apple-converted-space"/>
          <w:rFonts w:ascii="Calibri" w:hAnsi="Calibri" w:cs="Calibri"/>
          <w:i/>
          <w:iCs/>
          <w:sz w:val="22"/>
          <w:szCs w:val="22"/>
        </w:rPr>
        <w:t> </w:t>
      </w:r>
      <w:r w:rsidRPr="00BF3BFD">
        <w:rPr>
          <w:rStyle w:val="normaltextrun"/>
          <w:rFonts w:ascii="Calibri" w:hAnsi="Calibri" w:cs="Calibri"/>
          <w:i/>
          <w:iCs/>
          <w:sz w:val="22"/>
          <w:szCs w:val="22"/>
        </w:rPr>
        <w:t>a guide for healthcare students.</w:t>
      </w:r>
      <w:r w:rsidRPr="00BF3BFD">
        <w:rPr>
          <w:rStyle w:val="apple-converted-space"/>
          <w:rFonts w:ascii="Calibri" w:hAnsi="Calibri" w:cs="Calibri"/>
          <w:sz w:val="22"/>
          <w:szCs w:val="22"/>
        </w:rPr>
        <w:t> </w:t>
      </w:r>
      <w:r w:rsidRPr="00BF3BFD">
        <w:rPr>
          <w:rStyle w:val="normaltextrun"/>
          <w:rFonts w:ascii="Calibri" w:hAnsi="Calibri" w:cs="Calibri"/>
          <w:sz w:val="22"/>
          <w:szCs w:val="22"/>
        </w:rPr>
        <w:t>S.L.: Wiley-Blackwell.</w:t>
      </w:r>
      <w:r w:rsidRPr="00BF3BFD">
        <w:rPr>
          <w:rStyle w:val="eop"/>
          <w:rFonts w:ascii="Calibri" w:hAnsi="Calibri" w:cs="Calibri"/>
          <w:sz w:val="22"/>
          <w:szCs w:val="22"/>
          <w:lang w:val="en-US"/>
        </w:rPr>
        <w:t> </w:t>
      </w:r>
    </w:p>
    <w:p w14:paraId="2BBBAE20"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‌Summer</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Meranius</w:t>
      </w:r>
      <w:proofErr w:type="spellEnd"/>
      <w:r w:rsidRPr="00BF3BFD">
        <w:rPr>
          <w:rStyle w:val="normaltextrun"/>
          <w:rFonts w:ascii="Calibri" w:hAnsi="Calibri" w:cs="Calibri"/>
          <w:sz w:val="22"/>
          <w:szCs w:val="22"/>
        </w:rPr>
        <w:t xml:space="preserve">, M., </w:t>
      </w:r>
      <w:proofErr w:type="spellStart"/>
      <w:r w:rsidRPr="00BF3BFD">
        <w:rPr>
          <w:rStyle w:val="normaltextrun"/>
          <w:rFonts w:ascii="Calibri" w:hAnsi="Calibri" w:cs="Calibri"/>
          <w:sz w:val="22"/>
          <w:szCs w:val="22"/>
        </w:rPr>
        <w:t>Holmström</w:t>
      </w:r>
      <w:proofErr w:type="spellEnd"/>
      <w:r w:rsidRPr="00BF3BFD">
        <w:rPr>
          <w:rStyle w:val="normaltextrun"/>
          <w:rFonts w:ascii="Calibri" w:hAnsi="Calibri" w:cs="Calibri"/>
          <w:sz w:val="22"/>
          <w:szCs w:val="22"/>
        </w:rPr>
        <w:t xml:space="preserve">, I.K., </w:t>
      </w:r>
      <w:proofErr w:type="spellStart"/>
      <w:r w:rsidRPr="00BF3BFD">
        <w:rPr>
          <w:rStyle w:val="normaltextrun"/>
          <w:rFonts w:ascii="Calibri" w:hAnsi="Calibri" w:cs="Calibri"/>
          <w:sz w:val="22"/>
          <w:szCs w:val="22"/>
        </w:rPr>
        <w:t>Håkansson</w:t>
      </w:r>
      <w:proofErr w:type="spellEnd"/>
      <w:r w:rsidRPr="00BF3BFD">
        <w:rPr>
          <w:rStyle w:val="normaltextrun"/>
          <w:rFonts w:ascii="Calibri" w:hAnsi="Calibri" w:cs="Calibri"/>
          <w:sz w:val="22"/>
          <w:szCs w:val="22"/>
        </w:rPr>
        <w:t>, J.,</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Breitholtz</w:t>
      </w:r>
      <w:proofErr w:type="spellEnd"/>
      <w:r w:rsidRPr="00BF3BFD">
        <w:rPr>
          <w:rStyle w:val="normaltextrun"/>
          <w:rFonts w:ascii="Calibri" w:hAnsi="Calibri" w:cs="Calibri"/>
          <w:sz w:val="22"/>
          <w:szCs w:val="22"/>
        </w:rPr>
        <w:t>, A.,</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Moniri</w:t>
      </w:r>
      <w:proofErr w:type="spellEnd"/>
      <w:r w:rsidRPr="00BF3BFD">
        <w:rPr>
          <w:rStyle w:val="normaltextrun"/>
          <w:rFonts w:ascii="Calibri" w:hAnsi="Calibri" w:cs="Calibri"/>
          <w:sz w:val="22"/>
          <w:szCs w:val="22"/>
        </w:rPr>
        <w:t>, F.,</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Skogevall</w:t>
      </w:r>
      <w:proofErr w:type="spellEnd"/>
      <w:r w:rsidRPr="00BF3BFD">
        <w:rPr>
          <w:rStyle w:val="normaltextrun"/>
          <w:rFonts w:ascii="Calibri" w:hAnsi="Calibri" w:cs="Calibri"/>
          <w:sz w:val="22"/>
          <w:szCs w:val="22"/>
        </w:rPr>
        <w:t>, S., Skoglund, K. and</w:t>
      </w:r>
      <w:r w:rsidRPr="00BF3BFD">
        <w:rPr>
          <w:rStyle w:val="apple-converted-space"/>
          <w:rFonts w:ascii="Calibri" w:hAnsi="Calibri" w:cs="Calibri"/>
          <w:sz w:val="22"/>
          <w:szCs w:val="22"/>
        </w:rPr>
        <w:t> </w:t>
      </w:r>
      <w:proofErr w:type="spellStart"/>
      <w:r w:rsidRPr="00BF3BFD">
        <w:rPr>
          <w:rStyle w:val="normaltextrun"/>
          <w:rFonts w:ascii="Calibri" w:hAnsi="Calibri" w:cs="Calibri"/>
          <w:sz w:val="22"/>
          <w:szCs w:val="22"/>
        </w:rPr>
        <w:t>Rasoal</w:t>
      </w:r>
      <w:proofErr w:type="spellEnd"/>
      <w:r w:rsidRPr="00BF3BFD">
        <w:rPr>
          <w:rStyle w:val="normaltextrun"/>
          <w:rFonts w:ascii="Calibri" w:hAnsi="Calibri" w:cs="Calibri"/>
          <w:sz w:val="22"/>
          <w:szCs w:val="22"/>
        </w:rPr>
        <w:t>, D. (2020). Paradoxes of person‐centred care: A discussion paper.</w:t>
      </w:r>
      <w:r w:rsidRPr="00BF3BFD">
        <w:rPr>
          <w:rStyle w:val="apple-converted-space"/>
          <w:rFonts w:ascii="Calibri" w:hAnsi="Calibri" w:cs="Calibri"/>
          <w:sz w:val="22"/>
          <w:szCs w:val="22"/>
        </w:rPr>
        <w:t> </w:t>
      </w:r>
      <w:r w:rsidRPr="00BF3BFD">
        <w:rPr>
          <w:rStyle w:val="normaltextrun"/>
          <w:rFonts w:ascii="Calibri" w:hAnsi="Calibri" w:cs="Calibri"/>
          <w:i/>
          <w:iCs/>
          <w:sz w:val="22"/>
          <w:szCs w:val="22"/>
        </w:rPr>
        <w:t>Nursing Open</w:t>
      </w:r>
      <w:r w:rsidRPr="00BF3BFD">
        <w:rPr>
          <w:rStyle w:val="normaltextrun"/>
          <w:rFonts w:ascii="Calibri" w:hAnsi="Calibri" w:cs="Calibri"/>
          <w:sz w:val="22"/>
          <w:szCs w:val="22"/>
        </w:rPr>
        <w:t>, [online] 7(5), pp.1321–1329. Available at:</w:t>
      </w:r>
      <w:r w:rsidRPr="00BF3BFD">
        <w:rPr>
          <w:rStyle w:val="apple-converted-space"/>
          <w:rFonts w:ascii="Calibri" w:hAnsi="Calibri" w:cs="Calibri"/>
          <w:sz w:val="22"/>
          <w:szCs w:val="22"/>
        </w:rPr>
        <w:t> </w:t>
      </w:r>
      <w:hyperlink r:id="rId13" w:tgtFrame="_blank" w:history="1">
        <w:r w:rsidRPr="00BF3BFD">
          <w:rPr>
            <w:rStyle w:val="normaltextrun"/>
            <w:rFonts w:ascii="Calibri" w:hAnsi="Calibri" w:cs="Calibri"/>
            <w:color w:val="0563C1"/>
            <w:sz w:val="22"/>
            <w:szCs w:val="22"/>
            <w:u w:val="single"/>
          </w:rPr>
          <w:t>https://onlinelibrary.wiley.com/doi/full/10.1002/nop2.520</w:t>
        </w:r>
      </w:hyperlink>
      <w:r w:rsidRPr="00BF3BFD">
        <w:rPr>
          <w:rStyle w:val="normaltextrun"/>
          <w:rFonts w:ascii="Calibri" w:hAnsi="Calibri" w:cs="Calibri"/>
          <w:sz w:val="22"/>
          <w:szCs w:val="22"/>
        </w:rPr>
        <w:t>.</w:t>
      </w:r>
      <w:r w:rsidRPr="00BF3BFD">
        <w:rPr>
          <w:rStyle w:val="eop"/>
          <w:rFonts w:ascii="Calibri" w:hAnsi="Calibri" w:cs="Calibri"/>
          <w:sz w:val="22"/>
          <w:szCs w:val="22"/>
        </w:rPr>
        <w:t> </w:t>
      </w:r>
    </w:p>
    <w:p w14:paraId="5A13D41F" w14:textId="77777777" w:rsidR="005A38A2" w:rsidRPr="00BF3BFD" w:rsidRDefault="005A38A2" w:rsidP="00BF3BFD">
      <w:pPr>
        <w:pStyle w:val="paragraph"/>
        <w:spacing w:before="0" w:beforeAutospacing="0" w:after="0" w:afterAutospacing="0" w:line="360" w:lineRule="auto"/>
        <w:textAlignment w:val="baseline"/>
        <w:rPr>
          <w:rFonts w:ascii="Arial" w:hAnsi="Arial" w:cs="Arial"/>
          <w:sz w:val="22"/>
          <w:szCs w:val="22"/>
        </w:rPr>
      </w:pPr>
      <w:r w:rsidRPr="00BF3BFD">
        <w:rPr>
          <w:rStyle w:val="normaltextrun"/>
          <w:rFonts w:ascii="Calibri" w:hAnsi="Calibri" w:cs="Calibri"/>
          <w:sz w:val="22"/>
          <w:szCs w:val="22"/>
        </w:rPr>
        <w:t>‌</w:t>
      </w:r>
      <w:r w:rsidRPr="00BF3BFD">
        <w:rPr>
          <w:rStyle w:val="eop"/>
          <w:rFonts w:ascii="Calibri" w:hAnsi="Calibri" w:cs="Calibri"/>
          <w:sz w:val="22"/>
          <w:szCs w:val="22"/>
        </w:rPr>
        <w:t> </w:t>
      </w:r>
    </w:p>
    <w:p w14:paraId="45BD8294"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12472F07"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w:t>
      </w:r>
      <w:r>
        <w:rPr>
          <w:rStyle w:val="eop"/>
          <w:rFonts w:ascii="Calibri" w:hAnsi="Calibri" w:cs="Calibri"/>
        </w:rPr>
        <w:t> </w:t>
      </w:r>
    </w:p>
    <w:p w14:paraId="4FE3C90D" w14:textId="77777777" w:rsidR="005A38A2" w:rsidRDefault="005A38A2" w:rsidP="005A38A2">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56DE80A9" w14:textId="77777777" w:rsidR="005A38A2" w:rsidRDefault="005A38A2"/>
    <w:sectPr w:rsidR="005A38A2" w:rsidSect="0046410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8A2"/>
    <w:rsid w:val="00314425"/>
    <w:rsid w:val="00464108"/>
    <w:rsid w:val="005A38A2"/>
    <w:rsid w:val="00BF3BFD"/>
    <w:rsid w:val="00EE0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46C68"/>
  <w15:chartTrackingRefBased/>
  <w15:docId w15:val="{6E805C39-2A02-D34C-B599-7BF4D4BB6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38A2"/>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5A38A2"/>
  </w:style>
  <w:style w:type="character" w:customStyle="1" w:styleId="normaltextrun">
    <w:name w:val="normaltextrun"/>
    <w:basedOn w:val="DefaultParagraphFont"/>
    <w:rsid w:val="005A38A2"/>
  </w:style>
  <w:style w:type="character" w:customStyle="1" w:styleId="apple-converted-space">
    <w:name w:val="apple-converted-space"/>
    <w:basedOn w:val="DefaultParagraphFont"/>
    <w:rsid w:val="005A38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99661">
      <w:bodyDiv w:val="1"/>
      <w:marLeft w:val="0"/>
      <w:marRight w:val="0"/>
      <w:marTop w:val="0"/>
      <w:marBottom w:val="0"/>
      <w:divBdr>
        <w:top w:val="none" w:sz="0" w:space="0" w:color="auto"/>
        <w:left w:val="none" w:sz="0" w:space="0" w:color="auto"/>
        <w:bottom w:val="none" w:sz="0" w:space="0" w:color="auto"/>
        <w:right w:val="none" w:sz="0" w:space="0" w:color="auto"/>
      </w:divBdr>
      <w:divsChild>
        <w:div w:id="2089035293">
          <w:marLeft w:val="0"/>
          <w:marRight w:val="0"/>
          <w:marTop w:val="0"/>
          <w:marBottom w:val="0"/>
          <w:divBdr>
            <w:top w:val="none" w:sz="0" w:space="0" w:color="auto"/>
            <w:left w:val="none" w:sz="0" w:space="0" w:color="auto"/>
            <w:bottom w:val="none" w:sz="0" w:space="0" w:color="auto"/>
            <w:right w:val="none" w:sz="0" w:space="0" w:color="auto"/>
          </w:divBdr>
        </w:div>
        <w:div w:id="1171330115">
          <w:marLeft w:val="0"/>
          <w:marRight w:val="0"/>
          <w:marTop w:val="0"/>
          <w:marBottom w:val="0"/>
          <w:divBdr>
            <w:top w:val="none" w:sz="0" w:space="0" w:color="auto"/>
            <w:left w:val="none" w:sz="0" w:space="0" w:color="auto"/>
            <w:bottom w:val="none" w:sz="0" w:space="0" w:color="auto"/>
            <w:right w:val="none" w:sz="0" w:space="0" w:color="auto"/>
          </w:divBdr>
        </w:div>
        <w:div w:id="1354502802">
          <w:marLeft w:val="0"/>
          <w:marRight w:val="0"/>
          <w:marTop w:val="0"/>
          <w:marBottom w:val="0"/>
          <w:divBdr>
            <w:top w:val="none" w:sz="0" w:space="0" w:color="auto"/>
            <w:left w:val="none" w:sz="0" w:space="0" w:color="auto"/>
            <w:bottom w:val="none" w:sz="0" w:space="0" w:color="auto"/>
            <w:right w:val="none" w:sz="0" w:space="0" w:color="auto"/>
          </w:divBdr>
        </w:div>
        <w:div w:id="1722441644">
          <w:marLeft w:val="0"/>
          <w:marRight w:val="0"/>
          <w:marTop w:val="0"/>
          <w:marBottom w:val="0"/>
          <w:divBdr>
            <w:top w:val="none" w:sz="0" w:space="0" w:color="auto"/>
            <w:left w:val="none" w:sz="0" w:space="0" w:color="auto"/>
            <w:bottom w:val="none" w:sz="0" w:space="0" w:color="auto"/>
            <w:right w:val="none" w:sz="0" w:space="0" w:color="auto"/>
          </w:divBdr>
        </w:div>
        <w:div w:id="1691100993">
          <w:marLeft w:val="0"/>
          <w:marRight w:val="0"/>
          <w:marTop w:val="0"/>
          <w:marBottom w:val="0"/>
          <w:divBdr>
            <w:top w:val="none" w:sz="0" w:space="0" w:color="auto"/>
            <w:left w:val="none" w:sz="0" w:space="0" w:color="auto"/>
            <w:bottom w:val="none" w:sz="0" w:space="0" w:color="auto"/>
            <w:right w:val="none" w:sz="0" w:space="0" w:color="auto"/>
          </w:divBdr>
        </w:div>
        <w:div w:id="1891842769">
          <w:marLeft w:val="0"/>
          <w:marRight w:val="0"/>
          <w:marTop w:val="0"/>
          <w:marBottom w:val="0"/>
          <w:divBdr>
            <w:top w:val="none" w:sz="0" w:space="0" w:color="auto"/>
            <w:left w:val="none" w:sz="0" w:space="0" w:color="auto"/>
            <w:bottom w:val="none" w:sz="0" w:space="0" w:color="auto"/>
            <w:right w:val="none" w:sz="0" w:space="0" w:color="auto"/>
          </w:divBdr>
        </w:div>
        <w:div w:id="132796082">
          <w:marLeft w:val="0"/>
          <w:marRight w:val="0"/>
          <w:marTop w:val="0"/>
          <w:marBottom w:val="0"/>
          <w:divBdr>
            <w:top w:val="none" w:sz="0" w:space="0" w:color="auto"/>
            <w:left w:val="none" w:sz="0" w:space="0" w:color="auto"/>
            <w:bottom w:val="none" w:sz="0" w:space="0" w:color="auto"/>
            <w:right w:val="none" w:sz="0" w:space="0" w:color="auto"/>
          </w:divBdr>
        </w:div>
        <w:div w:id="480583484">
          <w:marLeft w:val="0"/>
          <w:marRight w:val="0"/>
          <w:marTop w:val="0"/>
          <w:marBottom w:val="0"/>
          <w:divBdr>
            <w:top w:val="none" w:sz="0" w:space="0" w:color="auto"/>
            <w:left w:val="none" w:sz="0" w:space="0" w:color="auto"/>
            <w:bottom w:val="none" w:sz="0" w:space="0" w:color="auto"/>
            <w:right w:val="none" w:sz="0" w:space="0" w:color="auto"/>
          </w:divBdr>
        </w:div>
        <w:div w:id="1170870544">
          <w:marLeft w:val="0"/>
          <w:marRight w:val="0"/>
          <w:marTop w:val="0"/>
          <w:marBottom w:val="0"/>
          <w:divBdr>
            <w:top w:val="none" w:sz="0" w:space="0" w:color="auto"/>
            <w:left w:val="none" w:sz="0" w:space="0" w:color="auto"/>
            <w:bottom w:val="none" w:sz="0" w:space="0" w:color="auto"/>
            <w:right w:val="none" w:sz="0" w:space="0" w:color="auto"/>
          </w:divBdr>
        </w:div>
        <w:div w:id="695696799">
          <w:marLeft w:val="0"/>
          <w:marRight w:val="0"/>
          <w:marTop w:val="0"/>
          <w:marBottom w:val="0"/>
          <w:divBdr>
            <w:top w:val="none" w:sz="0" w:space="0" w:color="auto"/>
            <w:left w:val="none" w:sz="0" w:space="0" w:color="auto"/>
            <w:bottom w:val="none" w:sz="0" w:space="0" w:color="auto"/>
            <w:right w:val="none" w:sz="0" w:space="0" w:color="auto"/>
          </w:divBdr>
        </w:div>
        <w:div w:id="1485202736">
          <w:marLeft w:val="0"/>
          <w:marRight w:val="0"/>
          <w:marTop w:val="0"/>
          <w:marBottom w:val="0"/>
          <w:divBdr>
            <w:top w:val="none" w:sz="0" w:space="0" w:color="auto"/>
            <w:left w:val="none" w:sz="0" w:space="0" w:color="auto"/>
            <w:bottom w:val="none" w:sz="0" w:space="0" w:color="auto"/>
            <w:right w:val="none" w:sz="0" w:space="0" w:color="auto"/>
          </w:divBdr>
        </w:div>
        <w:div w:id="97525126">
          <w:marLeft w:val="0"/>
          <w:marRight w:val="0"/>
          <w:marTop w:val="0"/>
          <w:marBottom w:val="0"/>
          <w:divBdr>
            <w:top w:val="none" w:sz="0" w:space="0" w:color="auto"/>
            <w:left w:val="none" w:sz="0" w:space="0" w:color="auto"/>
            <w:bottom w:val="none" w:sz="0" w:space="0" w:color="auto"/>
            <w:right w:val="none" w:sz="0" w:space="0" w:color="auto"/>
          </w:divBdr>
        </w:div>
        <w:div w:id="871921692">
          <w:marLeft w:val="0"/>
          <w:marRight w:val="0"/>
          <w:marTop w:val="0"/>
          <w:marBottom w:val="0"/>
          <w:divBdr>
            <w:top w:val="none" w:sz="0" w:space="0" w:color="auto"/>
            <w:left w:val="none" w:sz="0" w:space="0" w:color="auto"/>
            <w:bottom w:val="none" w:sz="0" w:space="0" w:color="auto"/>
            <w:right w:val="none" w:sz="0" w:space="0" w:color="auto"/>
          </w:divBdr>
        </w:div>
        <w:div w:id="1696998837">
          <w:marLeft w:val="0"/>
          <w:marRight w:val="0"/>
          <w:marTop w:val="0"/>
          <w:marBottom w:val="0"/>
          <w:divBdr>
            <w:top w:val="none" w:sz="0" w:space="0" w:color="auto"/>
            <w:left w:val="none" w:sz="0" w:space="0" w:color="auto"/>
            <w:bottom w:val="none" w:sz="0" w:space="0" w:color="auto"/>
            <w:right w:val="none" w:sz="0" w:space="0" w:color="auto"/>
          </w:divBdr>
        </w:div>
        <w:div w:id="567226069">
          <w:marLeft w:val="0"/>
          <w:marRight w:val="0"/>
          <w:marTop w:val="0"/>
          <w:marBottom w:val="0"/>
          <w:divBdr>
            <w:top w:val="none" w:sz="0" w:space="0" w:color="auto"/>
            <w:left w:val="none" w:sz="0" w:space="0" w:color="auto"/>
            <w:bottom w:val="none" w:sz="0" w:space="0" w:color="auto"/>
            <w:right w:val="none" w:sz="0" w:space="0" w:color="auto"/>
          </w:divBdr>
        </w:div>
        <w:div w:id="1186793860">
          <w:marLeft w:val="0"/>
          <w:marRight w:val="0"/>
          <w:marTop w:val="0"/>
          <w:marBottom w:val="0"/>
          <w:divBdr>
            <w:top w:val="none" w:sz="0" w:space="0" w:color="auto"/>
            <w:left w:val="none" w:sz="0" w:space="0" w:color="auto"/>
            <w:bottom w:val="none" w:sz="0" w:space="0" w:color="auto"/>
            <w:right w:val="none" w:sz="0" w:space="0" w:color="auto"/>
          </w:divBdr>
        </w:div>
        <w:div w:id="687489554">
          <w:marLeft w:val="0"/>
          <w:marRight w:val="0"/>
          <w:marTop w:val="0"/>
          <w:marBottom w:val="0"/>
          <w:divBdr>
            <w:top w:val="none" w:sz="0" w:space="0" w:color="auto"/>
            <w:left w:val="none" w:sz="0" w:space="0" w:color="auto"/>
            <w:bottom w:val="none" w:sz="0" w:space="0" w:color="auto"/>
            <w:right w:val="none" w:sz="0" w:space="0" w:color="auto"/>
          </w:divBdr>
        </w:div>
        <w:div w:id="1301693260">
          <w:marLeft w:val="0"/>
          <w:marRight w:val="0"/>
          <w:marTop w:val="0"/>
          <w:marBottom w:val="0"/>
          <w:divBdr>
            <w:top w:val="none" w:sz="0" w:space="0" w:color="auto"/>
            <w:left w:val="none" w:sz="0" w:space="0" w:color="auto"/>
            <w:bottom w:val="none" w:sz="0" w:space="0" w:color="auto"/>
            <w:right w:val="none" w:sz="0" w:space="0" w:color="auto"/>
          </w:divBdr>
        </w:div>
        <w:div w:id="1251508094">
          <w:marLeft w:val="0"/>
          <w:marRight w:val="0"/>
          <w:marTop w:val="0"/>
          <w:marBottom w:val="0"/>
          <w:divBdr>
            <w:top w:val="none" w:sz="0" w:space="0" w:color="auto"/>
            <w:left w:val="none" w:sz="0" w:space="0" w:color="auto"/>
            <w:bottom w:val="none" w:sz="0" w:space="0" w:color="auto"/>
            <w:right w:val="none" w:sz="0" w:space="0" w:color="auto"/>
          </w:divBdr>
        </w:div>
        <w:div w:id="738599821">
          <w:marLeft w:val="0"/>
          <w:marRight w:val="0"/>
          <w:marTop w:val="0"/>
          <w:marBottom w:val="0"/>
          <w:divBdr>
            <w:top w:val="none" w:sz="0" w:space="0" w:color="auto"/>
            <w:left w:val="none" w:sz="0" w:space="0" w:color="auto"/>
            <w:bottom w:val="none" w:sz="0" w:space="0" w:color="auto"/>
            <w:right w:val="none" w:sz="0" w:space="0" w:color="auto"/>
          </w:divBdr>
        </w:div>
        <w:div w:id="1921326801">
          <w:marLeft w:val="0"/>
          <w:marRight w:val="0"/>
          <w:marTop w:val="0"/>
          <w:marBottom w:val="0"/>
          <w:divBdr>
            <w:top w:val="none" w:sz="0" w:space="0" w:color="auto"/>
            <w:left w:val="none" w:sz="0" w:space="0" w:color="auto"/>
            <w:bottom w:val="none" w:sz="0" w:space="0" w:color="auto"/>
            <w:right w:val="none" w:sz="0" w:space="0" w:color="auto"/>
          </w:divBdr>
        </w:div>
        <w:div w:id="1327855560">
          <w:marLeft w:val="0"/>
          <w:marRight w:val="0"/>
          <w:marTop w:val="0"/>
          <w:marBottom w:val="0"/>
          <w:divBdr>
            <w:top w:val="none" w:sz="0" w:space="0" w:color="auto"/>
            <w:left w:val="none" w:sz="0" w:space="0" w:color="auto"/>
            <w:bottom w:val="none" w:sz="0" w:space="0" w:color="auto"/>
            <w:right w:val="none" w:sz="0" w:space="0" w:color="auto"/>
          </w:divBdr>
        </w:div>
        <w:div w:id="1450126384">
          <w:marLeft w:val="0"/>
          <w:marRight w:val="0"/>
          <w:marTop w:val="0"/>
          <w:marBottom w:val="0"/>
          <w:divBdr>
            <w:top w:val="none" w:sz="0" w:space="0" w:color="auto"/>
            <w:left w:val="none" w:sz="0" w:space="0" w:color="auto"/>
            <w:bottom w:val="none" w:sz="0" w:space="0" w:color="auto"/>
            <w:right w:val="none" w:sz="0" w:space="0" w:color="auto"/>
          </w:divBdr>
        </w:div>
        <w:div w:id="1150707289">
          <w:marLeft w:val="0"/>
          <w:marRight w:val="0"/>
          <w:marTop w:val="0"/>
          <w:marBottom w:val="0"/>
          <w:divBdr>
            <w:top w:val="none" w:sz="0" w:space="0" w:color="auto"/>
            <w:left w:val="none" w:sz="0" w:space="0" w:color="auto"/>
            <w:bottom w:val="none" w:sz="0" w:space="0" w:color="auto"/>
            <w:right w:val="none" w:sz="0" w:space="0" w:color="auto"/>
          </w:divBdr>
        </w:div>
        <w:div w:id="125587102">
          <w:marLeft w:val="0"/>
          <w:marRight w:val="0"/>
          <w:marTop w:val="0"/>
          <w:marBottom w:val="0"/>
          <w:divBdr>
            <w:top w:val="none" w:sz="0" w:space="0" w:color="auto"/>
            <w:left w:val="none" w:sz="0" w:space="0" w:color="auto"/>
            <w:bottom w:val="none" w:sz="0" w:space="0" w:color="auto"/>
            <w:right w:val="none" w:sz="0" w:space="0" w:color="auto"/>
          </w:divBdr>
        </w:div>
        <w:div w:id="765268821">
          <w:marLeft w:val="0"/>
          <w:marRight w:val="0"/>
          <w:marTop w:val="0"/>
          <w:marBottom w:val="0"/>
          <w:divBdr>
            <w:top w:val="none" w:sz="0" w:space="0" w:color="auto"/>
            <w:left w:val="none" w:sz="0" w:space="0" w:color="auto"/>
            <w:bottom w:val="none" w:sz="0" w:space="0" w:color="auto"/>
            <w:right w:val="none" w:sz="0" w:space="0" w:color="auto"/>
          </w:divBdr>
        </w:div>
        <w:div w:id="626664941">
          <w:marLeft w:val="0"/>
          <w:marRight w:val="0"/>
          <w:marTop w:val="0"/>
          <w:marBottom w:val="0"/>
          <w:divBdr>
            <w:top w:val="none" w:sz="0" w:space="0" w:color="auto"/>
            <w:left w:val="none" w:sz="0" w:space="0" w:color="auto"/>
            <w:bottom w:val="none" w:sz="0" w:space="0" w:color="auto"/>
            <w:right w:val="none" w:sz="0" w:space="0" w:color="auto"/>
          </w:divBdr>
        </w:div>
        <w:div w:id="266039431">
          <w:marLeft w:val="0"/>
          <w:marRight w:val="0"/>
          <w:marTop w:val="0"/>
          <w:marBottom w:val="0"/>
          <w:divBdr>
            <w:top w:val="none" w:sz="0" w:space="0" w:color="auto"/>
            <w:left w:val="none" w:sz="0" w:space="0" w:color="auto"/>
            <w:bottom w:val="none" w:sz="0" w:space="0" w:color="auto"/>
            <w:right w:val="none" w:sz="0" w:space="0" w:color="auto"/>
          </w:divBdr>
        </w:div>
        <w:div w:id="54857972">
          <w:marLeft w:val="0"/>
          <w:marRight w:val="0"/>
          <w:marTop w:val="0"/>
          <w:marBottom w:val="0"/>
          <w:divBdr>
            <w:top w:val="none" w:sz="0" w:space="0" w:color="auto"/>
            <w:left w:val="none" w:sz="0" w:space="0" w:color="auto"/>
            <w:bottom w:val="none" w:sz="0" w:space="0" w:color="auto"/>
            <w:right w:val="none" w:sz="0" w:space="0" w:color="auto"/>
          </w:divBdr>
        </w:div>
        <w:div w:id="1772628377">
          <w:marLeft w:val="0"/>
          <w:marRight w:val="0"/>
          <w:marTop w:val="0"/>
          <w:marBottom w:val="0"/>
          <w:divBdr>
            <w:top w:val="none" w:sz="0" w:space="0" w:color="auto"/>
            <w:left w:val="none" w:sz="0" w:space="0" w:color="auto"/>
            <w:bottom w:val="none" w:sz="0" w:space="0" w:color="auto"/>
            <w:right w:val="none" w:sz="0" w:space="0" w:color="auto"/>
          </w:divBdr>
        </w:div>
        <w:div w:id="1855684139">
          <w:marLeft w:val="0"/>
          <w:marRight w:val="0"/>
          <w:marTop w:val="0"/>
          <w:marBottom w:val="0"/>
          <w:divBdr>
            <w:top w:val="none" w:sz="0" w:space="0" w:color="auto"/>
            <w:left w:val="none" w:sz="0" w:space="0" w:color="auto"/>
            <w:bottom w:val="none" w:sz="0" w:space="0" w:color="auto"/>
            <w:right w:val="none" w:sz="0" w:space="0" w:color="auto"/>
          </w:divBdr>
        </w:div>
        <w:div w:id="1743524907">
          <w:marLeft w:val="0"/>
          <w:marRight w:val="0"/>
          <w:marTop w:val="0"/>
          <w:marBottom w:val="0"/>
          <w:divBdr>
            <w:top w:val="none" w:sz="0" w:space="0" w:color="auto"/>
            <w:left w:val="none" w:sz="0" w:space="0" w:color="auto"/>
            <w:bottom w:val="none" w:sz="0" w:space="0" w:color="auto"/>
            <w:right w:val="none" w:sz="0" w:space="0" w:color="auto"/>
          </w:divBdr>
        </w:div>
        <w:div w:id="1045719015">
          <w:marLeft w:val="0"/>
          <w:marRight w:val="0"/>
          <w:marTop w:val="0"/>
          <w:marBottom w:val="0"/>
          <w:divBdr>
            <w:top w:val="none" w:sz="0" w:space="0" w:color="auto"/>
            <w:left w:val="none" w:sz="0" w:space="0" w:color="auto"/>
            <w:bottom w:val="none" w:sz="0" w:space="0" w:color="auto"/>
            <w:right w:val="none" w:sz="0" w:space="0" w:color="auto"/>
          </w:divBdr>
        </w:div>
        <w:div w:id="820393229">
          <w:marLeft w:val="0"/>
          <w:marRight w:val="0"/>
          <w:marTop w:val="0"/>
          <w:marBottom w:val="0"/>
          <w:divBdr>
            <w:top w:val="none" w:sz="0" w:space="0" w:color="auto"/>
            <w:left w:val="none" w:sz="0" w:space="0" w:color="auto"/>
            <w:bottom w:val="none" w:sz="0" w:space="0" w:color="auto"/>
            <w:right w:val="none" w:sz="0" w:space="0" w:color="auto"/>
          </w:divBdr>
        </w:div>
        <w:div w:id="1111631360">
          <w:marLeft w:val="0"/>
          <w:marRight w:val="0"/>
          <w:marTop w:val="0"/>
          <w:marBottom w:val="0"/>
          <w:divBdr>
            <w:top w:val="none" w:sz="0" w:space="0" w:color="auto"/>
            <w:left w:val="none" w:sz="0" w:space="0" w:color="auto"/>
            <w:bottom w:val="none" w:sz="0" w:space="0" w:color="auto"/>
            <w:right w:val="none" w:sz="0" w:space="0" w:color="auto"/>
          </w:divBdr>
        </w:div>
        <w:div w:id="1635981573">
          <w:marLeft w:val="0"/>
          <w:marRight w:val="0"/>
          <w:marTop w:val="0"/>
          <w:marBottom w:val="0"/>
          <w:divBdr>
            <w:top w:val="none" w:sz="0" w:space="0" w:color="auto"/>
            <w:left w:val="none" w:sz="0" w:space="0" w:color="auto"/>
            <w:bottom w:val="none" w:sz="0" w:space="0" w:color="auto"/>
            <w:right w:val="none" w:sz="0" w:space="0" w:color="auto"/>
          </w:divBdr>
        </w:div>
        <w:div w:id="1392266917">
          <w:marLeft w:val="0"/>
          <w:marRight w:val="0"/>
          <w:marTop w:val="0"/>
          <w:marBottom w:val="0"/>
          <w:divBdr>
            <w:top w:val="none" w:sz="0" w:space="0" w:color="auto"/>
            <w:left w:val="none" w:sz="0" w:space="0" w:color="auto"/>
            <w:bottom w:val="none" w:sz="0" w:space="0" w:color="auto"/>
            <w:right w:val="none" w:sz="0" w:space="0" w:color="auto"/>
          </w:divBdr>
        </w:div>
        <w:div w:id="1065838805">
          <w:marLeft w:val="0"/>
          <w:marRight w:val="0"/>
          <w:marTop w:val="0"/>
          <w:marBottom w:val="0"/>
          <w:divBdr>
            <w:top w:val="none" w:sz="0" w:space="0" w:color="auto"/>
            <w:left w:val="none" w:sz="0" w:space="0" w:color="auto"/>
            <w:bottom w:val="none" w:sz="0" w:space="0" w:color="auto"/>
            <w:right w:val="none" w:sz="0" w:space="0" w:color="auto"/>
          </w:divBdr>
        </w:div>
        <w:div w:id="1497724555">
          <w:marLeft w:val="0"/>
          <w:marRight w:val="0"/>
          <w:marTop w:val="0"/>
          <w:marBottom w:val="0"/>
          <w:divBdr>
            <w:top w:val="none" w:sz="0" w:space="0" w:color="auto"/>
            <w:left w:val="none" w:sz="0" w:space="0" w:color="auto"/>
            <w:bottom w:val="none" w:sz="0" w:space="0" w:color="auto"/>
            <w:right w:val="none" w:sz="0" w:space="0" w:color="auto"/>
          </w:divBdr>
        </w:div>
        <w:div w:id="1279868669">
          <w:marLeft w:val="0"/>
          <w:marRight w:val="0"/>
          <w:marTop w:val="0"/>
          <w:marBottom w:val="0"/>
          <w:divBdr>
            <w:top w:val="none" w:sz="0" w:space="0" w:color="auto"/>
            <w:left w:val="none" w:sz="0" w:space="0" w:color="auto"/>
            <w:bottom w:val="none" w:sz="0" w:space="0" w:color="auto"/>
            <w:right w:val="none" w:sz="0" w:space="0" w:color="auto"/>
          </w:divBdr>
        </w:div>
        <w:div w:id="139346525">
          <w:marLeft w:val="0"/>
          <w:marRight w:val="0"/>
          <w:marTop w:val="0"/>
          <w:marBottom w:val="0"/>
          <w:divBdr>
            <w:top w:val="none" w:sz="0" w:space="0" w:color="auto"/>
            <w:left w:val="none" w:sz="0" w:space="0" w:color="auto"/>
            <w:bottom w:val="none" w:sz="0" w:space="0" w:color="auto"/>
            <w:right w:val="none" w:sz="0" w:space="0" w:color="auto"/>
          </w:divBdr>
        </w:div>
        <w:div w:id="236133481">
          <w:marLeft w:val="0"/>
          <w:marRight w:val="0"/>
          <w:marTop w:val="0"/>
          <w:marBottom w:val="0"/>
          <w:divBdr>
            <w:top w:val="none" w:sz="0" w:space="0" w:color="auto"/>
            <w:left w:val="none" w:sz="0" w:space="0" w:color="auto"/>
            <w:bottom w:val="none" w:sz="0" w:space="0" w:color="auto"/>
            <w:right w:val="none" w:sz="0" w:space="0" w:color="auto"/>
          </w:divBdr>
        </w:div>
        <w:div w:id="168523095">
          <w:marLeft w:val="0"/>
          <w:marRight w:val="0"/>
          <w:marTop w:val="0"/>
          <w:marBottom w:val="0"/>
          <w:divBdr>
            <w:top w:val="none" w:sz="0" w:space="0" w:color="auto"/>
            <w:left w:val="none" w:sz="0" w:space="0" w:color="auto"/>
            <w:bottom w:val="none" w:sz="0" w:space="0" w:color="auto"/>
            <w:right w:val="none" w:sz="0" w:space="0" w:color="auto"/>
          </w:divBdr>
        </w:div>
        <w:div w:id="789470797">
          <w:marLeft w:val="0"/>
          <w:marRight w:val="0"/>
          <w:marTop w:val="0"/>
          <w:marBottom w:val="0"/>
          <w:divBdr>
            <w:top w:val="none" w:sz="0" w:space="0" w:color="auto"/>
            <w:left w:val="none" w:sz="0" w:space="0" w:color="auto"/>
            <w:bottom w:val="none" w:sz="0" w:space="0" w:color="auto"/>
            <w:right w:val="none" w:sz="0" w:space="0" w:color="auto"/>
          </w:divBdr>
        </w:div>
        <w:div w:id="1709719635">
          <w:marLeft w:val="0"/>
          <w:marRight w:val="0"/>
          <w:marTop w:val="0"/>
          <w:marBottom w:val="0"/>
          <w:divBdr>
            <w:top w:val="none" w:sz="0" w:space="0" w:color="auto"/>
            <w:left w:val="none" w:sz="0" w:space="0" w:color="auto"/>
            <w:bottom w:val="none" w:sz="0" w:space="0" w:color="auto"/>
            <w:right w:val="none" w:sz="0" w:space="0" w:color="auto"/>
          </w:divBdr>
        </w:div>
        <w:div w:id="1119376544">
          <w:marLeft w:val="0"/>
          <w:marRight w:val="0"/>
          <w:marTop w:val="0"/>
          <w:marBottom w:val="0"/>
          <w:divBdr>
            <w:top w:val="none" w:sz="0" w:space="0" w:color="auto"/>
            <w:left w:val="none" w:sz="0" w:space="0" w:color="auto"/>
            <w:bottom w:val="none" w:sz="0" w:space="0" w:color="auto"/>
            <w:right w:val="none" w:sz="0" w:space="0" w:color="auto"/>
          </w:divBdr>
        </w:div>
        <w:div w:id="317617841">
          <w:marLeft w:val="0"/>
          <w:marRight w:val="0"/>
          <w:marTop w:val="0"/>
          <w:marBottom w:val="0"/>
          <w:divBdr>
            <w:top w:val="none" w:sz="0" w:space="0" w:color="auto"/>
            <w:left w:val="none" w:sz="0" w:space="0" w:color="auto"/>
            <w:bottom w:val="none" w:sz="0" w:space="0" w:color="auto"/>
            <w:right w:val="none" w:sz="0" w:space="0" w:color="auto"/>
          </w:divBdr>
        </w:div>
        <w:div w:id="530726628">
          <w:marLeft w:val="0"/>
          <w:marRight w:val="0"/>
          <w:marTop w:val="0"/>
          <w:marBottom w:val="0"/>
          <w:divBdr>
            <w:top w:val="none" w:sz="0" w:space="0" w:color="auto"/>
            <w:left w:val="none" w:sz="0" w:space="0" w:color="auto"/>
            <w:bottom w:val="none" w:sz="0" w:space="0" w:color="auto"/>
            <w:right w:val="none" w:sz="0" w:space="0" w:color="auto"/>
          </w:divBdr>
        </w:div>
        <w:div w:id="1075666330">
          <w:marLeft w:val="0"/>
          <w:marRight w:val="0"/>
          <w:marTop w:val="0"/>
          <w:marBottom w:val="0"/>
          <w:divBdr>
            <w:top w:val="none" w:sz="0" w:space="0" w:color="auto"/>
            <w:left w:val="none" w:sz="0" w:space="0" w:color="auto"/>
            <w:bottom w:val="none" w:sz="0" w:space="0" w:color="auto"/>
            <w:right w:val="none" w:sz="0" w:space="0" w:color="auto"/>
          </w:divBdr>
        </w:div>
        <w:div w:id="2042393876">
          <w:marLeft w:val="0"/>
          <w:marRight w:val="0"/>
          <w:marTop w:val="0"/>
          <w:marBottom w:val="0"/>
          <w:divBdr>
            <w:top w:val="none" w:sz="0" w:space="0" w:color="auto"/>
            <w:left w:val="none" w:sz="0" w:space="0" w:color="auto"/>
            <w:bottom w:val="none" w:sz="0" w:space="0" w:color="auto"/>
            <w:right w:val="none" w:sz="0" w:space="0" w:color="auto"/>
          </w:divBdr>
        </w:div>
        <w:div w:id="694813472">
          <w:marLeft w:val="0"/>
          <w:marRight w:val="0"/>
          <w:marTop w:val="0"/>
          <w:marBottom w:val="0"/>
          <w:divBdr>
            <w:top w:val="none" w:sz="0" w:space="0" w:color="auto"/>
            <w:left w:val="none" w:sz="0" w:space="0" w:color="auto"/>
            <w:bottom w:val="none" w:sz="0" w:space="0" w:color="auto"/>
            <w:right w:val="none" w:sz="0" w:space="0" w:color="auto"/>
          </w:divBdr>
        </w:div>
        <w:div w:id="1484811812">
          <w:marLeft w:val="0"/>
          <w:marRight w:val="0"/>
          <w:marTop w:val="0"/>
          <w:marBottom w:val="0"/>
          <w:divBdr>
            <w:top w:val="none" w:sz="0" w:space="0" w:color="auto"/>
            <w:left w:val="none" w:sz="0" w:space="0" w:color="auto"/>
            <w:bottom w:val="none" w:sz="0" w:space="0" w:color="auto"/>
            <w:right w:val="none" w:sz="0" w:space="0" w:color="auto"/>
          </w:divBdr>
        </w:div>
        <w:div w:id="2000576635">
          <w:marLeft w:val="0"/>
          <w:marRight w:val="0"/>
          <w:marTop w:val="0"/>
          <w:marBottom w:val="0"/>
          <w:divBdr>
            <w:top w:val="none" w:sz="0" w:space="0" w:color="auto"/>
            <w:left w:val="none" w:sz="0" w:space="0" w:color="auto"/>
            <w:bottom w:val="none" w:sz="0" w:space="0" w:color="auto"/>
            <w:right w:val="none" w:sz="0" w:space="0" w:color="auto"/>
          </w:divBdr>
        </w:div>
        <w:div w:id="1985742349">
          <w:marLeft w:val="0"/>
          <w:marRight w:val="0"/>
          <w:marTop w:val="0"/>
          <w:marBottom w:val="0"/>
          <w:divBdr>
            <w:top w:val="none" w:sz="0" w:space="0" w:color="auto"/>
            <w:left w:val="none" w:sz="0" w:space="0" w:color="auto"/>
            <w:bottom w:val="none" w:sz="0" w:space="0" w:color="auto"/>
            <w:right w:val="none" w:sz="0" w:space="0" w:color="auto"/>
          </w:divBdr>
        </w:div>
        <w:div w:id="781221096">
          <w:marLeft w:val="0"/>
          <w:marRight w:val="0"/>
          <w:marTop w:val="0"/>
          <w:marBottom w:val="0"/>
          <w:divBdr>
            <w:top w:val="none" w:sz="0" w:space="0" w:color="auto"/>
            <w:left w:val="none" w:sz="0" w:space="0" w:color="auto"/>
            <w:bottom w:val="none" w:sz="0" w:space="0" w:color="auto"/>
            <w:right w:val="none" w:sz="0" w:space="0" w:color="auto"/>
          </w:divBdr>
        </w:div>
        <w:div w:id="213002745">
          <w:marLeft w:val="0"/>
          <w:marRight w:val="0"/>
          <w:marTop w:val="0"/>
          <w:marBottom w:val="0"/>
          <w:divBdr>
            <w:top w:val="none" w:sz="0" w:space="0" w:color="auto"/>
            <w:left w:val="none" w:sz="0" w:space="0" w:color="auto"/>
            <w:bottom w:val="none" w:sz="0" w:space="0" w:color="auto"/>
            <w:right w:val="none" w:sz="0" w:space="0" w:color="auto"/>
          </w:divBdr>
        </w:div>
        <w:div w:id="936017695">
          <w:marLeft w:val="0"/>
          <w:marRight w:val="0"/>
          <w:marTop w:val="0"/>
          <w:marBottom w:val="0"/>
          <w:divBdr>
            <w:top w:val="none" w:sz="0" w:space="0" w:color="auto"/>
            <w:left w:val="none" w:sz="0" w:space="0" w:color="auto"/>
            <w:bottom w:val="none" w:sz="0" w:space="0" w:color="auto"/>
            <w:right w:val="none" w:sz="0" w:space="0" w:color="auto"/>
          </w:divBdr>
        </w:div>
        <w:div w:id="149753824">
          <w:marLeft w:val="0"/>
          <w:marRight w:val="0"/>
          <w:marTop w:val="0"/>
          <w:marBottom w:val="0"/>
          <w:divBdr>
            <w:top w:val="none" w:sz="0" w:space="0" w:color="auto"/>
            <w:left w:val="none" w:sz="0" w:space="0" w:color="auto"/>
            <w:bottom w:val="none" w:sz="0" w:space="0" w:color="auto"/>
            <w:right w:val="none" w:sz="0" w:space="0" w:color="auto"/>
          </w:divBdr>
        </w:div>
        <w:div w:id="362027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gerontologist/article/58/suppl_1/S10/4816735" TargetMode="External"/><Relationship Id="rId13" Type="http://schemas.openxmlformats.org/officeDocument/2006/relationships/hyperlink" Target="https://onlinelibrary.wiley.com/doi/full/10.1002/nop2.520"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550543/Dr_Sarah_Devaney_-_Ethics_for_regulators.pdf" TargetMode="External"/><Relationship Id="rId12" Type="http://schemas.openxmlformats.org/officeDocument/2006/relationships/hyperlink" Target="https://onlinelibrary.wiley.com/doi/10.1046/j.1440-172X.2003.00423.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lzheimers.org.uk/about-dementia/types-dementia/what-dementia" TargetMode="External"/><Relationship Id="rId11" Type="http://schemas.openxmlformats.org/officeDocument/2006/relationships/hyperlink" Target="https://researchers.dellmed.utexas.edu/en/publications/a-concept-analysis-of-person-centered-care"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nhs.uk/conditions/dementia/social-services-and-the-nhs/" TargetMode="External"/><Relationship Id="rId4" Type="http://schemas.openxmlformats.org/officeDocument/2006/relationships/webSettings" Target="webSettings.xml"/><Relationship Id="rId9" Type="http://schemas.openxmlformats.org/officeDocument/2006/relationships/hyperlink" Target="https://www.nursingtimes.net/roles/nurse-educators/nursing-theories-1-person-centred-care-23-10-201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5DFCF-B21C-4637-85B7-ED16AD423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2800</Words>
  <Characters>15966</Characters>
  <Application>Microsoft Office Word</Application>
  <DocSecurity>0</DocSecurity>
  <Lines>133</Lines>
  <Paragraphs>37</Paragraphs>
  <ScaleCrop>false</ScaleCrop>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Naomi Philander</cp:lastModifiedBy>
  <cp:revision>2</cp:revision>
  <dcterms:created xsi:type="dcterms:W3CDTF">2021-09-06T20:59:00Z</dcterms:created>
  <dcterms:modified xsi:type="dcterms:W3CDTF">2021-09-06T20:59:00Z</dcterms:modified>
</cp:coreProperties>
</file>