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820A1" w14:textId="77777777" w:rsidR="00124D9B" w:rsidRDefault="00124D9B" w:rsidP="00215654">
      <w:pPr>
        <w:jc w:val="center"/>
        <w:rPr>
          <w:rFonts w:ascii="Times New Roman" w:hAnsi="Times New Roman" w:cs="Times New Roman"/>
          <w:sz w:val="40"/>
          <w:szCs w:val="40"/>
        </w:rPr>
      </w:pPr>
    </w:p>
    <w:p w14:paraId="5D2F3F2C" w14:textId="3D94093E" w:rsidR="00124D9B" w:rsidRDefault="00124D9B" w:rsidP="00215654">
      <w:pPr>
        <w:jc w:val="center"/>
        <w:rPr>
          <w:rFonts w:ascii="Times New Roman" w:hAnsi="Times New Roman" w:cs="Times New Roman"/>
          <w:sz w:val="40"/>
          <w:szCs w:val="40"/>
        </w:rPr>
      </w:pPr>
    </w:p>
    <w:p w14:paraId="73335654" w14:textId="77777777" w:rsidR="00124D9B" w:rsidRDefault="00124D9B" w:rsidP="00215654">
      <w:pPr>
        <w:jc w:val="center"/>
        <w:rPr>
          <w:rFonts w:ascii="Times New Roman" w:hAnsi="Times New Roman" w:cs="Times New Roman"/>
          <w:sz w:val="40"/>
          <w:szCs w:val="40"/>
        </w:rPr>
      </w:pPr>
    </w:p>
    <w:p w14:paraId="64B4453F" w14:textId="77777777" w:rsidR="00124D9B" w:rsidRDefault="00124D9B" w:rsidP="00215654">
      <w:pPr>
        <w:jc w:val="center"/>
        <w:rPr>
          <w:rFonts w:ascii="Times New Roman" w:hAnsi="Times New Roman" w:cs="Times New Roman"/>
          <w:sz w:val="40"/>
          <w:szCs w:val="40"/>
        </w:rPr>
      </w:pPr>
    </w:p>
    <w:p w14:paraId="69D78544" w14:textId="77777777" w:rsidR="00124D9B" w:rsidRDefault="00124D9B" w:rsidP="00215654">
      <w:pPr>
        <w:jc w:val="center"/>
        <w:rPr>
          <w:rFonts w:ascii="Times New Roman" w:hAnsi="Times New Roman" w:cs="Times New Roman"/>
          <w:sz w:val="40"/>
          <w:szCs w:val="40"/>
        </w:rPr>
      </w:pPr>
    </w:p>
    <w:p w14:paraId="562FF26F" w14:textId="77777777" w:rsidR="00124D9B" w:rsidRDefault="00124D9B" w:rsidP="00215654">
      <w:pPr>
        <w:jc w:val="center"/>
        <w:rPr>
          <w:rFonts w:ascii="Times New Roman" w:hAnsi="Times New Roman" w:cs="Times New Roman"/>
          <w:sz w:val="40"/>
          <w:szCs w:val="40"/>
        </w:rPr>
      </w:pPr>
    </w:p>
    <w:p w14:paraId="2E99D304" w14:textId="0C208235" w:rsidR="00215654" w:rsidRPr="00215654" w:rsidRDefault="00215654" w:rsidP="00215654">
      <w:pPr>
        <w:jc w:val="center"/>
        <w:rPr>
          <w:rFonts w:ascii="Times New Roman" w:hAnsi="Times New Roman" w:cs="Times New Roman"/>
          <w:sz w:val="40"/>
          <w:szCs w:val="40"/>
        </w:rPr>
      </w:pPr>
      <w:r w:rsidRPr="00215654">
        <w:rPr>
          <w:rFonts w:ascii="Times New Roman" w:hAnsi="Times New Roman" w:cs="Times New Roman"/>
          <w:sz w:val="40"/>
          <w:szCs w:val="40"/>
        </w:rPr>
        <w:t>NAME: Muhammed shah</w:t>
      </w:r>
    </w:p>
    <w:p w14:paraId="5E4104B6" w14:textId="77777777" w:rsidR="00215654" w:rsidRPr="00215654" w:rsidRDefault="00215654" w:rsidP="00215654">
      <w:pPr>
        <w:jc w:val="center"/>
        <w:rPr>
          <w:rFonts w:ascii="Times New Roman" w:hAnsi="Times New Roman" w:cs="Times New Roman"/>
          <w:sz w:val="40"/>
          <w:szCs w:val="40"/>
        </w:rPr>
      </w:pPr>
      <w:r w:rsidRPr="00215654">
        <w:rPr>
          <w:rFonts w:ascii="Times New Roman" w:hAnsi="Times New Roman" w:cs="Times New Roman"/>
          <w:sz w:val="40"/>
          <w:szCs w:val="40"/>
        </w:rPr>
        <w:t>STUDENT NUMBER: 2131204</w:t>
      </w:r>
    </w:p>
    <w:p w14:paraId="7F5EA629" w14:textId="77777777" w:rsidR="00215654" w:rsidRPr="00215654" w:rsidRDefault="00215654" w:rsidP="00215654">
      <w:pPr>
        <w:jc w:val="center"/>
        <w:rPr>
          <w:rFonts w:ascii="Times New Roman" w:hAnsi="Times New Roman" w:cs="Times New Roman"/>
          <w:sz w:val="40"/>
          <w:szCs w:val="40"/>
        </w:rPr>
      </w:pPr>
      <w:r w:rsidRPr="00215654">
        <w:rPr>
          <w:rFonts w:ascii="Times New Roman" w:hAnsi="Times New Roman" w:cs="Times New Roman"/>
          <w:sz w:val="40"/>
          <w:szCs w:val="40"/>
        </w:rPr>
        <w:t>MODULE: LCMB7000</w:t>
      </w:r>
    </w:p>
    <w:p w14:paraId="6D19703F" w14:textId="35A01491" w:rsidR="00215654" w:rsidRPr="00215654" w:rsidRDefault="00215654" w:rsidP="00215654">
      <w:pPr>
        <w:jc w:val="center"/>
        <w:rPr>
          <w:rFonts w:ascii="Times New Roman" w:hAnsi="Times New Roman" w:cs="Times New Roman"/>
          <w:sz w:val="40"/>
          <w:szCs w:val="40"/>
        </w:rPr>
      </w:pPr>
      <w:r w:rsidRPr="00215654">
        <w:rPr>
          <w:rFonts w:ascii="Times New Roman" w:hAnsi="Times New Roman" w:cs="Times New Roman"/>
          <w:sz w:val="40"/>
          <w:szCs w:val="40"/>
        </w:rPr>
        <w:t>LECTURER:</w:t>
      </w:r>
      <w:r>
        <w:rPr>
          <w:rFonts w:ascii="Times New Roman" w:hAnsi="Times New Roman" w:cs="Times New Roman"/>
          <w:sz w:val="40"/>
          <w:szCs w:val="40"/>
        </w:rPr>
        <w:t xml:space="preserve"> </w:t>
      </w:r>
      <w:bookmarkStart w:id="0" w:name="_Hlk113623336"/>
      <w:r>
        <w:rPr>
          <w:rFonts w:ascii="Times New Roman" w:hAnsi="Times New Roman" w:cs="Times New Roman"/>
          <w:sz w:val="40"/>
          <w:szCs w:val="40"/>
        </w:rPr>
        <w:t>Dr</w:t>
      </w:r>
      <w:r w:rsidRPr="00215654">
        <w:rPr>
          <w:rFonts w:ascii="Times New Roman" w:hAnsi="Times New Roman" w:cs="Times New Roman"/>
          <w:sz w:val="40"/>
          <w:szCs w:val="40"/>
        </w:rPr>
        <w:t xml:space="preserve"> </w:t>
      </w:r>
      <w:bookmarkEnd w:id="0"/>
      <w:r w:rsidRPr="00215654">
        <w:rPr>
          <w:rFonts w:ascii="Times New Roman" w:hAnsi="Times New Roman" w:cs="Times New Roman"/>
          <w:sz w:val="40"/>
          <w:szCs w:val="40"/>
        </w:rPr>
        <w:t>Gladius David Kulothungan</w:t>
      </w:r>
    </w:p>
    <w:p w14:paraId="03F41CBF" w14:textId="77777777" w:rsidR="00215654" w:rsidRPr="00215654" w:rsidRDefault="00215654" w:rsidP="00215654">
      <w:pPr>
        <w:jc w:val="center"/>
        <w:rPr>
          <w:rFonts w:ascii="Times New Roman" w:hAnsi="Times New Roman" w:cs="Times New Roman"/>
          <w:sz w:val="40"/>
          <w:szCs w:val="40"/>
        </w:rPr>
      </w:pPr>
      <w:r w:rsidRPr="00215654">
        <w:rPr>
          <w:rFonts w:ascii="Times New Roman" w:hAnsi="Times New Roman" w:cs="Times New Roman"/>
          <w:sz w:val="40"/>
          <w:szCs w:val="40"/>
        </w:rPr>
        <w:t>COURSE: MBA General management</w:t>
      </w:r>
    </w:p>
    <w:p w14:paraId="46FF889A" w14:textId="4CE2F273" w:rsidR="00215654" w:rsidRPr="00215654" w:rsidRDefault="00215654" w:rsidP="00215654">
      <w:pPr>
        <w:jc w:val="center"/>
        <w:rPr>
          <w:rFonts w:ascii="Times New Roman" w:hAnsi="Times New Roman" w:cs="Times New Roman"/>
          <w:sz w:val="40"/>
          <w:szCs w:val="40"/>
        </w:rPr>
      </w:pPr>
      <w:r w:rsidRPr="00215654">
        <w:rPr>
          <w:rFonts w:ascii="Times New Roman" w:hAnsi="Times New Roman" w:cs="Times New Roman"/>
          <w:sz w:val="40"/>
          <w:szCs w:val="40"/>
        </w:rPr>
        <w:t>SUBMISSION DATE:</w:t>
      </w:r>
      <w:r w:rsidR="00FB1348">
        <w:rPr>
          <w:rFonts w:ascii="Times New Roman" w:hAnsi="Times New Roman" w:cs="Times New Roman"/>
          <w:sz w:val="40"/>
          <w:szCs w:val="40"/>
        </w:rPr>
        <w:t>10/09/2022</w:t>
      </w:r>
    </w:p>
    <w:p w14:paraId="4248D050" w14:textId="37376FC7" w:rsidR="00A418D7" w:rsidRDefault="00215654" w:rsidP="00215654">
      <w:pPr>
        <w:jc w:val="center"/>
        <w:rPr>
          <w:rFonts w:ascii="Times New Roman" w:hAnsi="Times New Roman" w:cs="Times New Roman"/>
          <w:sz w:val="40"/>
          <w:szCs w:val="40"/>
        </w:rPr>
      </w:pPr>
      <w:r w:rsidRPr="00215654">
        <w:rPr>
          <w:rFonts w:ascii="Times New Roman" w:hAnsi="Times New Roman" w:cs="Times New Roman"/>
          <w:sz w:val="40"/>
          <w:szCs w:val="40"/>
        </w:rPr>
        <w:t>TITLE: HRM  Assignment</w:t>
      </w:r>
      <w:r>
        <w:rPr>
          <w:rFonts w:ascii="Times New Roman" w:hAnsi="Times New Roman" w:cs="Times New Roman"/>
          <w:sz w:val="40"/>
          <w:szCs w:val="40"/>
        </w:rPr>
        <w:t xml:space="preserve"> 1</w:t>
      </w:r>
    </w:p>
    <w:p w14:paraId="64C8026D" w14:textId="08747B99" w:rsidR="00215654" w:rsidRDefault="00215654" w:rsidP="00215654">
      <w:pPr>
        <w:rPr>
          <w:rFonts w:ascii="Times New Roman" w:hAnsi="Times New Roman" w:cs="Times New Roman"/>
          <w:sz w:val="40"/>
          <w:szCs w:val="40"/>
        </w:rPr>
      </w:pPr>
    </w:p>
    <w:p w14:paraId="77B645F0" w14:textId="26A61295" w:rsidR="00124D9B" w:rsidRDefault="00124D9B" w:rsidP="00215654">
      <w:pPr>
        <w:rPr>
          <w:rFonts w:ascii="Times New Roman" w:hAnsi="Times New Roman" w:cs="Times New Roman"/>
          <w:sz w:val="40"/>
          <w:szCs w:val="40"/>
        </w:rPr>
      </w:pPr>
    </w:p>
    <w:p w14:paraId="4C23A47C" w14:textId="0E6A1865" w:rsidR="00124D9B" w:rsidRDefault="00124D9B" w:rsidP="00215654">
      <w:pPr>
        <w:rPr>
          <w:rFonts w:ascii="Times New Roman" w:hAnsi="Times New Roman" w:cs="Times New Roman"/>
          <w:sz w:val="40"/>
          <w:szCs w:val="40"/>
        </w:rPr>
      </w:pPr>
    </w:p>
    <w:p w14:paraId="17368B06" w14:textId="22801EBA" w:rsidR="00124D9B" w:rsidRDefault="00124D9B" w:rsidP="00215654">
      <w:pPr>
        <w:rPr>
          <w:rFonts w:ascii="Times New Roman" w:hAnsi="Times New Roman" w:cs="Times New Roman"/>
          <w:sz w:val="40"/>
          <w:szCs w:val="40"/>
        </w:rPr>
      </w:pPr>
    </w:p>
    <w:p w14:paraId="28278C3B" w14:textId="103B71ED" w:rsidR="00124D9B" w:rsidRDefault="00124D9B" w:rsidP="00215654">
      <w:pPr>
        <w:rPr>
          <w:rFonts w:ascii="Times New Roman" w:hAnsi="Times New Roman" w:cs="Times New Roman"/>
          <w:sz w:val="40"/>
          <w:szCs w:val="40"/>
        </w:rPr>
      </w:pPr>
    </w:p>
    <w:p w14:paraId="538E574E" w14:textId="16B82CBF" w:rsidR="00124D9B" w:rsidRDefault="00124D9B" w:rsidP="00215654">
      <w:pPr>
        <w:rPr>
          <w:rFonts w:ascii="Times New Roman" w:hAnsi="Times New Roman" w:cs="Times New Roman"/>
          <w:sz w:val="40"/>
          <w:szCs w:val="40"/>
        </w:rPr>
      </w:pPr>
    </w:p>
    <w:p w14:paraId="329953F5" w14:textId="3F36BD2A" w:rsidR="00124D9B" w:rsidRDefault="00124D9B" w:rsidP="00215654">
      <w:pPr>
        <w:rPr>
          <w:rFonts w:ascii="Times New Roman" w:hAnsi="Times New Roman" w:cs="Times New Roman"/>
          <w:sz w:val="40"/>
          <w:szCs w:val="40"/>
        </w:rPr>
      </w:pPr>
    </w:p>
    <w:p w14:paraId="3203C1F6" w14:textId="5534BBB4" w:rsidR="00124D9B" w:rsidRDefault="00124D9B" w:rsidP="00215654">
      <w:pPr>
        <w:rPr>
          <w:rFonts w:ascii="Times New Roman" w:hAnsi="Times New Roman" w:cs="Times New Roman"/>
          <w:sz w:val="40"/>
          <w:szCs w:val="40"/>
        </w:rPr>
      </w:pPr>
    </w:p>
    <w:p w14:paraId="1ABB2DCD" w14:textId="77777777" w:rsidR="009B701E" w:rsidRPr="009B701E" w:rsidRDefault="009B701E" w:rsidP="009B701E">
      <w:pPr>
        <w:rPr>
          <w:rFonts w:ascii="Times New Roman" w:hAnsi="Times New Roman" w:cs="Times New Roman"/>
          <w:b/>
          <w:bCs/>
          <w:sz w:val="28"/>
          <w:szCs w:val="28"/>
        </w:rPr>
      </w:pPr>
      <w:r w:rsidRPr="009B701E">
        <w:rPr>
          <w:rFonts w:ascii="Times New Roman" w:hAnsi="Times New Roman" w:cs="Times New Roman"/>
          <w:b/>
          <w:bCs/>
          <w:sz w:val="28"/>
          <w:szCs w:val="28"/>
        </w:rPr>
        <w:lastRenderedPageBreak/>
        <w:t>Table of Contents</w:t>
      </w:r>
    </w:p>
    <w:p w14:paraId="19D8E1E0" w14:textId="63A5CF1F"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INTRODUCTION</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3</w:t>
      </w:r>
    </w:p>
    <w:p w14:paraId="305DFE08" w14:textId="1317E7FD"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IMPACT OF PANDEMIC</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3</w:t>
      </w:r>
    </w:p>
    <w:p w14:paraId="20E74077" w14:textId="299F4061"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BREXIT ISSUES</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4</w:t>
      </w:r>
    </w:p>
    <w:p w14:paraId="62A0DA9D" w14:textId="4CC515BD"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WORKFORCE DIVERSITY</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4</w:t>
      </w:r>
    </w:p>
    <w:p w14:paraId="4FEF9A84" w14:textId="1B19AE72"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CURRENT SITUATION</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4</w:t>
      </w:r>
    </w:p>
    <w:p w14:paraId="36079FDB" w14:textId="139BF9E5"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Net Employment Rate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ab/>
        <w:t>4</w:t>
      </w:r>
    </w:p>
    <w:p w14:paraId="5D8C6F98" w14:textId="0D794D71"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Employers make Redundancies</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5</w:t>
      </w:r>
    </w:p>
    <w:p w14:paraId="6FA20EA8" w14:textId="2B72DC90"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Hiring Difficulties</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5</w:t>
      </w:r>
    </w:p>
    <w:p w14:paraId="37192736" w14:textId="5F7E6DC3"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Average earnings by Youth</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6</w:t>
      </w:r>
    </w:p>
    <w:p w14:paraId="5B0216E9" w14:textId="7E8BD010"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Unemployment Rate</w:t>
      </w:r>
      <w:r w:rsidRPr="009B701E">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6</w:t>
      </w:r>
    </w:p>
    <w:p w14:paraId="7A35CFBE" w14:textId="10CBA1BD"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Economic Inactivity</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7</w:t>
      </w:r>
    </w:p>
    <w:p w14:paraId="7D6FA9D3" w14:textId="33AA3240"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EMERGING CHANGES IN HUMAN RESOURCING STRATEGIES</w:t>
      </w:r>
      <w:r w:rsidRPr="009B701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7</w:t>
      </w:r>
    </w:p>
    <w:p w14:paraId="3FD302F5" w14:textId="3143E446"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 xml:space="preserve">Human Resource Planning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8</w:t>
      </w:r>
    </w:p>
    <w:p w14:paraId="1D253BDC" w14:textId="034471E9"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 xml:space="preserve">Recruitment and Selection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B701E">
        <w:rPr>
          <w:rFonts w:ascii="Times New Roman" w:hAnsi="Times New Roman" w:cs="Times New Roman"/>
          <w:sz w:val="24"/>
          <w:szCs w:val="24"/>
        </w:rPr>
        <w:t>8</w:t>
      </w:r>
    </w:p>
    <w:p w14:paraId="38762C02" w14:textId="4E649723"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Training and Development</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8</w:t>
      </w:r>
    </w:p>
    <w:p w14:paraId="28830E56" w14:textId="5D1EE2E7"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Motivation</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9</w:t>
      </w:r>
    </w:p>
    <w:p w14:paraId="46C9C944" w14:textId="44C55FEB"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Facilitating Technology</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9</w:t>
      </w:r>
    </w:p>
    <w:p w14:paraId="463B0F3E" w14:textId="7430B737"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Performance Evaluation</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9</w:t>
      </w:r>
    </w:p>
    <w:p w14:paraId="62C499AF" w14:textId="5C36E870"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Employee Retention</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9</w:t>
      </w:r>
    </w:p>
    <w:p w14:paraId="2B48B873" w14:textId="12A57D1E"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Leadership Behaviour</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10</w:t>
      </w:r>
    </w:p>
    <w:p w14:paraId="1FD8E082" w14:textId="5E8EE65B"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Flexible Working Environment</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10</w:t>
      </w:r>
    </w:p>
    <w:p w14:paraId="5E298EB3" w14:textId="2BFFFE45"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Management of workforce diversity</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10</w:t>
      </w:r>
    </w:p>
    <w:p w14:paraId="7B54610F" w14:textId="4C571624" w:rsidR="009B701E"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CONCLUSION</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10</w:t>
      </w:r>
    </w:p>
    <w:p w14:paraId="6B1EB4BF" w14:textId="31371020" w:rsidR="00BA424A" w:rsidRPr="009B701E" w:rsidRDefault="009B701E" w:rsidP="009B701E">
      <w:pPr>
        <w:rPr>
          <w:rFonts w:ascii="Times New Roman" w:hAnsi="Times New Roman" w:cs="Times New Roman"/>
          <w:sz w:val="24"/>
          <w:szCs w:val="24"/>
        </w:rPr>
      </w:pPr>
      <w:r w:rsidRPr="009B701E">
        <w:rPr>
          <w:rFonts w:ascii="Times New Roman" w:hAnsi="Times New Roman" w:cs="Times New Roman"/>
          <w:sz w:val="24"/>
          <w:szCs w:val="24"/>
        </w:rPr>
        <w:t>REFERENCES</w:t>
      </w:r>
      <w:r w:rsidRPr="009B701E">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007E502D">
        <w:rPr>
          <w:rFonts w:ascii="Times New Roman" w:hAnsi="Times New Roman" w:cs="Times New Roman"/>
          <w:sz w:val="24"/>
          <w:szCs w:val="24"/>
        </w:rPr>
        <w:tab/>
      </w:r>
      <w:r w:rsidRPr="009B701E">
        <w:rPr>
          <w:rFonts w:ascii="Times New Roman" w:hAnsi="Times New Roman" w:cs="Times New Roman"/>
          <w:sz w:val="24"/>
          <w:szCs w:val="24"/>
        </w:rPr>
        <w:t>11</w:t>
      </w:r>
    </w:p>
    <w:p w14:paraId="367A2505" w14:textId="06EB087C" w:rsidR="00BA424A" w:rsidRDefault="00BA424A" w:rsidP="00BA424A">
      <w:pPr>
        <w:rPr>
          <w:rFonts w:ascii="Times New Roman" w:hAnsi="Times New Roman" w:cs="Times New Roman"/>
          <w:sz w:val="24"/>
          <w:szCs w:val="24"/>
        </w:rPr>
      </w:pPr>
    </w:p>
    <w:p w14:paraId="01B14475" w14:textId="089BF3F4" w:rsidR="00BA424A" w:rsidRDefault="00BA424A" w:rsidP="00BA424A">
      <w:pPr>
        <w:rPr>
          <w:rFonts w:ascii="Times New Roman" w:hAnsi="Times New Roman" w:cs="Times New Roman"/>
          <w:sz w:val="24"/>
          <w:szCs w:val="24"/>
        </w:rPr>
      </w:pPr>
    </w:p>
    <w:p w14:paraId="61EA9B00" w14:textId="287277B7" w:rsidR="00BA424A" w:rsidRDefault="00BA424A" w:rsidP="00BA424A">
      <w:pPr>
        <w:rPr>
          <w:rFonts w:ascii="Times New Roman" w:hAnsi="Times New Roman" w:cs="Times New Roman"/>
          <w:sz w:val="24"/>
          <w:szCs w:val="24"/>
        </w:rPr>
      </w:pPr>
    </w:p>
    <w:p w14:paraId="4A676406" w14:textId="77777777" w:rsidR="007E502D" w:rsidRDefault="007E502D" w:rsidP="00BA424A">
      <w:pPr>
        <w:rPr>
          <w:rFonts w:ascii="Times New Roman" w:hAnsi="Times New Roman" w:cs="Times New Roman"/>
          <w:sz w:val="24"/>
          <w:szCs w:val="24"/>
        </w:rPr>
      </w:pPr>
    </w:p>
    <w:p w14:paraId="16D4BA89" w14:textId="7A04E96B" w:rsidR="00BA424A" w:rsidRDefault="00BA424A" w:rsidP="00BA424A">
      <w:pPr>
        <w:rPr>
          <w:rFonts w:ascii="Times New Roman" w:hAnsi="Times New Roman" w:cs="Times New Roman"/>
          <w:sz w:val="24"/>
          <w:szCs w:val="24"/>
        </w:rPr>
      </w:pPr>
    </w:p>
    <w:p w14:paraId="4A020EC2" w14:textId="77777777" w:rsidR="00BA424A" w:rsidRPr="00BA424A" w:rsidRDefault="00BA424A" w:rsidP="00BA424A">
      <w:pPr>
        <w:rPr>
          <w:rFonts w:ascii="Times New Roman" w:hAnsi="Times New Roman" w:cs="Times New Roman"/>
          <w:b/>
          <w:bCs/>
          <w:sz w:val="28"/>
          <w:szCs w:val="28"/>
        </w:rPr>
      </w:pPr>
      <w:r w:rsidRPr="00BA424A">
        <w:rPr>
          <w:rFonts w:ascii="Times New Roman" w:hAnsi="Times New Roman" w:cs="Times New Roman"/>
          <w:b/>
          <w:bCs/>
          <w:sz w:val="28"/>
          <w:szCs w:val="28"/>
        </w:rPr>
        <w:lastRenderedPageBreak/>
        <w:t>INTRODUCTION</w:t>
      </w:r>
    </w:p>
    <w:p w14:paraId="4BFD0DEE" w14:textId="77777777" w:rsidR="00BA424A" w:rsidRPr="00BA424A" w:rsidRDefault="00BA424A" w:rsidP="00BA424A">
      <w:pPr>
        <w:rPr>
          <w:rFonts w:ascii="Times New Roman" w:hAnsi="Times New Roman" w:cs="Times New Roman"/>
          <w:sz w:val="24"/>
          <w:szCs w:val="24"/>
        </w:rPr>
      </w:pPr>
      <w:r w:rsidRPr="00BA424A">
        <w:rPr>
          <w:rFonts w:ascii="Times New Roman" w:hAnsi="Times New Roman" w:cs="Times New Roman"/>
          <w:sz w:val="24"/>
          <w:szCs w:val="24"/>
        </w:rPr>
        <w:t>The labour market in an economy controls the demand and supply of labour. The demand for labour is made by the companies and the supply is made by the workforce. The market demand and supply are decided by the bargaining power of both parties. The country is characterized by the presence of various corporations in the world with a huge market base(Mayhew and Anand, 2020). The labour market in the UK is stable and it offers employment opportunities to a large number of employees from the country and job seekers from abroad(Lemos and Portes, 2021). Pandemic Covid 19 harms the labour market as the factories are forced to shut down for an indefinite period.  Brexit also shrunk the European economy very much. The economy of the UK is now in the phase of its recovery as the labour market and economic activities restarted at their full strength.</w:t>
      </w:r>
    </w:p>
    <w:p w14:paraId="460C3B0D" w14:textId="77777777" w:rsidR="00BA424A" w:rsidRPr="00BA424A" w:rsidRDefault="00BA424A" w:rsidP="00BA424A">
      <w:pPr>
        <w:rPr>
          <w:rFonts w:ascii="Times New Roman" w:hAnsi="Times New Roman" w:cs="Times New Roman"/>
          <w:b/>
          <w:bCs/>
          <w:sz w:val="28"/>
          <w:szCs w:val="28"/>
        </w:rPr>
      </w:pPr>
      <w:r w:rsidRPr="00BA424A">
        <w:rPr>
          <w:rFonts w:ascii="Times New Roman" w:hAnsi="Times New Roman" w:cs="Times New Roman"/>
          <w:b/>
          <w:bCs/>
          <w:sz w:val="28"/>
          <w:szCs w:val="28"/>
        </w:rPr>
        <w:t>IMPACT OF PANDEMIC</w:t>
      </w:r>
    </w:p>
    <w:p w14:paraId="5E424886" w14:textId="77777777" w:rsidR="00BA424A" w:rsidRPr="00BA424A" w:rsidRDefault="00BA424A" w:rsidP="00BA424A">
      <w:pPr>
        <w:rPr>
          <w:rFonts w:ascii="Times New Roman" w:hAnsi="Times New Roman" w:cs="Times New Roman"/>
          <w:sz w:val="24"/>
          <w:szCs w:val="24"/>
        </w:rPr>
      </w:pPr>
      <w:r w:rsidRPr="00BA424A">
        <w:rPr>
          <w:rFonts w:ascii="Times New Roman" w:hAnsi="Times New Roman" w:cs="Times New Roman"/>
          <w:sz w:val="24"/>
          <w:szCs w:val="24"/>
        </w:rPr>
        <w:t>The COVID-19 and declaration of lockdown have caused a sharp decline in labour demand across many UK economic sectors. The government's response to the coronavirus crisis and its effects has significantly impacted the UK employment market (Bell and Blanchflower, 2020). The data from families and enterprises shows that the pandemic is impacted by the temporary suspension of firms, the rise in remote labour, and the advent of social distancing(Office for National Statistics., 2018). The productivity of the labour force decreased during this time. The Lockdown has negatively affected the daily workers and the unskilled workforce, they are forced to remain at home. The work-from-home practices also negatively affected the mental capacity of employees. A long-term increase in long-term illness, particularly among older individuals since the crisis began, has been attributed to the pandemic's dramatic rises in economic inactivity. In contrast, inactivity among those who are caring for their families or homes has decreased. The younger and oldest seem to be driving the increase in inactivity for "other" reasons, perhaps reflecting pandemic-specific variables and with the majority wishing to work(Orton and Green, 2019). This virtually probably contributes to growing unemployment in the upcoming months. There are numerous potentially alarming indications that the straightforward shift from higher highly skilled jobs could widen disparities in the labour market, with ethnic minority groups, in particular, more probable to lose their jobs in contracting industries and forms of employment and less likely to bring jobs in expanding ones(Costa Dias et al., 2020).</w:t>
      </w:r>
    </w:p>
    <w:p w14:paraId="2FE51E9D" w14:textId="77777777" w:rsidR="00BA424A" w:rsidRPr="00BA424A" w:rsidRDefault="00BA424A" w:rsidP="00BA424A">
      <w:pPr>
        <w:rPr>
          <w:rFonts w:ascii="Times New Roman" w:hAnsi="Times New Roman" w:cs="Times New Roman"/>
          <w:b/>
          <w:bCs/>
          <w:sz w:val="28"/>
          <w:szCs w:val="28"/>
        </w:rPr>
      </w:pPr>
      <w:r w:rsidRPr="00BA424A">
        <w:rPr>
          <w:rFonts w:ascii="Times New Roman" w:hAnsi="Times New Roman" w:cs="Times New Roman"/>
          <w:b/>
          <w:bCs/>
          <w:sz w:val="28"/>
          <w:szCs w:val="28"/>
        </w:rPr>
        <w:t>BREXIT ISSUES</w:t>
      </w:r>
    </w:p>
    <w:p w14:paraId="03D43006" w14:textId="77777777" w:rsidR="00BA424A" w:rsidRPr="00BA424A" w:rsidRDefault="00BA424A" w:rsidP="00BA424A">
      <w:pPr>
        <w:rPr>
          <w:rFonts w:ascii="Times New Roman" w:hAnsi="Times New Roman" w:cs="Times New Roman"/>
          <w:sz w:val="24"/>
          <w:szCs w:val="24"/>
        </w:rPr>
      </w:pPr>
      <w:r w:rsidRPr="00BA424A">
        <w:rPr>
          <w:rFonts w:ascii="Times New Roman" w:hAnsi="Times New Roman" w:cs="Times New Roman"/>
          <w:sz w:val="24"/>
          <w:szCs w:val="24"/>
        </w:rPr>
        <w:t xml:space="preserve">Brexit is the term used to denote the exit of the United Kingdom from the European Union. The decision could have various impacts on the European market and the economy of the UK. For many businesses, the proportion of organizations experiencing difficulty hiring has risen. This is in part because, the employment growth rate took place in UK and job seekers from Europe approached the UK labour market(Thissen et al., 2020). There is less empirical support for the assertion that immigration affects job possibilities for UK citizens, and that rising immigration and unemployment among "British-born" people are related(Dhingra et al., 2018). Even though the UK had a decrease in unemployed as well as a rise in employment rates following the vote, the strength observed is consistent with the simulated control that was built based on the results of other OECD nations(Mustafa, Mazhar Hussain and Adnan Aslam, 2020). Existing research has evaluated the economic consequences of the </w:t>
      </w:r>
      <w:r w:rsidRPr="00BA424A">
        <w:rPr>
          <w:rFonts w:ascii="Times New Roman" w:hAnsi="Times New Roman" w:cs="Times New Roman"/>
          <w:sz w:val="24"/>
          <w:szCs w:val="24"/>
        </w:rPr>
        <w:lastRenderedPageBreak/>
        <w:t>uncertainty brought on by the process of leaving the EU, but has ignored how Brexit will affect employment(Ridgway, 2019).</w:t>
      </w:r>
    </w:p>
    <w:p w14:paraId="7E43187D" w14:textId="77777777" w:rsidR="00BA424A" w:rsidRPr="00B96AE6" w:rsidRDefault="00BA424A" w:rsidP="00BA424A">
      <w:pPr>
        <w:rPr>
          <w:rFonts w:ascii="Times New Roman" w:hAnsi="Times New Roman" w:cs="Times New Roman"/>
          <w:b/>
          <w:bCs/>
          <w:sz w:val="28"/>
          <w:szCs w:val="28"/>
        </w:rPr>
      </w:pPr>
      <w:r w:rsidRPr="00B96AE6">
        <w:rPr>
          <w:rFonts w:ascii="Times New Roman" w:hAnsi="Times New Roman" w:cs="Times New Roman"/>
          <w:b/>
          <w:bCs/>
          <w:sz w:val="28"/>
          <w:szCs w:val="28"/>
        </w:rPr>
        <w:t>WORKFORCE DIVERSITY</w:t>
      </w:r>
    </w:p>
    <w:p w14:paraId="6F0F6A18" w14:textId="77777777" w:rsidR="00BA424A" w:rsidRPr="00BA424A" w:rsidRDefault="00BA424A" w:rsidP="00BA424A">
      <w:pPr>
        <w:rPr>
          <w:rFonts w:ascii="Times New Roman" w:hAnsi="Times New Roman" w:cs="Times New Roman"/>
          <w:sz w:val="24"/>
          <w:szCs w:val="24"/>
        </w:rPr>
      </w:pPr>
      <w:r w:rsidRPr="00BA424A">
        <w:rPr>
          <w:rFonts w:ascii="Times New Roman" w:hAnsi="Times New Roman" w:cs="Times New Roman"/>
          <w:sz w:val="24"/>
          <w:szCs w:val="24"/>
        </w:rPr>
        <w:t>The present scenario was different after the pandemic and the Brexit issues the Uk has now become an attractive land for various employees who wish to work in the country. The favourable immigration policies adopted by the UK government attracted various employees to the country(Bell and Blanchflower, 2020). By utilising the contribution of a larger range of perspectives, it is asserted that workplace diversity can boost productivity and organisational effectiveness. When diversity is skillfully managed, the organisation may benefit from happier, more dedicated workers who may also perform better financially(Kapur, 2021). Companies have access to a larger depth of talent from which to select much more qualified and successful people, giving them an advantage over competitors. Similar to this, it has been suggested that businesses that actively encourage diversity in the workplace see higher rates of employee retention.</w:t>
      </w:r>
    </w:p>
    <w:p w14:paraId="3D661022" w14:textId="77777777" w:rsidR="00BA424A" w:rsidRPr="00B96AE6" w:rsidRDefault="00BA424A" w:rsidP="00BA424A">
      <w:pPr>
        <w:rPr>
          <w:rFonts w:ascii="Times New Roman" w:hAnsi="Times New Roman" w:cs="Times New Roman"/>
          <w:b/>
          <w:bCs/>
          <w:sz w:val="28"/>
          <w:szCs w:val="28"/>
        </w:rPr>
      </w:pPr>
      <w:r w:rsidRPr="00B96AE6">
        <w:rPr>
          <w:rFonts w:ascii="Times New Roman" w:hAnsi="Times New Roman" w:cs="Times New Roman"/>
          <w:b/>
          <w:bCs/>
          <w:sz w:val="28"/>
          <w:szCs w:val="28"/>
        </w:rPr>
        <w:t>CURRENT SITUATION</w:t>
      </w:r>
    </w:p>
    <w:p w14:paraId="0F85B41B" w14:textId="77777777" w:rsidR="00BA424A" w:rsidRPr="00BA424A" w:rsidRDefault="00BA424A" w:rsidP="00BA424A">
      <w:pPr>
        <w:rPr>
          <w:rFonts w:ascii="Times New Roman" w:hAnsi="Times New Roman" w:cs="Times New Roman"/>
          <w:sz w:val="24"/>
          <w:szCs w:val="24"/>
        </w:rPr>
      </w:pPr>
      <w:r w:rsidRPr="00BA424A">
        <w:rPr>
          <w:rFonts w:ascii="Times New Roman" w:hAnsi="Times New Roman" w:cs="Times New Roman"/>
          <w:sz w:val="24"/>
          <w:szCs w:val="24"/>
        </w:rPr>
        <w:t>The UK employment rate climbed by 0.2 per cent every quarter to 75.6%, however, it is still below than COVID-19 pandemic pre-coronavirus levels. Well over a quarter, there were more full-time employees than ever before, although this was taken into account by a reduction in the number of part-timers(Mosakova and Kizilova, 2021). Despite an uptick over the past quarter, the number of independently employed people has remained low since the coronavirus outbreak. The last three-month period saw an increase in part-time workers as well, continuing to show improvement from the steep declines experienced during the early phases of the coronavirus epidemic(Orton and Green, 2019). The number of independent contractors decreased during the coronavirus outbreak and has since remained low, albeit it has risen during the past three months. The number of part-time self-employed increased, which was mainly counterbalanced by a decrease in the amount of full-time self-employed.</w:t>
      </w:r>
    </w:p>
    <w:p w14:paraId="297B994D" w14:textId="36980D80" w:rsidR="00BA424A" w:rsidRPr="00497166" w:rsidRDefault="00BA424A" w:rsidP="00BA424A">
      <w:pPr>
        <w:rPr>
          <w:rFonts w:ascii="Times New Roman" w:hAnsi="Times New Roman" w:cs="Times New Roman"/>
          <w:b/>
          <w:bCs/>
          <w:sz w:val="28"/>
          <w:szCs w:val="28"/>
        </w:rPr>
      </w:pPr>
      <w:r w:rsidRPr="00497166">
        <w:rPr>
          <w:rFonts w:ascii="Times New Roman" w:hAnsi="Times New Roman" w:cs="Times New Roman"/>
          <w:b/>
          <w:bCs/>
          <w:sz w:val="28"/>
          <w:szCs w:val="28"/>
        </w:rPr>
        <w:t>Net Employment Rate</w:t>
      </w:r>
    </w:p>
    <w:p w14:paraId="024AAA91" w14:textId="5ACF0EE2" w:rsidR="00497166" w:rsidRDefault="00497166" w:rsidP="00BA424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BA857D" wp14:editId="2C51D7C3">
            <wp:extent cx="5459985" cy="2579843"/>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503656" cy="2600478"/>
                    </a:xfrm>
                    <a:prstGeom prst="rect">
                      <a:avLst/>
                    </a:prstGeom>
                    <a:noFill/>
                  </pic:spPr>
                </pic:pic>
              </a:graphicData>
            </a:graphic>
          </wp:inline>
        </w:drawing>
      </w:r>
    </w:p>
    <w:p w14:paraId="0816C381" w14:textId="77777777" w:rsidR="00497166" w:rsidRPr="00497166" w:rsidRDefault="00497166" w:rsidP="00497166">
      <w:pPr>
        <w:jc w:val="center"/>
        <w:rPr>
          <w:rFonts w:ascii="Times New Roman" w:hAnsi="Times New Roman" w:cs="Times New Roman"/>
          <w:sz w:val="24"/>
          <w:szCs w:val="24"/>
        </w:rPr>
      </w:pPr>
      <w:r w:rsidRPr="00497166">
        <w:rPr>
          <w:rFonts w:ascii="Times New Roman" w:hAnsi="Times New Roman" w:cs="Times New Roman"/>
          <w:sz w:val="24"/>
          <w:szCs w:val="24"/>
        </w:rPr>
        <w:t>Source:(Labour Market Outlook | Surveys | CIPD, no date)</w:t>
      </w:r>
    </w:p>
    <w:p w14:paraId="6C56CEB4" w14:textId="77777777" w:rsidR="00497166" w:rsidRPr="00497166" w:rsidRDefault="00497166" w:rsidP="00497166">
      <w:pPr>
        <w:rPr>
          <w:rFonts w:ascii="Times New Roman" w:hAnsi="Times New Roman" w:cs="Times New Roman"/>
          <w:sz w:val="24"/>
          <w:szCs w:val="24"/>
        </w:rPr>
      </w:pPr>
      <w:r w:rsidRPr="00497166">
        <w:rPr>
          <w:rFonts w:ascii="Times New Roman" w:hAnsi="Times New Roman" w:cs="Times New Roman"/>
          <w:sz w:val="24"/>
          <w:szCs w:val="24"/>
        </w:rPr>
        <w:lastRenderedPageBreak/>
        <w:t>The gap between employers intending to expand staffing and those expecting to cut staff levels over the next three months is known as the net employment balance, and it is still quite high at +34. This is still higher than pre-pandemic levels, indicating a strong desire for employment.</w:t>
      </w:r>
    </w:p>
    <w:p w14:paraId="547AD309" w14:textId="6CF21F16" w:rsidR="00497166" w:rsidRDefault="00497166" w:rsidP="00497166">
      <w:pPr>
        <w:rPr>
          <w:rFonts w:ascii="Times New Roman" w:hAnsi="Times New Roman" w:cs="Times New Roman"/>
          <w:sz w:val="28"/>
          <w:szCs w:val="28"/>
        </w:rPr>
      </w:pPr>
      <w:r w:rsidRPr="00497166">
        <w:rPr>
          <w:rFonts w:ascii="Times New Roman" w:hAnsi="Times New Roman" w:cs="Times New Roman"/>
          <w:b/>
          <w:bCs/>
          <w:sz w:val="28"/>
          <w:szCs w:val="28"/>
        </w:rPr>
        <w:t>Employers make Redundancies</w:t>
      </w:r>
    </w:p>
    <w:p w14:paraId="1F9F7BA4" w14:textId="6F371B9C" w:rsidR="00497166" w:rsidRDefault="00497166" w:rsidP="00497166">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84DCF8F" wp14:editId="0CC4A693">
            <wp:extent cx="5501628" cy="2547942"/>
            <wp:effectExtent l="0" t="0" r="444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28054" cy="2560181"/>
                    </a:xfrm>
                    <a:prstGeom prst="rect">
                      <a:avLst/>
                    </a:prstGeom>
                    <a:noFill/>
                  </pic:spPr>
                </pic:pic>
              </a:graphicData>
            </a:graphic>
          </wp:inline>
        </w:drawing>
      </w:r>
    </w:p>
    <w:p w14:paraId="223724EB" w14:textId="77777777" w:rsidR="00497166" w:rsidRPr="00497166" w:rsidRDefault="00497166" w:rsidP="00497166">
      <w:pPr>
        <w:jc w:val="center"/>
        <w:rPr>
          <w:rFonts w:ascii="Times New Roman" w:hAnsi="Times New Roman" w:cs="Times New Roman"/>
          <w:sz w:val="24"/>
          <w:szCs w:val="24"/>
        </w:rPr>
      </w:pPr>
      <w:r w:rsidRPr="00497166">
        <w:rPr>
          <w:rFonts w:ascii="Times New Roman" w:hAnsi="Times New Roman" w:cs="Times New Roman"/>
          <w:sz w:val="24"/>
          <w:szCs w:val="24"/>
        </w:rPr>
        <w:t>Source:(Labour Market Outlook | Surveys | CIPD, no date)</w:t>
      </w:r>
    </w:p>
    <w:p w14:paraId="38900D9C" w14:textId="77777777" w:rsidR="00497166" w:rsidRPr="00497166" w:rsidRDefault="00497166" w:rsidP="00497166">
      <w:pPr>
        <w:rPr>
          <w:rFonts w:ascii="Times New Roman" w:hAnsi="Times New Roman" w:cs="Times New Roman"/>
          <w:sz w:val="24"/>
          <w:szCs w:val="24"/>
        </w:rPr>
      </w:pPr>
      <w:r w:rsidRPr="00497166">
        <w:rPr>
          <w:rFonts w:ascii="Times New Roman" w:hAnsi="Times New Roman" w:cs="Times New Roman"/>
          <w:sz w:val="24"/>
          <w:szCs w:val="24"/>
        </w:rPr>
        <w:t>At 13%, the percentage of employers contemplating layoffs is lower than it was before the outbreak. Amid difficult recruitment situations, companies' emphasis on maintenance and training reflects their desire to gain more from their current employees(Al-Ghunaim et al., 2021). The redundancy rate during the pandemic period was 16%, which has now been reduced.</w:t>
      </w:r>
    </w:p>
    <w:p w14:paraId="302B1114" w14:textId="0DD56E6D" w:rsidR="00497166" w:rsidRDefault="00497166" w:rsidP="00497166">
      <w:pPr>
        <w:rPr>
          <w:rFonts w:ascii="Times New Roman" w:hAnsi="Times New Roman" w:cs="Times New Roman"/>
          <w:b/>
          <w:bCs/>
          <w:sz w:val="28"/>
          <w:szCs w:val="28"/>
        </w:rPr>
      </w:pPr>
      <w:r w:rsidRPr="00497166">
        <w:rPr>
          <w:rFonts w:ascii="Times New Roman" w:hAnsi="Times New Roman" w:cs="Times New Roman"/>
          <w:b/>
          <w:bCs/>
          <w:sz w:val="28"/>
          <w:szCs w:val="28"/>
        </w:rPr>
        <w:t>Hiring Difficulties</w:t>
      </w:r>
    </w:p>
    <w:p w14:paraId="4FFA12B4" w14:textId="1A1F3320" w:rsidR="00497166" w:rsidRDefault="00497166" w:rsidP="0049716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D6FEE8" wp14:editId="5A26B5F4">
            <wp:extent cx="5700991" cy="2415795"/>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5378" cy="2430367"/>
                    </a:xfrm>
                    <a:prstGeom prst="rect">
                      <a:avLst/>
                    </a:prstGeom>
                    <a:noFill/>
                  </pic:spPr>
                </pic:pic>
              </a:graphicData>
            </a:graphic>
          </wp:inline>
        </w:drawing>
      </w:r>
    </w:p>
    <w:p w14:paraId="6E2264A7" w14:textId="77777777" w:rsidR="003A117E" w:rsidRPr="003A117E" w:rsidRDefault="003A117E" w:rsidP="003A117E">
      <w:pPr>
        <w:jc w:val="center"/>
        <w:rPr>
          <w:rFonts w:ascii="Times New Roman" w:hAnsi="Times New Roman" w:cs="Times New Roman"/>
          <w:sz w:val="24"/>
          <w:szCs w:val="24"/>
        </w:rPr>
      </w:pPr>
      <w:r w:rsidRPr="003A117E">
        <w:rPr>
          <w:rFonts w:ascii="Times New Roman" w:hAnsi="Times New Roman" w:cs="Times New Roman"/>
          <w:sz w:val="24"/>
          <w:szCs w:val="24"/>
        </w:rPr>
        <w:t>Source:(Labour Market Outlook | Surveys | CIPD, no date)</w:t>
      </w:r>
    </w:p>
    <w:p w14:paraId="387C5840" w14:textId="77777777" w:rsidR="003A117E" w:rsidRPr="003A117E" w:rsidRDefault="003A117E" w:rsidP="003A117E">
      <w:pPr>
        <w:rPr>
          <w:rFonts w:ascii="Times New Roman" w:hAnsi="Times New Roman" w:cs="Times New Roman"/>
          <w:sz w:val="24"/>
          <w:szCs w:val="24"/>
        </w:rPr>
      </w:pPr>
      <w:r w:rsidRPr="003A117E">
        <w:rPr>
          <w:rFonts w:ascii="Times New Roman" w:hAnsi="Times New Roman" w:cs="Times New Roman"/>
          <w:sz w:val="24"/>
          <w:szCs w:val="24"/>
        </w:rPr>
        <w:t xml:space="preserve">The various employers in the UK have faced many difficulties in the intake of staff into the company. There are various difficulties in this regard such as recruitment to the selection and </w:t>
      </w:r>
      <w:r w:rsidRPr="003A117E">
        <w:rPr>
          <w:rFonts w:ascii="Times New Roman" w:hAnsi="Times New Roman" w:cs="Times New Roman"/>
          <w:sz w:val="24"/>
          <w:szCs w:val="24"/>
        </w:rPr>
        <w:lastRenderedPageBreak/>
        <w:t>then training and development(Glencross, 2020). From the analysis, it is clear that upskilling is the major difficulty faced by various countries in the UK. Advertising the job is another important difficulty as they want to hire employees globally.</w:t>
      </w:r>
    </w:p>
    <w:p w14:paraId="39F9122A" w14:textId="15525337" w:rsidR="00497166" w:rsidRPr="003A117E" w:rsidRDefault="003A117E" w:rsidP="003A117E">
      <w:pPr>
        <w:rPr>
          <w:rFonts w:ascii="Times New Roman" w:hAnsi="Times New Roman" w:cs="Times New Roman"/>
          <w:b/>
          <w:bCs/>
          <w:sz w:val="28"/>
          <w:szCs w:val="28"/>
        </w:rPr>
      </w:pPr>
      <w:r w:rsidRPr="003A117E">
        <w:rPr>
          <w:rFonts w:ascii="Times New Roman" w:hAnsi="Times New Roman" w:cs="Times New Roman"/>
          <w:b/>
          <w:bCs/>
          <w:sz w:val="28"/>
          <w:szCs w:val="28"/>
        </w:rPr>
        <w:t>Average earnings by Youth</w:t>
      </w:r>
    </w:p>
    <w:p w14:paraId="595DAF69" w14:textId="315A0396" w:rsidR="00497166" w:rsidRDefault="003A117E" w:rsidP="0049716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3997DD" wp14:editId="1462E78F">
            <wp:extent cx="5672093" cy="2531171"/>
            <wp:effectExtent l="0" t="0" r="508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02180" cy="2544598"/>
                    </a:xfrm>
                    <a:prstGeom prst="rect">
                      <a:avLst/>
                    </a:prstGeom>
                    <a:noFill/>
                  </pic:spPr>
                </pic:pic>
              </a:graphicData>
            </a:graphic>
          </wp:inline>
        </w:drawing>
      </w:r>
    </w:p>
    <w:p w14:paraId="21471CDD" w14:textId="77777777" w:rsidR="003A117E" w:rsidRPr="003A117E" w:rsidRDefault="003A117E" w:rsidP="003A117E">
      <w:pPr>
        <w:jc w:val="center"/>
        <w:rPr>
          <w:rFonts w:ascii="Times New Roman" w:hAnsi="Times New Roman" w:cs="Times New Roman"/>
          <w:sz w:val="24"/>
          <w:szCs w:val="24"/>
        </w:rPr>
      </w:pPr>
      <w:r w:rsidRPr="003A117E">
        <w:rPr>
          <w:rFonts w:ascii="Times New Roman" w:hAnsi="Times New Roman" w:cs="Times New Roman"/>
          <w:sz w:val="24"/>
          <w:szCs w:val="24"/>
        </w:rPr>
        <w:t>Source:(Labour market overview, UK - Office for National Statistics, no date)</w:t>
      </w:r>
    </w:p>
    <w:p w14:paraId="402B02DB" w14:textId="77777777" w:rsidR="003A117E" w:rsidRPr="003A117E" w:rsidRDefault="003A117E" w:rsidP="003A117E">
      <w:pPr>
        <w:rPr>
          <w:rFonts w:ascii="Times New Roman" w:hAnsi="Times New Roman" w:cs="Times New Roman"/>
          <w:sz w:val="24"/>
          <w:szCs w:val="24"/>
        </w:rPr>
      </w:pPr>
      <w:r w:rsidRPr="003A117E">
        <w:rPr>
          <w:rFonts w:ascii="Times New Roman" w:hAnsi="Times New Roman" w:cs="Times New Roman"/>
          <w:sz w:val="24"/>
          <w:szCs w:val="24"/>
        </w:rPr>
        <w:t>The average income earned by youth has steadily increased after the pandemic period. Those who are aged between 16-44 are considered in this group(ONS, 2021).  The covid-19 pandemic annotatively impacted this rate but presently the economy is in its recovery phase.</w:t>
      </w:r>
    </w:p>
    <w:p w14:paraId="65485287" w14:textId="4D196AB8" w:rsidR="003A117E" w:rsidRPr="003A117E" w:rsidRDefault="003A117E" w:rsidP="003A117E">
      <w:pPr>
        <w:rPr>
          <w:rFonts w:ascii="Times New Roman" w:hAnsi="Times New Roman" w:cs="Times New Roman"/>
          <w:b/>
          <w:bCs/>
          <w:sz w:val="28"/>
          <w:szCs w:val="28"/>
        </w:rPr>
      </w:pPr>
      <w:r w:rsidRPr="003A117E">
        <w:rPr>
          <w:rFonts w:ascii="Times New Roman" w:hAnsi="Times New Roman" w:cs="Times New Roman"/>
          <w:b/>
          <w:bCs/>
          <w:sz w:val="28"/>
          <w:szCs w:val="28"/>
        </w:rPr>
        <w:t>Unemployment Rate</w:t>
      </w:r>
    </w:p>
    <w:p w14:paraId="5C1001A5" w14:textId="1ADB20E7" w:rsidR="003A117E" w:rsidRDefault="003A117E" w:rsidP="003A117E">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63F5B3" wp14:editId="1D05421A">
            <wp:extent cx="6193106" cy="29572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17972" cy="2969082"/>
                    </a:xfrm>
                    <a:prstGeom prst="rect">
                      <a:avLst/>
                    </a:prstGeom>
                    <a:noFill/>
                  </pic:spPr>
                </pic:pic>
              </a:graphicData>
            </a:graphic>
          </wp:inline>
        </w:drawing>
      </w:r>
    </w:p>
    <w:p w14:paraId="7140E0D8" w14:textId="77777777" w:rsidR="003A117E" w:rsidRPr="003A117E" w:rsidRDefault="003A117E" w:rsidP="003A117E">
      <w:pPr>
        <w:jc w:val="center"/>
        <w:rPr>
          <w:rFonts w:ascii="Times New Roman" w:hAnsi="Times New Roman" w:cs="Times New Roman"/>
          <w:sz w:val="24"/>
          <w:szCs w:val="24"/>
        </w:rPr>
      </w:pPr>
      <w:r w:rsidRPr="003A117E">
        <w:rPr>
          <w:rFonts w:ascii="Times New Roman" w:hAnsi="Times New Roman" w:cs="Times New Roman"/>
          <w:sz w:val="24"/>
          <w:szCs w:val="24"/>
        </w:rPr>
        <w:t>Source:(Labour market overview, UK - Office for National Statistics, no date)</w:t>
      </w:r>
    </w:p>
    <w:p w14:paraId="60FEB467" w14:textId="77777777" w:rsidR="003A117E" w:rsidRPr="003A117E" w:rsidRDefault="003A117E" w:rsidP="003A117E">
      <w:pPr>
        <w:rPr>
          <w:rFonts w:ascii="Times New Roman" w:hAnsi="Times New Roman" w:cs="Times New Roman"/>
          <w:sz w:val="24"/>
          <w:szCs w:val="24"/>
        </w:rPr>
      </w:pPr>
      <w:r w:rsidRPr="003A117E">
        <w:rPr>
          <w:rFonts w:ascii="Times New Roman" w:hAnsi="Times New Roman" w:cs="Times New Roman"/>
          <w:sz w:val="24"/>
          <w:szCs w:val="24"/>
        </w:rPr>
        <w:t>Unemployment was very high in the UK during the pandemic period, presently it was very low(Office for National Statistics, 2020). Now the rate is slightly diminishing which makes the UK an attractive horizon for various job seekers.</w:t>
      </w:r>
    </w:p>
    <w:p w14:paraId="6E75D9E9" w14:textId="265BD007" w:rsidR="003A117E" w:rsidRPr="003A117E" w:rsidRDefault="003A117E" w:rsidP="003A117E">
      <w:pPr>
        <w:rPr>
          <w:rFonts w:ascii="Times New Roman" w:hAnsi="Times New Roman" w:cs="Times New Roman"/>
          <w:b/>
          <w:bCs/>
          <w:sz w:val="28"/>
          <w:szCs w:val="28"/>
        </w:rPr>
      </w:pPr>
      <w:r w:rsidRPr="003A117E">
        <w:rPr>
          <w:rFonts w:ascii="Times New Roman" w:hAnsi="Times New Roman" w:cs="Times New Roman"/>
          <w:b/>
          <w:bCs/>
          <w:sz w:val="28"/>
          <w:szCs w:val="28"/>
        </w:rPr>
        <w:lastRenderedPageBreak/>
        <w:t>Economic Inactivity</w:t>
      </w:r>
    </w:p>
    <w:p w14:paraId="63D9FB5C" w14:textId="459C4076" w:rsidR="003A117E" w:rsidRDefault="003A117E" w:rsidP="0049716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73CA5D" wp14:editId="687758F3">
            <wp:extent cx="5718694" cy="26913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666" cy="2697465"/>
                    </a:xfrm>
                    <a:prstGeom prst="rect">
                      <a:avLst/>
                    </a:prstGeom>
                    <a:noFill/>
                  </pic:spPr>
                </pic:pic>
              </a:graphicData>
            </a:graphic>
          </wp:inline>
        </w:drawing>
      </w:r>
    </w:p>
    <w:p w14:paraId="38295171" w14:textId="77777777" w:rsidR="00B36F38" w:rsidRPr="00B36F38" w:rsidRDefault="00B36F38" w:rsidP="00B36F38">
      <w:pPr>
        <w:jc w:val="center"/>
        <w:rPr>
          <w:rFonts w:ascii="Times New Roman" w:hAnsi="Times New Roman" w:cs="Times New Roman"/>
          <w:sz w:val="24"/>
          <w:szCs w:val="24"/>
        </w:rPr>
      </w:pPr>
      <w:r w:rsidRPr="00B36F38">
        <w:rPr>
          <w:rFonts w:ascii="Times New Roman" w:hAnsi="Times New Roman" w:cs="Times New Roman"/>
          <w:sz w:val="24"/>
          <w:szCs w:val="24"/>
        </w:rPr>
        <w:t>Source:(Labour market overview, UK - Office for National Statistics, no date)</w:t>
      </w:r>
    </w:p>
    <w:p w14:paraId="24263F08" w14:textId="77777777" w:rsidR="00B36F38" w:rsidRPr="00B36F38" w:rsidRDefault="00B36F38" w:rsidP="00B36F38">
      <w:pPr>
        <w:rPr>
          <w:rFonts w:ascii="Times New Roman" w:hAnsi="Times New Roman" w:cs="Times New Roman"/>
          <w:sz w:val="24"/>
          <w:szCs w:val="24"/>
        </w:rPr>
      </w:pPr>
      <w:r w:rsidRPr="00B36F38">
        <w:rPr>
          <w:rFonts w:ascii="Times New Roman" w:hAnsi="Times New Roman" w:cs="Times New Roman"/>
          <w:sz w:val="24"/>
          <w:szCs w:val="24"/>
        </w:rPr>
        <w:t>The economic inactivity rate shows the number of people those who are aged between 16 and 64 who are not actively part of the labour market(Labour Market Outlook | Surveys | CIPD, no date). The rate was comparatively high during the pre-pandemic and post-Brexit periods. But, the pandemic has affected the rate negatively and presently the rate is improving.</w:t>
      </w:r>
    </w:p>
    <w:p w14:paraId="6A032BAB" w14:textId="5C148C26" w:rsidR="00B36F38" w:rsidRPr="00B36F38" w:rsidRDefault="00B36F38" w:rsidP="00B36F38">
      <w:pPr>
        <w:rPr>
          <w:rFonts w:ascii="Times New Roman" w:hAnsi="Times New Roman" w:cs="Times New Roman"/>
          <w:sz w:val="24"/>
          <w:szCs w:val="24"/>
        </w:rPr>
      </w:pPr>
      <w:r w:rsidRPr="00B36F38">
        <w:rPr>
          <w:rFonts w:ascii="Times New Roman" w:hAnsi="Times New Roman" w:cs="Times New Roman"/>
          <w:sz w:val="24"/>
          <w:szCs w:val="24"/>
        </w:rPr>
        <w:t>The UK economy is one of the strongest economies in the world. The rate of unemployment and economic inactivity is comparatively lower. The companies in the UK opinioned that it is very difficult to fill their available vacancies, education and lack of knowledge is the important reason. Transportation and storage is the other important problem that they face in the scenario. The presence of multi-national firms and the positive attitude of the government makes the UK, one of the most attractive labour market in Europe.</w:t>
      </w:r>
    </w:p>
    <w:p w14:paraId="16AF1E5C" w14:textId="77777777" w:rsidR="00B36F38" w:rsidRPr="00B36F38" w:rsidRDefault="00B36F38" w:rsidP="00B36F38">
      <w:pPr>
        <w:rPr>
          <w:rFonts w:ascii="Times New Roman" w:hAnsi="Times New Roman" w:cs="Times New Roman"/>
          <w:b/>
          <w:bCs/>
          <w:sz w:val="24"/>
          <w:szCs w:val="24"/>
        </w:rPr>
      </w:pPr>
      <w:r w:rsidRPr="00B36F38">
        <w:rPr>
          <w:rFonts w:ascii="Times New Roman" w:hAnsi="Times New Roman" w:cs="Times New Roman"/>
          <w:b/>
          <w:bCs/>
          <w:sz w:val="24"/>
          <w:szCs w:val="24"/>
        </w:rPr>
        <w:t>EMERGING CHANGES IN HUMAN RESOURCING STRATEGIES</w:t>
      </w:r>
    </w:p>
    <w:p w14:paraId="1661D512" w14:textId="572C5DBA" w:rsidR="003A117E" w:rsidRDefault="00B36F38" w:rsidP="00B36F38">
      <w:pPr>
        <w:rPr>
          <w:rFonts w:ascii="Times New Roman" w:hAnsi="Times New Roman" w:cs="Times New Roman"/>
          <w:sz w:val="24"/>
          <w:szCs w:val="24"/>
        </w:rPr>
      </w:pPr>
      <w:r w:rsidRPr="00B36F38">
        <w:rPr>
          <w:rFonts w:ascii="Times New Roman" w:hAnsi="Times New Roman" w:cs="Times New Roman"/>
          <w:sz w:val="24"/>
          <w:szCs w:val="24"/>
        </w:rPr>
        <w:t>The present economy is in the phase of recovery after the negative impact of Covid-19. The impact of Brexit also has some negative impacts and some positive impacts on the labour market. The maintenance of various employees in the country is one of the biggest challenges that every company faces(Matolo, Iravo and Waititu, 2019). Employee engagement is another biggest aspect to be taken into consideration. Human resource management includes strategic resourcing as a critical component. The strategic use of human resources ensures the optimal use of resources (J., P. and A., 2005). It includes the various strategies adopted to attract employees and achieve the strategic objectives of the organization. The various strategies to be adopted are explained below(Hirsch and Nachtwei, 2020).</w:t>
      </w:r>
    </w:p>
    <w:p w14:paraId="4A37CCFF" w14:textId="6765F971" w:rsidR="003A117E" w:rsidRDefault="00B36F38" w:rsidP="00497166">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87861C1" wp14:editId="761A3B68">
            <wp:extent cx="5862050" cy="275150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77742" cy="2758865"/>
                    </a:xfrm>
                    <a:prstGeom prst="rect">
                      <a:avLst/>
                    </a:prstGeom>
                    <a:noFill/>
                  </pic:spPr>
                </pic:pic>
              </a:graphicData>
            </a:graphic>
          </wp:inline>
        </w:drawing>
      </w:r>
    </w:p>
    <w:p w14:paraId="62256111" w14:textId="77777777" w:rsidR="00A95ADB" w:rsidRPr="00A95ADB" w:rsidRDefault="00A95ADB" w:rsidP="00A95ADB">
      <w:pPr>
        <w:jc w:val="center"/>
        <w:rPr>
          <w:rFonts w:ascii="Times New Roman" w:hAnsi="Times New Roman" w:cs="Times New Roman"/>
          <w:sz w:val="24"/>
          <w:szCs w:val="24"/>
        </w:rPr>
      </w:pPr>
      <w:r w:rsidRPr="00A95ADB">
        <w:rPr>
          <w:rFonts w:ascii="Times New Roman" w:hAnsi="Times New Roman" w:cs="Times New Roman"/>
          <w:sz w:val="24"/>
          <w:szCs w:val="24"/>
        </w:rPr>
        <w:t>Source:(HUMAN RESOURCES: SCANNING THE EXTERNAL ENVIRONMENT, no date)</w:t>
      </w:r>
    </w:p>
    <w:p w14:paraId="4F09A5A3"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The market of labour supply is affected by the policies of the government. The economic condition may affect the supply of labour. The geographic features, the competitive conditions and the wage system may also affect the inflow of labour. Human resourcing strategies should be effectively followed to attract more employees and retain existing employees.</w:t>
      </w:r>
    </w:p>
    <w:p w14:paraId="40243D99" w14:textId="77777777" w:rsidR="00A95ADB" w:rsidRPr="00A95ADB" w:rsidRDefault="00A95ADB" w:rsidP="00A95ADB">
      <w:pPr>
        <w:rPr>
          <w:rFonts w:ascii="Times New Roman" w:hAnsi="Times New Roman" w:cs="Times New Roman"/>
          <w:b/>
          <w:bCs/>
          <w:sz w:val="28"/>
          <w:szCs w:val="28"/>
        </w:rPr>
      </w:pPr>
      <w:r w:rsidRPr="00A95ADB">
        <w:rPr>
          <w:rFonts w:ascii="Times New Roman" w:hAnsi="Times New Roman" w:cs="Times New Roman"/>
          <w:b/>
          <w:bCs/>
          <w:sz w:val="28"/>
          <w:szCs w:val="28"/>
        </w:rPr>
        <w:t>Human Resource Planning</w:t>
      </w:r>
    </w:p>
    <w:p w14:paraId="495BF930"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The planning of manpower requirements and their utilization is very important for every organization.  A SWOT analysis will help the company to identify the requirements of the organization(Kispal-Vitai and Wood, 2018). The evaluation of the current workforce is the base for proper future planning of human capital. The assessment of human resources helps to evaluate future requirements. The data obtained from gap analysis helps in the development of strategic human resourcing plans(Nagendra and Deshpande, 2014).</w:t>
      </w:r>
    </w:p>
    <w:p w14:paraId="687381C6" w14:textId="77777777" w:rsidR="00A95ADB" w:rsidRPr="00A95ADB" w:rsidRDefault="00A95ADB" w:rsidP="00A95ADB">
      <w:pPr>
        <w:rPr>
          <w:rFonts w:ascii="Times New Roman" w:hAnsi="Times New Roman" w:cs="Times New Roman"/>
          <w:b/>
          <w:bCs/>
          <w:sz w:val="28"/>
          <w:szCs w:val="28"/>
        </w:rPr>
      </w:pPr>
      <w:r w:rsidRPr="00A95ADB">
        <w:rPr>
          <w:rFonts w:ascii="Times New Roman" w:hAnsi="Times New Roman" w:cs="Times New Roman"/>
          <w:b/>
          <w:bCs/>
          <w:sz w:val="28"/>
          <w:szCs w:val="28"/>
        </w:rPr>
        <w:t>Recruitment and Selection</w:t>
      </w:r>
    </w:p>
    <w:p w14:paraId="324672E1"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The global labour market is open for all and hence recruitment can be adopted after giving due consideration to social and legal environmental factors. Assessments of cognitive function and mental capacity are known as cognitive ability tests(Agwu and Nwoke, 2019). These assessments are used by employers to gauge a candidate's capacity for carrying out various job duties and picking up new skills.  In the current scenario, an unstructured interview with an open-ended question may help to obtain a detailed understanding of the employees(Matolo, Iravo and Waititu, 2019).</w:t>
      </w:r>
    </w:p>
    <w:p w14:paraId="53B1F56F" w14:textId="77777777" w:rsidR="00A95ADB" w:rsidRPr="00A95ADB" w:rsidRDefault="00A95ADB" w:rsidP="00A95ADB">
      <w:pPr>
        <w:rPr>
          <w:rFonts w:ascii="Times New Roman" w:hAnsi="Times New Roman" w:cs="Times New Roman"/>
          <w:b/>
          <w:bCs/>
          <w:sz w:val="28"/>
          <w:szCs w:val="28"/>
        </w:rPr>
      </w:pPr>
      <w:r w:rsidRPr="00A95ADB">
        <w:rPr>
          <w:rFonts w:ascii="Times New Roman" w:hAnsi="Times New Roman" w:cs="Times New Roman"/>
          <w:b/>
          <w:bCs/>
          <w:sz w:val="28"/>
          <w:szCs w:val="28"/>
        </w:rPr>
        <w:t>Training and Development</w:t>
      </w:r>
    </w:p>
    <w:p w14:paraId="6D21790A"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 xml:space="preserve">Behavioural learning theory is predicated on the notion that human resources learn from situations and environments(Ertuğrul and Tağluk, 2017). The importance of positive reinforcement is crucial to this training method. Rogers claims that this kind of education meets the needs and desires of the student. Experience makes a person more mature and </w:t>
      </w:r>
      <w:r w:rsidRPr="00A95ADB">
        <w:rPr>
          <w:rFonts w:ascii="Times New Roman" w:hAnsi="Times New Roman" w:cs="Times New Roman"/>
          <w:sz w:val="24"/>
          <w:szCs w:val="24"/>
        </w:rPr>
        <w:lastRenderedPageBreak/>
        <w:t>boosts their capacity for learning in addition to their knowledge. The student can administer a self-evaluation test as a result of their involvement(Harahap, 2020). Skinner introduced the way of thinking that involves the role of behaviour in shaping human beings (Redzuan Haji Botty and Shahrill, 2014). To maintain a satisfied workforce in the current scenario a behavioristic approach is to be followed.</w:t>
      </w:r>
    </w:p>
    <w:p w14:paraId="382D6D0B" w14:textId="77777777" w:rsidR="00A95ADB" w:rsidRPr="00A95ADB" w:rsidRDefault="00A95ADB" w:rsidP="00A95ADB">
      <w:pPr>
        <w:rPr>
          <w:rFonts w:ascii="Times New Roman" w:hAnsi="Times New Roman" w:cs="Times New Roman"/>
          <w:b/>
          <w:bCs/>
          <w:sz w:val="28"/>
          <w:szCs w:val="28"/>
        </w:rPr>
      </w:pPr>
      <w:r w:rsidRPr="00A95ADB">
        <w:rPr>
          <w:rFonts w:ascii="Times New Roman" w:hAnsi="Times New Roman" w:cs="Times New Roman"/>
          <w:b/>
          <w:bCs/>
          <w:sz w:val="28"/>
          <w:szCs w:val="28"/>
        </w:rPr>
        <w:t>Motivation</w:t>
      </w:r>
    </w:p>
    <w:p w14:paraId="41BD14F0"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Employees' motivation is an important factor in the current scenario as the lockdown and home isolation created a depression in the mind of employees. The mental health of the employees decreased. According to Herzberg, certain job variables might lead to job happiness, while others can help prevent job dissatisfaction. The hygiene factors may cause dissatisfaction (Shaikh, Shaikh and Shaikh, 2019). Motivational factors increase the satisfaction of labours (Malik and Naeem, 2013). The British grocery company TESCO is also the greatest example of improved performance through motivation(The Times News Paper, 2010). The Vrooms theory also suggests that motivation is supported by the value potential, the requirements of additional efforts and the role of rewards in bringing out the desired outcome. In the present scenario, proper motivation is necessary for the development of employees(Suciu, Mortan and Lazar, 2013).</w:t>
      </w:r>
    </w:p>
    <w:p w14:paraId="0DD92224" w14:textId="77777777" w:rsidR="00A95ADB" w:rsidRPr="00A95ADB" w:rsidRDefault="00A95ADB" w:rsidP="00A95ADB">
      <w:pPr>
        <w:rPr>
          <w:rFonts w:ascii="Times New Roman" w:hAnsi="Times New Roman" w:cs="Times New Roman"/>
          <w:b/>
          <w:bCs/>
          <w:sz w:val="28"/>
          <w:szCs w:val="28"/>
        </w:rPr>
      </w:pPr>
      <w:r w:rsidRPr="00A95ADB">
        <w:rPr>
          <w:rFonts w:ascii="Times New Roman" w:hAnsi="Times New Roman" w:cs="Times New Roman"/>
          <w:b/>
          <w:bCs/>
          <w:sz w:val="28"/>
          <w:szCs w:val="28"/>
        </w:rPr>
        <w:t>Facilitating Technology</w:t>
      </w:r>
    </w:p>
    <w:p w14:paraId="5DFF8895"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 xml:space="preserve">One of the important factors that are simplifying the performance of job obligations is thought to be technological improvements. People can complete their job obligations more quickly and smoothly when they employ technology(Noh et al., 2018). In light of this, human resources must be skilled in using technologies. If one practises enough, one can become proficient in the use of technologies. The strategy of G Group in the UK is the greatest example of innovation leading to improved performance(Philip and McKeown, 2004). </w:t>
      </w:r>
    </w:p>
    <w:p w14:paraId="2F279D3D" w14:textId="77777777" w:rsidR="00A95ADB" w:rsidRPr="008502B9" w:rsidRDefault="00A95ADB" w:rsidP="00A95ADB">
      <w:pPr>
        <w:rPr>
          <w:rFonts w:ascii="Times New Roman" w:hAnsi="Times New Roman" w:cs="Times New Roman"/>
          <w:b/>
          <w:bCs/>
          <w:sz w:val="28"/>
          <w:szCs w:val="28"/>
        </w:rPr>
      </w:pPr>
      <w:r w:rsidRPr="008502B9">
        <w:rPr>
          <w:rFonts w:ascii="Times New Roman" w:hAnsi="Times New Roman" w:cs="Times New Roman"/>
          <w:b/>
          <w:bCs/>
          <w:sz w:val="28"/>
          <w:szCs w:val="28"/>
        </w:rPr>
        <w:t>Performance Evaluation</w:t>
      </w:r>
    </w:p>
    <w:p w14:paraId="1DC7F039"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The evaluation of employees is also necessary to bring out positive changes in the employees and a proper feedback mechanism is also necessary for further improvements. For evaluating the employees the following approaches can be followed, The benefit of HR Scorecards is that they bring the Human resource in line and sync with the wider organisational ecosystem by aligning the broader organisational tactics with the human resources processes as well as the convergence of organisational objectives with the personnel goals(Becker, 2001). The critical incident approach places a lot of attention on how well employees are managing their health and putting in place suitable safety measures. To achieve the intended results, workers must maintain their health and well-being(Lean, Moizer and Newbery, 2014). Participatory goal-setting, action-course selection, and decision-making are at the heart of MBO. Measuring and comparing actual employee performance to established standards is a key component of MBO(Du et al., 2021). The ideal scenario is for the employees to participate in the goal-setting and decision-making choosing a plan of action.</w:t>
      </w:r>
    </w:p>
    <w:p w14:paraId="1A5783FD" w14:textId="77777777" w:rsidR="00A95ADB" w:rsidRPr="008502B9" w:rsidRDefault="00A95ADB" w:rsidP="00A95ADB">
      <w:pPr>
        <w:rPr>
          <w:rFonts w:ascii="Times New Roman" w:hAnsi="Times New Roman" w:cs="Times New Roman"/>
          <w:b/>
          <w:bCs/>
          <w:sz w:val="28"/>
          <w:szCs w:val="28"/>
        </w:rPr>
      </w:pPr>
      <w:r w:rsidRPr="008502B9">
        <w:rPr>
          <w:rFonts w:ascii="Times New Roman" w:hAnsi="Times New Roman" w:cs="Times New Roman"/>
          <w:b/>
          <w:bCs/>
          <w:sz w:val="28"/>
          <w:szCs w:val="28"/>
        </w:rPr>
        <w:t>Employee Retention</w:t>
      </w:r>
    </w:p>
    <w:p w14:paraId="2A6F4D1D"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 xml:space="preserve"> Employee turnover is the greatest threat faced by every organization. The employees who are leaving the organization may affect the working environment. Proper work-life balance </w:t>
      </w:r>
      <w:r w:rsidRPr="00A95ADB">
        <w:rPr>
          <w:rFonts w:ascii="Times New Roman" w:hAnsi="Times New Roman" w:cs="Times New Roman"/>
          <w:sz w:val="24"/>
          <w:szCs w:val="24"/>
        </w:rPr>
        <w:lastRenderedPageBreak/>
        <w:t xml:space="preserve">and flexible working environments may help in sustaining the existing employees. Competitive competition is necessary for attracting employees (Marinakou and Giousmpasoglou, 2019). The review and feedback mechanism ensures the growth of professional skills. Therefore, it is essential to raise awareness about strategies and approaches to maintain staff(Duran, Woodhams and Bishopp, 2018). The data from the Videocon group reveals that career advancement is the greatest factor that retains employees(‘Employee Retention in Videocon Group : A Case Study, no date). Infrastructural improvements and community facilities, the provision of tools and techniques for efficient job performance, compensation and incentives, benefits, and prizes are a few of these. </w:t>
      </w:r>
    </w:p>
    <w:p w14:paraId="0AEE20F6" w14:textId="77777777" w:rsidR="00A95ADB" w:rsidRPr="008502B9" w:rsidRDefault="00A95ADB" w:rsidP="00A95ADB">
      <w:pPr>
        <w:rPr>
          <w:rFonts w:ascii="Times New Roman" w:hAnsi="Times New Roman" w:cs="Times New Roman"/>
          <w:b/>
          <w:bCs/>
          <w:sz w:val="28"/>
          <w:szCs w:val="28"/>
        </w:rPr>
      </w:pPr>
      <w:r w:rsidRPr="008502B9">
        <w:rPr>
          <w:rFonts w:ascii="Times New Roman" w:hAnsi="Times New Roman" w:cs="Times New Roman"/>
          <w:b/>
          <w:bCs/>
          <w:sz w:val="28"/>
          <w:szCs w:val="28"/>
        </w:rPr>
        <w:t>Leadership Behaviour</w:t>
      </w:r>
    </w:p>
    <w:p w14:paraId="6C734585"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 xml:space="preserve"> The behaviour of the leader was also important in human resourcing. Transformational leaders may help in the overall development of employees(Lai et al., 2020). The strategies adopted by Knudstorp in the Lego Group are a great example in this regard(Tidd and Bessant, 2013). The Transition Model by Bridges emphasizes transition rather than change. Transition is an internal process that brings changes (Graf et al., 2020). While transition often takes place more slowly, change can occur quite swiftly. The engagement by employees in decision-making is essential for the proper flow of operations.</w:t>
      </w:r>
    </w:p>
    <w:p w14:paraId="1D3EFC73" w14:textId="77777777" w:rsidR="00A95ADB" w:rsidRPr="008502B9" w:rsidRDefault="00A95ADB" w:rsidP="00A95ADB">
      <w:pPr>
        <w:rPr>
          <w:rFonts w:ascii="Times New Roman" w:hAnsi="Times New Roman" w:cs="Times New Roman"/>
          <w:b/>
          <w:bCs/>
          <w:sz w:val="28"/>
          <w:szCs w:val="28"/>
        </w:rPr>
      </w:pPr>
      <w:r w:rsidRPr="008502B9">
        <w:rPr>
          <w:rFonts w:ascii="Times New Roman" w:hAnsi="Times New Roman" w:cs="Times New Roman"/>
          <w:b/>
          <w:bCs/>
          <w:sz w:val="28"/>
          <w:szCs w:val="28"/>
        </w:rPr>
        <w:t>Flexible Working Environment</w:t>
      </w:r>
    </w:p>
    <w:p w14:paraId="14678872"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 xml:space="preserve"> The work environment is significant in ensuring a work-life balance. It must be assured that human resources do not experience stress or pressure while doing their professional obligations(Jaca, 2021).  The data of Compass Group shows that a flexible working environment boosts employee morale and performance(CIPD, 2021). Employees may occasionally need to take time off work owing to personal issues. Therefore, if they cannot work from home, individuals could not be capable of carrying out their job tasks while on leave from work.</w:t>
      </w:r>
    </w:p>
    <w:p w14:paraId="62EA2786" w14:textId="77777777" w:rsidR="00A95ADB" w:rsidRPr="008502B9" w:rsidRDefault="00A95ADB" w:rsidP="00A95ADB">
      <w:pPr>
        <w:rPr>
          <w:rFonts w:ascii="Times New Roman" w:hAnsi="Times New Roman" w:cs="Times New Roman"/>
          <w:b/>
          <w:bCs/>
          <w:sz w:val="28"/>
          <w:szCs w:val="28"/>
        </w:rPr>
      </w:pPr>
      <w:r w:rsidRPr="008502B9">
        <w:rPr>
          <w:rFonts w:ascii="Times New Roman" w:hAnsi="Times New Roman" w:cs="Times New Roman"/>
          <w:b/>
          <w:bCs/>
          <w:sz w:val="28"/>
          <w:szCs w:val="28"/>
        </w:rPr>
        <w:t xml:space="preserve"> Management of workforce diversity</w:t>
      </w:r>
    </w:p>
    <w:p w14:paraId="4BFB1CAA"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Expatriate training is necessary for employees from outside the country to improve their communication skills and familiarize themselves with the culture. Respect is created by accepting and managing diversity (Kim and Sung-Choon, 2013). The proper management of employees ensures a better work environment and boosts organizational performance.</w:t>
      </w:r>
    </w:p>
    <w:p w14:paraId="7B878F8E" w14:textId="77777777" w:rsidR="00A95ADB" w:rsidRPr="008502B9" w:rsidRDefault="00A95ADB" w:rsidP="00A95ADB">
      <w:pPr>
        <w:rPr>
          <w:rFonts w:ascii="Times New Roman" w:hAnsi="Times New Roman" w:cs="Times New Roman"/>
          <w:b/>
          <w:bCs/>
          <w:sz w:val="28"/>
          <w:szCs w:val="28"/>
        </w:rPr>
      </w:pPr>
      <w:r w:rsidRPr="008502B9">
        <w:rPr>
          <w:rFonts w:ascii="Times New Roman" w:hAnsi="Times New Roman" w:cs="Times New Roman"/>
          <w:b/>
          <w:bCs/>
          <w:sz w:val="28"/>
          <w:szCs w:val="28"/>
        </w:rPr>
        <w:t>CONCLUSION</w:t>
      </w:r>
    </w:p>
    <w:p w14:paraId="1A9B26B6"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 xml:space="preserve">The post-pandemic period and the Brexit decision have had various impacts on the economy of the UK. The workforce is diverse with various skills and knowledge. The human resources plans should have a long-term perspective for managing and accommodating the global workforce. The recruitment and selection of employees are very important(Singh, 2003). Proper training builds better employees with a high degree of satisfaction. The retention policies and flexible working environment may attract employees and effective use of the manpower. </w:t>
      </w:r>
    </w:p>
    <w:p w14:paraId="12BA7BC7" w14:textId="3CAD223D" w:rsidR="00A95ADB" w:rsidRDefault="00A95ADB" w:rsidP="00A95ADB">
      <w:pPr>
        <w:rPr>
          <w:rFonts w:ascii="Times New Roman" w:hAnsi="Times New Roman" w:cs="Times New Roman"/>
          <w:sz w:val="24"/>
          <w:szCs w:val="24"/>
        </w:rPr>
      </w:pPr>
    </w:p>
    <w:p w14:paraId="59074903" w14:textId="77777777" w:rsidR="008502B9" w:rsidRPr="00A95ADB" w:rsidRDefault="008502B9" w:rsidP="00A95ADB">
      <w:pPr>
        <w:rPr>
          <w:rFonts w:ascii="Times New Roman" w:hAnsi="Times New Roman" w:cs="Times New Roman"/>
          <w:sz w:val="24"/>
          <w:szCs w:val="24"/>
        </w:rPr>
      </w:pPr>
    </w:p>
    <w:p w14:paraId="172B354C" w14:textId="77777777" w:rsidR="00A95ADB" w:rsidRPr="008502B9" w:rsidRDefault="00A95ADB" w:rsidP="00A95ADB">
      <w:pPr>
        <w:rPr>
          <w:rFonts w:ascii="Times New Roman" w:hAnsi="Times New Roman" w:cs="Times New Roman"/>
          <w:b/>
          <w:bCs/>
          <w:sz w:val="28"/>
          <w:szCs w:val="28"/>
        </w:rPr>
      </w:pPr>
      <w:r w:rsidRPr="008502B9">
        <w:rPr>
          <w:rFonts w:ascii="Times New Roman" w:hAnsi="Times New Roman" w:cs="Times New Roman"/>
          <w:b/>
          <w:bCs/>
          <w:sz w:val="28"/>
          <w:szCs w:val="28"/>
        </w:rPr>
        <w:lastRenderedPageBreak/>
        <w:t>REFERENCES</w:t>
      </w:r>
    </w:p>
    <w:p w14:paraId="6FA85A55"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Agwu, E. and Nwoke, N.I. (2019) ‘Effect of Recruitment and Selection on Employee Retention: Mediating Factor of Employee Engagement’, European Journal of Applied Business Management, 5(4).</w:t>
      </w:r>
    </w:p>
    <w:p w14:paraId="289E51C9"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Al-Ghunaim, T.A. et al. (2021) ‘Psychological and occupational impact of the COVID-19 pandemic on UK surgeons: a qualitative investigation’, BMJ Open, 11(4). Available at: https://doi.org/10.1136/bmjopen-2020-045699.</w:t>
      </w:r>
    </w:p>
    <w:p w14:paraId="5CB45CDE"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Becker, B. (2001) ‘the Hr Scorecard’, Order A Journal On The Theory Of Ordered Sets And Its Applications, 23(10).</w:t>
      </w:r>
    </w:p>
    <w:p w14:paraId="0E5B8A1E"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Bell, D.N.F. and Blanchflower, D.G. (2020) ‘US and UK LABOUR MARKETS before and during the COVID-19 CRASH’, National Institute Economic Review, 252. Available at: https://doi.org/10.1017/nie.2020.14.</w:t>
      </w:r>
    </w:p>
    <w:p w14:paraId="68CE4FBA"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CIPD (2021) ‘Flexible working – lessons from the pandemic | CIPD’, Cipd [Preprint], (April). Available at: https://www.cipd.co.uk/knowledge/fundamentals/relations/flexible-working/flexible-working-lessons-pandemic?utm_source=linkedin&amp;utm_medium=cover-banner&amp;utm_campaign=flexfrom1st#.</w:t>
      </w:r>
    </w:p>
    <w:p w14:paraId="4DD58091"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Costa Dias, M. et al. (2020) ‘The Challenges for Labour Market Policy during the COVID-19 Pandemic*’, Fiscal Studies, 41(2), pp. 371–382. Available at: https://doi.org/10.1111/1475-5890.12233.</w:t>
      </w:r>
    </w:p>
    <w:p w14:paraId="12B20708"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Dhingra, S. et al. (2018) ‘UK trade and FDI: A post-Brexit perspective’, Papers in Regional Science, 97(1). Available at: https://doi.org/10.1111/pirs.12345.</w:t>
      </w:r>
    </w:p>
    <w:p w14:paraId="52C474E7"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Du, X. et al. (2021) ‘MBO based indicator-setting method for promoting low carbon city practice’, Ecological Indicators, 128. Available at: https://doi.org/10.1016/j.ecolind.2021.107828.</w:t>
      </w:r>
    </w:p>
    <w:p w14:paraId="55C5A832"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Duran, F., Woodhams, J. and Bishopp, D. (2018) ‘An Interview Study of the Experiences of Firefighters in Regard to Psychological Contract and Stressors’, Employee Responsibilities and Rights Journal, 30(3). Available at: https://doi.org/10.1007/s10672-018-9314-z.</w:t>
      </w:r>
    </w:p>
    <w:p w14:paraId="1AD25DAF"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‘Employee Retention in Videocon Group : A Case Study’ (no date), 18(1).</w:t>
      </w:r>
    </w:p>
    <w:p w14:paraId="1360BC0C"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Ertuğrul, Ö.F. and Tağluk, M.E. (2017) ‘A novel machine learning method based on generalized behavioral learning theory’, Neural Computing and Applications, 28(12). Available at: https://doi.org/10.1007/s00521-016-2314-8.</w:t>
      </w:r>
    </w:p>
    <w:p w14:paraId="011AD80D"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Glencross, A. (2020) ‘The importance of health security in post-Brexit EU–UK relations’, European View, 19(2). Available at: https://doi.org/10.1177/1781685820964291.</w:t>
      </w:r>
    </w:p>
    <w:p w14:paraId="7DDF2D55"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Graf, A.C. et al. (2020) ‘Contemporary nursing graduates’ transition to practice: A critical review of transition models’, Journal of Clinical Nursing, 29(15–16). Available at: https://doi.org/10.1111/jocn.15234.</w:t>
      </w:r>
    </w:p>
    <w:p w14:paraId="75DB0213"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Harahap, D. (2020) ‘Teori Carl Rogers dalam Membentuk Pribadi dan Sosial yang Sehat’, AL-IRSYAD: Jurnal Bimbingan Konseling Islam, 2.</w:t>
      </w:r>
    </w:p>
    <w:p w14:paraId="6DEB835E"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lastRenderedPageBreak/>
        <w:t>Hirsch, M. and Nachtwei, J. (2020) ‘Predictors for strategic HR management in German small and medium-sized enterprises: What it takes to install a strategic HR architecture as a contributor to success’, International Journal of Human Resources Development and Management, 20(3–4). Available at: https://doi.org/10.1504/IJHRDM.2020.107987.</w:t>
      </w:r>
    </w:p>
    <w:p w14:paraId="7F1B9FB6"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HUMAN RESOURCES: SCANNING THE EXTERNAL ENVIRONMENT (no date). Available at: http://bloghresources.blogspot.com/2020/07/scanning-external-environment.html (Accessed: 5 September 2022).</w:t>
      </w:r>
    </w:p>
    <w:p w14:paraId="61CAFEFA"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J., R., P., R. and A., S. (2005) ‘Potential use of routine databases in health technology assessment’, Health Technology Assessment, 9(20).</w:t>
      </w:r>
    </w:p>
    <w:p w14:paraId="43A4B262"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Jaca, N.I. (2021) ‘The Challenges of Transitioning from Teacher to Departmental Head in Seven Primary Schools’, Perspectives in Education, 39(2). Available at: https://doi.org/10.18820/2519593X/PIE.V39.I3.18.</w:t>
      </w:r>
    </w:p>
    <w:p w14:paraId="205C3338"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Kapur, R. (2021) ‘Strategic Resourcing As Key Aspect of Strategic Human Resource Management’, International Journal of Information, Business and Management, 13(4), pp. 47–56. Available at: https://www.proquest.com/scholarly-journals/strategic-resourcing-as-key-aspect-human-resource/docview/2568037303/se-2?accountid=45153.</w:t>
      </w:r>
    </w:p>
    <w:p w14:paraId="0C25A81D"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Kim, H. and Sung-Choon, K. (2013) ‘Strategic HR functions and firm performance: The moderating effects of high-involvement work practices’, Asia Pacific Journal of Management, 30(1). Available at: https://doi.org/10.1007/s10490-011-9264-6.</w:t>
      </w:r>
    </w:p>
    <w:p w14:paraId="1BAF1FED"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Kispal-Vitai, Z. and Wood, G.T. (2018) ‘HR planning’, in Human Resource Management. Available at: https://doi.org/10.4324/9781315299556-12.</w:t>
      </w:r>
    </w:p>
    <w:p w14:paraId="28689433"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Labour Market Outlook | Surveys | CIPD (no date). Available at: https://www.cipd.co.uk/knowledge/work/trends/labour-market-outlook#gref (Accessed: 5 September 2022).</w:t>
      </w:r>
    </w:p>
    <w:p w14:paraId="4F0A3ED8"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Labour market overview, UK - Office for National Statistics (no date). Available at: https://www.ons.gov.uk/employmentandlabourmarket/peopleinwork/employmentandemployeetypes/bulletins/uklabourmarket/june2022 (Accessed: 5 September 2022).</w:t>
      </w:r>
    </w:p>
    <w:p w14:paraId="5719C7E6"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Lai, F.Y. et al. (2020) ‘Transformational Leadership and Job Performance: The Mediating Role of Work Engagement’, SAGE Open, 10(1). Available at: https://doi.org/10.1177/2158244019899085.</w:t>
      </w:r>
    </w:p>
    <w:p w14:paraId="13169DD2"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Lean, J., Moizer, J. and Newbery, R. (2014) ‘Enhancing the impact of online simulations through blended learning: A critical incident approach’, Education and Training. Available at: https://doi.org/10.1108/ET-01-2013-0007.</w:t>
      </w:r>
    </w:p>
    <w:p w14:paraId="65B13DE7"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Lemos, S. and Portes, J. (2021) ‘New Labour? The Impact of Migration from Central and Eastern European Countries on the UK Labour Market’, SSRN Electronic Journal [Preprint]. Available at: https://doi.org/10.2139/ssrn.1286694.</w:t>
      </w:r>
    </w:p>
    <w:p w14:paraId="5BA0C519"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Malik, M.E. and Naeem, B. (2013) ‘Towards understanding controversy on herzberg theory of motivation’, World Applied Sciences Journal, 24(8). Available at: https://doi.org/10.5829/idosi.wasj.2013.24.08.2442.</w:t>
      </w:r>
    </w:p>
    <w:p w14:paraId="41B6256D"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lastRenderedPageBreak/>
        <w:t>Marinakou, E. and Giousmpasoglou, C. (2019) ‘Talent management and retention strategies in luxury hotels: evidence from four countries’, International Journal of Contemporary Hospitality Management, 31(10). Available at: https://doi.org/10.1108/IJCHM-10-2018-0862.</w:t>
      </w:r>
    </w:p>
    <w:p w14:paraId="03C69C2B"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Matolo, R.S., Iravo, P.M. and Waititu, P.G.A. (2019) ‘Study on Relationship between Recruitment and Selection and Employee Performance in Technical Training Institutes in Kenya’, International Journal of Scientific Research and Management, 7(03). Available at: https://doi.org/10.18535/ijsrm/v7i3.sh03.</w:t>
      </w:r>
    </w:p>
    <w:p w14:paraId="7561E1BA"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Mayhew, K. and Anand, P. (2020) ‘COVID-19 and the UK labour market’, Oxford Review of Economic Policy, 36. Available at: https://doi.org/10.1093/oxrep/graa017.</w:t>
      </w:r>
    </w:p>
    <w:p w14:paraId="471DA10B"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Mosakova, E.A. and Kizilova, K. (2021) ‘Labor market in the uk in digital era: The gender dimension’, RUDN Journal of Sociology, 21(3). Available at: https://doi.org/10.22363/2313-2272-2021-21-3-512-519.</w:t>
      </w:r>
    </w:p>
    <w:p w14:paraId="56B8023B"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Mustafa, G., Mazhar Hussain and Adnan Aslam (2020) ‘Political and Economic Impacts of Brexit on UK’, Review of Politics and Public Policy in Emerging Economies, 2(1). Available at: https://doi.org/10.26710/rope.v2i1.1257.</w:t>
      </w:r>
    </w:p>
    <w:p w14:paraId="6C3A661A"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Nagendra, A. and Deshpande, M. (2014) ‘Human Resource Information Systems (HRIS) in HR Planning and Development in Mid to Large Sized Organizations’, Procedia - Social and Behavioral Sciences, 133. Available at: https://doi.org/10.1016/j.sbspro.2014.04.169.</w:t>
      </w:r>
    </w:p>
    <w:p w14:paraId="176BD707"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Noh, H. et al. (2018) ‘How to improve a technology evaluation model: A data-driven approach’, Technovation, 72–73. Available at: https://doi.org/10.1016/j.technovation.2017.10.006.</w:t>
      </w:r>
    </w:p>
    <w:p w14:paraId="1F24EA75"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Office for National Statistics. (2018) ‘Sickness Absence in the UK Labour Market’, Office of National Statistics [Preprint].</w:t>
      </w:r>
    </w:p>
    <w:p w14:paraId="664345D8"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Office for National Statistics (2020) ‘Labour market overview , UK : December 2020’, Office for National Statistics [Preprint], (December 2020).</w:t>
      </w:r>
    </w:p>
    <w:p w14:paraId="3DDB6A47"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ONS (2021) ‘Labour market overview, UK: March 2021’, Statistical bulletin [Preprint], (March).</w:t>
      </w:r>
    </w:p>
    <w:p w14:paraId="2588F478"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Orton, M. and Green, A.E. (2019) ‘Active labour market policy in the UK: At a (local) crossroads?’, Local Economy, 34(1). Available at: https://doi.org/10.1177/0269094218824278.</w:t>
      </w:r>
    </w:p>
    <w:p w14:paraId="12176ECC"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Philip, G. and McKeown, I. (2004) ‘Business Transformation and Organizational Culture’:, European Management Journal, 22(6). Available at: https://doi.org/10.1016/j.emj.2004.09.026.</w:t>
      </w:r>
    </w:p>
    <w:p w14:paraId="28023B5D"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Redzuan Haji Botty, H.M. and Shahrill, M. (2014) ‘The impact of gagné, vygotsky and skinner theories in pedagogical practices of mathematics teachers in Brunei Darussalam’, Review of European Studies, 6(4). Available at: https://doi.org/10.5539/res.v6n4p100.</w:t>
      </w:r>
    </w:p>
    <w:p w14:paraId="78AC1B8D"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Ridgway, M. (2019) ‘Brexit: human resourcing implications’, Employee Relations, 41(5), pp. 1033–1045. Available at: https://doi.org/10.1108/ER-11-2018-0310.</w:t>
      </w:r>
    </w:p>
    <w:p w14:paraId="7DA9D5F9"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lastRenderedPageBreak/>
        <w:t>Shaikh, S.H., Shaikh, H. and Shaikh, S. (2019) ‘Using Herzberg theory to develop the employees’ performance of Rafhan maize industry’, International Journal of Management, 10(3). Available at: https://doi.org/10.34218/IJM.10.3.2019/001.</w:t>
      </w:r>
    </w:p>
    <w:p w14:paraId="7782A511"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Singh, K. (2003) ‘Strategic HR orientation and firm performance in India’, International Journal of Human Resource Management, 14(4). Available at: https://doi.org/10.1080/0958519032000057574.</w:t>
      </w:r>
    </w:p>
    <w:p w14:paraId="6A0387DE"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Suciu, L., Mortan, M. and Lazar, L. (2013) ‘Vrooms expectancy theory’, Transylvania Review of Adminstrative Sciences, 39(E).</w:t>
      </w:r>
    </w:p>
    <w:p w14:paraId="248031E2"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The Times News Paper (2010) ‘Motivational theory in practice at Tesco’, Www.Thetimes100.Co.Uk, pp. 105–108. Available at: http://businesscasestudies.co.uk/tesco/motivational-theory-in-practice-at-tesco/introduction.html#axzz2HKngwumT.</w:t>
      </w:r>
    </w:p>
    <w:p w14:paraId="65066398" w14:textId="77777777" w:rsidR="00A95ADB" w:rsidRPr="00A95ADB"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Thissen, M. et al. (2020) ‘The Implications of Brexit for UK and EU Regional Competitiveness’, Economic Geography, 96(5). Available at: https://doi.org/10.1080/00130095.2020.1820862.</w:t>
      </w:r>
    </w:p>
    <w:p w14:paraId="4E1F5D36" w14:textId="4127BCC6" w:rsidR="00B36F38" w:rsidRPr="003A117E" w:rsidRDefault="00A95ADB" w:rsidP="00A95ADB">
      <w:pPr>
        <w:rPr>
          <w:rFonts w:ascii="Times New Roman" w:hAnsi="Times New Roman" w:cs="Times New Roman"/>
          <w:sz w:val="24"/>
          <w:szCs w:val="24"/>
        </w:rPr>
      </w:pPr>
      <w:r w:rsidRPr="00A95ADB">
        <w:rPr>
          <w:rFonts w:ascii="Times New Roman" w:hAnsi="Times New Roman" w:cs="Times New Roman"/>
          <w:sz w:val="24"/>
          <w:szCs w:val="24"/>
        </w:rPr>
        <w:t>Tidd, J. and Bessant, J. (2013) ‘Case Studies Lego Case Studies’, Innovation Portal [Preprint], (2).</w:t>
      </w:r>
    </w:p>
    <w:sectPr w:rsidR="00B36F38" w:rsidRPr="003A117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3B4D1" w14:textId="77777777" w:rsidR="00F375DA" w:rsidRDefault="00F375DA" w:rsidP="00721612">
      <w:pPr>
        <w:spacing w:after="0" w:line="240" w:lineRule="auto"/>
      </w:pPr>
      <w:r>
        <w:separator/>
      </w:r>
    </w:p>
  </w:endnote>
  <w:endnote w:type="continuationSeparator" w:id="0">
    <w:p w14:paraId="6A69BC5B" w14:textId="77777777" w:rsidR="00F375DA" w:rsidRDefault="00F375DA" w:rsidP="00721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08935"/>
      <w:docPartObj>
        <w:docPartGallery w:val="Page Numbers (Bottom of Page)"/>
        <w:docPartUnique/>
      </w:docPartObj>
    </w:sdtPr>
    <w:sdtEndPr>
      <w:rPr>
        <w:noProof/>
      </w:rPr>
    </w:sdtEndPr>
    <w:sdtContent>
      <w:p w14:paraId="2433210C" w14:textId="643C87D7" w:rsidR="00721612" w:rsidRDefault="007216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79751" w14:textId="77777777" w:rsidR="00721612" w:rsidRDefault="00721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7E0D6" w14:textId="77777777" w:rsidR="00F375DA" w:rsidRDefault="00F375DA" w:rsidP="00721612">
      <w:pPr>
        <w:spacing w:after="0" w:line="240" w:lineRule="auto"/>
      </w:pPr>
      <w:r>
        <w:separator/>
      </w:r>
    </w:p>
  </w:footnote>
  <w:footnote w:type="continuationSeparator" w:id="0">
    <w:p w14:paraId="09B947E9" w14:textId="77777777" w:rsidR="00F375DA" w:rsidRDefault="00F375DA" w:rsidP="007216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654"/>
    <w:rsid w:val="00124D9B"/>
    <w:rsid w:val="00215654"/>
    <w:rsid w:val="003A117E"/>
    <w:rsid w:val="00497166"/>
    <w:rsid w:val="00721612"/>
    <w:rsid w:val="007E502D"/>
    <w:rsid w:val="008502B9"/>
    <w:rsid w:val="009B701E"/>
    <w:rsid w:val="00A418D7"/>
    <w:rsid w:val="00A95ADB"/>
    <w:rsid w:val="00B36F38"/>
    <w:rsid w:val="00B96AE6"/>
    <w:rsid w:val="00BA424A"/>
    <w:rsid w:val="00F375DA"/>
    <w:rsid w:val="00FB1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7AE55"/>
  <w15:chartTrackingRefBased/>
  <w15:docId w15:val="{5547C4A5-94D8-455D-B0B2-AA6393657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612"/>
  </w:style>
  <w:style w:type="paragraph" w:styleId="Footer">
    <w:name w:val="footer"/>
    <w:basedOn w:val="Normal"/>
    <w:link w:val="FooterChar"/>
    <w:uiPriority w:val="99"/>
    <w:unhideWhenUsed/>
    <w:rsid w:val="00721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6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14</Pages>
  <Words>4156</Words>
  <Characters>23691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Shah (2131204)</dc:creator>
  <cp:keywords/>
  <dc:description/>
  <cp:lastModifiedBy>Muhammed Shah (2131204)</cp:lastModifiedBy>
  <cp:revision>7</cp:revision>
  <dcterms:created xsi:type="dcterms:W3CDTF">2022-09-09T12:37:00Z</dcterms:created>
  <dcterms:modified xsi:type="dcterms:W3CDTF">2022-09-09T13:22:00Z</dcterms:modified>
</cp:coreProperties>
</file>