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AAB762" w14:textId="77777777" w:rsidR="00537DBB" w:rsidRPr="00537DBB" w:rsidRDefault="00537DBB" w:rsidP="00537DBB">
      <w:pPr>
        <w:pStyle w:val="Heading1"/>
      </w:pPr>
      <w:r w:rsidRPr="00537DBB">
        <w:t>Frameworks for Reading Ritual and Miasma in Greek Tragedy: Methodological and Theoretical Approaches</w:t>
      </w:r>
    </w:p>
    <w:p w14:paraId="4DA44AF8" w14:textId="77777777" w:rsidR="00422908" w:rsidRDefault="00422908"/>
    <w:p w14:paraId="34427EF7" w14:textId="27F2A9FA" w:rsidR="00537DBB" w:rsidRDefault="00537DBB" w:rsidP="00537DBB">
      <w:r>
        <w:t xml:space="preserve">Ancient Greek tragedy, performed during the City Dionysia festival in fifth-century Athens, occupies a unique position at the intersection of religion, performance, and civic identity. Staged in honour of Dionysus and attended by the male citizen body, these plays were not simply theatrical entertainment but part of the sacred calendar of the polis, embedded in ritual structures and mythic narratives. They </w:t>
      </w:r>
      <w:r w:rsidR="000E240B">
        <w:t>dramatized</w:t>
      </w:r>
      <w:r>
        <w:t xml:space="preserve"> conflicts involving burial, sacrifice, cult recognition, divine justice, and communal restoration</w:t>
      </w:r>
      <w:r w:rsidR="000E240B">
        <w:t>. T</w:t>
      </w:r>
      <w:r>
        <w:t xml:space="preserve">hemes that resonate deeply with the practices and concerns of ancient Greek religion. </w:t>
      </w:r>
      <w:r w:rsidR="000E240B">
        <w:t>So</w:t>
      </w:r>
      <w:r>
        <w:t>, tragedy can be treated not only as a literary genre but also as a valuable source for reconstructing aspects of Athenian religious life.</w:t>
      </w:r>
      <w:r>
        <w:rPr>
          <w:rStyle w:val="FootnoteReference"/>
        </w:rPr>
        <w:footnoteReference w:id="1"/>
      </w:r>
    </w:p>
    <w:p w14:paraId="00B3F2F8" w14:textId="737FFB89" w:rsidR="00537DBB" w:rsidRDefault="00537DBB" w:rsidP="00537DBB">
      <w:r>
        <w:t>However, tragedy does not offer a transparent window into what the Greeks believed. The plays reflect ritual not through documentary realism but through symbolic and performative means</w:t>
      </w:r>
      <w:r w:rsidR="000E240B">
        <w:t>. D</w:t>
      </w:r>
      <w:r>
        <w:t>istorting, intensifying, or subverting it for emotional and dramatic effect. This necessitates a careful approach. Interpreting Greek tragedy as religious evidence requires frameworks that account for both the performative nature of the genre and the material culture in which it was embedded.</w:t>
      </w:r>
    </w:p>
    <w:p w14:paraId="597C6CA4" w14:textId="0B5FC41A" w:rsidR="00537DBB" w:rsidRDefault="00537DBB" w:rsidP="00537DBB">
      <w:r>
        <w:t>This essay explores two interrelated theoretical approaches that enable such a reading:</w:t>
      </w:r>
    </w:p>
    <w:p w14:paraId="38EFC867" w14:textId="5F5255EE" w:rsidR="00537DBB" w:rsidRDefault="00537DBB" w:rsidP="00537DBB">
      <w:pPr>
        <w:pStyle w:val="ListParagraph"/>
        <w:numPr>
          <w:ilvl w:val="0"/>
          <w:numId w:val="1"/>
        </w:numPr>
      </w:pPr>
      <w:r>
        <w:t xml:space="preserve">The lived religion model, which emphasises ritual practice and performance as central to Greek religious life, and situates tragedy as part of that ritual </w:t>
      </w:r>
      <w:proofErr w:type="gramStart"/>
      <w:r>
        <w:t>experience;</w:t>
      </w:r>
      <w:proofErr w:type="gramEnd"/>
    </w:p>
    <w:p w14:paraId="1ACBBAE4" w14:textId="09F3C96A" w:rsidR="00537DBB" w:rsidRDefault="00537DBB" w:rsidP="00537DBB">
      <w:pPr>
        <w:pStyle w:val="ListParagraph"/>
        <w:numPr>
          <w:ilvl w:val="0"/>
          <w:numId w:val="1"/>
        </w:numPr>
      </w:pPr>
      <w:r>
        <w:t xml:space="preserve">Material religion and object-based analysis, which correlates tragic representations of ritual with the physical culture of religion </w:t>
      </w:r>
      <w:r w:rsidR="000E240B">
        <w:t>i.e.</w:t>
      </w:r>
      <w:r>
        <w:t xml:space="preserve"> votives, sacred objects, sanctuary space, and iconography.</w:t>
      </w:r>
    </w:p>
    <w:p w14:paraId="2A0E092C" w14:textId="1B374D38" w:rsidR="00537DBB" w:rsidRDefault="00537DBB" w:rsidP="00537DBB">
      <w:r>
        <w:t>Together, these frameworks offer a methodology that treats tragedy not merely as a reflection of belief, but as a ritualised and materially grounded expression of religious thought.</w:t>
      </w:r>
    </w:p>
    <w:p w14:paraId="4F04DC35" w14:textId="77777777" w:rsidR="00AE56C0" w:rsidRDefault="00AE56C0" w:rsidP="000E240B"/>
    <w:p w14:paraId="6DF0783D" w14:textId="52937E2E" w:rsidR="00537DBB" w:rsidRDefault="00537DBB" w:rsidP="00537DBB">
      <w:pPr>
        <w:ind w:firstLine="720"/>
      </w:pPr>
      <w:r>
        <w:t>The first methodological framework central to studying Greek tragedy as religious evidence is the lived religion model. Developed in religious studies and adapted for ancient contexts by scholars such as Christiane Sourvinou-Inwood and Jörg Rüpke, this approach shifts the focus away from abstract doctrine and theological belief, emphasising instead the ritual actions, embodied practices, and social interactions through which religion was experienced in daily life.</w:t>
      </w:r>
      <w:r w:rsidR="009262FF">
        <w:rPr>
          <w:rStyle w:val="FootnoteReference"/>
        </w:rPr>
        <w:footnoteReference w:id="2"/>
      </w:r>
      <w:r>
        <w:t xml:space="preserve"> Religion in this model is not located in fixed creeds but in funerary rites, sacrifices, supplications, processions, and civic festivals</w:t>
      </w:r>
      <w:r w:rsidR="000E240B">
        <w:t>. A</w:t>
      </w:r>
      <w:r>
        <w:t>ll of which feature prominently in tragedy.</w:t>
      </w:r>
    </w:p>
    <w:p w14:paraId="1CA7DBC3" w14:textId="670794FF" w:rsidR="00537DBB" w:rsidRDefault="00537DBB" w:rsidP="00537DBB">
      <w:r>
        <w:t>Greek tragedy itself was embedded within the ritual life of the polis. Plays were performed during the City Dionysia</w:t>
      </w:r>
      <w:r w:rsidR="000E240B">
        <w:t xml:space="preserve">, </w:t>
      </w:r>
      <w:r>
        <w:t xml:space="preserve">a sacred state-sponsored festival in honour of </w:t>
      </w:r>
      <w:proofErr w:type="gramStart"/>
      <w:r>
        <w:t>Dionysus</w:t>
      </w:r>
      <w:r w:rsidR="000E240B">
        <w:t>,</w:t>
      </w:r>
      <w:r>
        <w:t xml:space="preserve"> and</w:t>
      </w:r>
      <w:proofErr w:type="gramEnd"/>
      <w:r>
        <w:t xml:space="preserve"> were experienced collectively by the male citizen body. This performative context matters: it positions tragedy not as detached art but as part of the Athenian ritual system.</w:t>
      </w:r>
      <w:r w:rsidR="009262FF">
        <w:rPr>
          <w:rStyle w:val="FootnoteReference"/>
        </w:rPr>
        <w:footnoteReference w:id="3"/>
      </w:r>
      <w:r>
        <w:t xml:space="preserve"> Within this civic-religious setting, </w:t>
      </w:r>
      <w:r>
        <w:lastRenderedPageBreak/>
        <w:t>tragedy becomes a medium through which Athenians could reflect on religious practices and their failures</w:t>
      </w:r>
      <w:r w:rsidR="000E240B">
        <w:t xml:space="preserve">, </w:t>
      </w:r>
      <w:r>
        <w:t>on what happens when ritual obligation clashes with political authority or personal loyalty.</w:t>
      </w:r>
    </w:p>
    <w:p w14:paraId="03C18502" w14:textId="1F09652B" w:rsidR="00537DBB" w:rsidRDefault="00537DBB" w:rsidP="000E240B">
      <w:r>
        <w:t xml:space="preserve">This framework is particularly fruitful when applied to Sophocles’ </w:t>
      </w:r>
      <w:r w:rsidRPr="00BA34BF">
        <w:rPr>
          <w:i/>
          <w:iCs/>
        </w:rPr>
        <w:t>Antigone</w:t>
      </w:r>
      <w:r>
        <w:t>. The central conflict is not merely moral or philosophical but fundamentally ritual in nature: Antigone insists on burying her brother Polyneices, whose body has been left unburied by Creon’s civic decree. In refusing to obey, she performs the minimum funerary rites</w:t>
      </w:r>
      <w:r w:rsidR="000E240B">
        <w:t xml:space="preserve">, </w:t>
      </w:r>
      <w:r>
        <w:t>sprinkling earth and pouring libations</w:t>
      </w:r>
      <w:r w:rsidR="000E240B">
        <w:t>,</w:t>
      </w:r>
      <w:r>
        <w:t xml:space="preserve"> and justifies her defiance on religious grounds.</w:t>
      </w:r>
      <w:r w:rsidR="009262FF">
        <w:rPr>
          <w:rStyle w:val="FootnoteReference"/>
        </w:rPr>
        <w:footnoteReference w:id="4"/>
      </w:r>
      <w:r>
        <w:t xml:space="preserve"> These actions would have been visually and emotionally legible to Athenian audiences, who understood the religious necessity of burial for both the soul of the dead and the purity of the community. </w:t>
      </w:r>
      <w:r w:rsidR="000E240B">
        <w:t>T</w:t>
      </w:r>
      <w:r>
        <w:t>he unburied corpse constituted a source of miasma that could offend the gods and bring ritual contamination.</w:t>
      </w:r>
      <w:r w:rsidR="009262FF">
        <w:rPr>
          <w:rStyle w:val="FootnoteReference"/>
        </w:rPr>
        <w:footnoteReference w:id="5"/>
      </w:r>
      <w:r>
        <w:t xml:space="preserve"> While this paper omits detailed analysis of pollution theory, the religious implications of failed funerary ritual are evident within the play’s logic.</w:t>
      </w:r>
    </w:p>
    <w:p w14:paraId="68749AA2" w14:textId="6C2D9AEB" w:rsidR="00537DBB" w:rsidRDefault="00537DBB" w:rsidP="00537DBB">
      <w:r w:rsidRPr="00D01F31">
        <w:t xml:space="preserve">The lived religion approach also foregrounds the gendered nature of ritual authority. </w:t>
      </w:r>
      <w:r w:rsidR="00D01F31">
        <w:t>Female</w:t>
      </w:r>
      <w:r w:rsidRPr="00D01F31">
        <w:t xml:space="preserve"> ritual roles in tragedy show that Antigone’s act belongs to a culturally sanctioned female domain</w:t>
      </w:r>
      <w:r w:rsidR="00D01F31">
        <w:t>,</w:t>
      </w:r>
      <w:r w:rsidRPr="00D01F31">
        <w:t xml:space="preserve"> lamentation and burial</w:t>
      </w:r>
      <w:r w:rsidR="00D01F31">
        <w:t>,</w:t>
      </w:r>
      <w:r w:rsidRPr="00D01F31">
        <w:t xml:space="preserve"> but becomes politically charged because it transgresses civic </w:t>
      </w:r>
      <w:r w:rsidR="00D01F31" w:rsidRPr="00D01F31">
        <w:t>boundaries</w:t>
      </w:r>
      <w:r w:rsidRPr="00D01F31">
        <w:t>.</w:t>
      </w:r>
      <w:r w:rsidR="009262FF" w:rsidRPr="00D01F31">
        <w:rPr>
          <w:rStyle w:val="FootnoteReference"/>
        </w:rPr>
        <w:footnoteReference w:id="6"/>
      </w:r>
      <w:r w:rsidRPr="00D01F31">
        <w:t xml:space="preserve"> This allows us to read </w:t>
      </w:r>
      <w:r w:rsidRPr="00D01F31">
        <w:rPr>
          <w:i/>
          <w:iCs/>
        </w:rPr>
        <w:t>Antigone</w:t>
      </w:r>
      <w:r w:rsidRPr="00D01F31">
        <w:t xml:space="preserve"> not as a martyr for abstract divine law, but as someone enacting a ritual duty grounded in Athenian expectations of female piety.</w:t>
      </w:r>
    </w:p>
    <w:p w14:paraId="7A9A16D9" w14:textId="14C83987" w:rsidR="00537DBB" w:rsidRDefault="00537DBB" w:rsidP="00AE56C0">
      <w:pPr>
        <w:ind w:firstLine="720"/>
      </w:pPr>
      <w:r>
        <w:t xml:space="preserve">In </w:t>
      </w:r>
      <w:r w:rsidRPr="00BA34BF">
        <w:rPr>
          <w:i/>
          <w:iCs/>
        </w:rPr>
        <w:t>Bacchae</w:t>
      </w:r>
      <w:r>
        <w:t xml:space="preserve">, Euripides presents not just a narrative about Dionysus, but a ritualised staging of his cult. The women of Thebes abandon their homes to form a </w:t>
      </w:r>
      <w:proofErr w:type="spellStart"/>
      <w:r>
        <w:t>thiasos</w:t>
      </w:r>
      <w:proofErr w:type="spellEnd"/>
      <w:r>
        <w:t xml:space="preserve"> </w:t>
      </w:r>
      <w:r w:rsidR="00BA34BF">
        <w:t>(</w:t>
      </w:r>
      <w:r>
        <w:t>a band of female worshippers</w:t>
      </w:r>
      <w:r w:rsidR="00BA34BF">
        <w:t>)</w:t>
      </w:r>
      <w:r>
        <w:t xml:space="preserve"> who perform Dionysiac rites in the mountains. These include processions, ecstatic dancing, the wielding of the </w:t>
      </w:r>
      <w:proofErr w:type="spellStart"/>
      <w:r>
        <w:t>thyrsos</w:t>
      </w:r>
      <w:proofErr w:type="spellEnd"/>
      <w:r>
        <w:t xml:space="preserve"> (a ritual staff), and the wearing of animal skins and garlands</w:t>
      </w:r>
      <w:r w:rsidR="00BA34BF">
        <w:t>.</w:t>
      </w:r>
      <w:r>
        <w:t xml:space="preserve"> </w:t>
      </w:r>
      <w:r w:rsidR="00BA34BF">
        <w:t>A</w:t>
      </w:r>
      <w:r>
        <w:t>ll of which are consistent with known ritual elements of Dionysiac worship.</w:t>
      </w:r>
      <w:r w:rsidR="009262FF">
        <w:rPr>
          <w:rStyle w:val="FootnoteReference"/>
        </w:rPr>
        <w:footnoteReference w:id="7"/>
      </w:r>
      <w:r>
        <w:t xml:space="preserve"> The dramatic conflict unfolds when Pentheus, the king, refuses to acknowledge Dionysus’ divinity or cult, thereby disrupting the reciprocity between </w:t>
      </w:r>
      <w:proofErr w:type="gramStart"/>
      <w:r>
        <w:t>god</w:t>
      </w:r>
      <w:proofErr w:type="gramEnd"/>
      <w:r>
        <w:t xml:space="preserve"> and city. Dionysiac ritual is rooted in reciprocal obligation</w:t>
      </w:r>
      <w:r w:rsidR="00BA34BF">
        <w:t>,</w:t>
      </w:r>
      <w:r>
        <w:t xml:space="preserve"> the god grants blessing in exchange for recognition and proper ritual observance. Pentheus’ failure to participate leads not only to personal ruin but civic disorder.</w:t>
      </w:r>
      <w:r w:rsidR="009262FF">
        <w:rPr>
          <w:rStyle w:val="FootnoteReference"/>
        </w:rPr>
        <w:footnoteReference w:id="8"/>
      </w:r>
    </w:p>
    <w:p w14:paraId="2A1ED292" w14:textId="79CF3082" w:rsidR="00537DBB" w:rsidRDefault="00537DBB" w:rsidP="00537DBB">
      <w:r>
        <w:t>Here again, the lived religion model helps illuminate what is at stake</w:t>
      </w:r>
      <w:r w:rsidR="00BA34BF">
        <w:t>.</w:t>
      </w:r>
      <w:r>
        <w:t xml:space="preserve"> </w:t>
      </w:r>
      <w:r w:rsidRPr="00BA34BF">
        <w:rPr>
          <w:i/>
          <w:iCs/>
        </w:rPr>
        <w:t>Bacchae</w:t>
      </w:r>
      <w:r>
        <w:t xml:space="preserve"> is not simply about irrationality versus order, but about ritual participation as the foundation of civic stability. By </w:t>
      </w:r>
      <w:r w:rsidR="00BA34BF">
        <w:t>dramatizing</w:t>
      </w:r>
      <w:r>
        <w:t xml:space="preserve"> both the presence and suppression of ritual, the play invites reflection on how religious life functions</w:t>
      </w:r>
      <w:r w:rsidR="00BA34BF">
        <w:t>:</w:t>
      </w:r>
      <w:r>
        <w:t xml:space="preserve"> what forms it takes, who can lead it, and what happens when it is denied.</w:t>
      </w:r>
    </w:p>
    <w:p w14:paraId="1F2F22B7" w14:textId="0B02ECD9" w:rsidR="00537DBB" w:rsidRDefault="00537DBB" w:rsidP="00AE56C0">
      <w:pPr>
        <w:ind w:firstLine="720"/>
      </w:pPr>
      <w:r>
        <w:t xml:space="preserve">Finally, Aeschylus’ </w:t>
      </w:r>
      <w:r w:rsidRPr="00BA34BF">
        <w:rPr>
          <w:i/>
          <w:iCs/>
        </w:rPr>
        <w:t>Eumenides</w:t>
      </w:r>
      <w:r>
        <w:t xml:space="preserve"> offers a different ritual logic</w:t>
      </w:r>
      <w:r w:rsidR="00BA34BF">
        <w:t>.</w:t>
      </w:r>
      <w:r>
        <w:t xml:space="preserve"> </w:t>
      </w:r>
      <w:r w:rsidR="00BA34BF">
        <w:t>I</w:t>
      </w:r>
      <w:r>
        <w:t>t centres not on ecstatic rites or funerary duties, but on the ritualisation of justice itself. Orestes, pursued by the Furies for the crime of matricide, begins the play as a polluted suppliant at Delphi, seeking purification. He is then tried in Athens, where Athena introduces the Areopagus court</w:t>
      </w:r>
      <w:r w:rsidR="00BA34BF">
        <w:t>,</w:t>
      </w:r>
      <w:r>
        <w:t xml:space="preserve"> a civic institution that replaces the older system of blood vengeance with juridical procedure. The trial is not merely legal but saturated with ritual gestures: oath-taking, invocations of divine witnesses, sacred </w:t>
      </w:r>
      <w:r>
        <w:lastRenderedPageBreak/>
        <w:t>votes. The transformation of the Furies into the Eumenides, and their integration into an Athenian cult, is marked by processions, choral hymns, and offerings.</w:t>
      </w:r>
      <w:r w:rsidR="009262FF">
        <w:rPr>
          <w:rStyle w:val="FootnoteReference"/>
        </w:rPr>
        <w:footnoteReference w:id="9"/>
      </w:r>
    </w:p>
    <w:p w14:paraId="15BF238E" w14:textId="6E9A0B70" w:rsidR="00537DBB" w:rsidRDefault="00537DBB" w:rsidP="00537DBB">
      <w:r w:rsidRPr="00BA34BF">
        <w:rPr>
          <w:i/>
          <w:iCs/>
        </w:rPr>
        <w:t>Eumenides</w:t>
      </w:r>
      <w:r>
        <w:t xml:space="preserve"> </w:t>
      </w:r>
      <w:r w:rsidR="00BA34BF">
        <w:t xml:space="preserve">has been described </w:t>
      </w:r>
      <w:r>
        <w:t>as a case of ritual aetiology</w:t>
      </w:r>
      <w:r w:rsidR="00BA34BF">
        <w:t>,</w:t>
      </w:r>
      <w:r>
        <w:t xml:space="preserve"> a mythic explanation for the foundation of a real cult and court.</w:t>
      </w:r>
      <w:r w:rsidR="009262FF">
        <w:rPr>
          <w:rStyle w:val="FootnoteReference"/>
        </w:rPr>
        <w:footnoteReference w:id="10"/>
      </w:r>
      <w:r>
        <w:t xml:space="preserve"> Through the lived religion lens, the play offers a vision of civic and religious integration, using the stage to explore how the city manages sacred danger through newly sanctioned ritual forms.</w:t>
      </w:r>
    </w:p>
    <w:p w14:paraId="0D3D2EEC" w14:textId="5FEEC91D" w:rsidR="00537DBB" w:rsidRDefault="00537DBB" w:rsidP="00537DBB">
      <w:r>
        <w:t>Across these three plays, tragedy serve</w:t>
      </w:r>
      <w:r w:rsidR="00BA34BF">
        <w:t>d</w:t>
      </w:r>
      <w:r>
        <w:t xml:space="preserve"> as a theatrical arena for negotiating ritual authority. The lived religion model allows us to read these dramatic moments not simply as symbols or metaphors, but as enactments of real, recognisable ritual tensions. Tragedy does not explain religion; it performs it</w:t>
      </w:r>
      <w:r w:rsidR="00BA34BF">
        <w:t>. I</w:t>
      </w:r>
      <w:r>
        <w:t>n doing so, invites the audience to reflect on their own practices, obligations, and experiences of the sacred.</w:t>
      </w:r>
    </w:p>
    <w:p w14:paraId="31FC7FF8" w14:textId="77777777" w:rsidR="00AE56C0" w:rsidRDefault="00AE56C0" w:rsidP="00537DBB">
      <w:pPr>
        <w:ind w:firstLine="720"/>
      </w:pPr>
    </w:p>
    <w:p w14:paraId="16DD71E3" w14:textId="25460A39" w:rsidR="00537DBB" w:rsidRDefault="00537DBB" w:rsidP="00537DBB">
      <w:pPr>
        <w:ind w:firstLine="720"/>
      </w:pPr>
      <w:r>
        <w:t>If the lived religion model helps us understand tragedy as ritual in action, a complementary perspective is offered by material religion</w:t>
      </w:r>
      <w:r w:rsidR="00BA34BF">
        <w:t>,</w:t>
      </w:r>
      <w:r>
        <w:t xml:space="preserve"> an approach that emphasises the role of objects, spaces, gestures, and sensory experience in shaping religious life. In this framework, religion is not understood as an abstract belief system but as something embodied and materially mediated, enacted through offerings, libations, sacred clothing, votives, and temple architecture.</w:t>
      </w:r>
      <w:r w:rsidR="009262FF">
        <w:rPr>
          <w:rStyle w:val="FootnoteReference"/>
        </w:rPr>
        <w:footnoteReference w:id="11"/>
      </w:r>
      <w:r>
        <w:t xml:space="preserve"> Applying this method to Greek tragedy allows us to correlate the ritual language and actions on stage with the archaeological and visual record</w:t>
      </w:r>
      <w:r w:rsidR="00BA34BF">
        <w:t>.</w:t>
      </w:r>
      <w:r>
        <w:t xml:space="preserve"> </w:t>
      </w:r>
      <w:r w:rsidR="00BA34BF">
        <w:t>R</w:t>
      </w:r>
      <w:r>
        <w:t>evealing how material culture shaped</w:t>
      </w:r>
      <w:r w:rsidR="00BA34BF">
        <w:t xml:space="preserve">, </w:t>
      </w:r>
      <w:r>
        <w:t>and was shaped by</w:t>
      </w:r>
      <w:r w:rsidR="00BA34BF">
        <w:t>,</w:t>
      </w:r>
      <w:r>
        <w:t xml:space="preserve"> religious performance.</w:t>
      </w:r>
    </w:p>
    <w:p w14:paraId="2C1C4684" w14:textId="15CD2441" w:rsidR="00537DBB" w:rsidRDefault="00537DBB" w:rsidP="00537DBB">
      <w:r>
        <w:t xml:space="preserve">One of the clearest examples of this approach appears in </w:t>
      </w:r>
      <w:r w:rsidRPr="00BA34BF">
        <w:rPr>
          <w:i/>
          <w:iCs/>
        </w:rPr>
        <w:t>Antigone</w:t>
      </w:r>
      <w:r>
        <w:t>, where Sophocles stages not only a political defiance but a ritual act with material dimensions. Antigone’s burial of Polyneices involves two key gestures: the sprinkling of earth and the pouring of libations (</w:t>
      </w:r>
      <w:proofErr w:type="spellStart"/>
      <w:r>
        <w:t>choai</w:t>
      </w:r>
      <w:proofErr w:type="spellEnd"/>
      <w:r>
        <w:t>).</w:t>
      </w:r>
      <w:r w:rsidR="009262FF">
        <w:rPr>
          <w:rStyle w:val="FootnoteReference"/>
        </w:rPr>
        <w:footnoteReference w:id="12"/>
      </w:r>
      <w:r>
        <w:t xml:space="preserve"> These actions directly correspond to real Athenian funerary practices, including the use of small oil flasks (lekythoi) placed in graves, and the symbolic act of covering the dead with earth. Such objects have been found in large numbers in cemeteries like the </w:t>
      </w:r>
      <w:proofErr w:type="spellStart"/>
      <w:r>
        <w:t>Kerameikos</w:t>
      </w:r>
      <w:proofErr w:type="spellEnd"/>
      <w:r>
        <w:t>.</w:t>
      </w:r>
      <w:r w:rsidR="009262FF">
        <w:rPr>
          <w:rStyle w:val="FootnoteReference"/>
        </w:rPr>
        <w:footnoteReference w:id="13"/>
      </w:r>
      <w:r>
        <w:t xml:space="preserve"> The audience would have recognised these materials as part of their own religious experience. </w:t>
      </w:r>
      <w:r w:rsidR="00BA34BF">
        <w:t>T</w:t>
      </w:r>
      <w:r>
        <w:t xml:space="preserve">ragedy often invokes female ritual action through </w:t>
      </w:r>
      <w:r w:rsidR="00BA34BF">
        <w:t>objects; i</w:t>
      </w:r>
      <w:r>
        <w:t>n this case the libation vessel becomes both a tool of piety and a symbol of contested authority.</w:t>
      </w:r>
      <w:r w:rsidR="009262FF">
        <w:rPr>
          <w:rStyle w:val="FootnoteReference"/>
        </w:rPr>
        <w:footnoteReference w:id="14"/>
      </w:r>
    </w:p>
    <w:p w14:paraId="04DBE953" w14:textId="3FEC55ED" w:rsidR="00537DBB" w:rsidRDefault="00537DBB" w:rsidP="00AE56C0">
      <w:pPr>
        <w:ind w:firstLine="720"/>
      </w:pPr>
      <w:r>
        <w:t xml:space="preserve">The </w:t>
      </w:r>
      <w:r w:rsidRPr="00BA34BF">
        <w:rPr>
          <w:i/>
          <w:iCs/>
        </w:rPr>
        <w:t>Bacchae</w:t>
      </w:r>
      <w:r>
        <w:t xml:space="preserve"> offers an even more richly textured example of ritual materiality. The visual and sensory elements of Dionysiac worship</w:t>
      </w:r>
      <w:r w:rsidR="00BA34BF">
        <w:t>:</w:t>
      </w:r>
      <w:r>
        <w:t xml:space="preserve"> </w:t>
      </w:r>
      <w:proofErr w:type="spellStart"/>
      <w:r>
        <w:t>thyrsoi</w:t>
      </w:r>
      <w:proofErr w:type="spellEnd"/>
      <w:r>
        <w:t xml:space="preserve"> (fennel staffs), fawnskins, garlands, and ecstatic music</w:t>
      </w:r>
      <w:r w:rsidR="00BA34BF">
        <w:t>,</w:t>
      </w:r>
      <w:r>
        <w:t xml:space="preserve"> are central to the play’s dramatic texture. These items are not imagined inventions but known features of Dionysiac cult, frequently depicted in Attic vase painting, particularly on red-figure kraters and </w:t>
      </w:r>
      <w:r w:rsidR="00BA34BF">
        <w:t>kylixes</w:t>
      </w:r>
      <w:r>
        <w:t xml:space="preserve"> showing maenads in procession or ritual frenzy.</w:t>
      </w:r>
      <w:r w:rsidR="009262FF">
        <w:rPr>
          <w:rStyle w:val="FootnoteReference"/>
        </w:rPr>
        <w:footnoteReference w:id="15"/>
      </w:r>
      <w:r>
        <w:t xml:space="preserve"> Euripides describes the women’s </w:t>
      </w:r>
      <w:proofErr w:type="spellStart"/>
      <w:r>
        <w:t>rites</w:t>
      </w:r>
      <w:proofErr w:type="spellEnd"/>
      <w:r>
        <w:t xml:space="preserve"> in terms consistent with cult practice: rhythmic movement, song, intoxication, and altered states. By staging these rituals through costume, choreography, and props, the play brings Dionysiac religion into sensory and material presence. </w:t>
      </w:r>
      <w:r w:rsidR="00BA34BF">
        <w:t>The</w:t>
      </w:r>
      <w:r>
        <w:t xml:space="preserve"> iconography of Dionysiac objects communicates not only identity, but the emotional and </w:t>
      </w:r>
      <w:r>
        <w:lastRenderedPageBreak/>
        <w:t>spiritual logic of the cult.</w:t>
      </w:r>
      <w:r w:rsidR="009262FF">
        <w:rPr>
          <w:rStyle w:val="FootnoteReference"/>
        </w:rPr>
        <w:footnoteReference w:id="16"/>
      </w:r>
      <w:r>
        <w:t xml:space="preserve"> The </w:t>
      </w:r>
      <w:proofErr w:type="spellStart"/>
      <w:r>
        <w:t>thyrsos</w:t>
      </w:r>
      <w:proofErr w:type="spellEnd"/>
      <w:r>
        <w:t>, for example, functions as both a festive staff and a symbol of divine possession.</w:t>
      </w:r>
    </w:p>
    <w:p w14:paraId="329D4959" w14:textId="0BFE54F4" w:rsidR="00537DBB" w:rsidRDefault="00537DBB" w:rsidP="00AE56C0">
      <w:pPr>
        <w:ind w:firstLine="720"/>
      </w:pPr>
      <w:r>
        <w:t xml:space="preserve">In </w:t>
      </w:r>
      <w:r w:rsidRPr="00012C8A">
        <w:rPr>
          <w:i/>
          <w:iCs/>
        </w:rPr>
        <w:t>Eumenides</w:t>
      </w:r>
      <w:r>
        <w:t>, materiality is bound up with sacral space and political transformation. Orestes begins the play seated at the omphalos of Apollo’s temple at Delphi, clutching the sacred tokens of supplication. His journey moves from ritual pollution to civic integration, culminating in his trial at the Areopagus</w:t>
      </w:r>
      <w:r w:rsidR="00012C8A">
        <w:t>,</w:t>
      </w:r>
      <w:r>
        <w:t xml:space="preserve"> a</w:t>
      </w:r>
      <w:r w:rsidR="00012C8A">
        <w:t xml:space="preserve">n </w:t>
      </w:r>
      <w:r>
        <w:t>Athenian court associated with homicide jurisdiction. Aeschylus does not merely reference this space; he ritually activates it, presenting its founding as both a mythical and institutional moment.</w:t>
      </w:r>
      <w:r w:rsidR="009262FF">
        <w:rPr>
          <w:rStyle w:val="FootnoteReference"/>
        </w:rPr>
        <w:footnoteReference w:id="17"/>
      </w:r>
      <w:r>
        <w:t xml:space="preserve"> The transformation of the Furies into the Eumenides is similarly marked by ritual offerings, processions, and libations. </w:t>
      </w:r>
      <w:r w:rsidR="00012C8A">
        <w:t>S</w:t>
      </w:r>
      <w:r>
        <w:t>uch rituals</w:t>
      </w:r>
      <w:r w:rsidR="00012C8A">
        <w:t>,</w:t>
      </w:r>
      <w:r>
        <w:t xml:space="preserve"> whether staged or historical</w:t>
      </w:r>
      <w:r w:rsidR="00012C8A">
        <w:t>,</w:t>
      </w:r>
      <w:r>
        <w:t xml:space="preserve"> rely on material gestures to convey theological change: new cults need not just mythic stories but spaces, objects, and visible acts.</w:t>
      </w:r>
      <w:r w:rsidR="009262FF">
        <w:rPr>
          <w:rStyle w:val="FootnoteReference"/>
        </w:rPr>
        <w:footnoteReference w:id="18"/>
      </w:r>
      <w:r>
        <w:t xml:space="preserve"> In this sense, tragedy doesn’t only tell us that the Furies were pacified</w:t>
      </w:r>
      <w:r w:rsidR="00012C8A">
        <w:t>,</w:t>
      </w:r>
      <w:r>
        <w:t xml:space="preserve"> it shows us how a city ritually incorporates divine danger through civic cult.</w:t>
      </w:r>
    </w:p>
    <w:p w14:paraId="2A3CA91B" w14:textId="35A5E598" w:rsidR="00537DBB" w:rsidRDefault="00537DBB" w:rsidP="00537DBB">
      <w:r>
        <w:t xml:space="preserve">This object-based and material framework also allows scholars to recover audience perception. Tragic references to burial vessels, libations, </w:t>
      </w:r>
      <w:proofErr w:type="spellStart"/>
      <w:r>
        <w:t>thyrsoi</w:t>
      </w:r>
      <w:proofErr w:type="spellEnd"/>
      <w:r>
        <w:t xml:space="preserve">, or sacred spaces were not obscure allusions but immediately recognisable ritual cues. Audiences had seen, handled, or offered such items themselves. </w:t>
      </w:r>
      <w:r w:rsidR="00012C8A">
        <w:t>Objects</w:t>
      </w:r>
      <w:r>
        <w:t xml:space="preserve"> mediate belief by enabling sensory contact with the divine.</w:t>
      </w:r>
      <w:r w:rsidR="009262FF">
        <w:rPr>
          <w:rStyle w:val="FootnoteReference"/>
        </w:rPr>
        <w:footnoteReference w:id="19"/>
      </w:r>
      <w:r>
        <w:t xml:space="preserve"> In tragedy, this mediation happens not through theology but through props, costumes, and spatial cues</w:t>
      </w:r>
      <w:r w:rsidR="00012C8A">
        <w:t>.</w:t>
      </w:r>
      <w:r>
        <w:t xml:space="preserve"> </w:t>
      </w:r>
      <w:r w:rsidR="00012C8A">
        <w:t>A</w:t>
      </w:r>
      <w:r>
        <w:t>ll of which reinforce the religious stakes of the dramatic action.</w:t>
      </w:r>
    </w:p>
    <w:p w14:paraId="3A338FB6" w14:textId="2CEAB603" w:rsidR="00537DBB" w:rsidRDefault="00012C8A" w:rsidP="00537DBB">
      <w:r>
        <w:t>The material religion approach</w:t>
      </w:r>
      <w:r w:rsidR="00537DBB">
        <w:t xml:space="preserve"> </w:t>
      </w:r>
      <w:r>
        <w:t>assists in</w:t>
      </w:r>
      <w:r w:rsidR="00537DBB">
        <w:t xml:space="preserve"> treat</w:t>
      </w:r>
      <w:r>
        <w:t>ing</w:t>
      </w:r>
      <w:r w:rsidR="00537DBB">
        <w:t xml:space="preserve"> tragedy not merely as a repository of myth or moral </w:t>
      </w:r>
      <w:r>
        <w:t>conflict,</w:t>
      </w:r>
      <w:r w:rsidR="00537DBB">
        <w:t xml:space="preserve"> but as ritualised spectacle grounded in the physical </w:t>
      </w:r>
      <w:r>
        <w:t>materiality</w:t>
      </w:r>
      <w:r w:rsidR="00537DBB">
        <w:t xml:space="preserve"> of religion. It opens the door to interdisciplinary readings that combine textual analysis, archaeological evidence, and visual culture. While it cannot always prove direct ritual parallels</w:t>
      </w:r>
      <w:r>
        <w:t xml:space="preserve">, </w:t>
      </w:r>
      <w:r w:rsidR="00537DBB">
        <w:t>playwrights could distort or fictionalise ritual elements</w:t>
      </w:r>
      <w:r>
        <w:t>,</w:t>
      </w:r>
      <w:r w:rsidR="00537DBB">
        <w:t xml:space="preserve"> it allows us to recover the sensory and participatory logic through which tragedy expressed and explored religious meaning.</w:t>
      </w:r>
    </w:p>
    <w:p w14:paraId="6D9FCCDC" w14:textId="77777777" w:rsidR="00537DBB" w:rsidRDefault="00537DBB" w:rsidP="00537DBB"/>
    <w:p w14:paraId="1ACE76B6" w14:textId="0C7F5576" w:rsidR="009262FF" w:rsidRDefault="009262FF" w:rsidP="00012C8A">
      <w:pPr>
        <w:ind w:firstLine="720"/>
      </w:pPr>
      <w:r>
        <w:t>The two frameworks explored</w:t>
      </w:r>
      <w:r w:rsidR="00012C8A">
        <w:t>,</w:t>
      </w:r>
      <w:r>
        <w:t xml:space="preserve"> lived religion and material religion</w:t>
      </w:r>
      <w:r w:rsidR="00012C8A">
        <w:t>,</w:t>
      </w:r>
      <w:r>
        <w:t xml:space="preserve"> together reveal how Greek tragedy served as a form of ritualised religious reflection. The lived religion model shows that plays like </w:t>
      </w:r>
      <w:r w:rsidRPr="00012C8A">
        <w:rPr>
          <w:i/>
          <w:iCs/>
        </w:rPr>
        <w:t>Antigone</w:t>
      </w:r>
      <w:r>
        <w:t xml:space="preserve">, </w:t>
      </w:r>
      <w:r w:rsidRPr="00012C8A">
        <w:rPr>
          <w:i/>
          <w:iCs/>
        </w:rPr>
        <w:t>Bacchae</w:t>
      </w:r>
      <w:r>
        <w:t xml:space="preserve">, and </w:t>
      </w:r>
      <w:r w:rsidRPr="00012C8A">
        <w:rPr>
          <w:i/>
          <w:iCs/>
        </w:rPr>
        <w:t>Eumenides</w:t>
      </w:r>
      <w:r>
        <w:t xml:space="preserve"> enact conflicts over burial, sacrifice, and cult in ways that mirror real ritual tensions within the polis. Staged at a religious festival, tragedy itself functioned as a civic ritual.</w:t>
      </w:r>
      <w:r w:rsidR="00012C8A">
        <w:t xml:space="preserve"> </w:t>
      </w:r>
      <w:r>
        <w:t xml:space="preserve">Material religion complements this by grounding those rituals in objects and sacred spaces recognisable to the audience: libation vessels, </w:t>
      </w:r>
      <w:proofErr w:type="spellStart"/>
      <w:r>
        <w:t>thyrsoi</w:t>
      </w:r>
      <w:proofErr w:type="spellEnd"/>
      <w:r>
        <w:t xml:space="preserve">, funerary tools, temples. These weren’t just props or symbols, but active religious technologies, making divine presence tangible </w:t>
      </w:r>
      <w:r w:rsidR="00012C8A">
        <w:t>in the</w:t>
      </w:r>
      <w:r>
        <w:t xml:space="preserve"> performance</w:t>
      </w:r>
      <w:r w:rsidR="00012C8A">
        <w:t>s</w:t>
      </w:r>
      <w:r>
        <w:t>.</w:t>
      </w:r>
    </w:p>
    <w:p w14:paraId="51787790" w14:textId="216DAC8E" w:rsidR="00AE56C0" w:rsidRDefault="009262FF" w:rsidP="00012C8A">
      <w:r>
        <w:t xml:space="preserve">Together, these approaches demonstrate that tragedy was not simply about </w:t>
      </w:r>
      <w:r w:rsidR="00012C8A">
        <w:t>entertainment,</w:t>
      </w:r>
      <w:r>
        <w:t xml:space="preserve"> it was a </w:t>
      </w:r>
      <w:r w:rsidR="00012C8A">
        <w:t>method</w:t>
      </w:r>
      <w:r>
        <w:t xml:space="preserve"> of religio</w:t>
      </w:r>
      <w:r w:rsidR="00012C8A">
        <w:t>us exhibition</w:t>
      </w:r>
      <w:r>
        <w:t>. It offered the Athenian audience a space to confront sacred obligations, reflect on ritual failure, and imagine communal renewal. Tragedy thus becomes a ritual artefact, not just literary evidence</w:t>
      </w:r>
      <w:r w:rsidR="00012C8A">
        <w:t>.</w:t>
      </w:r>
      <w:r>
        <w:t xml:space="preserve"> </w:t>
      </w:r>
      <w:r w:rsidR="00012C8A">
        <w:t>Staging</w:t>
      </w:r>
      <w:r>
        <w:t xml:space="preserve"> Athens’ deepest religious questions in public, material, and embodied form.</w:t>
      </w:r>
      <w:r w:rsidR="00AE56C0">
        <w:br w:type="page"/>
      </w:r>
    </w:p>
    <w:p w14:paraId="4707E46C" w14:textId="2EB8CC06" w:rsidR="00AE56C0" w:rsidRDefault="00AE56C0" w:rsidP="00AE56C0">
      <w:pPr>
        <w:pStyle w:val="Heading1"/>
      </w:pPr>
      <w:r>
        <w:lastRenderedPageBreak/>
        <w:t>Bibliography</w:t>
      </w:r>
    </w:p>
    <w:p w14:paraId="51C54A3B" w14:textId="533A4EF9" w:rsidR="00AE56C0" w:rsidRPr="00AE56C0" w:rsidRDefault="00AE56C0" w:rsidP="00AE56C0">
      <w:r w:rsidRPr="00AE56C0">
        <w:t xml:space="preserve">Blundell, S. (1995) </w:t>
      </w:r>
      <w:r w:rsidRPr="00AE56C0">
        <w:rPr>
          <w:i/>
          <w:iCs/>
        </w:rPr>
        <w:t>Women in Ancient Greece</w:t>
      </w:r>
      <w:r w:rsidRPr="00AE56C0">
        <w:t>. London: Harvard University Press.</w:t>
      </w:r>
    </w:p>
    <w:p w14:paraId="18BDA9FB" w14:textId="7E711209" w:rsidR="00AE56C0" w:rsidRPr="00AE56C0" w:rsidRDefault="00AE56C0" w:rsidP="00AE56C0">
      <w:r w:rsidRPr="00AE56C0">
        <w:t xml:space="preserve">Foley, H. P. (2001) </w:t>
      </w:r>
      <w:r w:rsidRPr="00AE56C0">
        <w:rPr>
          <w:i/>
          <w:iCs/>
        </w:rPr>
        <w:t>Female Acts in Greek Tragedy</w:t>
      </w:r>
      <w:r w:rsidRPr="00AE56C0">
        <w:t>. Princeton, NJ: Princeton University Press.</w:t>
      </w:r>
    </w:p>
    <w:p w14:paraId="3F2EAEEB" w14:textId="1A0559EE" w:rsidR="00AE56C0" w:rsidRPr="00AE56C0" w:rsidRDefault="00AE56C0" w:rsidP="00AE56C0">
      <w:r w:rsidRPr="00AE56C0">
        <w:t xml:space="preserve">Goldhill, S. (1986) </w:t>
      </w:r>
      <w:r w:rsidRPr="00AE56C0">
        <w:rPr>
          <w:i/>
          <w:iCs/>
        </w:rPr>
        <w:t>Reading Greek Tragedy</w:t>
      </w:r>
      <w:r w:rsidRPr="00AE56C0">
        <w:t>. Cambridge: Cambridge University Press.</w:t>
      </w:r>
    </w:p>
    <w:p w14:paraId="7CF931B4" w14:textId="69E8E088" w:rsidR="00AE56C0" w:rsidRPr="00AE56C0" w:rsidRDefault="00AE56C0" w:rsidP="00AE56C0">
      <w:proofErr w:type="spellStart"/>
      <w:r w:rsidRPr="00AE56C0">
        <w:t>Lissarrague</w:t>
      </w:r>
      <w:proofErr w:type="spellEnd"/>
      <w:r w:rsidRPr="00AE56C0">
        <w:t xml:space="preserve">, F. (1990) </w:t>
      </w:r>
      <w:r w:rsidRPr="00AE56C0">
        <w:rPr>
          <w:i/>
          <w:iCs/>
        </w:rPr>
        <w:t>The Aesthetics of the Greek Banquet: Images of Wine and Ritual</w:t>
      </w:r>
      <w:r w:rsidRPr="00AE56C0">
        <w:t>. Princeton: Princeton University Press.</w:t>
      </w:r>
    </w:p>
    <w:p w14:paraId="7EF4B967" w14:textId="756CD94F" w:rsidR="00AE56C0" w:rsidRPr="00AE56C0" w:rsidRDefault="00AE56C0" w:rsidP="00AE56C0">
      <w:r w:rsidRPr="00AE56C0">
        <w:t xml:space="preserve">Mikalson, J. D. (2010) </w:t>
      </w:r>
      <w:r w:rsidRPr="00AE56C0">
        <w:rPr>
          <w:i/>
          <w:iCs/>
        </w:rPr>
        <w:t>Ancient Greek Religion</w:t>
      </w:r>
      <w:r w:rsidRPr="00AE56C0">
        <w:t xml:space="preserve">, 2nd </w:t>
      </w:r>
      <w:proofErr w:type="spellStart"/>
      <w:r w:rsidRPr="00AE56C0">
        <w:t>edn</w:t>
      </w:r>
      <w:proofErr w:type="spellEnd"/>
      <w:r w:rsidRPr="00AE56C0">
        <w:t>. Chichester: Wiley-Blackwell.</w:t>
      </w:r>
    </w:p>
    <w:p w14:paraId="0D799DBB" w14:textId="6E1F7B48" w:rsidR="00AE56C0" w:rsidRPr="00AE56C0" w:rsidRDefault="00AE56C0" w:rsidP="00AE56C0">
      <w:r w:rsidRPr="00AE56C0">
        <w:t xml:space="preserve">Morgan, D. (2010) </w:t>
      </w:r>
      <w:r w:rsidRPr="00AE56C0">
        <w:rPr>
          <w:i/>
          <w:iCs/>
        </w:rPr>
        <w:t>Religion and Material Culture: The Matter of Belief</w:t>
      </w:r>
      <w:r w:rsidRPr="00AE56C0">
        <w:t>. London: Routledge.</w:t>
      </w:r>
    </w:p>
    <w:p w14:paraId="0DA4C569" w14:textId="3282B7BC" w:rsidR="00AE56C0" w:rsidRPr="00AE56C0" w:rsidRDefault="00AE56C0" w:rsidP="00AE56C0">
      <w:r w:rsidRPr="00AE56C0">
        <w:t xml:space="preserve">Osborne, R. (2011) </w:t>
      </w:r>
      <w:r w:rsidRPr="00AE56C0">
        <w:rPr>
          <w:i/>
          <w:iCs/>
        </w:rPr>
        <w:t>The History Written on the Classical Greek Body</w:t>
      </w:r>
      <w:r w:rsidRPr="00AE56C0">
        <w:t>. Cambridge: Cambridge University Press.</w:t>
      </w:r>
    </w:p>
    <w:p w14:paraId="053602A6" w14:textId="12B36B4B" w:rsidR="00AE56C0" w:rsidRPr="00AE56C0" w:rsidRDefault="00AE56C0" w:rsidP="00AE56C0">
      <w:proofErr w:type="spellStart"/>
      <w:r w:rsidRPr="00AE56C0">
        <w:t>Rüpke</w:t>
      </w:r>
      <w:proofErr w:type="spellEnd"/>
      <w:r w:rsidRPr="00AE56C0">
        <w:t xml:space="preserve">, J. (2011) ‘Lived Ancient Religion: Questioning “Cults” and “Polis Religion”’, </w:t>
      </w:r>
      <w:r w:rsidRPr="00AE56C0">
        <w:rPr>
          <w:i/>
          <w:iCs/>
        </w:rPr>
        <w:t>Mythos</w:t>
      </w:r>
      <w:r w:rsidRPr="00AE56C0">
        <w:t>, 5, pp. 191–204.</w:t>
      </w:r>
    </w:p>
    <w:p w14:paraId="041041F2" w14:textId="202413C4" w:rsidR="00AE56C0" w:rsidRPr="00AE56C0" w:rsidRDefault="00AE56C0" w:rsidP="00AE56C0">
      <w:r w:rsidRPr="00AE56C0">
        <w:t xml:space="preserve">Seaford, R. (1994) </w:t>
      </w:r>
      <w:r w:rsidRPr="00AE56C0">
        <w:rPr>
          <w:i/>
          <w:iCs/>
        </w:rPr>
        <w:t>Reciprocity and Ritual: Homer and Tragedy in the Developing City-State</w:t>
      </w:r>
      <w:r w:rsidRPr="00AE56C0">
        <w:t>. Oxford: Clarendon Press.</w:t>
      </w:r>
    </w:p>
    <w:p w14:paraId="7EBE97C2" w14:textId="3AEE936F" w:rsidR="00AE56C0" w:rsidRPr="00AE56C0" w:rsidRDefault="00AE56C0" w:rsidP="00AE56C0">
      <w:r w:rsidRPr="00AE56C0">
        <w:t xml:space="preserve">Seaford, R. (1996) </w:t>
      </w:r>
      <w:r w:rsidRPr="00AE56C0">
        <w:rPr>
          <w:i/>
          <w:iCs/>
        </w:rPr>
        <w:t>Euripides: Bacchae</w:t>
      </w:r>
      <w:r w:rsidRPr="00AE56C0">
        <w:t>. Warminster: Aris &amp; Phillips.</w:t>
      </w:r>
    </w:p>
    <w:p w14:paraId="2FE7E429" w14:textId="77777777" w:rsidR="00AE56C0" w:rsidRDefault="00AE56C0" w:rsidP="00AE56C0">
      <w:proofErr w:type="spellStart"/>
      <w:r w:rsidRPr="00AE56C0">
        <w:t>Sommerstein</w:t>
      </w:r>
      <w:proofErr w:type="spellEnd"/>
      <w:r w:rsidRPr="00AE56C0">
        <w:t xml:space="preserve">, A. H. (1989) </w:t>
      </w:r>
      <w:r w:rsidRPr="00AE56C0">
        <w:rPr>
          <w:i/>
          <w:iCs/>
        </w:rPr>
        <w:t>Aeschylus: Eumenides</w:t>
      </w:r>
      <w:r w:rsidRPr="00AE56C0">
        <w:t>. Cambridge: Cambridge University Press.</w:t>
      </w:r>
    </w:p>
    <w:p w14:paraId="57178039" w14:textId="153F13D1" w:rsidR="00AE56C0" w:rsidRPr="00AE56C0" w:rsidRDefault="00AE56C0" w:rsidP="00AE56C0">
      <w:proofErr w:type="spellStart"/>
      <w:r w:rsidRPr="00AE56C0">
        <w:t>Sourvinou</w:t>
      </w:r>
      <w:proofErr w:type="spellEnd"/>
      <w:r w:rsidRPr="00AE56C0">
        <w:t xml:space="preserve">-Inwood, C. (2003) </w:t>
      </w:r>
      <w:r w:rsidRPr="00AE56C0">
        <w:rPr>
          <w:i/>
          <w:iCs/>
        </w:rPr>
        <w:t>Tragedy and Athenian Religion</w:t>
      </w:r>
      <w:r w:rsidRPr="00AE56C0">
        <w:t>. Lanham, MD: Lexington Books.</w:t>
      </w:r>
    </w:p>
    <w:p w14:paraId="4AD62246" w14:textId="77777777" w:rsidR="00AE56C0" w:rsidRPr="00AE56C0" w:rsidRDefault="00AE56C0" w:rsidP="00AE56C0"/>
    <w:sectPr w:rsidR="00AE56C0" w:rsidRPr="00AE56C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4B76FA" w14:textId="77777777" w:rsidR="00A43CC7" w:rsidRDefault="00A43CC7" w:rsidP="00537DBB">
      <w:pPr>
        <w:spacing w:after="0" w:line="240" w:lineRule="auto"/>
      </w:pPr>
      <w:r>
        <w:separator/>
      </w:r>
    </w:p>
  </w:endnote>
  <w:endnote w:type="continuationSeparator" w:id="0">
    <w:p w14:paraId="44D2EDBF" w14:textId="77777777" w:rsidR="00A43CC7" w:rsidRDefault="00A43CC7" w:rsidP="00537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251819"/>
      <w:docPartObj>
        <w:docPartGallery w:val="Page Numbers (Bottom of Page)"/>
        <w:docPartUnique/>
      </w:docPartObj>
    </w:sdtPr>
    <w:sdtContent>
      <w:p w14:paraId="279E804D" w14:textId="7CDA65BD" w:rsidR="00AE56C0" w:rsidRDefault="00AE56C0">
        <w:pPr>
          <w:pStyle w:val="Footer"/>
          <w:jc w:val="right"/>
        </w:pPr>
        <w:r>
          <w:fldChar w:fldCharType="begin"/>
        </w:r>
        <w:r>
          <w:instrText>PAGE   \* MERGEFORMAT</w:instrText>
        </w:r>
        <w:r>
          <w:fldChar w:fldCharType="separate"/>
        </w:r>
        <w:r>
          <w:t>2</w:t>
        </w:r>
        <w:r>
          <w:fldChar w:fldCharType="end"/>
        </w:r>
      </w:p>
    </w:sdtContent>
  </w:sdt>
  <w:p w14:paraId="37A7DE59" w14:textId="77777777" w:rsidR="00AE56C0" w:rsidRDefault="00AE56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740A42" w14:textId="77777777" w:rsidR="00A43CC7" w:rsidRDefault="00A43CC7" w:rsidP="00537DBB">
      <w:pPr>
        <w:spacing w:after="0" w:line="240" w:lineRule="auto"/>
      </w:pPr>
      <w:r>
        <w:separator/>
      </w:r>
    </w:p>
  </w:footnote>
  <w:footnote w:type="continuationSeparator" w:id="0">
    <w:p w14:paraId="56FD2F72" w14:textId="77777777" w:rsidR="00A43CC7" w:rsidRDefault="00A43CC7" w:rsidP="00537DBB">
      <w:pPr>
        <w:spacing w:after="0" w:line="240" w:lineRule="auto"/>
      </w:pPr>
      <w:r>
        <w:continuationSeparator/>
      </w:r>
    </w:p>
  </w:footnote>
  <w:footnote w:id="1">
    <w:p w14:paraId="75C04328" w14:textId="04B0697D" w:rsidR="00537DBB" w:rsidRDefault="00537DBB">
      <w:pPr>
        <w:pStyle w:val="FootnoteText"/>
      </w:pPr>
      <w:r>
        <w:rPr>
          <w:rStyle w:val="FootnoteReference"/>
        </w:rPr>
        <w:footnoteRef/>
      </w:r>
      <w:r>
        <w:t xml:space="preserve"> Burkert, W. (1985), pp.93-95</w:t>
      </w:r>
    </w:p>
  </w:footnote>
  <w:footnote w:id="2">
    <w:p w14:paraId="37800E9B" w14:textId="6FA27263" w:rsidR="009262FF" w:rsidRDefault="009262FF">
      <w:pPr>
        <w:pStyle w:val="FootnoteText"/>
      </w:pPr>
      <w:r>
        <w:rPr>
          <w:rStyle w:val="FootnoteReference"/>
        </w:rPr>
        <w:footnoteRef/>
      </w:r>
      <w:r>
        <w:t xml:space="preserve"> </w:t>
      </w:r>
      <w:proofErr w:type="spellStart"/>
      <w:r w:rsidRPr="009262FF">
        <w:t>Rüpke</w:t>
      </w:r>
      <w:proofErr w:type="spellEnd"/>
      <w:r w:rsidRPr="009262FF">
        <w:t>, J. (2011)</w:t>
      </w:r>
      <w:r>
        <w:t xml:space="preserve">, </w:t>
      </w:r>
      <w:r w:rsidRPr="009262FF">
        <w:t xml:space="preserve">pp.191–204; </w:t>
      </w:r>
      <w:proofErr w:type="spellStart"/>
      <w:r w:rsidRPr="009262FF">
        <w:t>Sourvinou</w:t>
      </w:r>
      <w:proofErr w:type="spellEnd"/>
      <w:r w:rsidRPr="009262FF">
        <w:t>-Inwood, C. (2003), pp.13–34.</w:t>
      </w:r>
    </w:p>
  </w:footnote>
  <w:footnote w:id="3">
    <w:p w14:paraId="3B034AAE" w14:textId="03CD5C0F" w:rsidR="009262FF" w:rsidRDefault="009262FF">
      <w:pPr>
        <w:pStyle w:val="FootnoteText"/>
      </w:pPr>
      <w:r>
        <w:rPr>
          <w:rStyle w:val="FootnoteReference"/>
        </w:rPr>
        <w:footnoteRef/>
      </w:r>
      <w:r>
        <w:t xml:space="preserve"> Goldhill, S. (1986), pp.1-19.</w:t>
      </w:r>
    </w:p>
  </w:footnote>
  <w:footnote w:id="4">
    <w:p w14:paraId="07269612" w14:textId="259A7BC4" w:rsidR="009262FF" w:rsidRDefault="009262FF">
      <w:pPr>
        <w:pStyle w:val="FootnoteText"/>
      </w:pPr>
      <w:r>
        <w:rPr>
          <w:rStyle w:val="FootnoteReference"/>
        </w:rPr>
        <w:footnoteRef/>
      </w:r>
      <w:r>
        <w:t xml:space="preserve"> </w:t>
      </w:r>
      <w:r w:rsidRPr="009262FF">
        <w:t>Sophocles, Antigone, lines 450–460.</w:t>
      </w:r>
    </w:p>
  </w:footnote>
  <w:footnote w:id="5">
    <w:p w14:paraId="7F6802FE" w14:textId="4CC6DB06" w:rsidR="009262FF" w:rsidRDefault="009262FF">
      <w:pPr>
        <w:pStyle w:val="FootnoteText"/>
      </w:pPr>
      <w:r>
        <w:rPr>
          <w:rStyle w:val="FootnoteReference"/>
        </w:rPr>
        <w:footnoteRef/>
      </w:r>
      <w:r>
        <w:t xml:space="preserve"> </w:t>
      </w:r>
      <w:r w:rsidRPr="009262FF">
        <w:t>Parker, R. (1983), pp.31–52.</w:t>
      </w:r>
    </w:p>
  </w:footnote>
  <w:footnote w:id="6">
    <w:p w14:paraId="5F3A4639" w14:textId="27CC41DF" w:rsidR="009262FF" w:rsidRDefault="009262FF">
      <w:pPr>
        <w:pStyle w:val="FootnoteText"/>
      </w:pPr>
      <w:r>
        <w:rPr>
          <w:rStyle w:val="FootnoteReference"/>
        </w:rPr>
        <w:footnoteRef/>
      </w:r>
      <w:r>
        <w:t xml:space="preserve"> </w:t>
      </w:r>
      <w:r w:rsidRPr="009262FF">
        <w:t>Foley, H. P. (2001), ch</w:t>
      </w:r>
      <w:r>
        <w:t>apter</w:t>
      </w:r>
      <w:r w:rsidRPr="009262FF">
        <w:t xml:space="preserve"> 2.</w:t>
      </w:r>
    </w:p>
  </w:footnote>
  <w:footnote w:id="7">
    <w:p w14:paraId="664A06F3" w14:textId="742C2577" w:rsidR="009262FF" w:rsidRDefault="009262FF">
      <w:pPr>
        <w:pStyle w:val="FootnoteText"/>
      </w:pPr>
      <w:r>
        <w:rPr>
          <w:rStyle w:val="FootnoteReference"/>
        </w:rPr>
        <w:footnoteRef/>
      </w:r>
      <w:r>
        <w:t xml:space="preserve"> </w:t>
      </w:r>
      <w:r w:rsidRPr="009262FF">
        <w:t>Seaford, R. (1996), pp.110–135</w:t>
      </w:r>
    </w:p>
  </w:footnote>
  <w:footnote w:id="8">
    <w:p w14:paraId="09ADA648" w14:textId="158468A8" w:rsidR="009262FF" w:rsidRDefault="009262FF">
      <w:pPr>
        <w:pStyle w:val="FootnoteText"/>
      </w:pPr>
      <w:r>
        <w:rPr>
          <w:rStyle w:val="FootnoteReference"/>
        </w:rPr>
        <w:footnoteRef/>
      </w:r>
      <w:r>
        <w:t xml:space="preserve"> </w:t>
      </w:r>
      <w:r w:rsidR="00AE56C0" w:rsidRPr="00AE56C0">
        <w:t>Seaford, R. (1994), pp.219–231.</w:t>
      </w:r>
    </w:p>
  </w:footnote>
  <w:footnote w:id="9">
    <w:p w14:paraId="56CD9C7E" w14:textId="58329905" w:rsidR="009262FF" w:rsidRDefault="009262FF">
      <w:pPr>
        <w:pStyle w:val="FootnoteText"/>
      </w:pPr>
      <w:r>
        <w:rPr>
          <w:rStyle w:val="FootnoteReference"/>
        </w:rPr>
        <w:footnoteRef/>
      </w:r>
      <w:r>
        <w:t xml:space="preserve"> </w:t>
      </w:r>
      <w:proofErr w:type="spellStart"/>
      <w:r w:rsidR="00AE56C0">
        <w:t>S</w:t>
      </w:r>
      <w:r w:rsidR="00AE56C0" w:rsidRPr="00AE56C0">
        <w:t>ommerstein</w:t>
      </w:r>
      <w:proofErr w:type="spellEnd"/>
      <w:r w:rsidR="00AE56C0" w:rsidRPr="00AE56C0">
        <w:t>, A. H. (1989), pp.8–13.</w:t>
      </w:r>
    </w:p>
  </w:footnote>
  <w:footnote w:id="10">
    <w:p w14:paraId="6699E401" w14:textId="0AB18B1D" w:rsidR="009262FF" w:rsidRDefault="009262FF">
      <w:pPr>
        <w:pStyle w:val="FootnoteText"/>
      </w:pPr>
      <w:r>
        <w:rPr>
          <w:rStyle w:val="FootnoteReference"/>
        </w:rPr>
        <w:footnoteRef/>
      </w:r>
      <w:r>
        <w:t xml:space="preserve"> </w:t>
      </w:r>
      <w:proofErr w:type="spellStart"/>
      <w:r w:rsidR="00AE56C0" w:rsidRPr="00AE56C0">
        <w:t>Sourvinou</w:t>
      </w:r>
      <w:proofErr w:type="spellEnd"/>
      <w:r w:rsidR="00AE56C0" w:rsidRPr="00AE56C0">
        <w:t>-Inwood, C. (2003), pp.85–110.</w:t>
      </w:r>
    </w:p>
  </w:footnote>
  <w:footnote w:id="11">
    <w:p w14:paraId="184AE392" w14:textId="0C5D0C9B" w:rsidR="009262FF" w:rsidRDefault="009262FF">
      <w:pPr>
        <w:pStyle w:val="FootnoteText"/>
      </w:pPr>
      <w:r>
        <w:rPr>
          <w:rStyle w:val="FootnoteReference"/>
        </w:rPr>
        <w:footnoteRef/>
      </w:r>
      <w:r>
        <w:t xml:space="preserve"> </w:t>
      </w:r>
      <w:r w:rsidR="00AE56C0">
        <w:t>Morgan, D. (2010), pp.1-22</w:t>
      </w:r>
    </w:p>
  </w:footnote>
  <w:footnote w:id="12">
    <w:p w14:paraId="3C1B4425" w14:textId="3EE727B5" w:rsidR="009262FF" w:rsidRDefault="009262FF">
      <w:pPr>
        <w:pStyle w:val="FootnoteText"/>
      </w:pPr>
      <w:r>
        <w:rPr>
          <w:rStyle w:val="FootnoteReference"/>
        </w:rPr>
        <w:footnoteRef/>
      </w:r>
      <w:r>
        <w:t xml:space="preserve"> </w:t>
      </w:r>
      <w:r w:rsidR="00AE56C0" w:rsidRPr="00AE56C0">
        <w:t xml:space="preserve">Sophocles, </w:t>
      </w:r>
      <w:r w:rsidR="00AE56C0" w:rsidRPr="00AE56C0">
        <w:rPr>
          <w:i/>
          <w:iCs/>
        </w:rPr>
        <w:t>Antigone</w:t>
      </w:r>
      <w:r w:rsidR="00AE56C0" w:rsidRPr="00AE56C0">
        <w:t>, lines 424–450.</w:t>
      </w:r>
    </w:p>
  </w:footnote>
  <w:footnote w:id="13">
    <w:p w14:paraId="661CDD6F" w14:textId="36A2269D" w:rsidR="009262FF" w:rsidRDefault="009262FF">
      <w:pPr>
        <w:pStyle w:val="FootnoteText"/>
      </w:pPr>
      <w:r>
        <w:rPr>
          <w:rStyle w:val="FootnoteReference"/>
        </w:rPr>
        <w:footnoteRef/>
      </w:r>
      <w:r>
        <w:t xml:space="preserve"> </w:t>
      </w:r>
      <w:r w:rsidR="00AE56C0" w:rsidRPr="00AE56C0">
        <w:t>Mikalson, J. D. (2010), pp.41–45</w:t>
      </w:r>
    </w:p>
  </w:footnote>
  <w:footnote w:id="14">
    <w:p w14:paraId="106B40BE" w14:textId="748FF75C" w:rsidR="009262FF" w:rsidRDefault="009262FF">
      <w:pPr>
        <w:pStyle w:val="FootnoteText"/>
      </w:pPr>
      <w:r>
        <w:rPr>
          <w:rStyle w:val="FootnoteReference"/>
        </w:rPr>
        <w:footnoteRef/>
      </w:r>
      <w:r>
        <w:t xml:space="preserve"> </w:t>
      </w:r>
      <w:r w:rsidR="00AE56C0" w:rsidRPr="00AE56C0">
        <w:t>Blundell, S. (1995), pp.150–160.</w:t>
      </w:r>
    </w:p>
  </w:footnote>
  <w:footnote w:id="15">
    <w:p w14:paraId="546BB335" w14:textId="4F0796D1" w:rsidR="009262FF" w:rsidRDefault="009262FF">
      <w:pPr>
        <w:pStyle w:val="FootnoteText"/>
      </w:pPr>
      <w:r>
        <w:rPr>
          <w:rStyle w:val="FootnoteReference"/>
        </w:rPr>
        <w:footnoteRef/>
      </w:r>
      <w:r>
        <w:t xml:space="preserve"> </w:t>
      </w:r>
      <w:r w:rsidR="00AE56C0" w:rsidRPr="00AE56C0">
        <w:t>Seaford, R. (1996), pp.125–130.</w:t>
      </w:r>
    </w:p>
  </w:footnote>
  <w:footnote w:id="16">
    <w:p w14:paraId="29033CED" w14:textId="6361103B" w:rsidR="009262FF" w:rsidRDefault="009262FF">
      <w:pPr>
        <w:pStyle w:val="FootnoteText"/>
      </w:pPr>
      <w:r>
        <w:rPr>
          <w:rStyle w:val="FootnoteReference"/>
        </w:rPr>
        <w:footnoteRef/>
      </w:r>
      <w:r>
        <w:t xml:space="preserve"> </w:t>
      </w:r>
      <w:proofErr w:type="spellStart"/>
      <w:r w:rsidR="00AE56C0" w:rsidRPr="00AE56C0">
        <w:t>Lissarrague</w:t>
      </w:r>
      <w:proofErr w:type="spellEnd"/>
      <w:r w:rsidR="00AE56C0" w:rsidRPr="00AE56C0">
        <w:t>, F. (1990),</w:t>
      </w:r>
      <w:r w:rsidR="00AE56C0">
        <w:t xml:space="preserve"> </w:t>
      </w:r>
      <w:r w:rsidR="00AE56C0" w:rsidRPr="00AE56C0">
        <w:t>pp</w:t>
      </w:r>
      <w:r w:rsidR="00AE56C0">
        <w:t>.</w:t>
      </w:r>
      <w:r w:rsidR="00AE56C0" w:rsidRPr="00AE56C0">
        <w:t>75–88.</w:t>
      </w:r>
    </w:p>
  </w:footnote>
  <w:footnote w:id="17">
    <w:p w14:paraId="3782CEA7" w14:textId="66F8B5BE" w:rsidR="009262FF" w:rsidRDefault="009262FF">
      <w:pPr>
        <w:pStyle w:val="FootnoteText"/>
      </w:pPr>
      <w:r>
        <w:rPr>
          <w:rStyle w:val="FootnoteReference"/>
        </w:rPr>
        <w:footnoteRef/>
      </w:r>
      <w:r>
        <w:t xml:space="preserve"> </w:t>
      </w:r>
      <w:proofErr w:type="spellStart"/>
      <w:r w:rsidR="00AE56C0" w:rsidRPr="00AE56C0">
        <w:t>Sommerstein</w:t>
      </w:r>
      <w:proofErr w:type="spellEnd"/>
      <w:r w:rsidR="00AE56C0" w:rsidRPr="00AE56C0">
        <w:t>, A. H. (1989), pp.8–13.</w:t>
      </w:r>
    </w:p>
  </w:footnote>
  <w:footnote w:id="18">
    <w:p w14:paraId="34D79B5E" w14:textId="6584FC08" w:rsidR="009262FF" w:rsidRDefault="009262FF">
      <w:pPr>
        <w:pStyle w:val="FootnoteText"/>
      </w:pPr>
      <w:r>
        <w:rPr>
          <w:rStyle w:val="FootnoteReference"/>
        </w:rPr>
        <w:footnoteRef/>
      </w:r>
      <w:r>
        <w:t xml:space="preserve"> </w:t>
      </w:r>
      <w:r w:rsidR="00AE56C0" w:rsidRPr="00AE56C0">
        <w:t xml:space="preserve">Osborne, R. (2011); </w:t>
      </w:r>
      <w:proofErr w:type="spellStart"/>
      <w:r w:rsidR="00AE56C0" w:rsidRPr="00AE56C0">
        <w:t>Vout</w:t>
      </w:r>
      <w:proofErr w:type="spellEnd"/>
      <w:r w:rsidR="00AE56C0" w:rsidRPr="00AE56C0">
        <w:t>, C. (2007), Introduction.</w:t>
      </w:r>
    </w:p>
  </w:footnote>
  <w:footnote w:id="19">
    <w:p w14:paraId="4668FE19" w14:textId="3174107E" w:rsidR="009262FF" w:rsidRDefault="009262FF">
      <w:pPr>
        <w:pStyle w:val="FootnoteText"/>
      </w:pPr>
      <w:r>
        <w:rPr>
          <w:rStyle w:val="FootnoteReference"/>
        </w:rPr>
        <w:footnoteRef/>
      </w:r>
      <w:r>
        <w:t xml:space="preserve"> </w:t>
      </w:r>
      <w:r w:rsidR="00AE56C0" w:rsidRPr="00AE56C0">
        <w:t>Morgan, D. (2010), pp.4–5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A66892"/>
    <w:multiLevelType w:val="hybridMultilevel"/>
    <w:tmpl w:val="D1B257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8904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DBB"/>
    <w:rsid w:val="00012C8A"/>
    <w:rsid w:val="000E240B"/>
    <w:rsid w:val="00422908"/>
    <w:rsid w:val="004E1539"/>
    <w:rsid w:val="00537DBB"/>
    <w:rsid w:val="009262FF"/>
    <w:rsid w:val="00A43CC7"/>
    <w:rsid w:val="00AE56C0"/>
    <w:rsid w:val="00BA34BF"/>
    <w:rsid w:val="00CD0241"/>
    <w:rsid w:val="00D01F31"/>
    <w:rsid w:val="00F75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81F7C"/>
  <w15:chartTrackingRefBased/>
  <w15:docId w15:val="{3192BCD6-0F29-46D8-864D-CF26EC295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DBB"/>
    <w:pPr>
      <w:jc w:val="both"/>
    </w:pPr>
  </w:style>
  <w:style w:type="paragraph" w:styleId="Heading1">
    <w:name w:val="heading 1"/>
    <w:basedOn w:val="Normal"/>
    <w:next w:val="Normal"/>
    <w:link w:val="Heading1Char"/>
    <w:uiPriority w:val="9"/>
    <w:qFormat/>
    <w:rsid w:val="00537DBB"/>
    <w:pPr>
      <w:keepNext/>
      <w:keepLines/>
      <w:pBdr>
        <w:bottom w:val="single" w:sz="4" w:space="1" w:color="auto"/>
      </w:pBdr>
      <w:spacing w:before="360" w:after="80"/>
      <w:outlineLvl w:val="0"/>
    </w:pPr>
    <w:rPr>
      <w:rFonts w:asciiTheme="majorHAnsi" w:eastAsiaTheme="majorEastAsia" w:hAnsiTheme="majorHAnsi" w:cstheme="majorBidi"/>
      <w:color w:val="000000" w:themeColor="text1"/>
      <w:sz w:val="40"/>
      <w:szCs w:val="40"/>
    </w:rPr>
  </w:style>
  <w:style w:type="paragraph" w:styleId="Heading2">
    <w:name w:val="heading 2"/>
    <w:basedOn w:val="Normal"/>
    <w:next w:val="Normal"/>
    <w:link w:val="Heading2Char"/>
    <w:uiPriority w:val="9"/>
    <w:semiHidden/>
    <w:unhideWhenUsed/>
    <w:qFormat/>
    <w:rsid w:val="00537D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7D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7D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7D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7D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7D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7D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7D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DBB"/>
    <w:rPr>
      <w:rFonts w:asciiTheme="majorHAnsi" w:eastAsiaTheme="majorEastAsia" w:hAnsiTheme="majorHAnsi" w:cstheme="majorBidi"/>
      <w:color w:val="000000" w:themeColor="text1"/>
      <w:sz w:val="40"/>
      <w:szCs w:val="40"/>
    </w:rPr>
  </w:style>
  <w:style w:type="character" w:customStyle="1" w:styleId="Heading2Char">
    <w:name w:val="Heading 2 Char"/>
    <w:basedOn w:val="DefaultParagraphFont"/>
    <w:link w:val="Heading2"/>
    <w:uiPriority w:val="9"/>
    <w:semiHidden/>
    <w:rsid w:val="00537D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7D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7D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7D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7D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7D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7D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7DBB"/>
    <w:rPr>
      <w:rFonts w:eastAsiaTheme="majorEastAsia" w:cstheme="majorBidi"/>
      <w:color w:val="272727" w:themeColor="text1" w:themeTint="D8"/>
    </w:rPr>
  </w:style>
  <w:style w:type="paragraph" w:styleId="Title">
    <w:name w:val="Title"/>
    <w:basedOn w:val="Normal"/>
    <w:next w:val="Normal"/>
    <w:link w:val="TitleChar"/>
    <w:uiPriority w:val="10"/>
    <w:qFormat/>
    <w:rsid w:val="00537D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7D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7D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7D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7DBB"/>
    <w:pPr>
      <w:spacing w:before="160"/>
      <w:jc w:val="center"/>
    </w:pPr>
    <w:rPr>
      <w:i/>
      <w:iCs/>
      <w:color w:val="404040" w:themeColor="text1" w:themeTint="BF"/>
    </w:rPr>
  </w:style>
  <w:style w:type="character" w:customStyle="1" w:styleId="QuoteChar">
    <w:name w:val="Quote Char"/>
    <w:basedOn w:val="DefaultParagraphFont"/>
    <w:link w:val="Quote"/>
    <w:uiPriority w:val="29"/>
    <w:rsid w:val="00537DBB"/>
    <w:rPr>
      <w:i/>
      <w:iCs/>
      <w:color w:val="404040" w:themeColor="text1" w:themeTint="BF"/>
    </w:rPr>
  </w:style>
  <w:style w:type="paragraph" w:styleId="ListParagraph">
    <w:name w:val="List Paragraph"/>
    <w:basedOn w:val="Normal"/>
    <w:uiPriority w:val="34"/>
    <w:qFormat/>
    <w:rsid w:val="00537DBB"/>
    <w:pPr>
      <w:ind w:left="720"/>
      <w:contextualSpacing/>
    </w:pPr>
  </w:style>
  <w:style w:type="character" w:styleId="IntenseEmphasis">
    <w:name w:val="Intense Emphasis"/>
    <w:basedOn w:val="DefaultParagraphFont"/>
    <w:uiPriority w:val="21"/>
    <w:qFormat/>
    <w:rsid w:val="00537DBB"/>
    <w:rPr>
      <w:i/>
      <w:iCs/>
      <w:color w:val="0F4761" w:themeColor="accent1" w:themeShade="BF"/>
    </w:rPr>
  </w:style>
  <w:style w:type="paragraph" w:styleId="IntenseQuote">
    <w:name w:val="Intense Quote"/>
    <w:basedOn w:val="Normal"/>
    <w:next w:val="Normal"/>
    <w:link w:val="IntenseQuoteChar"/>
    <w:uiPriority w:val="30"/>
    <w:qFormat/>
    <w:rsid w:val="00537D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7DBB"/>
    <w:rPr>
      <w:i/>
      <w:iCs/>
      <w:color w:val="0F4761" w:themeColor="accent1" w:themeShade="BF"/>
    </w:rPr>
  </w:style>
  <w:style w:type="character" w:styleId="IntenseReference">
    <w:name w:val="Intense Reference"/>
    <w:basedOn w:val="DefaultParagraphFont"/>
    <w:uiPriority w:val="32"/>
    <w:qFormat/>
    <w:rsid w:val="00537DBB"/>
    <w:rPr>
      <w:b/>
      <w:bCs/>
      <w:smallCaps/>
      <w:color w:val="0F4761" w:themeColor="accent1" w:themeShade="BF"/>
      <w:spacing w:val="5"/>
    </w:rPr>
  </w:style>
  <w:style w:type="paragraph" w:styleId="FootnoteText">
    <w:name w:val="footnote text"/>
    <w:basedOn w:val="Normal"/>
    <w:link w:val="FootnoteTextChar"/>
    <w:uiPriority w:val="99"/>
    <w:semiHidden/>
    <w:unhideWhenUsed/>
    <w:rsid w:val="00537D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37DBB"/>
    <w:rPr>
      <w:sz w:val="20"/>
      <w:szCs w:val="20"/>
    </w:rPr>
  </w:style>
  <w:style w:type="character" w:styleId="FootnoteReference">
    <w:name w:val="footnote reference"/>
    <w:basedOn w:val="DefaultParagraphFont"/>
    <w:uiPriority w:val="99"/>
    <w:semiHidden/>
    <w:unhideWhenUsed/>
    <w:rsid w:val="00537DBB"/>
    <w:rPr>
      <w:vertAlign w:val="superscript"/>
    </w:rPr>
  </w:style>
  <w:style w:type="paragraph" w:styleId="Header">
    <w:name w:val="header"/>
    <w:basedOn w:val="Normal"/>
    <w:link w:val="HeaderChar"/>
    <w:uiPriority w:val="99"/>
    <w:unhideWhenUsed/>
    <w:rsid w:val="00AE56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6C0"/>
  </w:style>
  <w:style w:type="paragraph" w:styleId="Footer">
    <w:name w:val="footer"/>
    <w:basedOn w:val="Normal"/>
    <w:link w:val="FooterChar"/>
    <w:uiPriority w:val="99"/>
    <w:unhideWhenUsed/>
    <w:rsid w:val="00AE56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6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7F6354-119A-4F8F-A5B7-AB60E567F2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5</Pages>
  <Words>2100</Words>
  <Characters>11971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Chaplin</dc:creator>
  <cp:keywords/>
  <dc:description/>
  <cp:lastModifiedBy>Ashley Chaplin</cp:lastModifiedBy>
  <cp:revision>2</cp:revision>
  <dcterms:created xsi:type="dcterms:W3CDTF">2026-01-09T16:40:00Z</dcterms:created>
  <dcterms:modified xsi:type="dcterms:W3CDTF">2026-01-09T22:05:00Z</dcterms:modified>
</cp:coreProperties>
</file>