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67191950"/>
        <w:docPartObj>
          <w:docPartGallery w:val="Cover Pages"/>
          <w:docPartUnique/>
        </w:docPartObj>
      </w:sdtPr>
      <w:sdtEndPr/>
      <w:sdtContent>
        <w:p w14:paraId="528FA422" w14:textId="77777777" w:rsidR="009A3389" w:rsidRDefault="009A3389" w:rsidP="009A3389"/>
        <w:p w14:paraId="562CEE4A" w14:textId="77777777" w:rsidR="009A3389" w:rsidRDefault="009A3389" w:rsidP="009A3389"/>
        <w:p w14:paraId="698E40D2" w14:textId="77777777" w:rsidR="009A3389" w:rsidRDefault="009A3389" w:rsidP="009A3389"/>
        <w:p w14:paraId="336AD361" w14:textId="77777777" w:rsidR="00EC74DD" w:rsidRDefault="009A3389" w:rsidP="007353A2">
          <w:pPr>
            <w:jc w:val="center"/>
            <w:rPr>
              <w:b/>
              <w:bCs/>
              <w:sz w:val="28"/>
              <w:szCs w:val="28"/>
            </w:rPr>
          </w:pPr>
          <w:r w:rsidRPr="007353A2">
            <w:rPr>
              <w:b/>
              <w:bCs/>
              <w:sz w:val="28"/>
              <w:szCs w:val="28"/>
            </w:rPr>
            <w:t>Business Management</w:t>
          </w:r>
        </w:p>
        <w:p w14:paraId="4E41862E" w14:textId="040237F8" w:rsidR="009A3389" w:rsidRPr="00EC74DD" w:rsidRDefault="00EC74DD" w:rsidP="007353A2">
          <w:pPr>
            <w:jc w:val="center"/>
            <w:rPr>
              <w:b/>
              <w:bCs/>
              <w:sz w:val="28"/>
              <w:szCs w:val="28"/>
            </w:rPr>
          </w:pPr>
          <w:r w:rsidRPr="00EC74DD">
            <w:rPr>
              <w:rFonts w:ascii="Arial" w:hAnsi="Arial" w:cs="Arial"/>
              <w:b/>
              <w:bCs/>
              <w:sz w:val="28"/>
              <w:szCs w:val="28"/>
            </w:rPr>
            <w:t>Module Title</w:t>
          </w:r>
          <w:r>
            <w:rPr>
              <w:rFonts w:ascii="Arial" w:hAnsi="Arial" w:cs="Arial"/>
              <w:b/>
              <w:bCs/>
              <w:sz w:val="28"/>
              <w:szCs w:val="28"/>
            </w:rPr>
            <w:t xml:space="preserve">: Introducing the </w:t>
          </w:r>
          <w:proofErr w:type="spellStart"/>
          <w:r>
            <w:rPr>
              <w:rFonts w:ascii="Arial" w:hAnsi="Arial" w:cs="Arial"/>
              <w:b/>
              <w:bCs/>
              <w:sz w:val="28"/>
              <w:szCs w:val="28"/>
            </w:rPr>
            <w:t>Mdern</w:t>
          </w:r>
          <w:proofErr w:type="spellEnd"/>
          <w:r>
            <w:rPr>
              <w:rFonts w:ascii="Arial" w:hAnsi="Arial" w:cs="Arial"/>
              <w:b/>
              <w:bCs/>
              <w:sz w:val="28"/>
              <w:szCs w:val="28"/>
            </w:rPr>
            <w:t xml:space="preserve"> Workplace</w:t>
          </w:r>
        </w:p>
        <w:p w14:paraId="5783D6F7" w14:textId="596A3EDB" w:rsidR="009A3389" w:rsidRPr="007353A2" w:rsidRDefault="00EC74DD" w:rsidP="007353A2">
          <w:pPr>
            <w:jc w:val="center"/>
            <w:rPr>
              <w:b/>
              <w:bCs/>
              <w:sz w:val="28"/>
              <w:szCs w:val="28"/>
            </w:rPr>
          </w:pPr>
          <w:r w:rsidRPr="00EC74DD">
            <w:rPr>
              <w:rFonts w:ascii="Arial" w:hAnsi="Arial" w:cs="Arial"/>
              <w:b/>
              <w:bCs/>
              <w:sz w:val="28"/>
              <w:szCs w:val="28"/>
            </w:rPr>
            <w:t>Assignment</w:t>
          </w:r>
          <w:r>
            <w:rPr>
              <w:rFonts w:ascii="Arial" w:hAnsi="Arial" w:cs="Arial"/>
              <w:b/>
              <w:bCs/>
              <w:sz w:val="28"/>
              <w:szCs w:val="28"/>
            </w:rPr>
            <w:t xml:space="preserve"> </w:t>
          </w:r>
          <w:r w:rsidR="009A3389" w:rsidRPr="007353A2">
            <w:rPr>
              <w:b/>
              <w:bCs/>
              <w:sz w:val="28"/>
              <w:szCs w:val="28"/>
            </w:rPr>
            <w:t>Title: Evaluating the Structure and Culture of Syngenta</w:t>
          </w:r>
        </w:p>
        <w:p w14:paraId="36FD88D3" w14:textId="77777777" w:rsidR="00EC74DD" w:rsidRDefault="00EC74DD" w:rsidP="00EC74DD">
          <w:pPr>
            <w:jc w:val="center"/>
            <w:rPr>
              <w:b/>
              <w:bCs/>
              <w:sz w:val="28"/>
              <w:szCs w:val="28"/>
            </w:rPr>
          </w:pPr>
          <w:r>
            <w:rPr>
              <w:b/>
              <w:bCs/>
              <w:sz w:val="28"/>
              <w:szCs w:val="28"/>
            </w:rPr>
            <w:t xml:space="preserve">Student </w:t>
          </w:r>
          <w:proofErr w:type="spellStart"/>
          <w:proofErr w:type="gramStart"/>
          <w:r w:rsidR="009A3389" w:rsidRPr="007353A2">
            <w:rPr>
              <w:b/>
              <w:bCs/>
              <w:sz w:val="28"/>
              <w:szCs w:val="28"/>
            </w:rPr>
            <w:t>Name:</w:t>
          </w:r>
          <w:r w:rsidR="00F03D80">
            <w:rPr>
              <w:b/>
              <w:bCs/>
              <w:sz w:val="28"/>
              <w:szCs w:val="28"/>
            </w:rPr>
            <w:t>Mustafa</w:t>
          </w:r>
          <w:proofErr w:type="spellEnd"/>
          <w:proofErr w:type="gramEnd"/>
          <w:r w:rsidR="00F03D80">
            <w:rPr>
              <w:b/>
              <w:bCs/>
              <w:sz w:val="28"/>
              <w:szCs w:val="28"/>
            </w:rPr>
            <w:t xml:space="preserve"> </w:t>
          </w:r>
          <w:proofErr w:type="spellStart"/>
          <w:r w:rsidR="00F03D80">
            <w:rPr>
              <w:b/>
              <w:bCs/>
              <w:sz w:val="28"/>
              <w:szCs w:val="28"/>
            </w:rPr>
            <w:t>Dzhamal</w:t>
          </w:r>
          <w:proofErr w:type="spellEnd"/>
          <w:r w:rsidR="00F03D80">
            <w:rPr>
              <w:b/>
              <w:bCs/>
              <w:sz w:val="28"/>
              <w:szCs w:val="28"/>
            </w:rPr>
            <w:t xml:space="preserve"> Mustafa</w:t>
          </w:r>
        </w:p>
        <w:p w14:paraId="5EE594FA" w14:textId="75E03FD3" w:rsidR="009A3389" w:rsidRPr="00F03D80" w:rsidRDefault="009A3389" w:rsidP="00EC74DD">
          <w:pPr>
            <w:jc w:val="center"/>
            <w:rPr>
              <w:b/>
              <w:bCs/>
              <w:sz w:val="28"/>
              <w:szCs w:val="28"/>
            </w:rPr>
          </w:pPr>
          <w:r w:rsidRPr="007353A2">
            <w:rPr>
              <w:b/>
              <w:bCs/>
              <w:sz w:val="28"/>
              <w:szCs w:val="28"/>
            </w:rPr>
            <w:t>ID</w:t>
          </w:r>
          <w:r w:rsidR="00EC74DD">
            <w:rPr>
              <w:b/>
              <w:bCs/>
              <w:sz w:val="28"/>
              <w:szCs w:val="28"/>
            </w:rPr>
            <w:t xml:space="preserve"> Number</w:t>
          </w:r>
          <w:r w:rsidRPr="007353A2">
            <w:rPr>
              <w:b/>
              <w:bCs/>
              <w:sz w:val="28"/>
              <w:szCs w:val="28"/>
            </w:rPr>
            <w:t>:</w:t>
          </w:r>
          <w:r w:rsidR="00F03D80">
            <w:rPr>
              <w:b/>
              <w:bCs/>
            </w:rPr>
            <w:t>1920425</w:t>
          </w:r>
        </w:p>
        <w:p w14:paraId="55D16C1A" w14:textId="588EC944" w:rsidR="009A3389" w:rsidRPr="00EC74DD" w:rsidRDefault="00EC74DD" w:rsidP="009A3389">
          <w:pPr>
            <w:rPr>
              <w:b/>
              <w:bCs/>
              <w:sz w:val="28"/>
              <w:szCs w:val="28"/>
            </w:rPr>
          </w:pPr>
          <w:r>
            <w:rPr>
              <w:rFonts w:ascii="Arial" w:hAnsi="Arial" w:cs="Arial"/>
              <w:sz w:val="35"/>
              <w:szCs w:val="35"/>
            </w:rPr>
            <w:t xml:space="preserve">              </w:t>
          </w:r>
          <w:r w:rsidRPr="00EC74DD">
            <w:rPr>
              <w:rFonts w:ascii="Arial" w:hAnsi="Arial" w:cs="Arial"/>
              <w:b/>
              <w:bCs/>
              <w:sz w:val="28"/>
              <w:szCs w:val="28"/>
            </w:rPr>
            <w:t>Lecturer’s Name</w:t>
          </w:r>
          <w:r>
            <w:rPr>
              <w:rFonts w:ascii="Arial" w:hAnsi="Arial" w:cs="Arial"/>
              <w:b/>
              <w:bCs/>
              <w:sz w:val="32"/>
              <w:szCs w:val="32"/>
            </w:rPr>
            <w:t>:</w:t>
          </w:r>
          <w:r w:rsidRPr="00EC74DD">
            <w:t xml:space="preserve"> </w:t>
          </w:r>
          <w:r>
            <w:t> </w:t>
          </w:r>
          <w:proofErr w:type="spellStart"/>
          <w:r w:rsidRPr="00EC74DD">
            <w:rPr>
              <w:b/>
              <w:bCs/>
              <w:sz w:val="28"/>
              <w:szCs w:val="28"/>
            </w:rPr>
            <w:t>Rula</w:t>
          </w:r>
          <w:proofErr w:type="spellEnd"/>
          <w:r w:rsidRPr="00EC74DD">
            <w:rPr>
              <w:b/>
              <w:bCs/>
              <w:sz w:val="28"/>
              <w:szCs w:val="28"/>
            </w:rPr>
            <w:t xml:space="preserve"> </w:t>
          </w:r>
          <w:proofErr w:type="spellStart"/>
          <w:r w:rsidRPr="00EC74DD">
            <w:rPr>
              <w:b/>
              <w:bCs/>
              <w:sz w:val="28"/>
              <w:szCs w:val="28"/>
            </w:rPr>
            <w:t>Alousi</w:t>
          </w:r>
          <w:bookmarkStart w:id="0" w:name="_GoBack"/>
          <w:bookmarkEnd w:id="0"/>
          <w:proofErr w:type="spellEnd"/>
        </w:p>
        <w:p w14:paraId="7DAE3CD4" w14:textId="77777777" w:rsidR="009A3389" w:rsidRDefault="009A3389" w:rsidP="009A3389"/>
        <w:p w14:paraId="31B5F9DA" w14:textId="77777777" w:rsidR="009A3389" w:rsidRDefault="009A3389" w:rsidP="009A3389"/>
        <w:p w14:paraId="647B17E5" w14:textId="77777777" w:rsidR="009A3389" w:rsidRDefault="009A3389" w:rsidP="009A3389"/>
        <w:p w14:paraId="6DCA5DAE" w14:textId="77777777" w:rsidR="009A3389" w:rsidRDefault="009A3389" w:rsidP="009A3389"/>
        <w:p w14:paraId="42FA3CD6" w14:textId="77777777" w:rsidR="009A3389" w:rsidRDefault="009A3389" w:rsidP="009A3389"/>
        <w:p w14:paraId="40B3A2ED" w14:textId="77777777" w:rsidR="009A3389" w:rsidRDefault="009A3389" w:rsidP="009A3389"/>
        <w:p w14:paraId="74349859" w14:textId="77777777" w:rsidR="009A3389" w:rsidRDefault="009A3389" w:rsidP="009A3389"/>
        <w:p w14:paraId="52AFB57C" w14:textId="77777777" w:rsidR="009A3389" w:rsidRDefault="009A3389" w:rsidP="009A3389"/>
        <w:p w14:paraId="3B531777" w14:textId="20C57895" w:rsidR="009A3389" w:rsidRPr="00BC22B9" w:rsidRDefault="009A3389" w:rsidP="009A3389">
          <w:pPr>
            <w:rPr>
              <w:b/>
              <w:sz w:val="36"/>
            </w:rPr>
          </w:pPr>
          <w:r>
            <w:rPr>
              <w:b/>
              <w:sz w:val="36"/>
            </w:rPr>
            <w:t xml:space="preserve"> </w:t>
          </w:r>
        </w:p>
        <w:p w14:paraId="292E93A8" w14:textId="7DB80904" w:rsidR="009A3389" w:rsidRDefault="009A3389" w:rsidP="009A3389"/>
        <w:p w14:paraId="6D3241D0" w14:textId="77777777" w:rsidR="009A3389" w:rsidRDefault="009A3389" w:rsidP="009A3389"/>
        <w:p w14:paraId="57C777A6" w14:textId="6EE348DC" w:rsidR="004461F6" w:rsidRPr="009A3389" w:rsidRDefault="000757DF">
          <w:pPr>
            <w:spacing w:line="259" w:lineRule="auto"/>
            <w:jc w:val="left"/>
          </w:pPr>
        </w:p>
      </w:sdtContent>
    </w:sdt>
    <w:p w14:paraId="5E132A85" w14:textId="77777777" w:rsidR="004461F6" w:rsidRDefault="004461F6" w:rsidP="007353A2"/>
    <w:sdt>
      <w:sdtPr>
        <w:rPr>
          <w:rFonts w:ascii="Times New Roman" w:eastAsiaTheme="minorHAnsi" w:hAnsi="Times New Roman" w:cstheme="minorBidi"/>
          <w:color w:val="auto"/>
          <w:sz w:val="24"/>
          <w:szCs w:val="22"/>
        </w:rPr>
        <w:id w:val="-1953545350"/>
        <w:docPartObj>
          <w:docPartGallery w:val="Table of Contents"/>
          <w:docPartUnique/>
        </w:docPartObj>
      </w:sdtPr>
      <w:sdtEndPr>
        <w:rPr>
          <w:b/>
          <w:bCs/>
          <w:noProof/>
        </w:rPr>
      </w:sdtEndPr>
      <w:sdtContent>
        <w:p w14:paraId="160B63B3" w14:textId="2F2BFE4F" w:rsidR="004461F6" w:rsidRPr="009A3389" w:rsidRDefault="004461F6">
          <w:pPr>
            <w:pStyle w:val="ae"/>
            <w:rPr>
              <w:rFonts w:ascii="Times New Roman" w:hAnsi="Times New Roman" w:cs="Times New Roman"/>
            </w:rPr>
          </w:pPr>
          <w:r w:rsidRPr="009A3389">
            <w:rPr>
              <w:rFonts w:ascii="Times New Roman" w:hAnsi="Times New Roman" w:cs="Times New Roman"/>
            </w:rPr>
            <w:t>Table of Contents</w:t>
          </w:r>
        </w:p>
        <w:p w14:paraId="61EDD52F" w14:textId="7A8CF0D5" w:rsidR="007353A2" w:rsidRDefault="004461F6">
          <w:pPr>
            <w:pStyle w:val="11"/>
            <w:tabs>
              <w:tab w:val="right" w:leader="dot" w:pos="9350"/>
            </w:tabs>
            <w:rPr>
              <w:rFonts w:asciiTheme="minorHAnsi" w:eastAsiaTheme="minorEastAsia" w:hAnsiTheme="minorHAnsi"/>
              <w:noProof/>
              <w:sz w:val="22"/>
              <w:lang w:val="en-GB" w:eastAsia="en-GB"/>
            </w:rPr>
          </w:pPr>
          <w:r w:rsidRPr="009A3389">
            <w:rPr>
              <w:rFonts w:cs="Times New Roman"/>
            </w:rPr>
            <w:fldChar w:fldCharType="begin"/>
          </w:r>
          <w:r w:rsidRPr="009A3389">
            <w:rPr>
              <w:rFonts w:cs="Times New Roman"/>
            </w:rPr>
            <w:instrText xml:space="preserve"> TOC \o "1-3" \h \z \u </w:instrText>
          </w:r>
          <w:r w:rsidRPr="009A3389">
            <w:rPr>
              <w:rFonts w:cs="Times New Roman"/>
            </w:rPr>
            <w:fldChar w:fldCharType="separate"/>
          </w:r>
          <w:hyperlink w:anchor="_Toc49825746" w:history="1">
            <w:r w:rsidR="007353A2" w:rsidRPr="0074342C">
              <w:rPr>
                <w:rStyle w:val="af"/>
                <w:noProof/>
              </w:rPr>
              <w:t>Introduction</w:t>
            </w:r>
            <w:r w:rsidR="007353A2">
              <w:rPr>
                <w:noProof/>
                <w:webHidden/>
              </w:rPr>
              <w:tab/>
            </w:r>
            <w:r w:rsidR="007353A2">
              <w:rPr>
                <w:noProof/>
                <w:webHidden/>
              </w:rPr>
              <w:fldChar w:fldCharType="begin"/>
            </w:r>
            <w:r w:rsidR="007353A2">
              <w:rPr>
                <w:noProof/>
                <w:webHidden/>
              </w:rPr>
              <w:instrText xml:space="preserve"> PAGEREF _Toc49825746 \h </w:instrText>
            </w:r>
            <w:r w:rsidR="007353A2">
              <w:rPr>
                <w:noProof/>
                <w:webHidden/>
              </w:rPr>
            </w:r>
            <w:r w:rsidR="007353A2">
              <w:rPr>
                <w:noProof/>
                <w:webHidden/>
              </w:rPr>
              <w:fldChar w:fldCharType="separate"/>
            </w:r>
            <w:r w:rsidR="007353A2">
              <w:rPr>
                <w:noProof/>
                <w:webHidden/>
              </w:rPr>
              <w:t>2</w:t>
            </w:r>
            <w:r w:rsidR="007353A2">
              <w:rPr>
                <w:noProof/>
                <w:webHidden/>
              </w:rPr>
              <w:fldChar w:fldCharType="end"/>
            </w:r>
          </w:hyperlink>
        </w:p>
        <w:p w14:paraId="7C1847A2" w14:textId="668DEACC" w:rsidR="007353A2" w:rsidRDefault="000757DF">
          <w:pPr>
            <w:pStyle w:val="11"/>
            <w:tabs>
              <w:tab w:val="right" w:leader="dot" w:pos="9350"/>
            </w:tabs>
            <w:rPr>
              <w:rFonts w:asciiTheme="minorHAnsi" w:eastAsiaTheme="minorEastAsia" w:hAnsiTheme="minorHAnsi"/>
              <w:noProof/>
              <w:sz w:val="22"/>
              <w:lang w:val="en-GB" w:eastAsia="en-GB"/>
            </w:rPr>
          </w:pPr>
          <w:hyperlink w:anchor="_Toc49825747" w:history="1">
            <w:r w:rsidR="007353A2" w:rsidRPr="0074342C">
              <w:rPr>
                <w:rStyle w:val="af"/>
                <w:noProof/>
              </w:rPr>
              <w:t>Structure of Syngenta</w:t>
            </w:r>
            <w:r w:rsidR="007353A2">
              <w:rPr>
                <w:noProof/>
                <w:webHidden/>
              </w:rPr>
              <w:tab/>
            </w:r>
            <w:r w:rsidR="007353A2">
              <w:rPr>
                <w:noProof/>
                <w:webHidden/>
              </w:rPr>
              <w:fldChar w:fldCharType="begin"/>
            </w:r>
            <w:r w:rsidR="007353A2">
              <w:rPr>
                <w:noProof/>
                <w:webHidden/>
              </w:rPr>
              <w:instrText xml:space="preserve"> PAGEREF _Toc49825747 \h </w:instrText>
            </w:r>
            <w:r w:rsidR="007353A2">
              <w:rPr>
                <w:noProof/>
                <w:webHidden/>
              </w:rPr>
            </w:r>
            <w:r w:rsidR="007353A2">
              <w:rPr>
                <w:noProof/>
                <w:webHidden/>
              </w:rPr>
              <w:fldChar w:fldCharType="separate"/>
            </w:r>
            <w:r w:rsidR="007353A2">
              <w:rPr>
                <w:noProof/>
                <w:webHidden/>
              </w:rPr>
              <w:t>3</w:t>
            </w:r>
            <w:r w:rsidR="007353A2">
              <w:rPr>
                <w:noProof/>
                <w:webHidden/>
              </w:rPr>
              <w:fldChar w:fldCharType="end"/>
            </w:r>
          </w:hyperlink>
        </w:p>
        <w:p w14:paraId="4A8110B4" w14:textId="15337F69" w:rsidR="007353A2" w:rsidRDefault="000757DF">
          <w:pPr>
            <w:pStyle w:val="11"/>
            <w:tabs>
              <w:tab w:val="right" w:leader="dot" w:pos="9350"/>
            </w:tabs>
            <w:rPr>
              <w:rFonts w:asciiTheme="minorHAnsi" w:eastAsiaTheme="minorEastAsia" w:hAnsiTheme="minorHAnsi"/>
              <w:noProof/>
              <w:sz w:val="22"/>
              <w:lang w:val="en-GB" w:eastAsia="en-GB"/>
            </w:rPr>
          </w:pPr>
          <w:hyperlink w:anchor="_Toc49825748" w:history="1">
            <w:r w:rsidR="007353A2" w:rsidRPr="0074342C">
              <w:rPr>
                <w:rStyle w:val="af"/>
                <w:noProof/>
              </w:rPr>
              <w:t>Culture of Syngenta</w:t>
            </w:r>
            <w:r w:rsidR="007353A2">
              <w:rPr>
                <w:noProof/>
                <w:webHidden/>
              </w:rPr>
              <w:tab/>
            </w:r>
            <w:r w:rsidR="007353A2">
              <w:rPr>
                <w:noProof/>
                <w:webHidden/>
              </w:rPr>
              <w:fldChar w:fldCharType="begin"/>
            </w:r>
            <w:r w:rsidR="007353A2">
              <w:rPr>
                <w:noProof/>
                <w:webHidden/>
              </w:rPr>
              <w:instrText xml:space="preserve"> PAGEREF _Toc49825748 \h </w:instrText>
            </w:r>
            <w:r w:rsidR="007353A2">
              <w:rPr>
                <w:noProof/>
                <w:webHidden/>
              </w:rPr>
            </w:r>
            <w:r w:rsidR="007353A2">
              <w:rPr>
                <w:noProof/>
                <w:webHidden/>
              </w:rPr>
              <w:fldChar w:fldCharType="separate"/>
            </w:r>
            <w:r w:rsidR="007353A2">
              <w:rPr>
                <w:noProof/>
                <w:webHidden/>
              </w:rPr>
              <w:t>5</w:t>
            </w:r>
            <w:r w:rsidR="007353A2">
              <w:rPr>
                <w:noProof/>
                <w:webHidden/>
              </w:rPr>
              <w:fldChar w:fldCharType="end"/>
            </w:r>
          </w:hyperlink>
        </w:p>
        <w:p w14:paraId="546AB729" w14:textId="5CCD553D" w:rsidR="007353A2" w:rsidRDefault="000757DF">
          <w:pPr>
            <w:pStyle w:val="11"/>
            <w:tabs>
              <w:tab w:val="right" w:leader="dot" w:pos="9350"/>
            </w:tabs>
            <w:rPr>
              <w:rFonts w:asciiTheme="minorHAnsi" w:eastAsiaTheme="minorEastAsia" w:hAnsiTheme="minorHAnsi"/>
              <w:noProof/>
              <w:sz w:val="22"/>
              <w:lang w:val="en-GB" w:eastAsia="en-GB"/>
            </w:rPr>
          </w:pPr>
          <w:hyperlink w:anchor="_Toc49825749" w:history="1">
            <w:r w:rsidR="007353A2" w:rsidRPr="0074342C">
              <w:rPr>
                <w:rStyle w:val="af"/>
                <w:noProof/>
              </w:rPr>
              <w:t>Organizational Performance of Syngenta</w:t>
            </w:r>
            <w:r w:rsidR="007353A2">
              <w:rPr>
                <w:noProof/>
                <w:webHidden/>
              </w:rPr>
              <w:tab/>
            </w:r>
            <w:r w:rsidR="007353A2">
              <w:rPr>
                <w:noProof/>
                <w:webHidden/>
              </w:rPr>
              <w:fldChar w:fldCharType="begin"/>
            </w:r>
            <w:r w:rsidR="007353A2">
              <w:rPr>
                <w:noProof/>
                <w:webHidden/>
              </w:rPr>
              <w:instrText xml:space="preserve"> PAGEREF _Toc49825749 \h </w:instrText>
            </w:r>
            <w:r w:rsidR="007353A2">
              <w:rPr>
                <w:noProof/>
                <w:webHidden/>
              </w:rPr>
            </w:r>
            <w:r w:rsidR="007353A2">
              <w:rPr>
                <w:noProof/>
                <w:webHidden/>
              </w:rPr>
              <w:fldChar w:fldCharType="separate"/>
            </w:r>
            <w:r w:rsidR="007353A2">
              <w:rPr>
                <w:noProof/>
                <w:webHidden/>
              </w:rPr>
              <w:t>7</w:t>
            </w:r>
            <w:r w:rsidR="007353A2">
              <w:rPr>
                <w:noProof/>
                <w:webHidden/>
              </w:rPr>
              <w:fldChar w:fldCharType="end"/>
            </w:r>
          </w:hyperlink>
        </w:p>
        <w:p w14:paraId="1D017DB5" w14:textId="3EDF0533" w:rsidR="007353A2" w:rsidRDefault="000757DF">
          <w:pPr>
            <w:pStyle w:val="11"/>
            <w:tabs>
              <w:tab w:val="right" w:leader="dot" w:pos="9350"/>
            </w:tabs>
            <w:rPr>
              <w:rFonts w:asciiTheme="minorHAnsi" w:eastAsiaTheme="minorEastAsia" w:hAnsiTheme="minorHAnsi"/>
              <w:noProof/>
              <w:sz w:val="22"/>
              <w:lang w:val="en-GB" w:eastAsia="en-GB"/>
            </w:rPr>
          </w:pPr>
          <w:hyperlink w:anchor="_Toc49825750" w:history="1">
            <w:r w:rsidR="007353A2" w:rsidRPr="0074342C">
              <w:rPr>
                <w:rStyle w:val="af"/>
                <w:noProof/>
              </w:rPr>
              <w:t>Relationship among Structure, Culture, and Performance of Syngenta</w:t>
            </w:r>
            <w:r w:rsidR="007353A2">
              <w:rPr>
                <w:noProof/>
                <w:webHidden/>
              </w:rPr>
              <w:tab/>
            </w:r>
            <w:r w:rsidR="007353A2">
              <w:rPr>
                <w:noProof/>
                <w:webHidden/>
              </w:rPr>
              <w:fldChar w:fldCharType="begin"/>
            </w:r>
            <w:r w:rsidR="007353A2">
              <w:rPr>
                <w:noProof/>
                <w:webHidden/>
              </w:rPr>
              <w:instrText xml:space="preserve"> PAGEREF _Toc49825750 \h </w:instrText>
            </w:r>
            <w:r w:rsidR="007353A2">
              <w:rPr>
                <w:noProof/>
                <w:webHidden/>
              </w:rPr>
            </w:r>
            <w:r w:rsidR="007353A2">
              <w:rPr>
                <w:noProof/>
                <w:webHidden/>
              </w:rPr>
              <w:fldChar w:fldCharType="separate"/>
            </w:r>
            <w:r w:rsidR="007353A2">
              <w:rPr>
                <w:noProof/>
                <w:webHidden/>
              </w:rPr>
              <w:t>10</w:t>
            </w:r>
            <w:r w:rsidR="007353A2">
              <w:rPr>
                <w:noProof/>
                <w:webHidden/>
              </w:rPr>
              <w:fldChar w:fldCharType="end"/>
            </w:r>
          </w:hyperlink>
        </w:p>
        <w:p w14:paraId="5D404C1D" w14:textId="6430208B" w:rsidR="007353A2" w:rsidRDefault="000757DF">
          <w:pPr>
            <w:pStyle w:val="11"/>
            <w:tabs>
              <w:tab w:val="right" w:leader="dot" w:pos="9350"/>
            </w:tabs>
            <w:rPr>
              <w:rFonts w:asciiTheme="minorHAnsi" w:eastAsiaTheme="minorEastAsia" w:hAnsiTheme="minorHAnsi"/>
              <w:noProof/>
              <w:sz w:val="22"/>
              <w:lang w:val="en-GB" w:eastAsia="en-GB"/>
            </w:rPr>
          </w:pPr>
          <w:hyperlink w:anchor="_Toc49825751" w:history="1">
            <w:r w:rsidR="007353A2" w:rsidRPr="0074342C">
              <w:rPr>
                <w:rStyle w:val="af"/>
                <w:noProof/>
              </w:rPr>
              <w:t>Conclusions</w:t>
            </w:r>
            <w:r w:rsidR="007353A2">
              <w:rPr>
                <w:noProof/>
                <w:webHidden/>
              </w:rPr>
              <w:tab/>
            </w:r>
            <w:r w:rsidR="007353A2">
              <w:rPr>
                <w:noProof/>
                <w:webHidden/>
              </w:rPr>
              <w:fldChar w:fldCharType="begin"/>
            </w:r>
            <w:r w:rsidR="007353A2">
              <w:rPr>
                <w:noProof/>
                <w:webHidden/>
              </w:rPr>
              <w:instrText xml:space="preserve"> PAGEREF _Toc49825751 \h </w:instrText>
            </w:r>
            <w:r w:rsidR="007353A2">
              <w:rPr>
                <w:noProof/>
                <w:webHidden/>
              </w:rPr>
            </w:r>
            <w:r w:rsidR="007353A2">
              <w:rPr>
                <w:noProof/>
                <w:webHidden/>
              </w:rPr>
              <w:fldChar w:fldCharType="separate"/>
            </w:r>
            <w:r w:rsidR="007353A2">
              <w:rPr>
                <w:noProof/>
                <w:webHidden/>
              </w:rPr>
              <w:t>11</w:t>
            </w:r>
            <w:r w:rsidR="007353A2">
              <w:rPr>
                <w:noProof/>
                <w:webHidden/>
              </w:rPr>
              <w:fldChar w:fldCharType="end"/>
            </w:r>
          </w:hyperlink>
        </w:p>
        <w:p w14:paraId="06B4D9B1" w14:textId="61EEEE19" w:rsidR="007353A2" w:rsidRDefault="000757DF">
          <w:pPr>
            <w:pStyle w:val="11"/>
            <w:tabs>
              <w:tab w:val="right" w:leader="dot" w:pos="9350"/>
            </w:tabs>
            <w:rPr>
              <w:rFonts w:asciiTheme="minorHAnsi" w:eastAsiaTheme="minorEastAsia" w:hAnsiTheme="minorHAnsi"/>
              <w:noProof/>
              <w:sz w:val="22"/>
              <w:lang w:val="en-GB" w:eastAsia="en-GB"/>
            </w:rPr>
          </w:pPr>
          <w:hyperlink w:anchor="_Toc49825752" w:history="1">
            <w:r w:rsidR="007353A2" w:rsidRPr="0074342C">
              <w:rPr>
                <w:rStyle w:val="af"/>
                <w:noProof/>
              </w:rPr>
              <w:t>References</w:t>
            </w:r>
            <w:r w:rsidR="007353A2">
              <w:rPr>
                <w:noProof/>
                <w:webHidden/>
              </w:rPr>
              <w:tab/>
            </w:r>
            <w:r w:rsidR="007353A2">
              <w:rPr>
                <w:noProof/>
                <w:webHidden/>
              </w:rPr>
              <w:fldChar w:fldCharType="begin"/>
            </w:r>
            <w:r w:rsidR="007353A2">
              <w:rPr>
                <w:noProof/>
                <w:webHidden/>
              </w:rPr>
              <w:instrText xml:space="preserve"> PAGEREF _Toc49825752 \h </w:instrText>
            </w:r>
            <w:r w:rsidR="007353A2">
              <w:rPr>
                <w:noProof/>
                <w:webHidden/>
              </w:rPr>
            </w:r>
            <w:r w:rsidR="007353A2">
              <w:rPr>
                <w:noProof/>
                <w:webHidden/>
              </w:rPr>
              <w:fldChar w:fldCharType="separate"/>
            </w:r>
            <w:r w:rsidR="007353A2">
              <w:rPr>
                <w:noProof/>
                <w:webHidden/>
              </w:rPr>
              <w:t>12</w:t>
            </w:r>
            <w:r w:rsidR="007353A2">
              <w:rPr>
                <w:noProof/>
                <w:webHidden/>
              </w:rPr>
              <w:fldChar w:fldCharType="end"/>
            </w:r>
          </w:hyperlink>
        </w:p>
        <w:p w14:paraId="4DFC9422" w14:textId="63101704" w:rsidR="004461F6" w:rsidRDefault="004461F6">
          <w:r w:rsidRPr="009A3389">
            <w:rPr>
              <w:rFonts w:cs="Times New Roman"/>
              <w:b/>
              <w:bCs/>
              <w:noProof/>
            </w:rPr>
            <w:fldChar w:fldCharType="end"/>
          </w:r>
        </w:p>
      </w:sdtContent>
    </w:sdt>
    <w:p w14:paraId="07E8E8FB" w14:textId="77777777" w:rsidR="004461F6" w:rsidRDefault="004461F6">
      <w:pPr>
        <w:spacing w:line="259" w:lineRule="auto"/>
        <w:jc w:val="left"/>
        <w:rPr>
          <w:rFonts w:eastAsiaTheme="majorEastAsia" w:cstheme="majorBidi"/>
          <w:color w:val="2F5496" w:themeColor="accent1" w:themeShade="BF"/>
          <w:sz w:val="32"/>
          <w:szCs w:val="32"/>
        </w:rPr>
      </w:pPr>
      <w:r>
        <w:br w:type="page"/>
      </w:r>
    </w:p>
    <w:p w14:paraId="69AD8421" w14:textId="1A45EEDA" w:rsidR="009134E8" w:rsidRDefault="00730E5E" w:rsidP="00730E5E">
      <w:pPr>
        <w:pStyle w:val="1"/>
      </w:pPr>
      <w:bookmarkStart w:id="1" w:name="_Toc49825746"/>
      <w:r>
        <w:lastRenderedPageBreak/>
        <w:t>Introduction</w:t>
      </w:r>
      <w:bookmarkEnd w:id="1"/>
      <w:r>
        <w:t xml:space="preserve"> </w:t>
      </w:r>
    </w:p>
    <w:p w14:paraId="07B5EA15" w14:textId="484D9C3B" w:rsidR="00974D07" w:rsidRDefault="00730E5E" w:rsidP="00730E5E">
      <w:r>
        <w:t>Syngenta, one of the most valuable agrochemical multinational companies, provides widespread and complete crop solutions. The company runs this innovative business in 90 countries all over the world, with its 2</w:t>
      </w:r>
      <w:r w:rsidR="00974D07">
        <w:t>4</w:t>
      </w:r>
      <w:r>
        <w:t xml:space="preserve">,000 creative employees. Its core business areas are ingenious insecticides, herbicides, fungicides, and field crops, and vegetable seeds </w:t>
      </w:r>
      <w:proofErr w:type="gramStart"/>
      <w:r>
        <w:t>and also</w:t>
      </w:r>
      <w:proofErr w:type="gramEnd"/>
      <w:r>
        <w:t xml:space="preserve"> has business on the racetrack, lawn, landscape-gardening. Syngenta aims to promote sustainability, nature, and protection of agriculture and efficient use of bounded agricultural resources by using a scientific innovational solution. The organi</w:t>
      </w:r>
      <w:r w:rsidR="008D7D8D">
        <w:t>z</w:t>
      </w:r>
      <w:r>
        <w:t>ation does not impose responsibility, power, and authority based on the traditional hierarchical management style</w:t>
      </w:r>
      <w:r w:rsidR="007353A2">
        <w:t xml:space="preserve"> </w:t>
      </w:r>
      <w:r w:rsidR="00D352ED">
        <w:rPr>
          <w:color w:val="000000"/>
        </w:rPr>
        <w:t>(Smith, 2019)</w:t>
      </w:r>
      <w:r>
        <w:t>. The organi</w:t>
      </w:r>
      <w:r w:rsidR="008D7D8D">
        <w:t>z</w:t>
      </w:r>
      <w:r>
        <w:t>ation conducts its business by using a matrix organi</w:t>
      </w:r>
      <w:r w:rsidR="008D7D8D">
        <w:t>z</w:t>
      </w:r>
      <w:r>
        <w:t>ational structure. In this report, the current management style of Syngenta will be analy</w:t>
      </w:r>
      <w:r w:rsidR="008D7D8D">
        <w:t>z</w:t>
      </w:r>
      <w:r>
        <w:t>ed in detail by using the organi</w:t>
      </w:r>
      <w:r w:rsidR="008D7D8D">
        <w:t>z</w:t>
      </w:r>
      <w:r>
        <w:t>ational chart. We will analy</w:t>
      </w:r>
      <w:r w:rsidR="008D7D8D">
        <w:t>z</w:t>
      </w:r>
      <w:r>
        <w:t xml:space="preserve">e the effectiveness of its culture and job style and recommend the most applicable structure for Syngenta to sustain its current market share and increase management efficiency. </w:t>
      </w:r>
    </w:p>
    <w:p w14:paraId="646F4CDD" w14:textId="3D697966" w:rsidR="007353A2" w:rsidRDefault="007353A2" w:rsidP="007353A2">
      <w:pPr>
        <w:jc w:val="center"/>
      </w:pPr>
      <w:r>
        <w:rPr>
          <w:noProof/>
        </w:rPr>
        <w:drawing>
          <wp:inline distT="0" distB="0" distL="0" distR="0" wp14:anchorId="12631713" wp14:editId="3E84B2DA">
            <wp:extent cx="3476625" cy="9620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8">
                      <a:extLst>
                        <a:ext uri="{28A0092B-C50C-407E-A947-70E740481C1C}">
                          <a14:useLocalDpi xmlns:a14="http://schemas.microsoft.com/office/drawing/2010/main" val="0"/>
                        </a:ext>
                      </a:extLst>
                    </a:blip>
                    <a:stretch>
                      <a:fillRect/>
                    </a:stretch>
                  </pic:blipFill>
                  <pic:spPr>
                    <a:xfrm>
                      <a:off x="0" y="0"/>
                      <a:ext cx="3477117" cy="962161"/>
                    </a:xfrm>
                    <a:prstGeom prst="rect">
                      <a:avLst/>
                    </a:prstGeom>
                  </pic:spPr>
                </pic:pic>
              </a:graphicData>
            </a:graphic>
          </wp:inline>
        </w:drawing>
      </w:r>
    </w:p>
    <w:p w14:paraId="1623EF6B" w14:textId="77777777" w:rsidR="00974D07" w:rsidRDefault="00974D07">
      <w:pPr>
        <w:spacing w:line="259" w:lineRule="auto"/>
        <w:jc w:val="left"/>
      </w:pPr>
      <w:r>
        <w:br w:type="page"/>
      </w:r>
    </w:p>
    <w:p w14:paraId="34A6CD94" w14:textId="61325817" w:rsidR="00730E5E" w:rsidRDefault="00974D07" w:rsidP="00974D07">
      <w:pPr>
        <w:pStyle w:val="1"/>
      </w:pPr>
      <w:bookmarkStart w:id="2" w:name="_Toc49825747"/>
      <w:r>
        <w:lastRenderedPageBreak/>
        <w:t xml:space="preserve">Structure </w:t>
      </w:r>
      <w:r w:rsidR="007C2BBE">
        <w:t>of Syngenta</w:t>
      </w:r>
      <w:bookmarkEnd w:id="2"/>
    </w:p>
    <w:p w14:paraId="5D87FE00" w14:textId="636A42B2" w:rsidR="00974D07" w:rsidRDefault="009564C3" w:rsidP="00974D07">
      <w:r>
        <w:t>The o</w:t>
      </w:r>
      <w:r w:rsidR="00974D07">
        <w:t>rgani</w:t>
      </w:r>
      <w:r w:rsidR="008D7D8D">
        <w:t>z</w:t>
      </w:r>
      <w:r w:rsidR="00974D07">
        <w:t>ational structure is the visual representation of how an organi</w:t>
      </w:r>
      <w:r w:rsidR="008D7D8D">
        <w:t>z</w:t>
      </w:r>
      <w:r w:rsidR="00974D07">
        <w:t>ation defines its activities, roles, and employees</w:t>
      </w:r>
      <w:r w:rsidR="003500CE">
        <w:t>’</w:t>
      </w:r>
      <w:r w:rsidR="00974D07">
        <w:t xml:space="preserve"> status and distributes its responsibilities, powers, and authorities with the employees</w:t>
      </w:r>
      <w:r w:rsidR="007C2BBE">
        <w:t xml:space="preserve"> </w:t>
      </w:r>
      <w:r w:rsidR="00D352ED">
        <w:rPr>
          <w:color w:val="000000"/>
        </w:rPr>
        <w:t>(</w:t>
      </w:r>
      <w:proofErr w:type="spellStart"/>
      <w:r w:rsidR="00D352ED">
        <w:rPr>
          <w:color w:val="000000"/>
          <w:szCs w:val="24"/>
        </w:rPr>
        <w:t>Kortmann</w:t>
      </w:r>
      <w:proofErr w:type="spellEnd"/>
      <w:r w:rsidR="00D352ED">
        <w:rPr>
          <w:color w:val="000000"/>
          <w:szCs w:val="24"/>
        </w:rPr>
        <w:t>, 2012</w:t>
      </w:r>
      <w:r w:rsidR="00D352ED">
        <w:rPr>
          <w:color w:val="000000"/>
        </w:rPr>
        <w:t>)</w:t>
      </w:r>
      <w:r w:rsidR="00974D07">
        <w:t>. The organi</w:t>
      </w:r>
      <w:r w:rsidR="008D7D8D">
        <w:t>z</w:t>
      </w:r>
      <w:r w:rsidR="00974D07">
        <w:t>ational structure shows the direction of the flow of information within the organi</w:t>
      </w:r>
      <w:r w:rsidR="008D7D8D">
        <w:t>z</w:t>
      </w:r>
      <w:r w:rsidR="00974D07">
        <w:t>ation.</w:t>
      </w:r>
      <w:r w:rsidR="00974D07" w:rsidRPr="00974D07">
        <w:t xml:space="preserve"> </w:t>
      </w:r>
      <w:r w:rsidR="00974D07">
        <w:t>Organi</w:t>
      </w:r>
      <w:r w:rsidR="008D7D8D">
        <w:t>z</w:t>
      </w:r>
      <w:r w:rsidR="00974D07">
        <w:t>ational structure also provides a clear overview of how works are done within the organi</w:t>
      </w:r>
      <w:r w:rsidR="008D7D8D">
        <w:t>z</w:t>
      </w:r>
      <w:r w:rsidR="00974D07">
        <w:t>ation and who reports and responsible to whom.  It varies over the organi</w:t>
      </w:r>
      <w:r w:rsidR="008D7D8D">
        <w:t>z</w:t>
      </w:r>
      <w:r w:rsidR="00974D07">
        <w:t>ation based on the size, culture, and business strategy of the organi</w:t>
      </w:r>
      <w:r w:rsidR="008D7D8D">
        <w:t>z</w:t>
      </w:r>
      <w:r w:rsidR="00974D07">
        <w:t>ation.</w:t>
      </w:r>
      <w:r w:rsidR="00EF3502">
        <w:t xml:space="preserve"> Some most common types of organi</w:t>
      </w:r>
      <w:r w:rsidR="008D7D8D">
        <w:t>z</w:t>
      </w:r>
      <w:r w:rsidR="00EF3502">
        <w:t xml:space="preserve">ational structures are hierarchical, matrix, functional, divisional, and team-based structure. </w:t>
      </w:r>
      <w:r w:rsidR="00974D07">
        <w:t xml:space="preserve">Syngenta uses manufacturing, human resources, finance, marketing, information systems, and research and development department to divide its activities and roles. The number of levels under each department depends on </w:t>
      </w:r>
      <w:r>
        <w:t xml:space="preserve">the </w:t>
      </w:r>
      <w:r w:rsidR="00974D07">
        <w:t>organi</w:t>
      </w:r>
      <w:r w:rsidR="008D7D8D">
        <w:t>z</w:t>
      </w:r>
      <w:r w:rsidR="00974D07">
        <w:t xml:space="preserve">ational structure, either hierarchical or flat. </w:t>
      </w:r>
    </w:p>
    <w:p w14:paraId="73D683CE" w14:textId="7E8D866B" w:rsidR="00EF3502" w:rsidRDefault="00974D07" w:rsidP="00974D07">
      <w:r>
        <w:t>In the hierarchical structure, there are many strata of management; each of them holds a limited extent of authority and responsibility. The visual representation of a hierarchical structure is just like a pyramid where the peak top of the pyramid represents the top-level management</w:t>
      </w:r>
      <w:r w:rsidR="007C2BBE">
        <w:t xml:space="preserve"> </w:t>
      </w:r>
      <w:r w:rsidR="00D352ED">
        <w:rPr>
          <w:color w:val="000000"/>
        </w:rPr>
        <w:t>(</w:t>
      </w:r>
      <w:proofErr w:type="spellStart"/>
      <w:r w:rsidR="00D352ED">
        <w:rPr>
          <w:color w:val="000000"/>
          <w:szCs w:val="24"/>
        </w:rPr>
        <w:t>Leithy</w:t>
      </w:r>
      <w:proofErr w:type="spellEnd"/>
      <w:r w:rsidR="00D352ED">
        <w:rPr>
          <w:color w:val="000000"/>
          <w:szCs w:val="24"/>
        </w:rPr>
        <w:t>, 2017</w:t>
      </w:r>
      <w:r w:rsidR="00D352ED">
        <w:rPr>
          <w:color w:val="000000"/>
        </w:rPr>
        <w:t>)</w:t>
      </w:r>
      <w:r>
        <w:t xml:space="preserve">. The direction and order from the top-level management; on the other hand, response and feedback come from the bottom of the pyramid to top-level management. </w:t>
      </w:r>
      <w:r w:rsidR="00EF3502">
        <w:t xml:space="preserve">This structure ensures the effective use of the chain of command principle. </w:t>
      </w:r>
      <w:r>
        <w:t>Conversely, a flat structure usually only has only two or three strata of employees. In the flat line organi</w:t>
      </w:r>
      <w:r w:rsidR="008D7D8D">
        <w:t>z</w:t>
      </w:r>
      <w:r>
        <w:t xml:space="preserve">ational structure, the authority and responsibility of the manager </w:t>
      </w:r>
      <w:r w:rsidR="003500CE">
        <w:t>are</w:t>
      </w:r>
      <w:r>
        <w:t xml:space="preserve"> much broader compared to hierarchical ones. In the hierarchical structure, an employee only responsible </w:t>
      </w:r>
      <w:r w:rsidR="009564C3">
        <w:t xml:space="preserve">to </w:t>
      </w:r>
      <w:r>
        <w:t xml:space="preserve">his immediate senior manager and can communicate top-level only through the immediate manager. </w:t>
      </w:r>
      <w:r w:rsidR="00417EB1">
        <w:t>The m</w:t>
      </w:r>
      <w:r>
        <w:t xml:space="preserve">anager can direct and observe the activities of his subordinate closely. </w:t>
      </w:r>
    </w:p>
    <w:p w14:paraId="41EA5624" w14:textId="166ABC52" w:rsidR="00EF3502" w:rsidRPr="00EF3502" w:rsidRDefault="00EF3502" w:rsidP="00974D07">
      <w:r>
        <w:t xml:space="preserve">The case study shows that Syngenta uses its operational activities by using a </w:t>
      </w:r>
      <w:r w:rsidRPr="007C2BBE">
        <w:rPr>
          <w:b/>
          <w:bCs/>
          <w:u w:val="single"/>
        </w:rPr>
        <w:t>matrix structure</w:t>
      </w:r>
      <w:r>
        <w:t>. The activities are divide into different projects, and the leader is responsible for the completion of the task</w:t>
      </w:r>
      <w:r w:rsidR="007C2BBE">
        <w:t xml:space="preserve"> </w:t>
      </w:r>
      <w:r w:rsidR="00D352ED">
        <w:rPr>
          <w:color w:val="000000"/>
        </w:rPr>
        <w:t>(</w:t>
      </w:r>
      <w:proofErr w:type="gramStart"/>
      <w:r w:rsidR="00D352ED">
        <w:rPr>
          <w:color w:val="000000"/>
        </w:rPr>
        <w:t>Woodside,  2010</w:t>
      </w:r>
      <w:proofErr w:type="gramEnd"/>
      <w:r w:rsidR="00D352ED">
        <w:rPr>
          <w:color w:val="000000"/>
        </w:rPr>
        <w:t>)</w:t>
      </w:r>
      <w:r>
        <w:t>. The employees of the different departments work as a team for innovation of different projects and tasks, which are known as a cross-functional team. Some teams are formed for a shorter period, such as for a single task or project. On the other hand, some teams may work as a fixed team. This process helps Syngenta to make the best available use of their human resources</w:t>
      </w:r>
      <w:r w:rsidR="003500CE">
        <w:t>’</w:t>
      </w:r>
      <w:r>
        <w:t xml:space="preserve"> capability, skill, and creativity and helps to find an appropriate solution for the </w:t>
      </w:r>
      <w:r>
        <w:lastRenderedPageBreak/>
        <w:t>problems. Matrix organi</w:t>
      </w:r>
      <w:r w:rsidR="008D7D8D">
        <w:t>z</w:t>
      </w:r>
      <w:r>
        <w:t>ation provides flexibility to the employees by giving the opportunity of working with different functional employees.</w:t>
      </w:r>
      <w:r w:rsidR="003F001D">
        <w:t xml:space="preserve"> This structure creates a more friendly environment for research and innovation, and</w:t>
      </w:r>
      <w:r>
        <w:t xml:space="preserve"> </w:t>
      </w:r>
      <w:r w:rsidR="003F001D">
        <w:t>employees get more opportunities to learn new skills and roles as they work on different projects.</w:t>
      </w:r>
    </w:p>
    <w:p w14:paraId="10B38DE3" w14:textId="6D4AC3D8" w:rsidR="003F001D" w:rsidRDefault="003F001D">
      <w:pPr>
        <w:spacing w:line="259" w:lineRule="auto"/>
        <w:jc w:val="left"/>
      </w:pPr>
      <w:r w:rsidRPr="00EF3502">
        <w:t xml:space="preserve"> </w:t>
      </w:r>
      <w:r w:rsidR="007C2BBE">
        <w:rPr>
          <w:noProof/>
        </w:rPr>
        <w:drawing>
          <wp:inline distT="0" distB="0" distL="0" distR="0" wp14:anchorId="684822F0" wp14:editId="32713990">
            <wp:extent cx="5734050" cy="3829050"/>
            <wp:effectExtent l="0" t="0" r="0" b="0"/>
            <wp:docPr id="2" name="Picture 2" descr="What are the pros and cons of a matrix organisational structure?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are the pros and cons of a matrix organisational structure? - Quor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3829050"/>
                    </a:xfrm>
                    <a:prstGeom prst="rect">
                      <a:avLst/>
                    </a:prstGeom>
                    <a:noFill/>
                    <a:ln>
                      <a:noFill/>
                    </a:ln>
                  </pic:spPr>
                </pic:pic>
              </a:graphicData>
            </a:graphic>
          </wp:inline>
        </w:drawing>
      </w:r>
    </w:p>
    <w:p w14:paraId="27BB1D2C" w14:textId="0D1E61AD" w:rsidR="003F001D" w:rsidRPr="003F001D" w:rsidRDefault="003F001D" w:rsidP="0011686C">
      <w:pPr>
        <w:pStyle w:val="af1"/>
      </w:pPr>
      <w:r>
        <w:t xml:space="preserve">Figure </w:t>
      </w:r>
      <w:r w:rsidR="000757DF">
        <w:fldChar w:fldCharType="begin"/>
      </w:r>
      <w:r w:rsidR="000757DF">
        <w:instrText xml:space="preserve"> SE</w:instrText>
      </w:r>
      <w:r w:rsidR="000757DF">
        <w:instrText xml:space="preserve">Q Figure \* ARABIC </w:instrText>
      </w:r>
      <w:r w:rsidR="000757DF">
        <w:fldChar w:fldCharType="separate"/>
      </w:r>
      <w:r w:rsidR="003500CE">
        <w:rPr>
          <w:noProof/>
        </w:rPr>
        <w:t>1</w:t>
      </w:r>
      <w:r w:rsidR="000757DF">
        <w:rPr>
          <w:noProof/>
        </w:rPr>
        <w:fldChar w:fldCharType="end"/>
      </w:r>
      <w:r>
        <w:t>: Organi</w:t>
      </w:r>
      <w:r w:rsidR="008D7D8D">
        <w:t>z</w:t>
      </w:r>
      <w:r>
        <w:t xml:space="preserve">ational Structure of Syngenta </w:t>
      </w:r>
    </w:p>
    <w:p w14:paraId="24739BCB" w14:textId="3A949B4F" w:rsidR="00EF3502" w:rsidRDefault="003F001D" w:rsidP="007C2BBE">
      <w:r>
        <w:t>However, as employees are not under the fixed manger or authority, the duties, roles</w:t>
      </w:r>
      <w:r w:rsidR="008D7D8D">
        <w:t>,</w:t>
      </w:r>
      <w:r>
        <w:t xml:space="preserve"> and responsibilities of the employees are not clear, and their commitment may not be appropriately ensured</w:t>
      </w:r>
      <w:r w:rsidR="007C2BBE">
        <w:t xml:space="preserve"> </w:t>
      </w:r>
      <w:r w:rsidR="00D352ED">
        <w:rPr>
          <w:color w:val="000000"/>
        </w:rPr>
        <w:t>(</w:t>
      </w:r>
      <w:r w:rsidR="00D352ED">
        <w:rPr>
          <w:color w:val="000000"/>
          <w:szCs w:val="24"/>
        </w:rPr>
        <w:t>Copping, 2016</w:t>
      </w:r>
      <w:r w:rsidR="00D352ED">
        <w:rPr>
          <w:color w:val="000000"/>
        </w:rPr>
        <w:t>)</w:t>
      </w:r>
      <w:r>
        <w:t>.</w:t>
      </w:r>
      <w:r w:rsidR="00D352ED">
        <w:t xml:space="preserve"> </w:t>
      </w:r>
      <w:r>
        <w:t>Sometimes this structure increases the cost of Syngenta because this needs more manager</w:t>
      </w:r>
      <w:r w:rsidR="008D7D8D">
        <w:t>s</w:t>
      </w:r>
      <w:r>
        <w:t xml:space="preserve"> than a traditional hierarchical structure. As employees work under different managers, it is difficult for the organi</w:t>
      </w:r>
      <w:r w:rsidR="008D7D8D">
        <w:t>z</w:t>
      </w:r>
      <w:r>
        <w:t xml:space="preserve">ation to measure their actual performance. Since the decision comes from both the functional and project manager, sometimes it takes longer for making decisions. </w:t>
      </w:r>
    </w:p>
    <w:p w14:paraId="0CDA3BAE" w14:textId="27EDC71E" w:rsidR="00EF3502" w:rsidRDefault="00EF3502" w:rsidP="00EF3502">
      <w:pPr>
        <w:keepNext/>
      </w:pPr>
    </w:p>
    <w:p w14:paraId="6D24B83A" w14:textId="7B480291" w:rsidR="00EF3502" w:rsidRDefault="00EF3502" w:rsidP="00EF3502"/>
    <w:p w14:paraId="3775C81F" w14:textId="0A39F7E3" w:rsidR="00EF3502" w:rsidRDefault="003F001D" w:rsidP="007C2BBE">
      <w:pPr>
        <w:pStyle w:val="1"/>
      </w:pPr>
      <w:bookmarkStart w:id="3" w:name="_Toc49825748"/>
      <w:r>
        <w:lastRenderedPageBreak/>
        <w:t xml:space="preserve">Culture </w:t>
      </w:r>
      <w:r w:rsidR="0011686C">
        <w:t>of Syngenta</w:t>
      </w:r>
      <w:bookmarkEnd w:id="3"/>
      <w:r w:rsidR="0011686C">
        <w:t xml:space="preserve"> </w:t>
      </w:r>
    </w:p>
    <w:p w14:paraId="4D568315" w14:textId="6DDD3E46" w:rsidR="003F001D" w:rsidRDefault="003F001D" w:rsidP="003F001D">
      <w:r>
        <w:t>Organi</w:t>
      </w:r>
      <w:r w:rsidR="008D7D8D">
        <w:t>z</w:t>
      </w:r>
      <w:r>
        <w:t>ational culture is the way how members of the organi</w:t>
      </w:r>
      <w:r w:rsidR="008D7D8D">
        <w:t>z</w:t>
      </w:r>
      <w:r>
        <w:t>ation value something and their approach, philosophy</w:t>
      </w:r>
      <w:r w:rsidR="008D7D8D">
        <w:t>,</w:t>
      </w:r>
      <w:r>
        <w:t xml:space="preserve"> and reaction </w:t>
      </w:r>
      <w:r w:rsidR="00F25CEA">
        <w:t>to</w:t>
      </w:r>
      <w:r>
        <w:t xml:space="preserve"> that thing</w:t>
      </w:r>
      <w:r w:rsidR="0011686C">
        <w:t xml:space="preserve"> </w:t>
      </w:r>
      <w:r w:rsidR="00D352ED">
        <w:rPr>
          <w:color w:val="000000"/>
        </w:rPr>
        <w:t>(</w:t>
      </w:r>
      <w:r w:rsidR="00D352ED">
        <w:rPr>
          <w:color w:val="000000"/>
          <w:szCs w:val="24"/>
        </w:rPr>
        <w:t>Hersey</w:t>
      </w:r>
      <w:r w:rsidR="00D352ED">
        <w:rPr>
          <w:color w:val="000000"/>
        </w:rPr>
        <w:t xml:space="preserve"> et al., 2017)</w:t>
      </w:r>
      <w:r>
        <w:t>. It is also affected by the organi</w:t>
      </w:r>
      <w:r w:rsidR="008D7D8D">
        <w:t>z</w:t>
      </w:r>
      <w:r>
        <w:t>ation</w:t>
      </w:r>
      <w:r w:rsidR="003500CE">
        <w:t>’</w:t>
      </w:r>
      <w:r>
        <w:t>s vision, ideology, thinking process, systems, rules</w:t>
      </w:r>
      <w:r w:rsidR="008D7D8D">
        <w:t>,</w:t>
      </w:r>
      <w:r>
        <w:t xml:space="preserve"> and regulations. A good organi</w:t>
      </w:r>
      <w:r w:rsidR="008D7D8D">
        <w:t>z</w:t>
      </w:r>
      <w:r>
        <w:t>ational culture works as one of the most valuable resources for the organi</w:t>
      </w:r>
      <w:r w:rsidR="008D7D8D">
        <w:t>z</w:t>
      </w:r>
      <w:r>
        <w:t>ation. Most of the time, the performance and work motivation of the employees depends on the culture. Organi</w:t>
      </w:r>
      <w:r w:rsidR="008D7D8D">
        <w:t>z</w:t>
      </w:r>
      <w:r>
        <w:t xml:space="preserve">ational culture plays a significant rule </w:t>
      </w:r>
      <w:r w:rsidR="008D7D8D">
        <w:t>i</w:t>
      </w:r>
      <w:r>
        <w:t>n employees</w:t>
      </w:r>
      <w:r w:rsidR="003500CE">
        <w:t>’</w:t>
      </w:r>
      <w:r>
        <w:t xml:space="preserve"> reaction</w:t>
      </w:r>
      <w:r w:rsidR="008D7D8D">
        <w:t>s</w:t>
      </w:r>
      <w:r>
        <w:t xml:space="preserve"> during the organi</w:t>
      </w:r>
      <w:r w:rsidR="008D7D8D">
        <w:t>z</w:t>
      </w:r>
      <w:r>
        <w:t>ation wants to make any fundamental change to it. In the case study, if Syngenta wants to convert its matrix organi</w:t>
      </w:r>
      <w:r w:rsidR="008D7D8D">
        <w:t>z</w:t>
      </w:r>
      <w:r>
        <w:t>ational structure into the traditional hierarchical structure, the reaction and feedback of the employees depend on its organi</w:t>
      </w:r>
      <w:r w:rsidR="008D7D8D">
        <w:t>z</w:t>
      </w:r>
      <w:r>
        <w:t>ational culture. Geert Hofstede divides the society or organi</w:t>
      </w:r>
      <w:r w:rsidR="008D7D8D">
        <w:t>z</w:t>
      </w:r>
      <w:r>
        <w:t>ational culture into six dimensions</w:t>
      </w:r>
      <w:r w:rsidR="008D7D8D">
        <w:t>,</w:t>
      </w:r>
      <w:r>
        <w:t xml:space="preserve"> which are also known as </w:t>
      </w:r>
      <w:r w:rsidR="008D7D8D">
        <w:t xml:space="preserve">the </w:t>
      </w:r>
      <w:r>
        <w:t>Hofstede 6-D model</w:t>
      </w:r>
      <w:r w:rsidR="0011686C">
        <w:t xml:space="preserve"> </w:t>
      </w:r>
      <w:r w:rsidR="00D352ED">
        <w:rPr>
          <w:color w:val="000000"/>
        </w:rPr>
        <w:t>(Woodside, 2010)</w:t>
      </w:r>
      <w:r>
        <w:t>. This model helps us to observe the cultural differences and understand the ways of doing business across the countries. Now we are going to analy</w:t>
      </w:r>
      <w:r w:rsidR="008D7D8D">
        <w:t>z</w:t>
      </w:r>
      <w:r>
        <w:t>e the culture of Syngenta compares to the other organi</w:t>
      </w:r>
      <w:r w:rsidR="008D7D8D">
        <w:t>z</w:t>
      </w:r>
      <w:r>
        <w:t xml:space="preserve">ation in the UK: </w:t>
      </w:r>
    </w:p>
    <w:tbl>
      <w:tblPr>
        <w:tblStyle w:val="56"/>
        <w:tblW w:w="9493" w:type="dxa"/>
        <w:tblLook w:val="04A0" w:firstRow="1" w:lastRow="0" w:firstColumn="1" w:lastColumn="0" w:noHBand="0" w:noVBand="1"/>
      </w:tblPr>
      <w:tblGrid>
        <w:gridCol w:w="1644"/>
        <w:gridCol w:w="1337"/>
        <w:gridCol w:w="1550"/>
        <w:gridCol w:w="4962"/>
      </w:tblGrid>
      <w:tr w:rsidR="003F001D" w14:paraId="6DF0C6C4" w14:textId="77777777" w:rsidTr="007C2BBE">
        <w:trPr>
          <w:cnfStyle w:val="100000000000" w:firstRow="1" w:lastRow="0" w:firstColumn="0" w:lastColumn="0" w:oddVBand="0" w:evenVBand="0" w:oddHBand="0" w:evenHBand="0" w:firstRowFirstColumn="0" w:firstRowLastColumn="0" w:lastRowFirstColumn="0" w:lastRowLastColumn="0"/>
          <w:trHeight w:val="857"/>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187B2E55" w14:textId="77777777" w:rsidR="003F001D" w:rsidRDefault="003F001D" w:rsidP="007C2BBE">
            <w:pPr>
              <w:jc w:val="center"/>
              <w:rPr>
                <w:b w:val="0"/>
                <w:bCs w:val="0"/>
              </w:rPr>
            </w:pPr>
            <w:r>
              <w:t>Cultural</w:t>
            </w:r>
          </w:p>
          <w:p w14:paraId="041B88F6" w14:textId="2C0D77AB" w:rsidR="003F001D" w:rsidRDefault="003F001D" w:rsidP="007C2BBE">
            <w:pPr>
              <w:jc w:val="center"/>
            </w:pPr>
            <w:r>
              <w:t>Dimensions</w:t>
            </w:r>
          </w:p>
        </w:tc>
        <w:tc>
          <w:tcPr>
            <w:tcW w:w="1337" w:type="dxa"/>
            <w:vAlign w:val="center"/>
          </w:tcPr>
          <w:p w14:paraId="58F76977" w14:textId="67DF7A62" w:rsidR="003F001D" w:rsidRDefault="003F001D" w:rsidP="007C2BBE">
            <w:pPr>
              <w:jc w:val="center"/>
              <w:cnfStyle w:val="100000000000" w:firstRow="1" w:lastRow="0" w:firstColumn="0" w:lastColumn="0" w:oddVBand="0" w:evenVBand="0" w:oddHBand="0" w:evenHBand="0" w:firstRowFirstColumn="0" w:firstRowLastColumn="0" w:lastRowFirstColumn="0" w:lastRowLastColumn="0"/>
              <w:rPr>
                <w:b w:val="0"/>
                <w:bCs w:val="0"/>
              </w:rPr>
            </w:pPr>
            <w:r>
              <w:t>Syngenta</w:t>
            </w:r>
            <w:r w:rsidR="003500CE">
              <w:t>’</w:t>
            </w:r>
            <w:r>
              <w:t>s</w:t>
            </w:r>
          </w:p>
          <w:p w14:paraId="2F61ECA2" w14:textId="3BA9CA81" w:rsidR="003F001D" w:rsidRDefault="003F001D" w:rsidP="007C2BBE">
            <w:pPr>
              <w:jc w:val="center"/>
              <w:cnfStyle w:val="100000000000" w:firstRow="1" w:lastRow="0" w:firstColumn="0" w:lastColumn="0" w:oddVBand="0" w:evenVBand="0" w:oddHBand="0" w:evenHBand="0" w:firstRowFirstColumn="0" w:firstRowLastColumn="0" w:lastRowFirstColumn="0" w:lastRowLastColumn="0"/>
            </w:pPr>
            <w:r>
              <w:t>Score</w:t>
            </w:r>
          </w:p>
        </w:tc>
        <w:tc>
          <w:tcPr>
            <w:tcW w:w="1550" w:type="dxa"/>
            <w:vAlign w:val="center"/>
          </w:tcPr>
          <w:p w14:paraId="5ABFBD38" w14:textId="610D19DE" w:rsidR="003F001D" w:rsidRDefault="003F001D" w:rsidP="007C2BBE">
            <w:pPr>
              <w:jc w:val="center"/>
              <w:cnfStyle w:val="100000000000" w:firstRow="1" w:lastRow="0" w:firstColumn="0" w:lastColumn="0" w:oddVBand="0" w:evenVBand="0" w:oddHBand="0" w:evenHBand="0" w:firstRowFirstColumn="0" w:firstRowLastColumn="0" w:lastRowFirstColumn="0" w:lastRowLastColumn="0"/>
            </w:pPr>
            <w:r>
              <w:t>Average UK Company Score</w:t>
            </w:r>
          </w:p>
        </w:tc>
        <w:tc>
          <w:tcPr>
            <w:tcW w:w="4962" w:type="dxa"/>
            <w:vAlign w:val="center"/>
          </w:tcPr>
          <w:p w14:paraId="08CAFA4B" w14:textId="0085336F" w:rsidR="003F001D" w:rsidRDefault="003F001D" w:rsidP="007C2BBE">
            <w:pPr>
              <w:jc w:val="center"/>
              <w:cnfStyle w:val="100000000000" w:firstRow="1" w:lastRow="0" w:firstColumn="0" w:lastColumn="0" w:oddVBand="0" w:evenVBand="0" w:oddHBand="0" w:evenHBand="0" w:firstRowFirstColumn="0" w:firstRowLastColumn="0" w:lastRowFirstColumn="0" w:lastRowLastColumn="0"/>
            </w:pPr>
            <w:r>
              <w:t>Interpretations</w:t>
            </w:r>
          </w:p>
        </w:tc>
      </w:tr>
      <w:tr w:rsidR="003F001D" w14:paraId="0C90334D" w14:textId="77777777" w:rsidTr="007C2BBE">
        <w:trPr>
          <w:cnfStyle w:val="000000100000" w:firstRow="0" w:lastRow="0" w:firstColumn="0" w:lastColumn="0" w:oddVBand="0" w:evenVBand="0" w:oddHBand="1" w:evenHBand="0" w:firstRowFirstColumn="0" w:firstRowLastColumn="0" w:lastRowFirstColumn="0" w:lastRowLastColumn="0"/>
          <w:trHeight w:val="882"/>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49063DE5" w14:textId="490F27DB" w:rsidR="003F001D" w:rsidRPr="003F001D" w:rsidRDefault="003F001D" w:rsidP="007C2BBE">
            <w:pPr>
              <w:jc w:val="center"/>
            </w:pPr>
            <w:r w:rsidRPr="003F001D">
              <w:t>Power Distance</w:t>
            </w:r>
          </w:p>
        </w:tc>
        <w:tc>
          <w:tcPr>
            <w:tcW w:w="1337" w:type="dxa"/>
            <w:vAlign w:val="center"/>
          </w:tcPr>
          <w:p w14:paraId="0F815B3A" w14:textId="50CB15AB" w:rsidR="003F001D" w:rsidRDefault="003F001D" w:rsidP="007C2BBE">
            <w:pPr>
              <w:jc w:val="center"/>
              <w:cnfStyle w:val="000000100000" w:firstRow="0" w:lastRow="0" w:firstColumn="0" w:lastColumn="0" w:oddVBand="0" w:evenVBand="0" w:oddHBand="1" w:evenHBand="0" w:firstRowFirstColumn="0" w:firstRowLastColumn="0" w:lastRowFirstColumn="0" w:lastRowLastColumn="0"/>
            </w:pPr>
            <w:r>
              <w:t>25</w:t>
            </w:r>
          </w:p>
        </w:tc>
        <w:tc>
          <w:tcPr>
            <w:tcW w:w="1550" w:type="dxa"/>
            <w:vAlign w:val="center"/>
          </w:tcPr>
          <w:p w14:paraId="70957C29" w14:textId="4859B281" w:rsidR="003F001D" w:rsidRDefault="003F001D" w:rsidP="007C2BBE">
            <w:pPr>
              <w:jc w:val="center"/>
              <w:cnfStyle w:val="000000100000" w:firstRow="0" w:lastRow="0" w:firstColumn="0" w:lastColumn="0" w:oddVBand="0" w:evenVBand="0" w:oddHBand="1" w:evenHBand="0" w:firstRowFirstColumn="0" w:firstRowLastColumn="0" w:lastRowFirstColumn="0" w:lastRowLastColumn="0"/>
            </w:pPr>
            <w:r>
              <w:t>35</w:t>
            </w:r>
          </w:p>
        </w:tc>
        <w:tc>
          <w:tcPr>
            <w:tcW w:w="4962" w:type="dxa"/>
            <w:vAlign w:val="center"/>
          </w:tcPr>
          <w:p w14:paraId="31C924A9" w14:textId="13159556" w:rsidR="003F001D" w:rsidRDefault="003F001D" w:rsidP="007C2BBE">
            <w:pPr>
              <w:cnfStyle w:val="000000100000" w:firstRow="0" w:lastRow="0" w:firstColumn="0" w:lastColumn="0" w:oddVBand="0" w:evenVBand="0" w:oddHBand="1" w:evenHBand="0" w:firstRowFirstColumn="0" w:firstRowLastColumn="0" w:lastRowFirstColumn="0" w:lastRowLastColumn="0"/>
            </w:pPr>
            <w:r>
              <w:t xml:space="preserve">As Syngenta uses the matrix or flat structure, the employees and managers work as a team. So, </w:t>
            </w:r>
            <w:r w:rsidR="003500CE">
              <w:t xml:space="preserve">the </w:t>
            </w:r>
            <w:r>
              <w:t>power distance lower than the country average.</w:t>
            </w:r>
          </w:p>
        </w:tc>
      </w:tr>
      <w:tr w:rsidR="003F001D" w14:paraId="67518CC5" w14:textId="77777777" w:rsidTr="007C2BBE">
        <w:trPr>
          <w:trHeight w:val="857"/>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130CC487" w14:textId="5A680E9B" w:rsidR="003F001D" w:rsidRPr="003F001D" w:rsidRDefault="003F001D" w:rsidP="007C2BBE">
            <w:pPr>
              <w:jc w:val="center"/>
            </w:pPr>
            <w:r w:rsidRPr="003F001D">
              <w:t>Individualism</w:t>
            </w:r>
          </w:p>
        </w:tc>
        <w:tc>
          <w:tcPr>
            <w:tcW w:w="1337" w:type="dxa"/>
            <w:vAlign w:val="center"/>
          </w:tcPr>
          <w:p w14:paraId="6BDC2151" w14:textId="729953D1" w:rsidR="003F001D" w:rsidRDefault="003F001D" w:rsidP="007C2BBE">
            <w:pPr>
              <w:jc w:val="center"/>
              <w:cnfStyle w:val="000000000000" w:firstRow="0" w:lastRow="0" w:firstColumn="0" w:lastColumn="0" w:oddVBand="0" w:evenVBand="0" w:oddHBand="0" w:evenHBand="0" w:firstRowFirstColumn="0" w:firstRowLastColumn="0" w:lastRowFirstColumn="0" w:lastRowLastColumn="0"/>
            </w:pPr>
            <w:r>
              <w:t>92</w:t>
            </w:r>
          </w:p>
        </w:tc>
        <w:tc>
          <w:tcPr>
            <w:tcW w:w="1550" w:type="dxa"/>
            <w:vAlign w:val="center"/>
          </w:tcPr>
          <w:p w14:paraId="76F71C0E" w14:textId="0F445CEE" w:rsidR="003F001D" w:rsidRDefault="003F001D" w:rsidP="007C2BBE">
            <w:pPr>
              <w:jc w:val="center"/>
              <w:cnfStyle w:val="000000000000" w:firstRow="0" w:lastRow="0" w:firstColumn="0" w:lastColumn="0" w:oddVBand="0" w:evenVBand="0" w:oddHBand="0" w:evenHBand="0" w:firstRowFirstColumn="0" w:firstRowLastColumn="0" w:lastRowFirstColumn="0" w:lastRowLastColumn="0"/>
            </w:pPr>
            <w:r>
              <w:t>89</w:t>
            </w:r>
          </w:p>
        </w:tc>
        <w:tc>
          <w:tcPr>
            <w:tcW w:w="4962" w:type="dxa"/>
            <w:vAlign w:val="center"/>
          </w:tcPr>
          <w:p w14:paraId="00FC3A34" w14:textId="28D0BD7F" w:rsidR="003F001D" w:rsidRDefault="003F001D" w:rsidP="007C2BBE">
            <w:pPr>
              <w:cnfStyle w:val="000000000000" w:firstRow="0" w:lastRow="0" w:firstColumn="0" w:lastColumn="0" w:oddVBand="0" w:evenVBand="0" w:oddHBand="0" w:evenHBand="0" w:firstRowFirstColumn="0" w:firstRowLastColumn="0" w:lastRowFirstColumn="0" w:lastRowLastColumn="0"/>
            </w:pPr>
            <w:r>
              <w:t xml:space="preserve">This score shows that Syngenta focuses more on teamwork rather than </w:t>
            </w:r>
            <w:r w:rsidR="008D7D8D">
              <w:t xml:space="preserve">on </w:t>
            </w:r>
            <w:r>
              <w:t>the individual task.</w:t>
            </w:r>
          </w:p>
        </w:tc>
      </w:tr>
      <w:tr w:rsidR="003F001D" w14:paraId="4D37078B" w14:textId="77777777" w:rsidTr="007C2BBE">
        <w:trPr>
          <w:cnfStyle w:val="000000100000" w:firstRow="0" w:lastRow="0" w:firstColumn="0" w:lastColumn="0" w:oddVBand="0" w:evenVBand="0" w:oddHBand="1" w:evenHBand="0" w:firstRowFirstColumn="0" w:firstRowLastColumn="0" w:lastRowFirstColumn="0" w:lastRowLastColumn="0"/>
          <w:trHeight w:val="857"/>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3E923E08" w14:textId="3D83253C" w:rsidR="003F001D" w:rsidRDefault="003F001D" w:rsidP="007C2BBE">
            <w:pPr>
              <w:jc w:val="center"/>
            </w:pPr>
            <w:r>
              <w:t>Masculinity</w:t>
            </w:r>
          </w:p>
        </w:tc>
        <w:tc>
          <w:tcPr>
            <w:tcW w:w="1337" w:type="dxa"/>
            <w:vAlign w:val="center"/>
          </w:tcPr>
          <w:p w14:paraId="0B627D65" w14:textId="1110C68E" w:rsidR="003F001D" w:rsidRDefault="009564C3" w:rsidP="007C2BBE">
            <w:pPr>
              <w:jc w:val="center"/>
              <w:cnfStyle w:val="000000100000" w:firstRow="0" w:lastRow="0" w:firstColumn="0" w:lastColumn="0" w:oddVBand="0" w:evenVBand="0" w:oddHBand="1" w:evenHBand="0" w:firstRowFirstColumn="0" w:firstRowLastColumn="0" w:lastRowFirstColumn="0" w:lastRowLastColumn="0"/>
            </w:pPr>
            <w:r>
              <w:t>32</w:t>
            </w:r>
          </w:p>
        </w:tc>
        <w:tc>
          <w:tcPr>
            <w:tcW w:w="1550" w:type="dxa"/>
            <w:vAlign w:val="center"/>
          </w:tcPr>
          <w:p w14:paraId="5C713FEA" w14:textId="44E06E90" w:rsidR="003F001D" w:rsidRDefault="003F001D" w:rsidP="007C2BBE">
            <w:pPr>
              <w:jc w:val="center"/>
              <w:cnfStyle w:val="000000100000" w:firstRow="0" w:lastRow="0" w:firstColumn="0" w:lastColumn="0" w:oddVBand="0" w:evenVBand="0" w:oddHBand="1" w:evenHBand="0" w:firstRowFirstColumn="0" w:firstRowLastColumn="0" w:lastRowFirstColumn="0" w:lastRowLastColumn="0"/>
            </w:pPr>
            <w:r>
              <w:t>66</w:t>
            </w:r>
          </w:p>
        </w:tc>
        <w:tc>
          <w:tcPr>
            <w:tcW w:w="4962" w:type="dxa"/>
            <w:vAlign w:val="center"/>
          </w:tcPr>
          <w:p w14:paraId="7FADE4FF" w14:textId="2B95989F" w:rsidR="003F001D" w:rsidRDefault="003F001D" w:rsidP="007C2BBE">
            <w:pPr>
              <w:cnfStyle w:val="000000100000" w:firstRow="0" w:lastRow="0" w:firstColumn="0" w:lastColumn="0" w:oddVBand="0" w:evenVBand="0" w:oddHBand="1" w:evenHBand="0" w:firstRowFirstColumn="0" w:firstRowLastColumn="0" w:lastRowFirstColumn="0" w:lastRowLastColumn="0"/>
            </w:pPr>
            <w:r>
              <w:t>Syngenta focus more on quality of life and relationship orientated rather than money and strong-ego orientation of other UK company</w:t>
            </w:r>
          </w:p>
        </w:tc>
      </w:tr>
      <w:tr w:rsidR="003F001D" w14:paraId="4F791967" w14:textId="77777777" w:rsidTr="007C2BBE">
        <w:trPr>
          <w:trHeight w:val="882"/>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5329318B" w14:textId="127351AA" w:rsidR="003F001D" w:rsidRDefault="003F001D" w:rsidP="007C2BBE">
            <w:pPr>
              <w:jc w:val="center"/>
            </w:pPr>
            <w:r>
              <w:t>Uncertainty Avoidance</w:t>
            </w:r>
          </w:p>
        </w:tc>
        <w:tc>
          <w:tcPr>
            <w:tcW w:w="1337" w:type="dxa"/>
            <w:vAlign w:val="center"/>
          </w:tcPr>
          <w:p w14:paraId="6E5E775D" w14:textId="5226A401" w:rsidR="003F001D" w:rsidRDefault="003F001D" w:rsidP="007C2BBE">
            <w:pPr>
              <w:jc w:val="center"/>
              <w:cnfStyle w:val="000000000000" w:firstRow="0" w:lastRow="0" w:firstColumn="0" w:lastColumn="0" w:oddVBand="0" w:evenVBand="0" w:oddHBand="0" w:evenHBand="0" w:firstRowFirstColumn="0" w:firstRowLastColumn="0" w:lastRowFirstColumn="0" w:lastRowLastColumn="0"/>
            </w:pPr>
            <w:r>
              <w:t>22</w:t>
            </w:r>
          </w:p>
        </w:tc>
        <w:tc>
          <w:tcPr>
            <w:tcW w:w="1550" w:type="dxa"/>
            <w:vAlign w:val="center"/>
          </w:tcPr>
          <w:p w14:paraId="39160AC5" w14:textId="6A497E5B" w:rsidR="003F001D" w:rsidRDefault="003F001D" w:rsidP="007C2BBE">
            <w:pPr>
              <w:jc w:val="center"/>
              <w:cnfStyle w:val="000000000000" w:firstRow="0" w:lastRow="0" w:firstColumn="0" w:lastColumn="0" w:oddVBand="0" w:evenVBand="0" w:oddHBand="0" w:evenHBand="0" w:firstRowFirstColumn="0" w:firstRowLastColumn="0" w:lastRowFirstColumn="0" w:lastRowLastColumn="0"/>
            </w:pPr>
            <w:r>
              <w:t>35</w:t>
            </w:r>
          </w:p>
        </w:tc>
        <w:tc>
          <w:tcPr>
            <w:tcW w:w="4962" w:type="dxa"/>
            <w:vAlign w:val="center"/>
          </w:tcPr>
          <w:p w14:paraId="1DA7F545" w14:textId="46633BDE" w:rsidR="003F001D" w:rsidRDefault="003F001D" w:rsidP="007C2BBE">
            <w:pPr>
              <w:cnfStyle w:val="000000000000" w:firstRow="0" w:lastRow="0" w:firstColumn="0" w:lastColumn="0" w:oddVBand="0" w:evenVBand="0" w:oddHBand="0" w:evenHBand="0" w:firstRowFirstColumn="0" w:firstRowLastColumn="0" w:lastRowFirstColumn="0" w:lastRowLastColumn="0"/>
            </w:pPr>
            <w:r>
              <w:t xml:space="preserve">This score reveals that Syngenta is more innovation and </w:t>
            </w:r>
            <w:proofErr w:type="gramStart"/>
            <w:r>
              <w:t>creativity oriented</w:t>
            </w:r>
            <w:proofErr w:type="gramEnd"/>
            <w:r>
              <w:t xml:space="preserve"> company rather than using rigid and conservative rules and regulation</w:t>
            </w:r>
          </w:p>
        </w:tc>
      </w:tr>
      <w:tr w:rsidR="003F001D" w14:paraId="26D2E62A" w14:textId="77777777" w:rsidTr="007C2BBE">
        <w:trPr>
          <w:cnfStyle w:val="000000100000" w:firstRow="0" w:lastRow="0" w:firstColumn="0" w:lastColumn="0" w:oddVBand="0" w:evenVBand="0" w:oddHBand="1" w:evenHBand="0" w:firstRowFirstColumn="0" w:firstRowLastColumn="0" w:lastRowFirstColumn="0" w:lastRowLastColumn="0"/>
          <w:trHeight w:val="857"/>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73D06D3D" w14:textId="07B43076" w:rsidR="003F001D" w:rsidRDefault="003F001D" w:rsidP="007C2BBE">
            <w:pPr>
              <w:jc w:val="center"/>
            </w:pPr>
            <w:r>
              <w:lastRenderedPageBreak/>
              <w:t>Time Orientation</w:t>
            </w:r>
          </w:p>
        </w:tc>
        <w:tc>
          <w:tcPr>
            <w:tcW w:w="1337" w:type="dxa"/>
            <w:vAlign w:val="center"/>
          </w:tcPr>
          <w:p w14:paraId="1DFBC1C9" w14:textId="72FCDAF2" w:rsidR="003F001D" w:rsidRDefault="003F001D" w:rsidP="007C2BBE">
            <w:pPr>
              <w:jc w:val="center"/>
              <w:cnfStyle w:val="000000100000" w:firstRow="0" w:lastRow="0" w:firstColumn="0" w:lastColumn="0" w:oddVBand="0" w:evenVBand="0" w:oddHBand="1" w:evenHBand="0" w:firstRowFirstColumn="0" w:firstRowLastColumn="0" w:lastRowFirstColumn="0" w:lastRowLastColumn="0"/>
            </w:pPr>
            <w:r>
              <w:t>73</w:t>
            </w:r>
          </w:p>
        </w:tc>
        <w:tc>
          <w:tcPr>
            <w:tcW w:w="1550" w:type="dxa"/>
            <w:vAlign w:val="center"/>
          </w:tcPr>
          <w:p w14:paraId="5E4602FA" w14:textId="1C5D274B" w:rsidR="003F001D" w:rsidRDefault="003F001D" w:rsidP="007C2BBE">
            <w:pPr>
              <w:jc w:val="center"/>
              <w:cnfStyle w:val="000000100000" w:firstRow="0" w:lastRow="0" w:firstColumn="0" w:lastColumn="0" w:oddVBand="0" w:evenVBand="0" w:oddHBand="1" w:evenHBand="0" w:firstRowFirstColumn="0" w:firstRowLastColumn="0" w:lastRowFirstColumn="0" w:lastRowLastColumn="0"/>
            </w:pPr>
            <w:r>
              <w:t>51</w:t>
            </w:r>
          </w:p>
        </w:tc>
        <w:tc>
          <w:tcPr>
            <w:tcW w:w="4962" w:type="dxa"/>
            <w:vAlign w:val="center"/>
          </w:tcPr>
          <w:p w14:paraId="3EED0B2F" w14:textId="2515F6C9" w:rsidR="003F001D" w:rsidRDefault="003F001D" w:rsidP="007C2BBE">
            <w:pPr>
              <w:cnfStyle w:val="000000100000" w:firstRow="0" w:lastRow="0" w:firstColumn="0" w:lastColumn="0" w:oddVBand="0" w:evenVBand="0" w:oddHBand="1" w:evenHBand="0" w:firstRowFirstColumn="0" w:firstRowLastColumn="0" w:lastRowFirstColumn="0" w:lastRowLastColumn="0"/>
            </w:pPr>
            <w:r>
              <w:t xml:space="preserve">The activities of Syngenta </w:t>
            </w:r>
            <w:proofErr w:type="gramStart"/>
            <w:r>
              <w:t>is</w:t>
            </w:r>
            <w:proofErr w:type="gramEnd"/>
            <w:r>
              <w:t xml:space="preserve"> more future related and long term oriented. They focus on long term resources than short term gains or profits.</w:t>
            </w:r>
          </w:p>
        </w:tc>
      </w:tr>
      <w:tr w:rsidR="003F001D" w14:paraId="7D00A3D4" w14:textId="77777777" w:rsidTr="007C2BBE">
        <w:trPr>
          <w:trHeight w:val="857"/>
        </w:trPr>
        <w:tc>
          <w:tcPr>
            <w:cnfStyle w:val="001000000000" w:firstRow="0" w:lastRow="0" w:firstColumn="1" w:lastColumn="0" w:oddVBand="0" w:evenVBand="0" w:oddHBand="0" w:evenHBand="0" w:firstRowFirstColumn="0" w:firstRowLastColumn="0" w:lastRowFirstColumn="0" w:lastRowLastColumn="0"/>
            <w:tcW w:w="1644" w:type="dxa"/>
            <w:vAlign w:val="center"/>
          </w:tcPr>
          <w:p w14:paraId="03D495CE" w14:textId="6A6B0FF1" w:rsidR="003F001D" w:rsidRDefault="003F001D" w:rsidP="007C2BBE">
            <w:pPr>
              <w:jc w:val="center"/>
            </w:pPr>
            <w:r>
              <w:t>Indulgence</w:t>
            </w:r>
          </w:p>
        </w:tc>
        <w:tc>
          <w:tcPr>
            <w:tcW w:w="1337" w:type="dxa"/>
            <w:vAlign w:val="center"/>
          </w:tcPr>
          <w:p w14:paraId="0D83AA53" w14:textId="62FB6BA2" w:rsidR="003F001D" w:rsidRDefault="003F001D" w:rsidP="007C2BBE">
            <w:pPr>
              <w:jc w:val="center"/>
              <w:cnfStyle w:val="000000000000" w:firstRow="0" w:lastRow="0" w:firstColumn="0" w:lastColumn="0" w:oddVBand="0" w:evenVBand="0" w:oddHBand="0" w:evenHBand="0" w:firstRowFirstColumn="0" w:firstRowLastColumn="0" w:lastRowFirstColumn="0" w:lastRowLastColumn="0"/>
            </w:pPr>
            <w:r>
              <w:t>83</w:t>
            </w:r>
          </w:p>
        </w:tc>
        <w:tc>
          <w:tcPr>
            <w:tcW w:w="1550" w:type="dxa"/>
            <w:vAlign w:val="center"/>
          </w:tcPr>
          <w:p w14:paraId="0F29E542" w14:textId="28ECE5E4" w:rsidR="003F001D" w:rsidRDefault="003F001D" w:rsidP="007C2BBE">
            <w:pPr>
              <w:jc w:val="center"/>
              <w:cnfStyle w:val="000000000000" w:firstRow="0" w:lastRow="0" w:firstColumn="0" w:lastColumn="0" w:oddVBand="0" w:evenVBand="0" w:oddHBand="0" w:evenHBand="0" w:firstRowFirstColumn="0" w:firstRowLastColumn="0" w:lastRowFirstColumn="0" w:lastRowLastColumn="0"/>
            </w:pPr>
            <w:r>
              <w:t>69</w:t>
            </w:r>
          </w:p>
        </w:tc>
        <w:tc>
          <w:tcPr>
            <w:tcW w:w="4962" w:type="dxa"/>
            <w:vAlign w:val="center"/>
          </w:tcPr>
          <w:p w14:paraId="554CC3CE" w14:textId="71A668FE" w:rsidR="003F001D" w:rsidRDefault="003F001D" w:rsidP="007C2BBE">
            <w:pPr>
              <w:keepNext/>
              <w:cnfStyle w:val="000000000000" w:firstRow="0" w:lastRow="0" w:firstColumn="0" w:lastColumn="0" w:oddVBand="0" w:evenVBand="0" w:oddHBand="0" w:evenHBand="0" w:firstRowFirstColumn="0" w:firstRowLastColumn="0" w:lastRowFirstColumn="0" w:lastRowLastColumn="0"/>
            </w:pPr>
            <w:r>
              <w:t xml:space="preserve">This score discloses that Syngenta is providing importance on freedom of speech and </w:t>
            </w:r>
            <w:r w:rsidR="008D7D8D">
              <w:t xml:space="preserve">the </w:t>
            </w:r>
            <w:r>
              <w:t>personal happiness of the employees. The company is more optimistic than other organi</w:t>
            </w:r>
            <w:r w:rsidR="008D7D8D">
              <w:t>z</w:t>
            </w:r>
            <w:r>
              <w:t>ation</w:t>
            </w:r>
          </w:p>
        </w:tc>
      </w:tr>
    </w:tbl>
    <w:p w14:paraId="474781B7" w14:textId="3E0ECE32" w:rsidR="003F001D" w:rsidRDefault="003F001D" w:rsidP="0011686C">
      <w:pPr>
        <w:pStyle w:val="af1"/>
      </w:pPr>
      <w:r>
        <w:t xml:space="preserve">Figure </w:t>
      </w:r>
      <w:r w:rsidR="000757DF">
        <w:fldChar w:fldCharType="begin"/>
      </w:r>
      <w:r w:rsidR="000757DF">
        <w:instrText xml:space="preserve"> SEQ Figure \* ARABIC </w:instrText>
      </w:r>
      <w:r w:rsidR="000757DF">
        <w:fldChar w:fldCharType="separate"/>
      </w:r>
      <w:r w:rsidR="003500CE">
        <w:rPr>
          <w:noProof/>
        </w:rPr>
        <w:t>2</w:t>
      </w:r>
      <w:r w:rsidR="000757DF">
        <w:rPr>
          <w:noProof/>
        </w:rPr>
        <w:fldChar w:fldCharType="end"/>
      </w:r>
      <w:r>
        <w:t>:Hofstede Analysis of Syngenta</w:t>
      </w:r>
      <w:r w:rsidR="007C2BBE">
        <w:t xml:space="preserve"> </w:t>
      </w:r>
      <w:r>
        <w:t>(Source: Self-made)</w:t>
      </w:r>
    </w:p>
    <w:p w14:paraId="7C8EB66A" w14:textId="1E8132C2" w:rsidR="009564C3" w:rsidRDefault="009564C3" w:rsidP="003F001D">
      <w:r>
        <w:t xml:space="preserve">The scores of Hofstede analysis shows that except individualism, most of the variables vary significantly from the average scores in other UK companies. As the hierarchy or layer of employees is low, the difference between the power of top management and employees is also small. Most of the tasks of the company are team-based, so employees need to collectivist rather than working individually. </w:t>
      </w:r>
      <w:r w:rsidR="003500CE">
        <w:t>A l</w:t>
      </w:r>
      <w:r>
        <w:t xml:space="preserve">ower masculinity score shows that Syngenta provides importance to a good relationship with subordinates rather than focus on money and achievements and being egoistic with them. </w:t>
      </w:r>
      <w:r w:rsidR="003500CE">
        <w:t>The u</w:t>
      </w:r>
      <w:r>
        <w:t>ncertainty score shows that the company give</w:t>
      </w:r>
      <w:r w:rsidR="008D7D8D">
        <w:t>s</w:t>
      </w:r>
      <w:r>
        <w:t xml:space="preserve"> preference for working with new ideas and thinking proces</w:t>
      </w:r>
      <w:r w:rsidR="008D7D8D">
        <w:t>se</w:t>
      </w:r>
      <w:r>
        <w:t>s than the traditional style. Rather than working with the current issue, Syngenta tries to solve future problems. It also allows the employees</w:t>
      </w:r>
      <w:r w:rsidR="003500CE">
        <w:t>’</w:t>
      </w:r>
      <w:r>
        <w:t xml:space="preserve"> work-life balance and gives the right to raise their voice. </w:t>
      </w:r>
    </w:p>
    <w:p w14:paraId="38EABDDF" w14:textId="77777777" w:rsidR="009564C3" w:rsidRDefault="009564C3">
      <w:pPr>
        <w:spacing w:line="259" w:lineRule="auto"/>
        <w:jc w:val="left"/>
      </w:pPr>
      <w:r>
        <w:br w:type="page"/>
      </w:r>
    </w:p>
    <w:p w14:paraId="35D97512" w14:textId="39B41086" w:rsidR="009564C3" w:rsidRDefault="009564C3" w:rsidP="009564C3">
      <w:pPr>
        <w:pStyle w:val="1"/>
      </w:pPr>
      <w:bookmarkStart w:id="4" w:name="_Toc48649787"/>
      <w:bookmarkStart w:id="5" w:name="_Toc49825749"/>
      <w:r>
        <w:lastRenderedPageBreak/>
        <w:t>Organi</w:t>
      </w:r>
      <w:r w:rsidR="008D7D8D">
        <w:t>z</w:t>
      </w:r>
      <w:r>
        <w:t xml:space="preserve">ational </w:t>
      </w:r>
      <w:r w:rsidR="008D7D8D">
        <w:t>P</w:t>
      </w:r>
      <w:r>
        <w:t>erformance</w:t>
      </w:r>
      <w:bookmarkEnd w:id="4"/>
      <w:r w:rsidR="003500CE">
        <w:t xml:space="preserve"> of Syngenta</w:t>
      </w:r>
      <w:bookmarkEnd w:id="5"/>
    </w:p>
    <w:p w14:paraId="6B021367" w14:textId="552952A2" w:rsidR="00B14851" w:rsidRDefault="008D7D8D" w:rsidP="008D7D8D">
      <w:r>
        <w:t>Organizational performance is the measurement of the real outcomes or results regarding the input or desired outcomes or predetermined targets or purpose set by the organization</w:t>
      </w:r>
      <w:r w:rsidR="007C2BBE">
        <w:t xml:space="preserve"> </w:t>
      </w:r>
      <w:r w:rsidR="00D352ED">
        <w:rPr>
          <w:color w:val="000000"/>
        </w:rPr>
        <w:t>(Walsh et al., 2011)</w:t>
      </w:r>
      <w:r>
        <w:t xml:space="preserve">. Organizational performance primarily depends on the structure and culture in which </w:t>
      </w:r>
      <w:r w:rsidR="003500CE">
        <w:t xml:space="preserve">a </w:t>
      </w:r>
      <w:r>
        <w:t xml:space="preserve">business runs its operation. Measuring organizational performance and </w:t>
      </w:r>
      <w:proofErr w:type="gramStart"/>
      <w:r>
        <w:t>taking action</w:t>
      </w:r>
      <w:proofErr w:type="gramEnd"/>
      <w:r>
        <w:t xml:space="preserve"> if there is any deviation from the expected outcomes is a continuing process. </w:t>
      </w:r>
      <w:r w:rsidR="00B14851">
        <w:t>If the employees feel them as part of the organizational environment and culture, they may work intensely to accomplish the organizational goals and objectives. The employees feel motivated when their performance is directly related to organizational objectives or goals. The organization should design its rewards or appraisal method related to the involvement in organizational goal completion. Organizational performance can be measured from three dimensions, such as financial performance, product market performance, and stockholders</w:t>
      </w:r>
      <w:r w:rsidR="003500CE">
        <w:t>’</w:t>
      </w:r>
      <w:r w:rsidR="00B14851">
        <w:t xml:space="preserve"> return</w:t>
      </w:r>
      <w:r w:rsidR="007C2BBE">
        <w:t xml:space="preserve"> </w:t>
      </w:r>
      <w:r w:rsidR="00D352ED">
        <w:rPr>
          <w:color w:val="000000"/>
        </w:rPr>
        <w:t>(</w:t>
      </w:r>
      <w:r w:rsidR="00D352ED">
        <w:rPr>
          <w:color w:val="000000"/>
          <w:szCs w:val="24"/>
        </w:rPr>
        <w:t>Hersey</w:t>
      </w:r>
      <w:r w:rsidR="00D352ED">
        <w:rPr>
          <w:color w:val="000000"/>
        </w:rPr>
        <w:t xml:space="preserve"> et al., 2017)</w:t>
      </w:r>
      <w:r w:rsidR="00B14851">
        <w:t xml:space="preserve">. </w:t>
      </w:r>
    </w:p>
    <w:p w14:paraId="65A0CE7F" w14:textId="3E5C303A" w:rsidR="008D7D8D" w:rsidRDefault="00B14851" w:rsidP="008D7D8D">
      <w:r>
        <w:t xml:space="preserve">Syngenta is one top agrochemical companies in the world having strong financial performance. Some of the financial performance indicators of Syngenta is given below: </w:t>
      </w:r>
    </w:p>
    <w:p w14:paraId="71B2F92F" w14:textId="4CE74265" w:rsidR="00012B46" w:rsidRPr="00012B46" w:rsidRDefault="00012B46" w:rsidP="00012B46">
      <w:pPr>
        <w:pStyle w:val="a9"/>
        <w:numPr>
          <w:ilvl w:val="0"/>
          <w:numId w:val="1"/>
        </w:numPr>
        <w:rPr>
          <w:b/>
          <w:bCs/>
          <w:u w:val="single"/>
        </w:rPr>
      </w:pPr>
      <w:r w:rsidRPr="00012B46">
        <w:rPr>
          <w:b/>
          <w:bCs/>
          <w:u w:val="single"/>
        </w:rPr>
        <w:t xml:space="preserve">Market Share in the Agrochemical Industry </w:t>
      </w:r>
    </w:p>
    <w:p w14:paraId="57723A67" w14:textId="596AAEBC" w:rsidR="00B14851" w:rsidRDefault="007C2BBE" w:rsidP="007C2BBE">
      <w:pPr>
        <w:keepNext/>
        <w:jc w:val="center"/>
      </w:pPr>
      <w:r w:rsidRPr="007C2BBE">
        <w:rPr>
          <w:noProof/>
        </w:rPr>
        <w:drawing>
          <wp:inline distT="0" distB="0" distL="0" distR="0" wp14:anchorId="6CBE3936" wp14:editId="7B371277">
            <wp:extent cx="5610225" cy="3333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11015" cy="3334219"/>
                    </a:xfrm>
                    <a:prstGeom prst="rect">
                      <a:avLst/>
                    </a:prstGeom>
                  </pic:spPr>
                </pic:pic>
              </a:graphicData>
            </a:graphic>
          </wp:inline>
        </w:drawing>
      </w:r>
    </w:p>
    <w:p w14:paraId="74F1B424" w14:textId="340DB13B" w:rsidR="003F001D" w:rsidRDefault="00B14851" w:rsidP="0011686C">
      <w:pPr>
        <w:pStyle w:val="af1"/>
      </w:pPr>
      <w:r>
        <w:t xml:space="preserve">Figure </w:t>
      </w:r>
      <w:r w:rsidR="000757DF">
        <w:fldChar w:fldCharType="begin"/>
      </w:r>
      <w:r w:rsidR="000757DF">
        <w:instrText xml:space="preserve"> SEQ Figure \* ARABIC </w:instrText>
      </w:r>
      <w:r w:rsidR="000757DF">
        <w:fldChar w:fldCharType="separate"/>
      </w:r>
      <w:r w:rsidR="003500CE">
        <w:rPr>
          <w:noProof/>
        </w:rPr>
        <w:t>3</w:t>
      </w:r>
      <w:r w:rsidR="000757DF">
        <w:rPr>
          <w:noProof/>
        </w:rPr>
        <w:fldChar w:fldCharType="end"/>
      </w:r>
      <w:r>
        <w:t>: Market Share of the Agrochemical industry</w:t>
      </w:r>
      <w:r w:rsidR="00012B46">
        <w:t xml:space="preserve"> </w:t>
      </w:r>
      <w:r>
        <w:t xml:space="preserve">(Source: </w:t>
      </w:r>
      <w:r w:rsidR="0011686C">
        <w:t>Statista</w:t>
      </w:r>
      <w:r>
        <w:t>)</w:t>
      </w:r>
    </w:p>
    <w:p w14:paraId="08DBD190" w14:textId="1A3AFABE" w:rsidR="00B14851" w:rsidRDefault="00B14851" w:rsidP="00B14851">
      <w:r>
        <w:lastRenderedPageBreak/>
        <w:t xml:space="preserve">In 2018, Syngenta was the second top agrochemical company in the world, with having net sales of $10.70 billons and 18.1% of the total market share of the industry. It is only 2% away from Bayer, who has the highest make share in the industry. </w:t>
      </w:r>
    </w:p>
    <w:p w14:paraId="63B2029E" w14:textId="2123A5C6" w:rsidR="00012B46" w:rsidRPr="00012B46" w:rsidRDefault="00012B46" w:rsidP="00012B46">
      <w:pPr>
        <w:pStyle w:val="a9"/>
        <w:numPr>
          <w:ilvl w:val="0"/>
          <w:numId w:val="1"/>
        </w:numPr>
        <w:rPr>
          <w:b/>
          <w:bCs/>
          <w:u w:val="single"/>
        </w:rPr>
      </w:pPr>
      <w:r w:rsidRPr="00012B46">
        <w:rPr>
          <w:b/>
          <w:bCs/>
          <w:u w:val="single"/>
        </w:rPr>
        <w:t>Net Sales</w:t>
      </w:r>
    </w:p>
    <w:p w14:paraId="6408ADE9" w14:textId="77777777" w:rsidR="00012B46" w:rsidRDefault="00012B46" w:rsidP="0011686C">
      <w:pPr>
        <w:keepNext/>
        <w:spacing w:line="259" w:lineRule="auto"/>
        <w:jc w:val="center"/>
      </w:pPr>
      <w:r w:rsidRPr="00B14851">
        <w:rPr>
          <w:noProof/>
        </w:rPr>
        <w:drawing>
          <wp:inline distT="0" distB="0" distL="0" distR="0" wp14:anchorId="0577AD84" wp14:editId="5AC2EF99">
            <wp:extent cx="5829300" cy="3429000"/>
            <wp:effectExtent l="19050" t="19050" r="19050"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14084" cy="3478873"/>
                    </a:xfrm>
                    <a:prstGeom prst="rect">
                      <a:avLst/>
                    </a:prstGeom>
                    <a:ln>
                      <a:solidFill>
                        <a:schemeClr val="bg2">
                          <a:lumMod val="90000"/>
                        </a:schemeClr>
                      </a:solidFill>
                    </a:ln>
                  </pic:spPr>
                </pic:pic>
              </a:graphicData>
            </a:graphic>
          </wp:inline>
        </w:drawing>
      </w:r>
    </w:p>
    <w:p w14:paraId="3C04BE01" w14:textId="70EB4430" w:rsidR="00012B46" w:rsidRDefault="00012B46" w:rsidP="0011686C">
      <w:pPr>
        <w:pStyle w:val="af1"/>
      </w:pPr>
      <w:r>
        <w:t xml:space="preserve">Figure </w:t>
      </w:r>
      <w:r w:rsidR="000757DF">
        <w:fldChar w:fldCharType="begin"/>
      </w:r>
      <w:r w:rsidR="000757DF">
        <w:instrText xml:space="preserve"> SEQ Figure \* ARABIC </w:instrText>
      </w:r>
      <w:r w:rsidR="000757DF">
        <w:fldChar w:fldCharType="separate"/>
      </w:r>
      <w:r w:rsidR="003500CE">
        <w:rPr>
          <w:noProof/>
        </w:rPr>
        <w:t>4</w:t>
      </w:r>
      <w:r w:rsidR="000757DF">
        <w:rPr>
          <w:noProof/>
        </w:rPr>
        <w:fldChar w:fldCharType="end"/>
      </w:r>
      <w:r>
        <w:t>:</w:t>
      </w:r>
      <w:r w:rsidR="0011686C">
        <w:t xml:space="preserve"> </w:t>
      </w:r>
      <w:r>
        <w:t>Sales of Syngenta AG</w:t>
      </w:r>
      <w:r w:rsidR="0011686C">
        <w:t xml:space="preserve"> from 2012 to 2019</w:t>
      </w:r>
      <w:r w:rsidR="00FA4EE5">
        <w:t xml:space="preserve"> </w:t>
      </w:r>
      <w:r>
        <w:t>(Source: Statista)</w:t>
      </w:r>
    </w:p>
    <w:p w14:paraId="1CF9F798" w14:textId="203DB7BB" w:rsidR="00012B46" w:rsidRDefault="00012B46" w:rsidP="00012B46">
      <w:r>
        <w:t xml:space="preserve">Last eight years, the sales of Syngenta fluctuate around $10 billons. In 2015, the sales went under $10 billons. Though the company introduced controls and professional solutions service in its product lineup, sales do not increase that much. </w:t>
      </w:r>
      <w:r w:rsidR="00FA4EE5">
        <w:t>The graph also reveals that most of its sales generate</w:t>
      </w:r>
      <w:r w:rsidR="003500CE">
        <w:t>d</w:t>
      </w:r>
      <w:r w:rsidR="00FA4EE5">
        <w:t xml:space="preserve"> from crop protection items</w:t>
      </w:r>
      <w:r w:rsidR="003500CE">
        <w:t>,</w:t>
      </w:r>
      <w:r w:rsidR="00FA4EE5">
        <w:t xml:space="preserve"> which are around 75%.</w:t>
      </w:r>
    </w:p>
    <w:p w14:paraId="4F16856B" w14:textId="67A706AF" w:rsidR="009A0FDA" w:rsidRDefault="003500CE" w:rsidP="009A0FDA">
      <w:pPr>
        <w:pStyle w:val="a9"/>
        <w:numPr>
          <w:ilvl w:val="0"/>
          <w:numId w:val="1"/>
        </w:numPr>
        <w:rPr>
          <w:b/>
          <w:bCs/>
          <w:u w:val="single"/>
        </w:rPr>
      </w:pPr>
      <w:r>
        <w:rPr>
          <w:b/>
          <w:bCs/>
          <w:u w:val="single"/>
        </w:rPr>
        <w:t>Financial</w:t>
      </w:r>
      <w:r w:rsidR="009A0FDA" w:rsidRPr="009A0FDA">
        <w:rPr>
          <w:b/>
          <w:bCs/>
          <w:u w:val="single"/>
        </w:rPr>
        <w:t xml:space="preserve"> R</w:t>
      </w:r>
      <w:r w:rsidR="00E851ED">
        <w:rPr>
          <w:b/>
          <w:bCs/>
          <w:u w:val="single"/>
        </w:rPr>
        <w:t>esults</w:t>
      </w:r>
    </w:p>
    <w:p w14:paraId="277C84E1" w14:textId="25AF157A" w:rsidR="003500CE" w:rsidRDefault="003500CE" w:rsidP="0011686C">
      <w:r>
        <w:t>By observing financial r</w:t>
      </w:r>
      <w:r w:rsidR="00E851ED">
        <w:t>esults</w:t>
      </w:r>
      <w:r>
        <w:t>, we can quickly get an idea of the financial performance of a company</w:t>
      </w:r>
      <w:r w:rsidR="0011686C">
        <w:t xml:space="preserve"> </w:t>
      </w:r>
      <w:r w:rsidR="00D352ED">
        <w:rPr>
          <w:sz w:val="22"/>
          <w:szCs w:val="20"/>
        </w:rPr>
        <w:t>(</w:t>
      </w:r>
      <w:r w:rsidR="00D352ED">
        <w:rPr>
          <w:color w:val="000000"/>
        </w:rPr>
        <w:t>THORPE, 2015)</w:t>
      </w:r>
      <w:r>
        <w:t>. We also get an overview of the management and operational efficiency of the company. The financial r</w:t>
      </w:r>
      <w:r w:rsidR="00E851ED">
        <w:t>esults</w:t>
      </w:r>
      <w:r>
        <w:t xml:space="preserve"> of Syngenta for the last six years are as follows: </w:t>
      </w:r>
    </w:p>
    <w:p w14:paraId="6591DD93" w14:textId="77777777" w:rsidR="003500CE" w:rsidRPr="003500CE" w:rsidRDefault="003500CE" w:rsidP="003500CE">
      <w:pPr>
        <w:pStyle w:val="a9"/>
      </w:pPr>
    </w:p>
    <w:p w14:paraId="16AAD181" w14:textId="6CE04612" w:rsidR="003500CE" w:rsidRDefault="003500CE" w:rsidP="0011686C">
      <w:pPr>
        <w:pStyle w:val="a9"/>
        <w:numPr>
          <w:ilvl w:val="0"/>
          <w:numId w:val="11"/>
        </w:numPr>
      </w:pPr>
      <w:r>
        <w:lastRenderedPageBreak/>
        <w:t xml:space="preserve">Most of the profitability ratios show that the performance of the company remains stable over the years expect in 2017 when it was a negative net income for the company. </w:t>
      </w:r>
    </w:p>
    <w:p w14:paraId="6C4E6CB9" w14:textId="5865A397" w:rsidR="009A0FDA" w:rsidRPr="009A0FDA" w:rsidRDefault="003500CE" w:rsidP="0011686C">
      <w:pPr>
        <w:pStyle w:val="a9"/>
        <w:numPr>
          <w:ilvl w:val="0"/>
          <w:numId w:val="11"/>
        </w:numPr>
      </w:pPr>
      <w:r>
        <w:t xml:space="preserve">Most of the </w:t>
      </w:r>
      <w:proofErr w:type="gramStart"/>
      <w:r>
        <w:t>long term</w:t>
      </w:r>
      <w:proofErr w:type="gramEnd"/>
      <w:r>
        <w:t xml:space="preserve"> solvency ratios have increased over the years. Those ratios show an indication that the company has taken more loans those years, and this increases the financial risk of the company.</w:t>
      </w:r>
    </w:p>
    <w:p w14:paraId="3D4CD145" w14:textId="56B53DD6" w:rsidR="003500CE" w:rsidRDefault="007353A2" w:rsidP="00E851ED">
      <w:pPr>
        <w:keepNext/>
        <w:spacing w:line="259" w:lineRule="auto"/>
        <w:jc w:val="center"/>
      </w:pPr>
      <w:r w:rsidRPr="007353A2">
        <w:rPr>
          <w:noProof/>
        </w:rPr>
        <w:drawing>
          <wp:inline distT="0" distB="0" distL="0" distR="0" wp14:anchorId="02121C4E" wp14:editId="43D60068">
            <wp:extent cx="6067425" cy="4695825"/>
            <wp:effectExtent l="19050" t="19050" r="28575" b="285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67425" cy="4695825"/>
                    </a:xfrm>
                    <a:prstGeom prst="rect">
                      <a:avLst/>
                    </a:prstGeom>
                    <a:ln>
                      <a:solidFill>
                        <a:schemeClr val="bg2">
                          <a:lumMod val="75000"/>
                        </a:schemeClr>
                      </a:solidFill>
                    </a:ln>
                  </pic:spPr>
                </pic:pic>
              </a:graphicData>
            </a:graphic>
          </wp:inline>
        </w:drawing>
      </w:r>
    </w:p>
    <w:p w14:paraId="69992921" w14:textId="338FD63C" w:rsidR="003500CE" w:rsidRDefault="003500CE" w:rsidP="006149F5">
      <w:pPr>
        <w:pStyle w:val="af1"/>
      </w:pPr>
      <w:r>
        <w:t xml:space="preserve">Figure </w:t>
      </w:r>
      <w:r w:rsidR="000757DF">
        <w:fldChar w:fldCharType="begin"/>
      </w:r>
      <w:r w:rsidR="000757DF">
        <w:instrText xml:space="preserve"> SEQ Figure \* ARABIC </w:instrText>
      </w:r>
      <w:r w:rsidR="000757DF">
        <w:fldChar w:fldCharType="separate"/>
      </w:r>
      <w:r>
        <w:rPr>
          <w:noProof/>
        </w:rPr>
        <w:t>5</w:t>
      </w:r>
      <w:r w:rsidR="000757DF">
        <w:rPr>
          <w:noProof/>
        </w:rPr>
        <w:fldChar w:fldCharType="end"/>
      </w:r>
      <w:r>
        <w:t>:Financial R</w:t>
      </w:r>
      <w:r w:rsidR="00E851ED">
        <w:t xml:space="preserve">esults </w:t>
      </w:r>
      <w:r>
        <w:t xml:space="preserve">of Syngenta (Source: </w:t>
      </w:r>
      <w:r w:rsidR="007353A2">
        <w:t xml:space="preserve">Annual Report of </w:t>
      </w:r>
      <w:proofErr w:type="gramStart"/>
      <w:r w:rsidR="007353A2">
        <w:t xml:space="preserve">Syngenta </w:t>
      </w:r>
      <w:r>
        <w:t>)</w:t>
      </w:r>
      <w:proofErr w:type="gramEnd"/>
    </w:p>
    <w:p w14:paraId="77E18590" w14:textId="7EED6498" w:rsidR="003500CE" w:rsidRDefault="003500CE" w:rsidP="0011686C">
      <w:pPr>
        <w:pStyle w:val="a9"/>
        <w:numPr>
          <w:ilvl w:val="0"/>
          <w:numId w:val="12"/>
        </w:numPr>
      </w:pPr>
      <w:r>
        <w:t xml:space="preserve">The values of turnover ratios indicate that the operating cycle of the company has increased over the period. Now, it takes more time to convert the raw materials into finished goods and collecting the money from the buyer after selling them. </w:t>
      </w:r>
    </w:p>
    <w:p w14:paraId="743928FB" w14:textId="3217F887" w:rsidR="003500CE" w:rsidRDefault="003500CE" w:rsidP="0011686C">
      <w:pPr>
        <w:pStyle w:val="a9"/>
        <w:numPr>
          <w:ilvl w:val="0"/>
          <w:numId w:val="12"/>
        </w:numPr>
      </w:pPr>
      <w:r>
        <w:t xml:space="preserve">Sort term solvency ratios such as the current ratio indicate that the company’s ability to its short-term liabilities or the debt has declined over time. </w:t>
      </w:r>
    </w:p>
    <w:p w14:paraId="2E870984" w14:textId="48D7A7A9" w:rsidR="00FA4EE5" w:rsidRDefault="00FA4EE5" w:rsidP="00E851ED">
      <w:pPr>
        <w:pStyle w:val="1"/>
      </w:pPr>
      <w:r>
        <w:br w:type="page"/>
      </w:r>
      <w:bookmarkStart w:id="6" w:name="_Toc49825750"/>
      <w:r w:rsidR="003500CE">
        <w:lastRenderedPageBreak/>
        <w:t xml:space="preserve">Relationship </w:t>
      </w:r>
      <w:r w:rsidR="006149F5">
        <w:t>among</w:t>
      </w:r>
      <w:r w:rsidR="003500CE">
        <w:t xml:space="preserve"> Structure, Culture, and Performance</w:t>
      </w:r>
      <w:r w:rsidR="006149F5">
        <w:t xml:space="preserve"> of Syngenta</w:t>
      </w:r>
      <w:bookmarkEnd w:id="6"/>
      <w:r w:rsidR="006149F5">
        <w:t xml:space="preserve"> </w:t>
      </w:r>
    </w:p>
    <w:p w14:paraId="64394CF3" w14:textId="5B54A221" w:rsidR="003500CE" w:rsidRDefault="003500CE" w:rsidP="003500CE">
      <w:r>
        <w:t>Organizational performance largely depends on the hierarchy of the employees and the internal environment and culture of the organization</w:t>
      </w:r>
      <w:r w:rsidR="006149F5">
        <w:t xml:space="preserve"> </w:t>
      </w:r>
      <w:r w:rsidR="00D352ED">
        <w:rPr>
          <w:color w:val="000000"/>
        </w:rPr>
        <w:t>(Samuel, 2016)</w:t>
      </w:r>
      <w:r>
        <w:t xml:space="preserve">. In the right organizational structure and culture, employees feel that they are part of it. This feeling inspires and encourages the employees to perform to the best of their ability. A good organizational structure also ensures the roles and duties of the employees. In a large organization, the right structure ensures that the manager has ignored no part of the task. It also helps the employees to define and focus on their specific tasks. Employees feel more satisfied if their tasks and duties are directly related to the goals and objectives of the organization. </w:t>
      </w:r>
    </w:p>
    <w:p w14:paraId="0DB7C0AE" w14:textId="3EC2A689" w:rsidR="003500CE" w:rsidRDefault="003500CE" w:rsidP="003500CE">
      <w:r>
        <w:t>Organizational also has a significant impact on employees and overall organizational performance. Culture defines the shared beliefs, values, and goals</w:t>
      </w:r>
      <w:r w:rsidR="006149F5">
        <w:t xml:space="preserve"> </w:t>
      </w:r>
      <w:r w:rsidR="00D352ED">
        <w:rPr>
          <w:color w:val="000000"/>
        </w:rPr>
        <w:t>(Smith, 2019)</w:t>
      </w:r>
      <w:r>
        <w:t xml:space="preserve">. A strong culture inspires employees to become more innovative and reduces employee turnover rate and absenteeism from the job. The right culture helps the employees to focus on the right task, and this also increases productivity and efficiency. Culture also creates a </w:t>
      </w:r>
      <w:proofErr w:type="gramStart"/>
      <w:r>
        <w:t>long term</w:t>
      </w:r>
      <w:proofErr w:type="gramEnd"/>
      <w:r>
        <w:t xml:space="preserve"> commitment of the organization towards its customers and other stakeholders. </w:t>
      </w:r>
    </w:p>
    <w:p w14:paraId="4661F06C" w14:textId="0800DAD5" w:rsidR="003500CE" w:rsidRPr="003500CE" w:rsidRDefault="003500CE" w:rsidP="003500CE">
      <w:r>
        <w:t>Despite being a large multinational company, Syngenta uses the matrix structure to operate its functions. This structure helps the company to reduce the gap between the top-level manager and lower-level employees. It also helps the employees to get a direct idea of managers’ views, beliefs, and thinking processes. This structure inspires the employees to create a more innovative culture and encourages them to become more creative. Organizational culture is one of the most significant reasons for Syngenta’s introducing innovative pesticide and herbicide and product lineup.</w:t>
      </w:r>
    </w:p>
    <w:p w14:paraId="1B2EADB6" w14:textId="77777777" w:rsidR="00FA4EE5" w:rsidRDefault="00FA4EE5">
      <w:pPr>
        <w:spacing w:line="259" w:lineRule="auto"/>
        <w:jc w:val="left"/>
      </w:pPr>
      <w:r>
        <w:br w:type="page"/>
      </w:r>
    </w:p>
    <w:p w14:paraId="4F37C88D" w14:textId="13C3808B" w:rsidR="00B14851" w:rsidRDefault="00FA4EE5" w:rsidP="00FA4EE5">
      <w:pPr>
        <w:pStyle w:val="1"/>
      </w:pPr>
      <w:bookmarkStart w:id="7" w:name="_Toc49825751"/>
      <w:r>
        <w:lastRenderedPageBreak/>
        <w:t>Conclusions</w:t>
      </w:r>
      <w:bookmarkEnd w:id="7"/>
    </w:p>
    <w:p w14:paraId="504BA050" w14:textId="77777777" w:rsidR="004461F6" w:rsidRDefault="00FA4EE5" w:rsidP="00FA4EE5">
      <w:r>
        <w:t>After the an</w:t>
      </w:r>
      <w:r w:rsidR="003500CE">
        <w:t>a</w:t>
      </w:r>
      <w:r>
        <w:t xml:space="preserve">lysis, we can see that there is </w:t>
      </w:r>
      <w:r w:rsidR="003500CE">
        <w:t xml:space="preserve">a </w:t>
      </w:r>
      <w:r>
        <w:t>close re</w:t>
      </w:r>
      <w:r w:rsidR="003500CE">
        <w:t>la</w:t>
      </w:r>
      <w:r>
        <w:t>tionship between the organizational culture and structure of Syngenta and its financial performance. The flexible and innovation</w:t>
      </w:r>
      <w:r w:rsidR="003500CE">
        <w:t>-</w:t>
      </w:r>
      <w:r>
        <w:t xml:space="preserve">friendly culture of Syngenta makes its financial performance strong. Syngenta operates its activities by using </w:t>
      </w:r>
      <w:r w:rsidR="003500CE">
        <w:t xml:space="preserve">a </w:t>
      </w:r>
      <w:r>
        <w:t xml:space="preserve">matrix organizational structure </w:t>
      </w:r>
      <w:r w:rsidR="003500CE">
        <w:t>that</w:t>
      </w:r>
      <w:r>
        <w:t xml:space="preserve"> removes the gap between top</w:t>
      </w:r>
      <w:r w:rsidR="003500CE">
        <w:t>-</w:t>
      </w:r>
      <w:r>
        <w:t>level management and lower</w:t>
      </w:r>
      <w:r w:rsidR="003500CE">
        <w:t>-</w:t>
      </w:r>
      <w:r>
        <w:t>level employees. This structure also ensure</w:t>
      </w:r>
      <w:r w:rsidR="003500CE">
        <w:t>s</w:t>
      </w:r>
      <w:r>
        <w:t xml:space="preserve"> the inform</w:t>
      </w:r>
      <w:r w:rsidR="003500CE">
        <w:t>ation</w:t>
      </w:r>
      <w:r>
        <w:t xml:space="preserve"> flow smoothly and creates a strong relationship between managers and employees.</w:t>
      </w:r>
      <w:r w:rsidR="003500CE">
        <w:t xml:space="preserve"> The main reason for Syngenta has become the 2</w:t>
      </w:r>
      <w:r w:rsidR="003500CE" w:rsidRPr="003500CE">
        <w:rPr>
          <w:vertAlign w:val="superscript"/>
        </w:rPr>
        <w:t>nd</w:t>
      </w:r>
      <w:r w:rsidR="003500CE">
        <w:t xml:space="preserve"> best agrochemical company in the world is that their smooth organizational structure and </w:t>
      </w:r>
    </w:p>
    <w:p w14:paraId="653A396A" w14:textId="77777777" w:rsidR="004461F6" w:rsidRDefault="004461F6">
      <w:pPr>
        <w:spacing w:line="259" w:lineRule="auto"/>
        <w:jc w:val="left"/>
      </w:pPr>
      <w:r>
        <w:br w:type="page"/>
      </w:r>
    </w:p>
    <w:p w14:paraId="5454EFB4" w14:textId="77777777" w:rsidR="004461F6" w:rsidRDefault="004461F6" w:rsidP="004461F6">
      <w:pPr>
        <w:pStyle w:val="1"/>
        <w:rPr>
          <w:sz w:val="36"/>
        </w:rPr>
      </w:pPr>
      <w:bookmarkStart w:id="8" w:name="_Toc49825752"/>
      <w:r>
        <w:lastRenderedPageBreak/>
        <w:t>References</w:t>
      </w:r>
      <w:bookmarkEnd w:id="8"/>
    </w:p>
    <w:p w14:paraId="597CA04F" w14:textId="77777777" w:rsidR="004461F6" w:rsidRPr="004461F6" w:rsidRDefault="004461F6" w:rsidP="006149F5">
      <w:pPr>
        <w:pStyle w:val="a9"/>
        <w:numPr>
          <w:ilvl w:val="0"/>
          <w:numId w:val="13"/>
        </w:numPr>
      </w:pPr>
      <w:r w:rsidRPr="004461F6">
        <w:t xml:space="preserve">Copping, L., 2016. Syngenta and </w:t>
      </w:r>
      <w:proofErr w:type="spellStart"/>
      <w:r w:rsidRPr="004461F6">
        <w:t>Chemchina</w:t>
      </w:r>
      <w:proofErr w:type="spellEnd"/>
      <w:r w:rsidRPr="004461F6">
        <w:t>. </w:t>
      </w:r>
      <w:r w:rsidRPr="006149F5">
        <w:rPr>
          <w:i/>
          <w:iCs/>
        </w:rPr>
        <w:t>Outlooks on Pest Management</w:t>
      </w:r>
      <w:r w:rsidRPr="004461F6">
        <w:t>, 27(2), pp.95-95.</w:t>
      </w:r>
    </w:p>
    <w:p w14:paraId="1D1EE153" w14:textId="2AF577BB" w:rsidR="004461F6" w:rsidRPr="004461F6" w:rsidRDefault="004461F6" w:rsidP="006149F5">
      <w:pPr>
        <w:pStyle w:val="a9"/>
        <w:numPr>
          <w:ilvl w:val="0"/>
          <w:numId w:val="13"/>
        </w:numPr>
      </w:pPr>
      <w:r w:rsidRPr="004461F6">
        <w:t>Hersey, P., Blanchard, K.</w:t>
      </w:r>
      <w:r w:rsidR="00F25CEA">
        <w:t>,</w:t>
      </w:r>
      <w:r w:rsidRPr="004461F6">
        <w:t xml:space="preserve"> and Johnson, D., 2017. </w:t>
      </w:r>
      <w:r w:rsidRPr="006149F5">
        <w:rPr>
          <w:i/>
          <w:iCs/>
        </w:rPr>
        <w:t xml:space="preserve">Management </w:t>
      </w:r>
      <w:proofErr w:type="gramStart"/>
      <w:r w:rsidRPr="006149F5">
        <w:rPr>
          <w:i/>
          <w:iCs/>
        </w:rPr>
        <w:t>Of</w:t>
      </w:r>
      <w:proofErr w:type="gramEnd"/>
      <w:r w:rsidRPr="006149F5">
        <w:rPr>
          <w:i/>
          <w:iCs/>
        </w:rPr>
        <w:t xml:space="preserve"> Organizational Behavior</w:t>
      </w:r>
      <w:r w:rsidRPr="004461F6">
        <w:t>. 7th ed. New Delhi: Pearson India Education Services, pp.312-315.</w:t>
      </w:r>
    </w:p>
    <w:p w14:paraId="44B6F2D6" w14:textId="77777777" w:rsidR="004461F6" w:rsidRPr="004461F6" w:rsidRDefault="004461F6" w:rsidP="006149F5">
      <w:pPr>
        <w:pStyle w:val="a9"/>
        <w:numPr>
          <w:ilvl w:val="0"/>
          <w:numId w:val="13"/>
        </w:numPr>
      </w:pPr>
      <w:proofErr w:type="spellStart"/>
      <w:r w:rsidRPr="004461F6">
        <w:t>Kortmann</w:t>
      </w:r>
      <w:proofErr w:type="spellEnd"/>
      <w:r w:rsidRPr="004461F6">
        <w:t>, S., 2012. </w:t>
      </w:r>
      <w:r w:rsidRPr="006149F5">
        <w:rPr>
          <w:i/>
          <w:iCs/>
        </w:rPr>
        <w:t xml:space="preserve">The Relationship Between Organizational Structure </w:t>
      </w:r>
      <w:proofErr w:type="gramStart"/>
      <w:r w:rsidRPr="006149F5">
        <w:rPr>
          <w:i/>
          <w:iCs/>
        </w:rPr>
        <w:t>And</w:t>
      </w:r>
      <w:proofErr w:type="gramEnd"/>
      <w:r w:rsidRPr="006149F5">
        <w:rPr>
          <w:i/>
          <w:iCs/>
        </w:rPr>
        <w:t xml:space="preserve"> Organizational Ambidexterity</w:t>
      </w:r>
      <w:r w:rsidRPr="004461F6">
        <w:t>. 5th ed. Wiesbaden: Springer Gabler, pp.75-76.</w:t>
      </w:r>
    </w:p>
    <w:p w14:paraId="398ED2BC" w14:textId="77777777" w:rsidR="004461F6" w:rsidRPr="004461F6" w:rsidRDefault="004461F6" w:rsidP="006149F5">
      <w:pPr>
        <w:pStyle w:val="a9"/>
        <w:numPr>
          <w:ilvl w:val="0"/>
          <w:numId w:val="13"/>
        </w:numPr>
      </w:pPr>
      <w:proofErr w:type="spellStart"/>
      <w:r w:rsidRPr="004461F6">
        <w:t>Leithy</w:t>
      </w:r>
      <w:proofErr w:type="spellEnd"/>
      <w:r w:rsidRPr="004461F6">
        <w:t>, W., 2017. Organizational Culture and Organizational Performance. </w:t>
      </w:r>
      <w:r w:rsidRPr="006149F5">
        <w:rPr>
          <w:i/>
          <w:iCs/>
        </w:rPr>
        <w:t>International Journal of Economics &amp; Management Sciences</w:t>
      </w:r>
      <w:r w:rsidRPr="004461F6">
        <w:t>, 06(04), pp.5-6.</w:t>
      </w:r>
    </w:p>
    <w:p w14:paraId="37374BB7" w14:textId="77777777" w:rsidR="004461F6" w:rsidRPr="004461F6" w:rsidRDefault="004461F6" w:rsidP="006149F5">
      <w:pPr>
        <w:pStyle w:val="a9"/>
        <w:numPr>
          <w:ilvl w:val="0"/>
          <w:numId w:val="13"/>
        </w:numPr>
      </w:pPr>
      <w:r w:rsidRPr="004461F6">
        <w:t>Macrotrends.net. 2020. </w:t>
      </w:r>
      <w:r w:rsidRPr="006149F5">
        <w:rPr>
          <w:i/>
          <w:iCs/>
        </w:rPr>
        <w:t xml:space="preserve">Macrotrends | The </w:t>
      </w:r>
      <w:proofErr w:type="gramStart"/>
      <w:r w:rsidRPr="006149F5">
        <w:rPr>
          <w:i/>
          <w:iCs/>
        </w:rPr>
        <w:t>Long Term</w:t>
      </w:r>
      <w:proofErr w:type="gramEnd"/>
      <w:r w:rsidRPr="006149F5">
        <w:rPr>
          <w:i/>
          <w:iCs/>
        </w:rPr>
        <w:t xml:space="preserve"> Perspective On Markets</w:t>
      </w:r>
      <w:r w:rsidRPr="004461F6">
        <w:t>. [online] Available at: &lt;https://www.macrotrends.net/&gt; [Accessed 31 August 2020].</w:t>
      </w:r>
    </w:p>
    <w:p w14:paraId="5F608804" w14:textId="77777777" w:rsidR="004461F6" w:rsidRPr="004461F6" w:rsidRDefault="004461F6" w:rsidP="006149F5">
      <w:pPr>
        <w:pStyle w:val="a9"/>
        <w:numPr>
          <w:ilvl w:val="0"/>
          <w:numId w:val="13"/>
        </w:numPr>
      </w:pPr>
      <w:r w:rsidRPr="004461F6">
        <w:t>Samuel, R., 2016. Organizational culture and organizational performance: a brief review. </w:t>
      </w:r>
      <w:r w:rsidRPr="006149F5">
        <w:rPr>
          <w:i/>
          <w:iCs/>
        </w:rPr>
        <w:t>Journal of Advances in Social Science and Humanities</w:t>
      </w:r>
      <w:r w:rsidRPr="004461F6">
        <w:t>, 2(5).</w:t>
      </w:r>
    </w:p>
    <w:p w14:paraId="154EE7CF" w14:textId="77777777" w:rsidR="004461F6" w:rsidRPr="004461F6" w:rsidRDefault="004461F6" w:rsidP="006149F5">
      <w:pPr>
        <w:pStyle w:val="a9"/>
        <w:numPr>
          <w:ilvl w:val="0"/>
          <w:numId w:val="13"/>
        </w:numPr>
      </w:pPr>
      <w:r w:rsidRPr="004461F6">
        <w:t>Smith, R., 2019. </w:t>
      </w:r>
      <w:r w:rsidRPr="006149F5">
        <w:rPr>
          <w:i/>
          <w:iCs/>
        </w:rPr>
        <w:t>ORGANIZATIONAL CULTURE AND LEADERSHIP</w:t>
      </w:r>
      <w:r w:rsidRPr="004461F6">
        <w:t>. 3rd ed. [Place of publication not identified]: CLANRYE INTL, pp.58-61.</w:t>
      </w:r>
    </w:p>
    <w:p w14:paraId="0F1FA853" w14:textId="77777777" w:rsidR="004461F6" w:rsidRPr="004461F6" w:rsidRDefault="004461F6" w:rsidP="006149F5">
      <w:pPr>
        <w:pStyle w:val="a9"/>
        <w:numPr>
          <w:ilvl w:val="0"/>
          <w:numId w:val="13"/>
        </w:numPr>
      </w:pPr>
      <w:r w:rsidRPr="004461F6">
        <w:t>Statista. 2020. </w:t>
      </w:r>
      <w:r w:rsidRPr="006149F5">
        <w:rPr>
          <w:i/>
          <w:iCs/>
        </w:rPr>
        <w:t>Statista - The Statistics Portal</w:t>
      </w:r>
      <w:r w:rsidRPr="004461F6">
        <w:t>. [online] Available at: &lt;https://www.statista.com/&gt; [Accessed 22 August 2020].</w:t>
      </w:r>
    </w:p>
    <w:p w14:paraId="4C892D80" w14:textId="77777777" w:rsidR="004461F6" w:rsidRPr="004461F6" w:rsidRDefault="004461F6" w:rsidP="006149F5">
      <w:pPr>
        <w:pStyle w:val="a9"/>
        <w:numPr>
          <w:ilvl w:val="0"/>
          <w:numId w:val="13"/>
        </w:numPr>
      </w:pPr>
      <w:r w:rsidRPr="004461F6">
        <w:t>THORPE, R., 2015. </w:t>
      </w:r>
      <w:r w:rsidRPr="006149F5">
        <w:rPr>
          <w:i/>
          <w:iCs/>
        </w:rPr>
        <w:t>PERFORMANCE MANAGEMENT</w:t>
      </w:r>
      <w:r w:rsidRPr="004461F6">
        <w:t>. 2nd ed. [Place of publication not identified]: PALGRAVE MACMILLAN, pp.29-31.</w:t>
      </w:r>
    </w:p>
    <w:p w14:paraId="45A36DED" w14:textId="79FED310" w:rsidR="004461F6" w:rsidRPr="004461F6" w:rsidRDefault="004461F6" w:rsidP="006149F5">
      <w:pPr>
        <w:pStyle w:val="a9"/>
        <w:numPr>
          <w:ilvl w:val="0"/>
          <w:numId w:val="13"/>
        </w:numPr>
      </w:pPr>
      <w:r w:rsidRPr="004461F6">
        <w:t>Walsh, J.</w:t>
      </w:r>
      <w:r w:rsidR="00F25CEA">
        <w:t>,</w:t>
      </w:r>
      <w:r w:rsidRPr="004461F6">
        <w:t xml:space="preserve"> and Lee, Y., 2011. Intra-Organizational Integration and Innovation: Organizational Structure, Environmental Contingency</w:t>
      </w:r>
      <w:r w:rsidR="00F25CEA">
        <w:t>,</w:t>
      </w:r>
      <w:r w:rsidRPr="004461F6">
        <w:t xml:space="preserve"> and R&amp;D Performance. </w:t>
      </w:r>
      <w:r w:rsidRPr="006149F5">
        <w:rPr>
          <w:i/>
          <w:iCs/>
        </w:rPr>
        <w:t>SSRN Electronic Journal</w:t>
      </w:r>
      <w:r w:rsidRPr="004461F6">
        <w:t>.</w:t>
      </w:r>
    </w:p>
    <w:p w14:paraId="29BD028D" w14:textId="7284E20F" w:rsidR="004461F6" w:rsidRDefault="004461F6" w:rsidP="006149F5">
      <w:pPr>
        <w:pStyle w:val="a9"/>
        <w:numPr>
          <w:ilvl w:val="0"/>
          <w:numId w:val="13"/>
        </w:numPr>
      </w:pPr>
      <w:r w:rsidRPr="004461F6">
        <w:t>Woodside, A., 2010. </w:t>
      </w:r>
      <w:r w:rsidRPr="006149F5">
        <w:rPr>
          <w:i/>
          <w:iCs/>
        </w:rPr>
        <w:t>Organizational Culture, Business-To-Business Relationships, And Interfirm Networks</w:t>
      </w:r>
      <w:r w:rsidRPr="004461F6">
        <w:t>. 2nd ed. Bingley: Emerald, pp.125-127.</w:t>
      </w:r>
    </w:p>
    <w:p w14:paraId="4E271F80" w14:textId="59778D44" w:rsidR="00FA4EE5" w:rsidRPr="00FA4EE5" w:rsidRDefault="00FA4EE5" w:rsidP="006149F5"/>
    <w:sectPr w:rsidR="00FA4EE5" w:rsidRPr="00FA4EE5" w:rsidSect="004461F6">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DA2E07" w14:textId="77777777" w:rsidR="000757DF" w:rsidRDefault="000757DF" w:rsidP="00FA4EE5">
      <w:pPr>
        <w:spacing w:after="0" w:line="240" w:lineRule="auto"/>
      </w:pPr>
      <w:r>
        <w:separator/>
      </w:r>
    </w:p>
  </w:endnote>
  <w:endnote w:type="continuationSeparator" w:id="0">
    <w:p w14:paraId="272803F7" w14:textId="77777777" w:rsidR="000757DF" w:rsidRDefault="000757DF" w:rsidP="00FA4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5C4B13" w14:textId="77777777" w:rsidR="00FC0A56" w:rsidRDefault="00FC0A56">
    <w:pPr>
      <w:pStyle w:val="ac"/>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453B12" w14:textId="77777777" w:rsidR="00FC0A56" w:rsidRDefault="00FC0A56">
    <w:pPr>
      <w:pStyle w:val="ac"/>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211FA5" w14:textId="77777777" w:rsidR="00FC0A56" w:rsidRDefault="00FC0A56">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C518A8" w14:textId="77777777" w:rsidR="000757DF" w:rsidRDefault="000757DF" w:rsidP="00FA4EE5">
      <w:pPr>
        <w:spacing w:after="0" w:line="240" w:lineRule="auto"/>
      </w:pPr>
      <w:r>
        <w:separator/>
      </w:r>
    </w:p>
  </w:footnote>
  <w:footnote w:type="continuationSeparator" w:id="0">
    <w:p w14:paraId="18E699D2" w14:textId="77777777" w:rsidR="000757DF" w:rsidRDefault="000757DF" w:rsidP="00FA4E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D78118" w14:textId="77777777" w:rsidR="00FC0A56" w:rsidRDefault="00FC0A56">
    <w:pPr>
      <w:pStyle w:val="aa"/>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59AB0F" w14:textId="77777777" w:rsidR="00FC0A56" w:rsidRDefault="00FC0A56">
    <w:pPr>
      <w:pStyle w:val="aa"/>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F12AAC" w14:textId="77777777" w:rsidR="00FC0A56" w:rsidRDefault="00FC0A56">
    <w:pPr>
      <w:pStyle w:val="aa"/>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23E26"/>
    <w:multiLevelType w:val="hybridMultilevel"/>
    <w:tmpl w:val="EDC8A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47007"/>
    <w:multiLevelType w:val="hybridMultilevel"/>
    <w:tmpl w:val="20804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754D3"/>
    <w:multiLevelType w:val="hybridMultilevel"/>
    <w:tmpl w:val="C270F304"/>
    <w:lvl w:ilvl="0" w:tplc="0409000D">
      <w:start w:val="1"/>
      <w:numFmt w:val="bullet"/>
      <w:lvlText w:val=""/>
      <w:lvlJc w:val="left"/>
      <w:pPr>
        <w:ind w:left="1440" w:hanging="360"/>
      </w:pPr>
      <w:rPr>
        <w:rFonts w:ascii="Wingdings" w:hAnsi="Wingding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2392459A"/>
    <w:multiLevelType w:val="hybridMultilevel"/>
    <w:tmpl w:val="DEA0657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3CB2CAC"/>
    <w:multiLevelType w:val="hybridMultilevel"/>
    <w:tmpl w:val="85849040"/>
    <w:lvl w:ilvl="0" w:tplc="0409001B">
      <w:start w:val="1"/>
      <w:numFmt w:val="lowerRoman"/>
      <w:lvlText w:val="%1."/>
      <w:lvlJc w:val="righ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5" w15:restartNumberingAfterBreak="0">
    <w:nsid w:val="388748CE"/>
    <w:multiLevelType w:val="hybridMultilevel"/>
    <w:tmpl w:val="79B22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A353BE"/>
    <w:multiLevelType w:val="hybridMultilevel"/>
    <w:tmpl w:val="EED400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9590EFE"/>
    <w:multiLevelType w:val="hybridMultilevel"/>
    <w:tmpl w:val="B220FA4C"/>
    <w:lvl w:ilvl="0" w:tplc="0409001B">
      <w:start w:val="1"/>
      <w:numFmt w:val="lowerRoman"/>
      <w:lvlText w:val="%1."/>
      <w:lvlJc w:val="right"/>
      <w:pPr>
        <w:ind w:left="1562" w:hanging="360"/>
      </w:pPr>
    </w:lvl>
    <w:lvl w:ilvl="1" w:tplc="04090019" w:tentative="1">
      <w:start w:val="1"/>
      <w:numFmt w:val="lowerLetter"/>
      <w:lvlText w:val="%2."/>
      <w:lvlJc w:val="left"/>
      <w:pPr>
        <w:ind w:left="2282" w:hanging="360"/>
      </w:pPr>
    </w:lvl>
    <w:lvl w:ilvl="2" w:tplc="0409001B" w:tentative="1">
      <w:start w:val="1"/>
      <w:numFmt w:val="lowerRoman"/>
      <w:lvlText w:val="%3."/>
      <w:lvlJc w:val="right"/>
      <w:pPr>
        <w:ind w:left="3002" w:hanging="180"/>
      </w:pPr>
    </w:lvl>
    <w:lvl w:ilvl="3" w:tplc="0409000F" w:tentative="1">
      <w:start w:val="1"/>
      <w:numFmt w:val="decimal"/>
      <w:lvlText w:val="%4."/>
      <w:lvlJc w:val="left"/>
      <w:pPr>
        <w:ind w:left="3722" w:hanging="360"/>
      </w:pPr>
    </w:lvl>
    <w:lvl w:ilvl="4" w:tplc="04090019" w:tentative="1">
      <w:start w:val="1"/>
      <w:numFmt w:val="lowerLetter"/>
      <w:lvlText w:val="%5."/>
      <w:lvlJc w:val="left"/>
      <w:pPr>
        <w:ind w:left="4442" w:hanging="360"/>
      </w:pPr>
    </w:lvl>
    <w:lvl w:ilvl="5" w:tplc="0409001B" w:tentative="1">
      <w:start w:val="1"/>
      <w:numFmt w:val="lowerRoman"/>
      <w:lvlText w:val="%6."/>
      <w:lvlJc w:val="right"/>
      <w:pPr>
        <w:ind w:left="5162" w:hanging="180"/>
      </w:pPr>
    </w:lvl>
    <w:lvl w:ilvl="6" w:tplc="0409000F" w:tentative="1">
      <w:start w:val="1"/>
      <w:numFmt w:val="decimal"/>
      <w:lvlText w:val="%7."/>
      <w:lvlJc w:val="left"/>
      <w:pPr>
        <w:ind w:left="5882" w:hanging="360"/>
      </w:pPr>
    </w:lvl>
    <w:lvl w:ilvl="7" w:tplc="04090019" w:tentative="1">
      <w:start w:val="1"/>
      <w:numFmt w:val="lowerLetter"/>
      <w:lvlText w:val="%8."/>
      <w:lvlJc w:val="left"/>
      <w:pPr>
        <w:ind w:left="6602" w:hanging="360"/>
      </w:pPr>
    </w:lvl>
    <w:lvl w:ilvl="8" w:tplc="0409001B" w:tentative="1">
      <w:start w:val="1"/>
      <w:numFmt w:val="lowerRoman"/>
      <w:lvlText w:val="%9."/>
      <w:lvlJc w:val="right"/>
      <w:pPr>
        <w:ind w:left="7322" w:hanging="180"/>
      </w:pPr>
    </w:lvl>
  </w:abstractNum>
  <w:abstractNum w:abstractNumId="8" w15:restartNumberingAfterBreak="0">
    <w:nsid w:val="4CF7772C"/>
    <w:multiLevelType w:val="hybridMultilevel"/>
    <w:tmpl w:val="52424914"/>
    <w:lvl w:ilvl="0" w:tplc="0409001B">
      <w:start w:val="1"/>
      <w:numFmt w:val="lowerRoman"/>
      <w:lvlText w:val="%1."/>
      <w:lvlJc w:val="right"/>
      <w:pPr>
        <w:ind w:left="7200" w:hanging="360"/>
      </w:pPr>
    </w:lvl>
    <w:lvl w:ilvl="1" w:tplc="04090019" w:tentative="1">
      <w:start w:val="1"/>
      <w:numFmt w:val="lowerLetter"/>
      <w:lvlText w:val="%2."/>
      <w:lvlJc w:val="left"/>
      <w:pPr>
        <w:ind w:left="7920" w:hanging="360"/>
      </w:pPr>
    </w:lvl>
    <w:lvl w:ilvl="2" w:tplc="0409001B" w:tentative="1">
      <w:start w:val="1"/>
      <w:numFmt w:val="lowerRoman"/>
      <w:lvlText w:val="%3."/>
      <w:lvlJc w:val="right"/>
      <w:pPr>
        <w:ind w:left="8640" w:hanging="180"/>
      </w:pPr>
    </w:lvl>
    <w:lvl w:ilvl="3" w:tplc="0409000F" w:tentative="1">
      <w:start w:val="1"/>
      <w:numFmt w:val="decimal"/>
      <w:lvlText w:val="%4."/>
      <w:lvlJc w:val="left"/>
      <w:pPr>
        <w:ind w:left="9360" w:hanging="360"/>
      </w:pPr>
    </w:lvl>
    <w:lvl w:ilvl="4" w:tplc="04090019" w:tentative="1">
      <w:start w:val="1"/>
      <w:numFmt w:val="lowerLetter"/>
      <w:lvlText w:val="%5."/>
      <w:lvlJc w:val="left"/>
      <w:pPr>
        <w:ind w:left="10080" w:hanging="360"/>
      </w:pPr>
    </w:lvl>
    <w:lvl w:ilvl="5" w:tplc="0409001B" w:tentative="1">
      <w:start w:val="1"/>
      <w:numFmt w:val="lowerRoman"/>
      <w:lvlText w:val="%6."/>
      <w:lvlJc w:val="right"/>
      <w:pPr>
        <w:ind w:left="10800" w:hanging="180"/>
      </w:pPr>
    </w:lvl>
    <w:lvl w:ilvl="6" w:tplc="0409000F" w:tentative="1">
      <w:start w:val="1"/>
      <w:numFmt w:val="decimal"/>
      <w:lvlText w:val="%7."/>
      <w:lvlJc w:val="left"/>
      <w:pPr>
        <w:ind w:left="11520" w:hanging="360"/>
      </w:pPr>
    </w:lvl>
    <w:lvl w:ilvl="7" w:tplc="04090019" w:tentative="1">
      <w:start w:val="1"/>
      <w:numFmt w:val="lowerLetter"/>
      <w:lvlText w:val="%8."/>
      <w:lvlJc w:val="left"/>
      <w:pPr>
        <w:ind w:left="12240" w:hanging="360"/>
      </w:pPr>
    </w:lvl>
    <w:lvl w:ilvl="8" w:tplc="0409001B" w:tentative="1">
      <w:start w:val="1"/>
      <w:numFmt w:val="lowerRoman"/>
      <w:lvlText w:val="%9."/>
      <w:lvlJc w:val="right"/>
      <w:pPr>
        <w:ind w:left="12960" w:hanging="180"/>
      </w:pPr>
    </w:lvl>
  </w:abstractNum>
  <w:abstractNum w:abstractNumId="9" w15:restartNumberingAfterBreak="0">
    <w:nsid w:val="4FCE595E"/>
    <w:multiLevelType w:val="hybridMultilevel"/>
    <w:tmpl w:val="5234E870"/>
    <w:lvl w:ilvl="0" w:tplc="0409000D">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0" w15:restartNumberingAfterBreak="0">
    <w:nsid w:val="544B146C"/>
    <w:multiLevelType w:val="hybridMultilevel"/>
    <w:tmpl w:val="74CC14AC"/>
    <w:lvl w:ilvl="0" w:tplc="0409000D">
      <w:start w:val="1"/>
      <w:numFmt w:val="bullet"/>
      <w:lvlText w:val=""/>
      <w:lvlJc w:val="left"/>
      <w:pPr>
        <w:ind w:left="2038" w:hanging="360"/>
      </w:pPr>
      <w:rPr>
        <w:rFonts w:ascii="Wingdings" w:hAnsi="Wingdings" w:hint="default"/>
      </w:rPr>
    </w:lvl>
    <w:lvl w:ilvl="1" w:tplc="04090003" w:tentative="1">
      <w:start w:val="1"/>
      <w:numFmt w:val="bullet"/>
      <w:lvlText w:val="o"/>
      <w:lvlJc w:val="left"/>
      <w:pPr>
        <w:ind w:left="2758" w:hanging="360"/>
      </w:pPr>
      <w:rPr>
        <w:rFonts w:ascii="Courier New" w:hAnsi="Courier New" w:cs="Courier New" w:hint="default"/>
      </w:rPr>
    </w:lvl>
    <w:lvl w:ilvl="2" w:tplc="04090005" w:tentative="1">
      <w:start w:val="1"/>
      <w:numFmt w:val="bullet"/>
      <w:lvlText w:val=""/>
      <w:lvlJc w:val="left"/>
      <w:pPr>
        <w:ind w:left="3478" w:hanging="360"/>
      </w:pPr>
      <w:rPr>
        <w:rFonts w:ascii="Wingdings" w:hAnsi="Wingdings" w:hint="default"/>
      </w:rPr>
    </w:lvl>
    <w:lvl w:ilvl="3" w:tplc="04090001" w:tentative="1">
      <w:start w:val="1"/>
      <w:numFmt w:val="bullet"/>
      <w:lvlText w:val=""/>
      <w:lvlJc w:val="left"/>
      <w:pPr>
        <w:ind w:left="4198" w:hanging="360"/>
      </w:pPr>
      <w:rPr>
        <w:rFonts w:ascii="Symbol" w:hAnsi="Symbol" w:hint="default"/>
      </w:rPr>
    </w:lvl>
    <w:lvl w:ilvl="4" w:tplc="04090003" w:tentative="1">
      <w:start w:val="1"/>
      <w:numFmt w:val="bullet"/>
      <w:lvlText w:val="o"/>
      <w:lvlJc w:val="left"/>
      <w:pPr>
        <w:ind w:left="4918" w:hanging="360"/>
      </w:pPr>
      <w:rPr>
        <w:rFonts w:ascii="Courier New" w:hAnsi="Courier New" w:cs="Courier New" w:hint="default"/>
      </w:rPr>
    </w:lvl>
    <w:lvl w:ilvl="5" w:tplc="04090005" w:tentative="1">
      <w:start w:val="1"/>
      <w:numFmt w:val="bullet"/>
      <w:lvlText w:val=""/>
      <w:lvlJc w:val="left"/>
      <w:pPr>
        <w:ind w:left="5638" w:hanging="360"/>
      </w:pPr>
      <w:rPr>
        <w:rFonts w:ascii="Wingdings" w:hAnsi="Wingdings" w:hint="default"/>
      </w:rPr>
    </w:lvl>
    <w:lvl w:ilvl="6" w:tplc="04090001" w:tentative="1">
      <w:start w:val="1"/>
      <w:numFmt w:val="bullet"/>
      <w:lvlText w:val=""/>
      <w:lvlJc w:val="left"/>
      <w:pPr>
        <w:ind w:left="6358" w:hanging="360"/>
      </w:pPr>
      <w:rPr>
        <w:rFonts w:ascii="Symbol" w:hAnsi="Symbol" w:hint="default"/>
      </w:rPr>
    </w:lvl>
    <w:lvl w:ilvl="7" w:tplc="04090003" w:tentative="1">
      <w:start w:val="1"/>
      <w:numFmt w:val="bullet"/>
      <w:lvlText w:val="o"/>
      <w:lvlJc w:val="left"/>
      <w:pPr>
        <w:ind w:left="7078" w:hanging="360"/>
      </w:pPr>
      <w:rPr>
        <w:rFonts w:ascii="Courier New" w:hAnsi="Courier New" w:cs="Courier New" w:hint="default"/>
      </w:rPr>
    </w:lvl>
    <w:lvl w:ilvl="8" w:tplc="04090005" w:tentative="1">
      <w:start w:val="1"/>
      <w:numFmt w:val="bullet"/>
      <w:lvlText w:val=""/>
      <w:lvlJc w:val="left"/>
      <w:pPr>
        <w:ind w:left="7798" w:hanging="360"/>
      </w:pPr>
      <w:rPr>
        <w:rFonts w:ascii="Wingdings" w:hAnsi="Wingdings" w:hint="default"/>
      </w:rPr>
    </w:lvl>
  </w:abstractNum>
  <w:abstractNum w:abstractNumId="11" w15:restartNumberingAfterBreak="0">
    <w:nsid w:val="587F5B46"/>
    <w:multiLevelType w:val="hybridMultilevel"/>
    <w:tmpl w:val="AD9830D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A0D171C"/>
    <w:multiLevelType w:val="hybridMultilevel"/>
    <w:tmpl w:val="5C106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3"/>
  </w:num>
  <w:num w:numId="3">
    <w:abstractNumId w:val="2"/>
  </w:num>
  <w:num w:numId="4">
    <w:abstractNumId w:val="4"/>
  </w:num>
  <w:num w:numId="5">
    <w:abstractNumId w:val="8"/>
  </w:num>
  <w:num w:numId="6">
    <w:abstractNumId w:val="7"/>
  </w:num>
  <w:num w:numId="7">
    <w:abstractNumId w:val="9"/>
  </w:num>
  <w:num w:numId="8">
    <w:abstractNumId w:val="11"/>
  </w:num>
  <w:num w:numId="9">
    <w:abstractNumId w:val="10"/>
  </w:num>
  <w:num w:numId="10">
    <w:abstractNumId w:val="6"/>
  </w:num>
  <w:num w:numId="11">
    <w:abstractNumId w:val="1"/>
  </w:num>
  <w:num w:numId="12">
    <w:abstractNumId w:val="0"/>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activeWritingStyle w:appName="MSWord" w:lang="en-US" w:vendorID="64" w:dllVersion="4096" w:nlCheck="1" w:checkStyle="1"/>
  <w:activeWritingStyle w:appName="MSWord" w:lang="en-US" w:vendorID="64" w:dllVersion="0" w:nlCheck="1" w:checkStyle="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a0NDEwMDE1sTA3tTRT0lEKTi0uzszPAykwrgUAlrGUgywAAAA="/>
  </w:docVars>
  <w:rsids>
    <w:rsidRoot w:val="00730E5E"/>
    <w:rsid w:val="00012B46"/>
    <w:rsid w:val="000757DF"/>
    <w:rsid w:val="0011686C"/>
    <w:rsid w:val="0034379A"/>
    <w:rsid w:val="003500CE"/>
    <w:rsid w:val="003F001D"/>
    <w:rsid w:val="00417EB1"/>
    <w:rsid w:val="004461F6"/>
    <w:rsid w:val="004B3ABF"/>
    <w:rsid w:val="00520207"/>
    <w:rsid w:val="005505C6"/>
    <w:rsid w:val="005B4F16"/>
    <w:rsid w:val="006149F5"/>
    <w:rsid w:val="0064155A"/>
    <w:rsid w:val="0072153F"/>
    <w:rsid w:val="00730E5E"/>
    <w:rsid w:val="007353A2"/>
    <w:rsid w:val="00760BC3"/>
    <w:rsid w:val="007C2BBE"/>
    <w:rsid w:val="008D7D8D"/>
    <w:rsid w:val="009134E8"/>
    <w:rsid w:val="009564C3"/>
    <w:rsid w:val="00974D07"/>
    <w:rsid w:val="009A0FDA"/>
    <w:rsid w:val="009A3389"/>
    <w:rsid w:val="00B14851"/>
    <w:rsid w:val="00B63286"/>
    <w:rsid w:val="00CE34E2"/>
    <w:rsid w:val="00D352ED"/>
    <w:rsid w:val="00E851ED"/>
    <w:rsid w:val="00EC74DD"/>
    <w:rsid w:val="00EF3502"/>
    <w:rsid w:val="00F03D80"/>
    <w:rsid w:val="00F25CEA"/>
    <w:rsid w:val="00FA4EE5"/>
    <w:rsid w:val="00FC0A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DD04E"/>
  <w15:chartTrackingRefBased/>
  <w15:docId w15:val="{C0947600-B0B9-4447-B9BA-AC1E2035A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30E5E"/>
    <w:pPr>
      <w:spacing w:line="360" w:lineRule="auto"/>
      <w:jc w:val="both"/>
    </w:pPr>
    <w:rPr>
      <w:rFonts w:ascii="Times New Roman" w:hAnsi="Times New Roman"/>
      <w:sz w:val="24"/>
    </w:rPr>
  </w:style>
  <w:style w:type="paragraph" w:styleId="1">
    <w:name w:val="heading 1"/>
    <w:basedOn w:val="a"/>
    <w:next w:val="a"/>
    <w:link w:val="10"/>
    <w:uiPriority w:val="9"/>
    <w:qFormat/>
    <w:rsid w:val="00730E5E"/>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semiHidden/>
    <w:unhideWhenUsed/>
    <w:qFormat/>
    <w:rsid w:val="004461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30E5E"/>
    <w:rPr>
      <w:rFonts w:ascii="Times New Roman" w:eastAsiaTheme="majorEastAsia" w:hAnsi="Times New Roman" w:cstheme="majorBidi"/>
      <w:color w:val="2F5496" w:themeColor="accent1" w:themeShade="BF"/>
      <w:sz w:val="32"/>
      <w:szCs w:val="32"/>
    </w:rPr>
  </w:style>
  <w:style w:type="paragraph" w:styleId="a3">
    <w:name w:val="No Spacing"/>
    <w:link w:val="a4"/>
    <w:uiPriority w:val="1"/>
    <w:qFormat/>
    <w:rsid w:val="00EF3502"/>
    <w:pPr>
      <w:spacing w:after="0" w:line="240" w:lineRule="auto"/>
      <w:jc w:val="both"/>
    </w:pPr>
    <w:rPr>
      <w:rFonts w:ascii="Times New Roman" w:hAnsi="Times New Roman"/>
      <w:sz w:val="24"/>
    </w:rPr>
  </w:style>
  <w:style w:type="paragraph" w:styleId="a5">
    <w:name w:val="caption"/>
    <w:basedOn w:val="a"/>
    <w:next w:val="a"/>
    <w:uiPriority w:val="35"/>
    <w:unhideWhenUsed/>
    <w:qFormat/>
    <w:rsid w:val="00EF3502"/>
    <w:pPr>
      <w:spacing w:after="200" w:line="240" w:lineRule="auto"/>
    </w:pPr>
    <w:rPr>
      <w:i/>
      <w:iCs/>
      <w:color w:val="44546A" w:themeColor="text2"/>
      <w:sz w:val="18"/>
      <w:szCs w:val="18"/>
    </w:rPr>
  </w:style>
  <w:style w:type="table" w:styleId="a6">
    <w:name w:val="Table Grid"/>
    <w:basedOn w:val="a1"/>
    <w:uiPriority w:val="39"/>
    <w:rsid w:val="003F0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13">
    <w:name w:val="Grid Table 1 Light Accent 3"/>
    <w:basedOn w:val="a1"/>
    <w:uiPriority w:val="46"/>
    <w:rsid w:val="003F001D"/>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26">
    <w:name w:val="Grid Table 2 Accent 6"/>
    <w:basedOn w:val="a1"/>
    <w:uiPriority w:val="47"/>
    <w:rsid w:val="003F001D"/>
    <w:pPr>
      <w:spacing w:after="0" w:line="240" w:lineRule="auto"/>
    </w:pPr>
    <w:rPr>
      <w:rFonts w:ascii="Times New Roman" w:hAnsi="Times New Roman"/>
      <w:sz w:val="24"/>
    </w:r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a7">
    <w:name w:val="Balloon Text"/>
    <w:basedOn w:val="a"/>
    <w:link w:val="a8"/>
    <w:uiPriority w:val="99"/>
    <w:semiHidden/>
    <w:unhideWhenUsed/>
    <w:rsid w:val="00012B46"/>
    <w:pPr>
      <w:spacing w:after="0" w:line="240" w:lineRule="auto"/>
    </w:pPr>
    <w:rPr>
      <w:rFonts w:ascii="Segoe UI" w:hAnsi="Segoe UI" w:cs="Segoe UI"/>
      <w:sz w:val="18"/>
      <w:szCs w:val="18"/>
    </w:rPr>
  </w:style>
  <w:style w:type="character" w:customStyle="1" w:styleId="a8">
    <w:name w:val="Изнесен текст Знак"/>
    <w:basedOn w:val="a0"/>
    <w:link w:val="a7"/>
    <w:uiPriority w:val="99"/>
    <w:semiHidden/>
    <w:rsid w:val="00012B46"/>
    <w:rPr>
      <w:rFonts w:ascii="Segoe UI" w:hAnsi="Segoe UI" w:cs="Segoe UI"/>
      <w:sz w:val="18"/>
      <w:szCs w:val="18"/>
    </w:rPr>
  </w:style>
  <w:style w:type="paragraph" w:styleId="a9">
    <w:name w:val="List Paragraph"/>
    <w:basedOn w:val="a"/>
    <w:uiPriority w:val="34"/>
    <w:qFormat/>
    <w:rsid w:val="00012B46"/>
    <w:pPr>
      <w:ind w:left="720"/>
      <w:contextualSpacing/>
    </w:pPr>
  </w:style>
  <w:style w:type="paragraph" w:styleId="aa">
    <w:name w:val="header"/>
    <w:basedOn w:val="a"/>
    <w:link w:val="ab"/>
    <w:uiPriority w:val="99"/>
    <w:unhideWhenUsed/>
    <w:rsid w:val="00FA4EE5"/>
    <w:pPr>
      <w:tabs>
        <w:tab w:val="center" w:pos="4680"/>
        <w:tab w:val="right" w:pos="9360"/>
      </w:tabs>
      <w:spacing w:after="0" w:line="240" w:lineRule="auto"/>
    </w:pPr>
  </w:style>
  <w:style w:type="character" w:customStyle="1" w:styleId="ab">
    <w:name w:val="Горен колонтитул Знак"/>
    <w:basedOn w:val="a0"/>
    <w:link w:val="aa"/>
    <w:uiPriority w:val="99"/>
    <w:rsid w:val="00FA4EE5"/>
    <w:rPr>
      <w:rFonts w:ascii="Times New Roman" w:hAnsi="Times New Roman"/>
      <w:sz w:val="24"/>
    </w:rPr>
  </w:style>
  <w:style w:type="paragraph" w:styleId="ac">
    <w:name w:val="footer"/>
    <w:basedOn w:val="a"/>
    <w:link w:val="ad"/>
    <w:uiPriority w:val="99"/>
    <w:unhideWhenUsed/>
    <w:rsid w:val="00FA4EE5"/>
    <w:pPr>
      <w:tabs>
        <w:tab w:val="center" w:pos="4680"/>
        <w:tab w:val="right" w:pos="9360"/>
      </w:tabs>
      <w:spacing w:after="0" w:line="240" w:lineRule="auto"/>
    </w:pPr>
  </w:style>
  <w:style w:type="character" w:customStyle="1" w:styleId="ad">
    <w:name w:val="Долен колонтитул Знак"/>
    <w:basedOn w:val="a0"/>
    <w:link w:val="ac"/>
    <w:uiPriority w:val="99"/>
    <w:rsid w:val="00FA4EE5"/>
    <w:rPr>
      <w:rFonts w:ascii="Times New Roman" w:hAnsi="Times New Roman"/>
      <w:sz w:val="24"/>
    </w:rPr>
  </w:style>
  <w:style w:type="character" w:customStyle="1" w:styleId="a4">
    <w:name w:val="Без разредка Знак"/>
    <w:basedOn w:val="a0"/>
    <w:link w:val="a3"/>
    <w:uiPriority w:val="1"/>
    <w:rsid w:val="004461F6"/>
    <w:rPr>
      <w:rFonts w:ascii="Times New Roman" w:hAnsi="Times New Roman"/>
      <w:sz w:val="24"/>
    </w:rPr>
  </w:style>
  <w:style w:type="paragraph" w:styleId="ae">
    <w:name w:val="TOC Heading"/>
    <w:basedOn w:val="1"/>
    <w:next w:val="a"/>
    <w:uiPriority w:val="39"/>
    <w:unhideWhenUsed/>
    <w:qFormat/>
    <w:rsid w:val="004461F6"/>
    <w:pPr>
      <w:spacing w:line="259" w:lineRule="auto"/>
      <w:jc w:val="left"/>
      <w:outlineLvl w:val="9"/>
    </w:pPr>
    <w:rPr>
      <w:rFonts w:asciiTheme="majorHAnsi" w:hAnsiTheme="majorHAnsi"/>
    </w:rPr>
  </w:style>
  <w:style w:type="paragraph" w:styleId="11">
    <w:name w:val="toc 1"/>
    <w:basedOn w:val="a"/>
    <w:next w:val="a"/>
    <w:autoRedefine/>
    <w:uiPriority w:val="39"/>
    <w:unhideWhenUsed/>
    <w:rsid w:val="004461F6"/>
    <w:pPr>
      <w:spacing w:after="100"/>
    </w:pPr>
  </w:style>
  <w:style w:type="character" w:styleId="af">
    <w:name w:val="Hyperlink"/>
    <w:basedOn w:val="a0"/>
    <w:uiPriority w:val="99"/>
    <w:unhideWhenUsed/>
    <w:rsid w:val="004461F6"/>
    <w:rPr>
      <w:color w:val="0563C1" w:themeColor="hyperlink"/>
      <w:u w:val="single"/>
    </w:rPr>
  </w:style>
  <w:style w:type="character" w:customStyle="1" w:styleId="20">
    <w:name w:val="Заглавие 2 Знак"/>
    <w:basedOn w:val="a0"/>
    <w:link w:val="2"/>
    <w:uiPriority w:val="9"/>
    <w:semiHidden/>
    <w:rsid w:val="004461F6"/>
    <w:rPr>
      <w:rFonts w:asciiTheme="majorHAnsi" w:eastAsiaTheme="majorEastAsia" w:hAnsiTheme="majorHAnsi" w:cstheme="majorBidi"/>
      <w:color w:val="2F5496" w:themeColor="accent1" w:themeShade="BF"/>
      <w:sz w:val="26"/>
      <w:szCs w:val="26"/>
    </w:rPr>
  </w:style>
  <w:style w:type="paragraph" w:styleId="af0">
    <w:name w:val="Normal (Web)"/>
    <w:basedOn w:val="a"/>
    <w:uiPriority w:val="99"/>
    <w:semiHidden/>
    <w:unhideWhenUsed/>
    <w:rsid w:val="004461F6"/>
    <w:pPr>
      <w:spacing w:before="100" w:beforeAutospacing="1" w:after="100" w:afterAutospacing="1" w:line="240" w:lineRule="auto"/>
      <w:jc w:val="left"/>
    </w:pPr>
    <w:rPr>
      <w:rFonts w:eastAsia="Times New Roman" w:cs="Times New Roman"/>
      <w:szCs w:val="24"/>
    </w:rPr>
  </w:style>
  <w:style w:type="table" w:styleId="56">
    <w:name w:val="Grid Table 5 Dark Accent 6"/>
    <w:basedOn w:val="a1"/>
    <w:uiPriority w:val="50"/>
    <w:rsid w:val="007C2BB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af1">
    <w:name w:val="Quote"/>
    <w:basedOn w:val="a"/>
    <w:next w:val="a"/>
    <w:link w:val="af2"/>
    <w:uiPriority w:val="29"/>
    <w:qFormat/>
    <w:rsid w:val="0011686C"/>
    <w:pPr>
      <w:spacing w:before="200"/>
      <w:ind w:left="864" w:right="864"/>
      <w:jc w:val="center"/>
    </w:pPr>
    <w:rPr>
      <w:i/>
      <w:iCs/>
      <w:color w:val="404040" w:themeColor="text1" w:themeTint="BF"/>
    </w:rPr>
  </w:style>
  <w:style w:type="character" w:customStyle="1" w:styleId="af2">
    <w:name w:val="Цитат Знак"/>
    <w:basedOn w:val="a0"/>
    <w:link w:val="af1"/>
    <w:uiPriority w:val="29"/>
    <w:rsid w:val="0011686C"/>
    <w:rPr>
      <w:rFonts w:ascii="Times New Roman" w:hAnsi="Times New Roman"/>
      <w:i/>
      <w:iCs/>
      <w:color w:val="404040" w:themeColor="text1" w:themeTint="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1061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27AE64-7F8A-400C-8664-3EC24A4F56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2439</Words>
  <Characters>13907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Mustafa</dc:creator>
  <cp:keywords/>
  <dc:description/>
  <cp:lastModifiedBy>Mustafa Mustafa (1920425)</cp:lastModifiedBy>
  <cp:revision>5</cp:revision>
  <cp:lastPrinted>2020-08-30T19:40:00Z</cp:lastPrinted>
  <dcterms:created xsi:type="dcterms:W3CDTF">2020-09-01T20:22:00Z</dcterms:created>
  <dcterms:modified xsi:type="dcterms:W3CDTF">2020-09-01T22:04:00Z</dcterms:modified>
</cp:coreProperties>
</file>