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C1A8BC8" wp14:paraId="2FD3F30F" wp14:textId="7ABDAC75">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According to World Health Organisations (2024), governments are seen as key facilitators in creating conditions that enable individuals to lead healthy lives in every aspect. This implies a holistic view of health that goes beyond the absence of disease, considering mental, social, and psychological well-being. This essay critically examines the evolution of Millenium Development Goals and Sustainable Development Goals, as worldwide imperative mechanisms to addressing challenges and achieving equilibrium between societal progress and environmental preservation. Focusing on Well-being of Future Generations Act (2015 legislative envision, the fundamental concepts of sustainability, wellness, and health will be discussed. The analysis revolves on the specific milestones assigned to 'A Healthier Wales’, one of Act’s seven wellness targets. The chosen initiative, ‘Towards a Smoke-free Wales’, is reviewed owing its importance to enhancing general welfare and health of Welsh citizens, as is considered an essential to sustainable development addressing health, economic and environmental dimensions. Its implementation’s success is assessed by an analysis of the actions taken by Local Authorities and stakeholders to achieve the designated goals. </w:t>
      </w:r>
    </w:p>
    <w:p xmlns:wp14="http://schemas.microsoft.com/office/word/2010/wordml" w:rsidP="3C1A8BC8" wp14:paraId="4BEF0E0F" wp14:textId="6D24B838">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1EBD490E" wp14:textId="652E1181">
      <w:pPr>
        <w:pStyle w:val="Normal"/>
        <w:spacing w:before="0" w:beforeAutospacing="off" w:after="0" w:afterAutospacing="off" w:line="360" w:lineRule="auto"/>
      </w:pPr>
      <w:r w:rsidRPr="7C1E7EE5" w:rsidR="785B6A05">
        <w:rPr>
          <w:rFonts w:ascii="Times New Roman" w:hAnsi="Times New Roman" w:eastAsia="Times New Roman" w:cs="Times New Roman"/>
          <w:noProof w:val="0"/>
          <w:sz w:val="24"/>
          <w:szCs w:val="24"/>
          <w:lang w:val="en-GB"/>
        </w:rPr>
        <w:t xml:space="preserve">The Brundtland Commission, also known as the World Commission on Environment and Development, played a crucial role in promoting the concept of sustainable development in </w:t>
      </w:r>
      <w:r w:rsidRPr="7C1E7EE5" w:rsidR="785B6A05">
        <w:rPr>
          <w:rFonts w:ascii="Times New Roman" w:hAnsi="Times New Roman" w:eastAsia="Times New Roman" w:cs="Times New Roman"/>
          <w:noProof w:val="0"/>
          <w:sz w:val="24"/>
          <w:szCs w:val="24"/>
          <w:lang w:val="en-GB"/>
        </w:rPr>
        <w:t>1987.</w:t>
      </w:r>
      <w:r w:rsidRPr="7C1E7EE5" w:rsidR="1F3215E5">
        <w:rPr>
          <w:rFonts w:ascii="Times New Roman" w:hAnsi="Times New Roman" w:eastAsia="Times New Roman" w:cs="Times New Roman"/>
          <w:noProof w:val="0"/>
          <w:sz w:val="24"/>
          <w:szCs w:val="24"/>
          <w:lang w:val="en-GB"/>
        </w:rPr>
        <w:t>.</w:t>
      </w:r>
      <w:r w:rsidRPr="7C1E7EE5" w:rsidR="1F3215E5">
        <w:rPr>
          <w:rFonts w:ascii="Times New Roman" w:hAnsi="Times New Roman" w:eastAsia="Times New Roman" w:cs="Times New Roman"/>
          <w:noProof w:val="0"/>
          <w:sz w:val="24"/>
          <w:szCs w:val="24"/>
          <w:lang w:val="en-GB"/>
        </w:rPr>
        <w:t xml:space="preserve"> Their study pointed out the seriousness of the issue and the significance of serving present demands without jeopardising the requirements of upcoming generations (United Nations, 1987). Concurring with this perspective, </w:t>
      </w:r>
      <w:r w:rsidRPr="7C1E7EE5" w:rsidR="1F3215E5">
        <w:rPr>
          <w:rFonts w:ascii="Times New Roman" w:hAnsi="Times New Roman" w:eastAsia="Times New Roman" w:cs="Times New Roman"/>
          <w:noProof w:val="0"/>
          <w:sz w:val="24"/>
          <w:szCs w:val="24"/>
          <w:lang w:val="en-GB"/>
        </w:rPr>
        <w:t>Velenturf</w:t>
      </w:r>
      <w:r w:rsidRPr="7C1E7EE5" w:rsidR="1F3215E5">
        <w:rPr>
          <w:rFonts w:ascii="Times New Roman" w:hAnsi="Times New Roman" w:eastAsia="Times New Roman" w:cs="Times New Roman"/>
          <w:noProof w:val="0"/>
          <w:sz w:val="24"/>
          <w:szCs w:val="24"/>
          <w:lang w:val="en-GB"/>
        </w:rPr>
        <w:t xml:space="preserve"> and Purnell (2021) acknowledge the significance of averting the exhaustion of Earth's natural resources. They underscore the potential advantages associated with embracing a sustainable circular economy and emphasize its pivotal role in </w:t>
      </w:r>
      <w:r w:rsidRPr="7C1E7EE5" w:rsidR="1F3215E5">
        <w:rPr>
          <w:rFonts w:ascii="Times New Roman" w:hAnsi="Times New Roman" w:eastAsia="Times New Roman" w:cs="Times New Roman"/>
          <w:noProof w:val="0"/>
          <w:sz w:val="24"/>
          <w:szCs w:val="24"/>
          <w:lang w:val="en-GB"/>
        </w:rPr>
        <w:t>attaining</w:t>
      </w:r>
      <w:r w:rsidRPr="7C1E7EE5" w:rsidR="1F3215E5">
        <w:rPr>
          <w:rFonts w:ascii="Times New Roman" w:hAnsi="Times New Roman" w:eastAsia="Times New Roman" w:cs="Times New Roman"/>
          <w:noProof w:val="0"/>
          <w:sz w:val="24"/>
          <w:szCs w:val="24"/>
          <w:lang w:val="en-GB"/>
        </w:rPr>
        <w:t xml:space="preserve"> equilibrium among economic advancement, environmental preservation, and societal well-being. The United Nations (UN) Millennium Declaration, ratified during the UN Millennium Summit in September 2000, as outlined by the World Health Organization (WHO) (2018), articulated a set of goals with a target deadline of 2015. These goals, commonly referred to as the Millennium Development Goals (MDGs), encompassed eight key </w:t>
      </w:r>
      <w:r w:rsidRPr="7C1E7EE5" w:rsidR="1F3215E5">
        <w:rPr>
          <w:rFonts w:ascii="Times New Roman" w:hAnsi="Times New Roman" w:eastAsia="Times New Roman" w:cs="Times New Roman"/>
          <w:noProof w:val="0"/>
          <w:sz w:val="24"/>
          <w:szCs w:val="24"/>
          <w:lang w:val="en-GB"/>
        </w:rPr>
        <w:t>objectives</w:t>
      </w:r>
      <w:r w:rsidRPr="7C1E7EE5" w:rsidR="1F3215E5">
        <w:rPr>
          <w:rFonts w:ascii="Times New Roman" w:hAnsi="Times New Roman" w:eastAsia="Times New Roman" w:cs="Times New Roman"/>
          <w:noProof w:val="0"/>
          <w:sz w:val="24"/>
          <w:szCs w:val="24"/>
          <w:lang w:val="en-GB"/>
        </w:rPr>
        <w:t xml:space="preserve">: </w:t>
      </w:r>
      <w:r w:rsidRPr="7C1E7EE5" w:rsidR="6E402ED8">
        <w:rPr>
          <w:rFonts w:ascii="Times New Roman" w:hAnsi="Times New Roman" w:eastAsia="Times New Roman" w:cs="Times New Roman"/>
          <w:noProof w:val="0"/>
          <w:sz w:val="24"/>
          <w:szCs w:val="24"/>
          <w:lang w:val="en-GB"/>
        </w:rPr>
        <w:t>elimination of severe hunger  and poverty , attainment of universal primary education, empowerment of women and gender equality, decrease in child mortality, enhancement of maternal health, combating HIV/AIDS, malaria, and other illnesses, maintenance of environmental sustainability, and promotion of international cooperation for development (WHO, 2018).</w:t>
      </w:r>
      <w:r w:rsidRPr="7C1E7EE5" w:rsidR="1F3215E5">
        <w:rPr>
          <w:rFonts w:ascii="Times New Roman" w:hAnsi="Times New Roman" w:eastAsia="Times New Roman" w:cs="Times New Roman"/>
          <w:noProof w:val="0"/>
          <w:sz w:val="24"/>
          <w:szCs w:val="24"/>
          <w:lang w:val="en-GB"/>
        </w:rPr>
        <w:t xml:space="preserve"> According to research referenced by the UN (2015), the MDGs have propelled a developmental agenda, </w:t>
      </w:r>
      <w:r w:rsidRPr="7C1E7EE5" w:rsidR="1F3215E5">
        <w:rPr>
          <w:rFonts w:ascii="Times New Roman" w:hAnsi="Times New Roman" w:eastAsia="Times New Roman" w:cs="Times New Roman"/>
          <w:noProof w:val="0"/>
          <w:sz w:val="24"/>
          <w:szCs w:val="24"/>
          <w:lang w:val="en-GB"/>
        </w:rPr>
        <w:t>initiating</w:t>
      </w:r>
      <w:r w:rsidRPr="7C1E7EE5" w:rsidR="1F3215E5">
        <w:rPr>
          <w:rFonts w:ascii="Times New Roman" w:hAnsi="Times New Roman" w:eastAsia="Times New Roman" w:cs="Times New Roman"/>
          <w:noProof w:val="0"/>
          <w:sz w:val="24"/>
          <w:szCs w:val="24"/>
          <w:lang w:val="en-GB"/>
        </w:rPr>
        <w:t xml:space="preserve"> an unprecedented global effort against extreme </w:t>
      </w:r>
      <w:r w:rsidRPr="7C1E7EE5" w:rsidR="1F3215E5">
        <w:rPr>
          <w:rFonts w:ascii="Times New Roman" w:hAnsi="Times New Roman" w:eastAsia="Times New Roman" w:cs="Times New Roman"/>
          <w:noProof w:val="0"/>
          <w:sz w:val="24"/>
          <w:szCs w:val="24"/>
          <w:lang w:val="en-GB"/>
        </w:rPr>
        <w:t>poverty</w:t>
      </w:r>
      <w:r w:rsidRPr="7C1E7EE5" w:rsidR="1F3215E5">
        <w:rPr>
          <w:rFonts w:ascii="Times New Roman" w:hAnsi="Times New Roman" w:eastAsia="Times New Roman" w:cs="Times New Roman"/>
          <w:noProof w:val="0"/>
          <w:sz w:val="24"/>
          <w:szCs w:val="24"/>
          <w:lang w:val="en-GB"/>
        </w:rPr>
        <w:t xml:space="preserve"> and resulting in a </w:t>
      </w:r>
      <w:r w:rsidRPr="7C1E7EE5" w:rsidR="1F3215E5">
        <w:rPr>
          <w:rFonts w:ascii="Times New Roman" w:hAnsi="Times New Roman" w:eastAsia="Times New Roman" w:cs="Times New Roman"/>
          <w:noProof w:val="0"/>
          <w:sz w:val="24"/>
          <w:szCs w:val="24"/>
          <w:lang w:val="en-GB"/>
        </w:rPr>
        <w:t>nearly 50%</w:t>
      </w:r>
      <w:r w:rsidRPr="7C1E7EE5" w:rsidR="1F3215E5">
        <w:rPr>
          <w:rFonts w:ascii="Times New Roman" w:hAnsi="Times New Roman" w:eastAsia="Times New Roman" w:cs="Times New Roman"/>
          <w:noProof w:val="0"/>
          <w:sz w:val="24"/>
          <w:szCs w:val="24"/>
          <w:lang w:val="en-GB"/>
        </w:rPr>
        <w:t xml:space="preserve"> reduction in global poverty rates. As an illustration of MDG 4, the WHO (2018) targets the reduction of child mortality globally. Substantial progress has been achieved in decreasing the mortality rate among children aged 5 and under on a global scale. In 2013, the number of deaths in this age group was 6.3 million, marking a decline from the 12.7 million deaths reported in 1990 (WHO, 2018)</w:t>
      </w:r>
      <w:r w:rsidRPr="7C1E7EE5" w:rsidR="1F3215E5">
        <w:rPr>
          <w:rFonts w:ascii="Times New Roman" w:hAnsi="Times New Roman" w:eastAsia="Times New Roman" w:cs="Times New Roman"/>
          <w:noProof w:val="0"/>
          <w:sz w:val="24"/>
          <w:szCs w:val="24"/>
          <w:lang w:val="en-GB"/>
        </w:rPr>
        <w:t xml:space="preserve">.  </w:t>
      </w:r>
      <w:r w:rsidRPr="7C1E7EE5" w:rsidR="1F3215E5">
        <w:rPr>
          <w:rFonts w:ascii="Times New Roman" w:hAnsi="Times New Roman" w:eastAsia="Times New Roman" w:cs="Times New Roman"/>
          <w:noProof w:val="0"/>
          <w:sz w:val="24"/>
          <w:szCs w:val="24"/>
          <w:lang w:val="en-GB"/>
        </w:rPr>
        <w:t xml:space="preserve">The mortality rate for children under 5 decreased by 49% from 1990 to 2013, dropping from an estimated 90 deaths per 1000 live births to 46 (Armstrong-Mensah, 2017). Despite these advancements, analysis by Armstrong-Mensah (2017) suggests that the MDGs target of a two-thirds reduction in 1990 mortality levels by 2015 is unlikely to be achieved globally. This is </w:t>
      </w:r>
      <w:r w:rsidRPr="7C1E7EE5" w:rsidR="1F3215E5">
        <w:rPr>
          <w:rFonts w:ascii="Times New Roman" w:hAnsi="Times New Roman" w:eastAsia="Times New Roman" w:cs="Times New Roman"/>
          <w:noProof w:val="0"/>
          <w:sz w:val="24"/>
          <w:szCs w:val="24"/>
          <w:lang w:val="en-GB"/>
        </w:rPr>
        <w:t>evident</w:t>
      </w:r>
      <w:r w:rsidRPr="7C1E7EE5" w:rsidR="1F3215E5">
        <w:rPr>
          <w:rFonts w:ascii="Times New Roman" w:hAnsi="Times New Roman" w:eastAsia="Times New Roman" w:cs="Times New Roman"/>
          <w:noProof w:val="0"/>
          <w:sz w:val="24"/>
          <w:szCs w:val="24"/>
          <w:lang w:val="en-GB"/>
        </w:rPr>
        <w:t xml:space="preserve"> as low-income countries faced challenges in accessing skilled care, with only 46% of births attended by a skilled caregiver, compared to 64% in lower-middle-income countries and 95% in upper-middle-income countries. Furthermore, in developing countries, 56% of women delivering in rural areas had skilled </w:t>
      </w:r>
      <w:r w:rsidRPr="7C1E7EE5" w:rsidR="1F3215E5">
        <w:rPr>
          <w:rFonts w:ascii="Times New Roman" w:hAnsi="Times New Roman" w:eastAsia="Times New Roman" w:cs="Times New Roman"/>
          <w:noProof w:val="0"/>
          <w:sz w:val="24"/>
          <w:szCs w:val="24"/>
          <w:lang w:val="en-GB"/>
        </w:rPr>
        <w:t>assistance</w:t>
      </w:r>
      <w:r w:rsidRPr="7C1E7EE5" w:rsidR="1F3215E5">
        <w:rPr>
          <w:rFonts w:ascii="Times New Roman" w:hAnsi="Times New Roman" w:eastAsia="Times New Roman" w:cs="Times New Roman"/>
          <w:noProof w:val="0"/>
          <w:sz w:val="24"/>
          <w:szCs w:val="24"/>
          <w:lang w:val="en-GB"/>
        </w:rPr>
        <w:t>, while 87% of those in urban areas had access to skilled helpers (Armstrong-Mensah, 2017)</w:t>
      </w:r>
      <w:r w:rsidRPr="7C1E7EE5" w:rsidR="1F3215E5">
        <w:rPr>
          <w:rFonts w:ascii="Times New Roman" w:hAnsi="Times New Roman" w:eastAsia="Times New Roman" w:cs="Times New Roman"/>
          <w:noProof w:val="0"/>
          <w:sz w:val="24"/>
          <w:szCs w:val="24"/>
          <w:lang w:val="en-GB"/>
        </w:rPr>
        <w:t xml:space="preserve">.  </w:t>
      </w:r>
      <w:r w:rsidRPr="7C1E7EE5" w:rsidR="1F3215E5">
        <w:rPr>
          <w:rFonts w:ascii="Times New Roman" w:hAnsi="Times New Roman" w:eastAsia="Times New Roman" w:cs="Times New Roman"/>
          <w:noProof w:val="0"/>
          <w:sz w:val="24"/>
          <w:szCs w:val="24"/>
          <w:lang w:val="en-GB"/>
        </w:rPr>
        <w:t xml:space="preserve">Still, critics contend that the progress towards the concrete goal of </w:t>
      </w:r>
      <w:r w:rsidRPr="7C1E7EE5" w:rsidR="1F3215E5">
        <w:rPr>
          <w:rFonts w:ascii="Times New Roman" w:hAnsi="Times New Roman" w:eastAsia="Times New Roman" w:cs="Times New Roman"/>
          <w:noProof w:val="0"/>
          <w:sz w:val="24"/>
          <w:szCs w:val="24"/>
          <w:lang w:val="en-GB"/>
        </w:rPr>
        <w:t>eliminating</w:t>
      </w:r>
      <w:r w:rsidRPr="7C1E7EE5" w:rsidR="1F3215E5">
        <w:rPr>
          <w:rFonts w:ascii="Times New Roman" w:hAnsi="Times New Roman" w:eastAsia="Times New Roman" w:cs="Times New Roman"/>
          <w:noProof w:val="0"/>
          <w:sz w:val="24"/>
          <w:szCs w:val="24"/>
          <w:lang w:val="en-GB"/>
        </w:rPr>
        <w:t xml:space="preserve"> severe impoverishment, as delineated by the MDGs, has </w:t>
      </w:r>
      <w:r w:rsidRPr="7C1E7EE5" w:rsidR="1F3215E5">
        <w:rPr>
          <w:rFonts w:ascii="Times New Roman" w:hAnsi="Times New Roman" w:eastAsia="Times New Roman" w:cs="Times New Roman"/>
          <w:noProof w:val="0"/>
          <w:sz w:val="24"/>
          <w:szCs w:val="24"/>
          <w:lang w:val="en-GB"/>
        </w:rPr>
        <w:t>exhibited</w:t>
      </w:r>
      <w:r w:rsidRPr="7C1E7EE5" w:rsidR="1F3215E5">
        <w:rPr>
          <w:rFonts w:ascii="Times New Roman" w:hAnsi="Times New Roman" w:eastAsia="Times New Roman" w:cs="Times New Roman"/>
          <w:noProof w:val="0"/>
          <w:sz w:val="24"/>
          <w:szCs w:val="24"/>
          <w:lang w:val="en-GB"/>
        </w:rPr>
        <w:t xml:space="preserve"> disparities concerning both reginal distribution and thematic prominence (Woodbridge, 2015). Fehling, Nelson, and </w:t>
      </w:r>
      <w:r w:rsidRPr="7C1E7EE5" w:rsidR="1F3215E5">
        <w:rPr>
          <w:rFonts w:ascii="Times New Roman" w:hAnsi="Times New Roman" w:eastAsia="Times New Roman" w:cs="Times New Roman"/>
          <w:noProof w:val="0"/>
          <w:sz w:val="24"/>
          <w:szCs w:val="24"/>
          <w:lang w:val="en-GB"/>
        </w:rPr>
        <w:t>Venkatapuram</w:t>
      </w:r>
      <w:r w:rsidRPr="7C1E7EE5" w:rsidR="1F3215E5">
        <w:rPr>
          <w:rFonts w:ascii="Times New Roman" w:hAnsi="Times New Roman" w:eastAsia="Times New Roman" w:cs="Times New Roman"/>
          <w:noProof w:val="0"/>
          <w:sz w:val="24"/>
          <w:szCs w:val="24"/>
          <w:lang w:val="en-GB"/>
        </w:rPr>
        <w:t xml:space="preserve"> (2013) concur and additionally assert that the constrained emphasis on minimising poverty could conceal important 'trade-offs and conflicts of interest' (p. 1115) such as inequity and inequalities</w:t>
      </w:r>
      <w:r w:rsidRPr="7C1E7EE5" w:rsidR="1F3215E5">
        <w:rPr>
          <w:rFonts w:ascii="Times New Roman" w:hAnsi="Times New Roman" w:eastAsia="Times New Roman" w:cs="Times New Roman"/>
          <w:noProof w:val="0"/>
          <w:sz w:val="24"/>
          <w:szCs w:val="24"/>
          <w:lang w:val="en-GB"/>
        </w:rPr>
        <w:t xml:space="preserve">.  </w:t>
      </w:r>
      <w:r w:rsidRPr="7C1E7EE5" w:rsidR="1F3215E5">
        <w:rPr>
          <w:rFonts w:ascii="Times New Roman" w:hAnsi="Times New Roman" w:eastAsia="Times New Roman" w:cs="Times New Roman"/>
          <w:noProof w:val="0"/>
          <w:sz w:val="24"/>
          <w:szCs w:val="24"/>
          <w:lang w:val="en-GB"/>
        </w:rPr>
        <w:t xml:space="preserve">Furthermore, a multitude of nations have adopted a fragmentated strategy, choosing to address specific MDGs selectively while neglecting others, as asserted by Woodbridge (2015). Woodbridge (2015) contends that this approach has constrained its impact on shaping the MDGs' structure, </w:t>
      </w:r>
      <w:r w:rsidRPr="7C1E7EE5" w:rsidR="1F3215E5">
        <w:rPr>
          <w:rFonts w:ascii="Times New Roman" w:hAnsi="Times New Roman" w:eastAsia="Times New Roman" w:cs="Times New Roman"/>
          <w:noProof w:val="0"/>
          <w:sz w:val="24"/>
          <w:szCs w:val="24"/>
          <w:lang w:val="en-GB"/>
        </w:rPr>
        <w:t>consequently</w:t>
      </w:r>
      <w:r w:rsidRPr="7C1E7EE5" w:rsidR="1F3215E5">
        <w:rPr>
          <w:rFonts w:ascii="Times New Roman" w:hAnsi="Times New Roman" w:eastAsia="Times New Roman" w:cs="Times New Roman"/>
          <w:noProof w:val="0"/>
          <w:sz w:val="24"/>
          <w:szCs w:val="24"/>
          <w:lang w:val="en-GB"/>
        </w:rPr>
        <w:t xml:space="preserve"> leading to criticism of the MDGs as a framework imposed on others. As the deadline for the MDGs approached in 2015, there was a recognized need within the global community to sustain the development agenda (UN, 2015). The Sustainable Development Goals (SDGs) were then formulated, building upon the experiences and insights gained from the MDGs. The SDGs, as highlighted by </w:t>
      </w:r>
      <w:r w:rsidRPr="7C1E7EE5" w:rsidR="1F3215E5">
        <w:rPr>
          <w:rFonts w:ascii="Times New Roman" w:hAnsi="Times New Roman" w:eastAsia="Times New Roman" w:cs="Times New Roman"/>
          <w:noProof w:val="0"/>
          <w:sz w:val="24"/>
          <w:szCs w:val="24"/>
          <w:lang w:val="en-GB"/>
        </w:rPr>
        <w:t>Halisçelik</w:t>
      </w:r>
      <w:r w:rsidRPr="7C1E7EE5" w:rsidR="1F3215E5">
        <w:rPr>
          <w:rFonts w:ascii="Times New Roman" w:hAnsi="Times New Roman" w:eastAsia="Times New Roman" w:cs="Times New Roman"/>
          <w:noProof w:val="0"/>
          <w:sz w:val="24"/>
          <w:szCs w:val="24"/>
          <w:lang w:val="en-GB"/>
        </w:rPr>
        <w:t xml:space="preserve"> and </w:t>
      </w:r>
      <w:r w:rsidRPr="7C1E7EE5" w:rsidR="1F3215E5">
        <w:rPr>
          <w:rFonts w:ascii="Times New Roman" w:hAnsi="Times New Roman" w:eastAsia="Times New Roman" w:cs="Times New Roman"/>
          <w:noProof w:val="0"/>
          <w:sz w:val="24"/>
          <w:szCs w:val="24"/>
          <w:lang w:val="en-GB"/>
        </w:rPr>
        <w:t>Soytas</w:t>
      </w:r>
      <w:r w:rsidRPr="7C1E7EE5" w:rsidR="1F3215E5">
        <w:rPr>
          <w:rFonts w:ascii="Times New Roman" w:hAnsi="Times New Roman" w:eastAsia="Times New Roman" w:cs="Times New Roman"/>
          <w:noProof w:val="0"/>
          <w:sz w:val="24"/>
          <w:szCs w:val="24"/>
          <w:lang w:val="en-GB"/>
        </w:rPr>
        <w:t xml:space="preserve"> (2019), have a broader scope, encompassing a wider range of issues such as climate change, inequality, and sustainable consumption. Set by the UN General Assembly in 2015, the SDGs consist of seventeen global </w:t>
      </w:r>
      <w:r w:rsidRPr="7C1E7EE5" w:rsidR="1F3215E5">
        <w:rPr>
          <w:rFonts w:ascii="Times New Roman" w:hAnsi="Times New Roman" w:eastAsia="Times New Roman" w:cs="Times New Roman"/>
          <w:noProof w:val="0"/>
          <w:sz w:val="24"/>
          <w:szCs w:val="24"/>
          <w:lang w:val="en-GB"/>
        </w:rPr>
        <w:t>objectives</w:t>
      </w:r>
      <w:r w:rsidRPr="7C1E7EE5" w:rsidR="1F3215E5">
        <w:rPr>
          <w:rFonts w:ascii="Times New Roman" w:hAnsi="Times New Roman" w:eastAsia="Times New Roman" w:cs="Times New Roman"/>
          <w:noProof w:val="0"/>
          <w:sz w:val="24"/>
          <w:szCs w:val="24"/>
          <w:lang w:val="en-GB"/>
        </w:rPr>
        <w:t xml:space="preserve"> aimed at addressing diverse global challenges, including poverty, inequality, climate change, environmental degradation, peace, and justice. De Jong and </w:t>
      </w:r>
      <w:r w:rsidRPr="7C1E7EE5" w:rsidR="1F3215E5">
        <w:rPr>
          <w:rFonts w:ascii="Times New Roman" w:hAnsi="Times New Roman" w:eastAsia="Times New Roman" w:cs="Times New Roman"/>
          <w:noProof w:val="0"/>
          <w:sz w:val="24"/>
          <w:szCs w:val="24"/>
          <w:lang w:val="en-GB"/>
        </w:rPr>
        <w:t>Vijge</w:t>
      </w:r>
      <w:r w:rsidRPr="7C1E7EE5" w:rsidR="1F3215E5">
        <w:rPr>
          <w:rFonts w:ascii="Times New Roman" w:hAnsi="Times New Roman" w:eastAsia="Times New Roman" w:cs="Times New Roman"/>
          <w:noProof w:val="0"/>
          <w:sz w:val="24"/>
          <w:szCs w:val="24"/>
          <w:lang w:val="en-GB"/>
        </w:rPr>
        <w:t xml:space="preserve"> (2021) emphasize that these SDGs are intended to be achieved by the year 2030. </w:t>
      </w:r>
    </w:p>
    <w:p xmlns:wp14="http://schemas.microsoft.com/office/word/2010/wordml" w:rsidP="3C1A8BC8" wp14:paraId="3D52E2E5" wp14:textId="30C4D5C5">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3AAB3C34" wp14:textId="11CABE7E">
      <w:pPr>
        <w:pStyle w:val="Normal"/>
        <w:spacing w:before="0" w:beforeAutospacing="off" w:after="0" w:afterAutospacing="off" w:line="360" w:lineRule="auto"/>
      </w:pPr>
      <w:r w:rsidRPr="7C1E7EE5" w:rsidR="1F3215E5">
        <w:rPr>
          <w:rFonts w:ascii="Times New Roman" w:hAnsi="Times New Roman" w:eastAsia="Times New Roman" w:cs="Times New Roman"/>
          <w:noProof w:val="0"/>
          <w:sz w:val="24"/>
          <w:szCs w:val="24"/>
          <w:lang w:val="en-GB"/>
        </w:rPr>
        <w:t xml:space="preserve">The concept of health is complex and varies in definition based on individual perspectives and contextual factors. Different considerations come into play, such as the experience of someone reliant on a wheelchair, an individual in a conflict area, or someone dealing with mental health challenges, as posited by Warwick-Booth, Cross, and Lowcock (2021). Defining health in absolute terms becomes challenging due to these diverse perspectives. The WHO (2024) </w:t>
      </w:r>
      <w:r w:rsidRPr="7C1E7EE5" w:rsidR="1F3215E5">
        <w:rPr>
          <w:rFonts w:ascii="Times New Roman" w:hAnsi="Times New Roman" w:eastAsia="Times New Roman" w:cs="Times New Roman"/>
          <w:noProof w:val="0"/>
          <w:sz w:val="24"/>
          <w:szCs w:val="24"/>
          <w:lang w:val="en-GB"/>
        </w:rPr>
        <w:t>remains</w:t>
      </w:r>
      <w:r w:rsidRPr="7C1E7EE5" w:rsidR="1F3215E5">
        <w:rPr>
          <w:rFonts w:ascii="Times New Roman" w:hAnsi="Times New Roman" w:eastAsia="Times New Roman" w:cs="Times New Roman"/>
          <w:noProof w:val="0"/>
          <w:sz w:val="24"/>
          <w:szCs w:val="24"/>
          <w:lang w:val="en-GB"/>
        </w:rPr>
        <w:t xml:space="preserve"> steadfast in upholding the principles outlined in its Constitution, defining health not merely as the absence of disease or weakness but as a state of comprehensive physical, mental, and social well-being</w:t>
      </w:r>
      <w:r w:rsidRPr="7C1E7EE5" w:rsidR="1F3215E5">
        <w:rPr>
          <w:rFonts w:ascii="Times New Roman" w:hAnsi="Times New Roman" w:eastAsia="Times New Roman" w:cs="Times New Roman"/>
          <w:noProof w:val="0"/>
          <w:sz w:val="24"/>
          <w:szCs w:val="24"/>
          <w:lang w:val="en-GB"/>
        </w:rPr>
        <w:t xml:space="preserve">.  </w:t>
      </w:r>
      <w:r w:rsidRPr="7C1E7EE5" w:rsidR="1F3215E5">
        <w:rPr>
          <w:rFonts w:ascii="Times New Roman" w:hAnsi="Times New Roman" w:eastAsia="Times New Roman" w:cs="Times New Roman"/>
          <w:noProof w:val="0"/>
          <w:sz w:val="24"/>
          <w:szCs w:val="24"/>
          <w:lang w:val="en-GB"/>
        </w:rPr>
        <w:t xml:space="preserve">Bircher (2005) argues that defining health solely by the absence of disease or infirmity is insufficient; instead, health should be seen as </w:t>
      </w:r>
      <w:r w:rsidRPr="7C1E7EE5" w:rsidR="1F3215E5">
        <w:rPr>
          <w:rFonts w:ascii="Times New Roman" w:hAnsi="Times New Roman" w:eastAsia="Times New Roman" w:cs="Times New Roman"/>
          <w:noProof w:val="0"/>
          <w:sz w:val="24"/>
          <w:szCs w:val="24"/>
          <w:lang w:val="en-GB"/>
        </w:rPr>
        <w:t>an optimal</w:t>
      </w:r>
      <w:r w:rsidRPr="7C1E7EE5" w:rsidR="1F3215E5">
        <w:rPr>
          <w:rFonts w:ascii="Times New Roman" w:hAnsi="Times New Roman" w:eastAsia="Times New Roman" w:cs="Times New Roman"/>
          <w:noProof w:val="0"/>
          <w:sz w:val="24"/>
          <w:szCs w:val="24"/>
          <w:lang w:val="en-GB"/>
        </w:rPr>
        <w:t xml:space="preserve"> state of complete mental, physical, and social well-being capable of meeting an individual's life demands. </w:t>
      </w:r>
      <w:r w:rsidRPr="7C1E7EE5" w:rsidR="1F3215E5">
        <w:rPr>
          <w:rFonts w:ascii="Times New Roman" w:hAnsi="Times New Roman" w:eastAsia="Times New Roman" w:cs="Times New Roman"/>
          <w:noProof w:val="0"/>
          <w:sz w:val="24"/>
          <w:szCs w:val="24"/>
          <w:lang w:val="en-GB"/>
        </w:rPr>
        <w:t>Earle</w:t>
      </w:r>
      <w:r w:rsidRPr="7C1E7EE5" w:rsidR="1F3215E5">
        <w:rPr>
          <w:rFonts w:ascii="Times New Roman" w:hAnsi="Times New Roman" w:eastAsia="Times New Roman" w:cs="Times New Roman"/>
          <w:noProof w:val="0"/>
          <w:sz w:val="24"/>
          <w:szCs w:val="24"/>
          <w:lang w:val="en-GB"/>
        </w:rPr>
        <w:t xml:space="preserve"> (2007) highlights the challenging nature of defining health, considering it a fluid concept. Varied interpretations arise due to specific circumstances, experiences, or professional backgrounds. For instance, an asylum seeker may view health through a socio-cultural lens, while someone in a smoking cessation service may prioritize freedom from smoking. Moreover, the definition of a healthy lifestyle can evolve over time. </w:t>
      </w:r>
      <w:r w:rsidRPr="7C1E7EE5" w:rsidR="79F0B900">
        <w:rPr>
          <w:rFonts w:ascii="Times New Roman" w:hAnsi="Times New Roman" w:eastAsia="Times New Roman" w:cs="Times New Roman"/>
          <w:noProof w:val="0"/>
          <w:sz w:val="24"/>
          <w:szCs w:val="24"/>
          <w:lang w:val="en-GB"/>
        </w:rPr>
        <w:t>Earle (2007) promotes the implementation of a just healthcare system that treats all individuals with equal value and tackles preventable disparities, as well as historical and current injustices, and societal factors that influence health, in order to eradicate inequalities in health and healthcare. The Ottawa Charter acknowledges health as a fundamental human entitlement and underscores the significance of multiple factors such as peace, adequate economic means, nourishment, housing, a secure ecosystem, and sustainable resource utilisation (Dugani, Bhutta, &amp; Kissoon, 2017).</w:t>
      </w:r>
      <w:r w:rsidRPr="7C1E7EE5" w:rsidR="1F3215E5">
        <w:rPr>
          <w:rFonts w:ascii="Times New Roman" w:hAnsi="Times New Roman" w:eastAsia="Times New Roman" w:cs="Times New Roman"/>
          <w:noProof w:val="0"/>
          <w:sz w:val="24"/>
          <w:szCs w:val="24"/>
          <w:lang w:val="en-GB"/>
        </w:rPr>
        <w:t xml:space="preserve">. Proposed by Engel in 1977, the bio-psycho-social health model introduced a novel perspective on mental health, encompassing not only biological aspects but also social and psychological determinants (Bolton, 2023). </w:t>
      </w:r>
      <w:r w:rsidRPr="7C1E7EE5" w:rsidR="15C88C3D">
        <w:rPr>
          <w:rFonts w:ascii="Times New Roman" w:hAnsi="Times New Roman" w:eastAsia="Times New Roman" w:cs="Times New Roman"/>
          <w:noProof w:val="0"/>
          <w:sz w:val="24"/>
          <w:szCs w:val="24"/>
          <w:lang w:val="en-GB"/>
        </w:rPr>
        <w:t xml:space="preserve">This model categorises biological elements into genetics, brain chemistry, and brain damage. Psychological aspects are divided into beliefs, coping skills, and emotional intelligence. Social components are further classified into life traumas, stresses, early life experiences, and family/peer relationships (Lehman, David, and Gruber, 2017). According to Lehman, David, and Gruber (2017), socio-economic factors such as access to stable housing, healthy food, transportation, and utilities have a significant impact on the health of children and young individuals. </w:t>
      </w:r>
    </w:p>
    <w:p xmlns:wp14="http://schemas.microsoft.com/office/word/2010/wordml" w:rsidP="3C1A8BC8" wp14:paraId="354A42B7" wp14:textId="4D12ADAB">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p>
    <w:p xmlns:wp14="http://schemas.microsoft.com/office/word/2010/wordml" w:rsidP="3C1A8BC8" wp14:paraId="66F77D2C" wp14:textId="43ED5466">
      <w:pPr>
        <w:pStyle w:val="Normal"/>
        <w:spacing w:before="0" w:beforeAutospacing="off" w:after="0" w:afterAutospacing="off" w:line="360" w:lineRule="auto"/>
      </w:pPr>
      <w:r w:rsidRPr="3C1A8BC8" w:rsidR="15C88C3D">
        <w:rPr>
          <w:rFonts w:ascii="Times New Roman" w:hAnsi="Times New Roman" w:eastAsia="Times New Roman" w:cs="Times New Roman"/>
          <w:noProof w:val="0"/>
          <w:sz w:val="24"/>
          <w:szCs w:val="24"/>
          <w:lang w:val="en-GB"/>
        </w:rPr>
        <w:t xml:space="preserve">These factors also influence their learning, development, and future behaviours. </w:t>
      </w:r>
      <w:r w:rsidRPr="3C1A8BC8" w:rsidR="1F3215E5">
        <w:rPr>
          <w:rFonts w:ascii="Times New Roman" w:hAnsi="Times New Roman" w:eastAsia="Times New Roman" w:cs="Times New Roman"/>
          <w:noProof w:val="0"/>
          <w:sz w:val="24"/>
          <w:szCs w:val="24"/>
          <w:lang w:val="en-GB"/>
        </w:rPr>
        <w:t xml:space="preserve">In the British context, the pressing need for healthcare system reform was underscored by the influential 1942 Beveridge Report, which </w:t>
      </w:r>
      <w:r w:rsidRPr="3C1A8BC8" w:rsidR="1F3215E5">
        <w:rPr>
          <w:rFonts w:ascii="Times New Roman" w:hAnsi="Times New Roman" w:eastAsia="Times New Roman" w:cs="Times New Roman"/>
          <w:noProof w:val="0"/>
          <w:sz w:val="24"/>
          <w:szCs w:val="24"/>
          <w:lang w:val="en-GB"/>
        </w:rPr>
        <w:t>identified</w:t>
      </w:r>
      <w:r w:rsidRPr="3C1A8BC8" w:rsidR="1F3215E5">
        <w:rPr>
          <w:rFonts w:ascii="Times New Roman" w:hAnsi="Times New Roman" w:eastAsia="Times New Roman" w:cs="Times New Roman"/>
          <w:noProof w:val="0"/>
          <w:sz w:val="24"/>
          <w:szCs w:val="24"/>
          <w:lang w:val="en-GB"/>
        </w:rPr>
        <w:t xml:space="preserve"> the five "giant evils" of the time: poverty, illness, lack of education, unsanitary living conditions, and inactivity. Research by Hickson and Williams (2022) emphasizes the importance of providing healthcare access to all citizens, irrespective of their socioeconomic status. This historic report played a pivotal role in securing funding for the launch of the National Health Service (NHS) in 1948 in the United Kingdom, revolutionizing healthcare with its provision of free and universal access (Hickson and Williams, 2022). Looking ahead, it is essential to build upon the principles outlined in the Beveridge report to address new challenges and changes in the healthcare system, ensuring universal access to affordable and high-quality health services (Khan, 2023). Ham and Murray (2018) echo these concerns and, in alignment with Khan (2023), propose a 10-year plan that addresses issues such as healthcare disparities, enhances preventive care, and integrates technological advancements for improved healthcare delivery. William Beveridge's forward-thinking vision has enabled effective anticipation and resolution of future challenges, laying the groundwork for the modern welfare state (Hickson and Williams, 2022).</w:t>
      </w:r>
    </w:p>
    <w:p xmlns:wp14="http://schemas.microsoft.com/office/word/2010/wordml" w:rsidP="3C1A8BC8" wp14:paraId="5CD99AF7" wp14:textId="1A848B4F">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03E4755" wp14:textId="5E2511D0">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Devolution has played a pivotal role in shaping the welfare state for improved health outcomes. Torrence (2023) defines devolution as the transfer of power and decision-making, enabling the implementation of more tailored and responsive policies in diverse regions, considering their distinct needs and circumstances. In the United Kingdom, as highlighted by Gov UK (2019), devolution has resulted in the creation of devolved administrations in Scotland, Wales, and Northern Ireland, each with varying degrees of legislative and executive authority. This decentralization of power has granted these regions greater autonomy over their social welfare policies, encompassing healthcare, education, and social security (MacKinnon, 2013). Consequently, the application and management of social welfare programs, guided by the principles outlined in the Beveridge Report, can exhibit variations across the diverse devolved administrations. In summary, Beveridge and devolution are interconnected through their impact on social welfare policies and their governance at the regional level in the UK. </w:t>
      </w:r>
    </w:p>
    <w:p xmlns:wp14="http://schemas.microsoft.com/office/word/2010/wordml" w:rsidP="3C1A8BC8" wp14:paraId="7DC77BB1" wp14:textId="297E1E7C">
      <w:pPr>
        <w:spacing w:before="0" w:beforeAutospacing="off" w:after="0" w:afterAutospacing="off" w:line="360" w:lineRule="auto"/>
      </w:pPr>
      <w:r w:rsidRPr="3C1A8BC8" w:rsidR="1F3215E5">
        <w:rPr>
          <w:rFonts w:ascii="Times New Roman" w:hAnsi="Times New Roman" w:eastAsia="Times New Roman" w:cs="Times New Roman"/>
          <w:noProof w:val="0"/>
          <w:color w:val="000000" w:themeColor="text1" w:themeTint="FF" w:themeShade="FF"/>
          <w:sz w:val="24"/>
          <w:szCs w:val="24"/>
          <w:lang w:val="en-GB"/>
        </w:rPr>
        <w:t>The Wellbeing of Future Generations Act in Wales (2015) stands as the initial global legal mandate placing an obligation on the present-day society to actively promote sustainable development, aiming to safeguard the upcoming generation’s welfare (Davies, 2017; Messham and Sheard, 2020). According to Welsh Government (2021), the legislation mandates forty-four public entities, such as local authorities, the NHS, Fire and Rescue, among others, to collaborate in pursuit of seven well-being goals. The Well-being of Future Generations Wales Act (2015) outlines specific aspirations for Wales, encompassing objectives for the nation to become ‘A prosperous Wales’, ‘A resilient Wales’, ‘A healthier Wales’, ‘A more equal Wales’, ‘A Wales of cohesive communities’, ‘A Wales of thriving culture and a thriving Welsh language’, and ‘A globally responsive Wales’ (Welsh Government, 2021). Government entities must consider the enduring consequences of their decisions and cooperate to proactively mitigate forthcoming challenges. It is essential to acknowledge that addressing significant issues requires collaborative efforts, as no single governmental agency can comprehensively tackle these concerns (Davies, 2017). The Wellbeing of Future Generations (WFG) Act in Wales mandates public entities, including the Welsh Government, to adhere to and work towards the goals outlined in the legislation. This involves analysing future trends incorporated into the legislation, which public organizations utilize for future service planning. The annual reports from Welsh ministers assess the performance benchmarks, represented by national indicators designed to gauge the achievement of the specified objectives. These indicators, of a quantitative nature, encompass aspects such as the gender pay gap, the environmental footprint of Wales, and healthy life expectancy (Messham and Sheard, 2020). Derek Walker commenced his role as the second Future Generations Commissioner on March 1, 2023, (Welsh Government, 2022a) as per the appointment by the Welsh Ministers, following consultations with the relevant Welsh Assembly committee. His role as commissioner include lobbying for urgent and substantial reforms in Wales, serving as a custodian of the future generations’ potential to fulfil their needs. Additionally, he is tasked with monitoring and assessing the public bodies' adherence to welfare goals and promoting sustainable development, as outlined by Davies (2017).</w:t>
      </w:r>
    </w:p>
    <w:p xmlns:wp14="http://schemas.microsoft.com/office/word/2010/wordml" w:rsidP="3C1A8BC8" wp14:paraId="14E61714" wp14:textId="6D16C6B9">
      <w:pPr>
        <w:spacing w:before="0" w:beforeAutospacing="off" w:after="0" w:afterAutospacing="off" w:line="360" w:lineRule="auto"/>
        <w:rPr>
          <w:rFonts w:ascii="Times New Roman" w:hAnsi="Times New Roman" w:eastAsia="Times New Roman" w:cs="Times New Roman"/>
          <w:noProof w:val="0"/>
          <w:sz w:val="24"/>
          <w:szCs w:val="24"/>
          <w:lang w:val="en-GB"/>
        </w:rPr>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36CFBC93" wp14:textId="1C8300AC">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3C1A8BC8" w:rsidR="5E3EC7DC">
        <w:rPr>
          <w:rFonts w:ascii="Times New Roman" w:hAnsi="Times New Roman" w:eastAsia="Times New Roman" w:cs="Times New Roman"/>
          <w:noProof w:val="0"/>
          <w:sz w:val="24"/>
          <w:szCs w:val="24"/>
          <w:lang w:val="en-GB"/>
        </w:rPr>
        <w:t>In compliance with the act's requirements,</w:t>
      </w:r>
      <w:r w:rsidRPr="3C1A8BC8" w:rsidR="1F3215E5">
        <w:rPr>
          <w:rFonts w:ascii="Times New Roman" w:hAnsi="Times New Roman" w:eastAsia="Times New Roman" w:cs="Times New Roman"/>
          <w:noProof w:val="0"/>
          <w:sz w:val="24"/>
          <w:szCs w:val="24"/>
          <w:lang w:val="en-GB"/>
        </w:rPr>
        <w:t xml:space="preserve"> Wales has been actively striving to secure a favourable quality of life for future generations. Public Health Wales (2023) has implemented the Long-Term Strategy, designed to </w:t>
      </w:r>
      <w:r w:rsidRPr="3C1A8BC8" w:rsidR="1F3215E5">
        <w:rPr>
          <w:rFonts w:ascii="Times New Roman" w:hAnsi="Times New Roman" w:eastAsia="Times New Roman" w:cs="Times New Roman"/>
          <w:noProof w:val="0"/>
          <w:sz w:val="24"/>
          <w:szCs w:val="24"/>
          <w:lang w:val="en-GB"/>
        </w:rPr>
        <w:t>accomplish</w:t>
      </w:r>
      <w:r w:rsidRPr="3C1A8BC8" w:rsidR="1F3215E5">
        <w:rPr>
          <w:rFonts w:ascii="Times New Roman" w:hAnsi="Times New Roman" w:eastAsia="Times New Roman" w:cs="Times New Roman"/>
          <w:noProof w:val="0"/>
          <w:sz w:val="24"/>
          <w:szCs w:val="24"/>
          <w:lang w:val="en-GB"/>
        </w:rPr>
        <w:t xml:space="preserve"> the specified </w:t>
      </w:r>
      <w:r w:rsidRPr="3C1A8BC8" w:rsidR="1F3215E5">
        <w:rPr>
          <w:rFonts w:ascii="Times New Roman" w:hAnsi="Times New Roman" w:eastAsia="Times New Roman" w:cs="Times New Roman"/>
          <w:noProof w:val="0"/>
          <w:sz w:val="24"/>
          <w:szCs w:val="24"/>
          <w:lang w:val="en-GB"/>
        </w:rPr>
        <w:t>objectives</w:t>
      </w:r>
      <w:r w:rsidRPr="3C1A8BC8" w:rsidR="1F3215E5">
        <w:rPr>
          <w:rFonts w:ascii="Times New Roman" w:hAnsi="Times New Roman" w:eastAsia="Times New Roman" w:cs="Times New Roman"/>
          <w:noProof w:val="0"/>
          <w:sz w:val="24"/>
          <w:szCs w:val="24"/>
          <w:lang w:val="en-GB"/>
        </w:rPr>
        <w:t xml:space="preserve"> by the year 2035. The primary aim of this strategy is to promote a healthier future for Wales, aligning with the UN 2030 Agenda for Sustainable Development and its seventeen SDGs, as </w:t>
      </w:r>
      <w:r w:rsidRPr="3C1A8BC8" w:rsidR="1F3215E5">
        <w:rPr>
          <w:rFonts w:ascii="Times New Roman" w:hAnsi="Times New Roman" w:eastAsia="Times New Roman" w:cs="Times New Roman"/>
          <w:noProof w:val="0"/>
          <w:sz w:val="24"/>
          <w:szCs w:val="24"/>
          <w:lang w:val="en-GB"/>
        </w:rPr>
        <w:t>indicated</w:t>
      </w:r>
      <w:r w:rsidRPr="3C1A8BC8" w:rsidR="1F3215E5">
        <w:rPr>
          <w:rFonts w:ascii="Times New Roman" w:hAnsi="Times New Roman" w:eastAsia="Times New Roman" w:cs="Times New Roman"/>
          <w:noProof w:val="0"/>
          <w:sz w:val="24"/>
          <w:szCs w:val="24"/>
          <w:lang w:val="en-GB"/>
        </w:rPr>
        <w:t xml:space="preserve"> by Public Health Wales (2023). The Welsh Government (2021) has placed a significant focus on fostering a healthy nation by enacting an inclusive policy known as "A Healthier Wales" in recent times. This initiative aims to improve the overall health and well-being of the Welsh populace by incorporating essential indicators and milestones. Notably, three key national indicators have been emphasised, namely healthy life expectancy and healthy lifestyles for both adults and children (Welsh Government, 2021). </w:t>
      </w:r>
    </w:p>
    <w:p xmlns:wp14="http://schemas.microsoft.com/office/word/2010/wordml" w:rsidP="3C1A8BC8" wp14:paraId="7CD697EF" wp14:textId="4335DA02">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3949CD5D" wp14:textId="5DA4C5BB">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In Wales, the issue of inequality is clearly noted in the health disparities that persist between the most impoverished and affluent regions (the Health Foundation, 2022). Specifically, there is a substantial divergence in life expectancy at birth for men residing in the most deprived areas of Wales, standing at 73.3 years, compared to men in the least deprived areas, who have a life expectancy of 82.3 years—a difference of 9.0 years. The Health Foundation (2022) highlights a narrower gap between the life expectancies of men and women, amounting to 7.5 years. Furthermore, the contrast in healthy life expectancy at birth for women residing in the most deprived regions of Wales (50.1 years) and those in the least deprived areas (68.4 years) is pronounced, measuring a considerable 18.3 years. In the case of males, the disparity is slightly less prominent, totalling 16.9 years. It is imperative for Wales to address these disparities to promote a more equitable distribution of health outcomes (the Health Foundation, 2022). Chudasama et al. (2020) offer insightful perspectives on the substantial impact of lifestyle factors on life expectancy, with a specific focus on smoking as a key determinant. The research emphasizes smoking as the predominant lifestyle factor influencing life expectancy, with current smokers experiencing an estimated reduction of 5 to 6 years in life expectancy compared to non-current smokers. This underlines the critical need for addressing tobacco use in public health policies and advocating for the implementation of anti-smoking interventions like cessation programs, which have the potential to significantly enhance life expectancy (Chudasama et al., 2020).</w:t>
      </w:r>
    </w:p>
    <w:p xmlns:wp14="http://schemas.microsoft.com/office/word/2010/wordml" w:rsidP="3C1A8BC8" wp14:paraId="3A0841FE" wp14:textId="13819C58">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0410751" wp14:textId="6C4263EE">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The influence of smoking on life expectancy holds substantial importance due to the elevated risks it poses to an individual's physical well-being, leading to a reduction in their lifespan. Furthermore, it also has repercussions for children, though second-hand smoke exposure, can become victims of the adverse effects (Department of Health and Social Care, 2023). Programs and measures aimed at diminishing smoking incidence in Wales throughout time have mostly reliable and effective (Parry, Shiu, and Doyle, 2022). Nevertheless, the percentage of smokers persists at 14%, which is higher than the estimated 12.7% in England (Revie and Mais, 2023). Additionally, smoking continues to be a substantial cause of mortality in Wales, with an estimated 5,000 fatalities annually (Bowen, 2022). Smoking imposes an extensive financial strain on Welsh society, with forecasts showing that treatment of smoking-related illnesses might account for up to 7% of overall healthcare costs (Welsh Government, 2023). Despite these efforts, Reed's (2021) study suggests that the inclusion of tobacco expenditure in poverty calculations unveils a previously underestimated impact on poverty rates. This effect is particularly pronounced among low-income households, exacerbating pre-existing disparities across different socioeconomic groups (Reed, 2021). Flor et al. (2021) underscore the significance of implementing strong tobacco control measures, asserting that these actions are essential for mitigating smoking-related diseases and reducing deaths associated with tobacco use. The adoption and rigorous enforcement of stringent policies by governments and public health authorities play a crucial role in creating an environment that dissuades individuals from initiating smoking, promotes cessation, and shields the population from the adverse effects of tobacco. According to Flor et al.'s (2021) research, a coordinated global effort to implement and enforce these policies could yield substantial positive outcomes for public health by preventing a noteworthy number of individuals from initiating smoking or aiding in their attempt to quit.</w:t>
      </w:r>
    </w:p>
    <w:p xmlns:wp14="http://schemas.microsoft.com/office/word/2010/wordml" w:rsidP="3C1A8BC8" wp14:paraId="0488ADAD" wp14:textId="7FD0511B">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25C53215" wp14:textId="18EE55A3">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Enacted as a legislative approach, the 'Towards a Smoke-Free Wales' initiative demonstrates a deliberate and systematic method for tobacco control, integrating strategic planning, flexibility, transparency, and a dedication to decisions grounded in evidence. This initiative establishes a structured framework to support continuous endeavours aimed at diminishing smoking prevalence, advocating for smoke-free spaces, and enhancing overall public health results (Welsh Government, 2022). The initial two-year action plan is centred on averting the initiation of smoking and supporting endeavours to facilitate complete smoking cessation. The proposed initiatives are categorized into five fundamental and equally significant areas, with the aim of ensuring sustained advancements in each domain (Welsh Government, 2022). </w:t>
      </w:r>
    </w:p>
    <w:p xmlns:wp14="http://schemas.microsoft.com/office/word/2010/wordml" w:rsidP="3C1A8BC8" wp14:paraId="4C0284B6" wp14:textId="065B03C5">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364358E" wp14:textId="3241A426">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Priority action 1. To advance the smoke-free agenda, the plan includes monitoring existing smoke-free spaces, considering the establishment of new ones, advocating for smoke-free policies in publicly funded organizations, and exploring the role of environmental messages in conjunction with national and devolved authorities (Welsh Government, 2022).</w:t>
      </w:r>
    </w:p>
    <w:p xmlns:wp14="http://schemas.microsoft.com/office/word/2010/wordml" w:rsidP="3C1A8BC8" wp14:paraId="2D3E2821" wp14:textId="643D541B">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Priority action 2. The necessity of continuous improvement and adaptation in tobacco control strategies needs to be sustained through the collaborative actions of the various systems, services, and policies, including primary care, mental health, and substance misuse services. The intention is to enhance assistance for priority groups, address training needs, and thoroughly assess the impacts of nicotine alternatives, such as e-cigarettes, to establish a definitive position on their utilization in Wales ( Welsh Government, 2022).</w:t>
      </w:r>
    </w:p>
    <w:p xmlns:wp14="http://schemas.microsoft.com/office/word/2010/wordml" w:rsidP="3C1A8BC8" wp14:paraId="27960D99" wp14:textId="5E852152">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Prioriy action 3. Given the diverse composition of priority groups in terms of age, race, and culture, a comprehensive system-wide strategy for tobacco control entails the thoughtful consideration of communication strategies that effectively connect with varied audiences. This approach involves gaining insight into the motivations for smoking within these groups, recognizing obstacles to smoking cessation, and crafting evidence-based interventions customized to meet their specific requirements. Additionally, there is a discernible necessity for intensified initiatives aimed at establishing smoke-free norms, understanding the factors prompting smoking initiation, and fostering consistent smoke-free practices, particularly among children (Welsh Government, 2022)</w:t>
      </w:r>
    </w:p>
    <w:p xmlns:wp14="http://schemas.microsoft.com/office/word/2010/wordml" w:rsidP="3C1A8BC8" wp14:paraId="3C96A7F1" wp14:textId="06E80FC1">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Priority action 4. Adopting a multi-faceted approach, the complexities associated with illegal tobacco cannot be overlooked. The initiative encompasses endeavours to augment understanding through a thorough examination of evidence, raise awareness among the public, enhance the exchange of information among enforcement agencies, engage in collaborative efforts with partners to explore inventive solutions, and assess the efficacy of current enforcement tools (Welsh Government, 2022).</w:t>
      </w:r>
    </w:p>
    <w:p xmlns:wp14="http://schemas.microsoft.com/office/word/2010/wordml" w:rsidP="3C1A8BC8" wp14:paraId="30B7F335" wp14:textId="0365F67C">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Priority action 5. The collaborative effort among the devolved nations of the UK stresses their commitment to maintaining a uniform and efficacious approach to tobacco control. This emphasizes the significance of exchanging information, adopting shared practices, and collaborating on issues that transcend the authority of individual devolved administrations (Welsh Government, 2022).</w:t>
      </w:r>
    </w:p>
    <w:p xmlns:wp14="http://schemas.microsoft.com/office/word/2010/wordml" w:rsidP="3C1A8BC8" wp14:paraId="01A30013" wp14:textId="4880BA57">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6E47AAAD" wp14:textId="1918369F">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Recent data reveals a favourable pattern of reduced smoking prevalence, especially in socioeconomically disadvantaged regions, where one in three individuals are smokers. This stands in contrast to the comparatively steady rate of one in ten males in the least deprived neighbourhoods during the years 2017 and 2021. Furthermore, gender discrepancies in smoking rates are evident, with varying prevalence rates for males and females observed across different levels of deprivation in Wales (Archbold, Davies and Mais, 2023). Beard et al. (2019) investigate the dynamic long-term trajectory of efforts to curb smoking in Great Britain over three decades. The study highlights that a decline in rates of smoking has not been necessarily slowing, as those who smoke continue to respond to strong prevention actions. This response reduces incidence by combining reduced starting and increased ceasing rates (Beard et al., 2019).  According to Smith, Hill and Amos (2019), the close partnership between primary care providers and smoking cessation services has  the potential to provide thorough support during the cessation journey, especially for individuals with lower socio-economic status. This collaborative engagement can be translated into specific interventions and recommendations for suitable behavioural support and pharmacotherapy. Despite lower cessation rates observed among deprived individuals, the expanded accessibility of these services contributed to a compensatory effect, leading to an overall greater impact on smoking cessation within the low socio-economic status demographic (Smith, Hill and Amos, 2019). In contrast, the findings from a randomized controlled trial involving 60 community pharmacies implementing the complex STOP intervention service revealed unanticipated results (Jumbe et al., 2022). The study indicated that the intervention did not have a significant impact on key metrics, such as the number of smokers setting quit dates, program retention rates, or actual success rates in quitting. Despite the service's aim to enhance the utilization and consistency of smoking cessation services within these settings, challenges such as budget cuts, alterations in contracting processes, staff turnover, and diminished smoker participation seem to hinder its effectiveness (Jumbe et al., 2022). </w:t>
      </w:r>
    </w:p>
    <w:p xmlns:wp14="http://schemas.microsoft.com/office/word/2010/wordml" w:rsidP="3C1A8BC8" wp14:paraId="4AB4D9EA" wp14:textId="05A534DA">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275722F" wp14:textId="5B5ED460">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The intergenerational transmission of smoking behaviours, especially in the context of socioeconomic disparities, underscores the need for nuanced and targeted public health interventions. Effectively addressing this issue mandates a comprehensive approach that considers family dynamics, socioeconomic factors, and the broader social context in which smoking behaviour is situated (Moore et al., 2020). A recent investigation reveals a favourable trend concerning childhood experimentation with tobacco among 10- to 11-year-olds in Wales, spanning from 2007 to 2019. This decline is attributed to the implementation of comprehensive tobacco control policies, a reduction in parental smoking, and a potential shift towards the use of vaping as a method for smoking cessation (Hallingberg et al., 2021).  However, despite their acknowledgement of e-cigarettes’ utility for adults quitting smoking, children are attracted to vaping, a tendency influenced by parental behaviour and their socio-economic standing (Moore et al., 2020). From a different perspective, deLacy et al. (2017), draws attention to a noteworthy transformation in smoking behaviours among young people in Wales, marked by a substantial surge in the usage of e-cigarettes, surpassing the experimentation with conventional tobacco. This enduring trend spanning more than a decade indicates that e-cigarettes are not merely serving as a substitute or alternative for those who have already initiated smoking but are increasingly becoming an independent habit among non-smokers as well. Moreover, deLacy et al. (2017) contend that ongoing research and proactive public health initiatives are needed, underscoring the necessity of adapting strategies to address emerging trends in nicotine consumption among youth.  Liu, Gaiha, and Halpern-Felsher (2020) redirect attention to the role of schools in the realm of tobacco prevention, highlighting their significance as common settings where the interplay of social dynamics and peer interactions renders them effective environments for the implementation of prevention curricula. Regardless of merged results with changing norms and behaviours, certain aspects, such as interactive curricula, refusal skills-focused activities, and content addressing targeted marketing and health effects, have been recognised as key elements with the ability to lower youth tobacco intent and use. Additionally, Liu, Gaiha and Halpern-Felsher (2020) argue that while the implementation of alternative-to-suspension is a welcomed and supportive approach, there remains a notable gap in validated cessation programs specifically designed for adolescents grappling with nicotine dependence or addiction to e-cigarettes.</w:t>
      </w:r>
    </w:p>
    <w:p xmlns:wp14="http://schemas.microsoft.com/office/word/2010/wordml" w:rsidP="3C1A8BC8" wp14:paraId="2FBD73F8" wp14:textId="4C9F411E">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668F5F5B" wp14:textId="01865FC0">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The Ottawa Model for Smoking Cessation (OMSC), acknowledged for its widespread adoption and demonstrated effectiveness, has shown noteworthy success in achieving its objectives, including high long-term cessation rates, reduced healthcare usage, and notable cost-effectiveness. The triumph of this model highlights the potential impact of structured and evidence-based smoking cessation interventions within clinical settings (Pipe, Evans, and Papadakis, 2022). Its distinctive approach, encapsulated in the 3A’s framework (Ask, Advise, Act), hinges on the participation of primary care providers who address tobacco use during routine examinations. This engagement leads to enhanced clinic performance in delivering cessation interventions, as documented by Papadakis et al. (2016). Advocating for a fundamental clinical responsibility, Pipe, Evans, and Papadakis (2022) emphasize the importance of organized and evidence-based smoking cessation interventions in clinical settings to effectively assist individuals in their endeavours to quit smoking. An illustration of exemplary practices is provided in the work of Timberlake et al. (2019). The 2010 pioneering legislation in Finland, coupled with subsequent 'Action Plans', signifies a proactive dedication to eradicating tobacco use through traditional measures such as tax hikes, cessation initiatives, and the establishment of smoke-free regulations. This approach reflects a comprehensive strategy to address tobacco use from multiple angles. Historically, these methods have demonstrated efficacy in diminishing smoking rates and fostering an environment less conducive to tobacco consumption. Specifically, increased taxes render tobacco products less affordable, cessation programs assist those seeking to quit, and smoke-free policies safeguard non-smokers from exposure to second-hand smoke (Timberlake et al., 2019). In the context of global smoke-free policies, Semple et al. (2022) contend that legislative regulations possess the potential to extend beyond legal prohibitions, implying the encouragement of voluntary smoking restrictions. The Scottish government's initiative to diminish children's exposure to second-hand smoke within homes and the impact of workplace policies in Malaysia serve as illustrations of the multifaceted nature of these policies. These initiatives incorporate both legal and voluntary elements to advance a smoke-free environment, thus safeguarding public health (Semple et al., 2022). Simultaneously, Semple et al. (2022) observe that the recommendation by governments and international organizations to establish specific targets signifies a plea for precise and all-encompassing measures. This is aimed at ensuring that children receive equivalent protection from second-hand smoke as adults, thereby addressing a crucial deficiency in current tobacco control initiatives. </w:t>
      </w:r>
    </w:p>
    <w:p xmlns:wp14="http://schemas.microsoft.com/office/word/2010/wordml" w:rsidP="3C1A8BC8" wp14:paraId="3A0C6617" wp14:textId="652C2DAC">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6AA2F41D" wp14:textId="67F2D5CF">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In conclusion, this essay has examined the global imperatives encapsulated in the Millennium Development Goals and Sustainable Development Goals. It has shed light on their effectiveness, accomplishments, and limitations. Shifting the focus to the Well-being of Future Generations Act enacted in 2015, the essay has delved into fundamental concepts such as sustainability, wellness, and health concerning 'A Healthier Wales' and 'Towards a Smoke-free Wales.' Both initiatives have been critically analysed for their role in enhancing the overall welfare and health of Welsh citizens, making indispensable contributions to sustainable development across health, economic, and environmental dimensions. The efficacy of the initiative's implementation was meticulously evaluated through an analysis of actions undertaken by Local Authorities and stakeholders to meet the predefined goals. The essay has demonstrated that these initiatives function as catalysts, promoting a healthier and more sustainable future by addressing the interconnected challenges of health, economic well-being, and environmental stewardship. In essence, this essay underlines the evolving global and local landscape of efforts dedicated to enhancing well-being and achieving sustainable development. Through the scrutiny of specific initiatives and their impacts, it accentuates the dynamic and interdependent nature of endeavours aimed at cultivating healthier societies and more sustainable environments for both present and future generations</w:t>
      </w:r>
    </w:p>
    <w:p xmlns:wp14="http://schemas.microsoft.com/office/word/2010/wordml" w:rsidP="3C1A8BC8" wp14:paraId="6F553541" wp14:textId="02A3D885">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085411AC" wp14:textId="7F984478">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417BD21E" wp14:textId="4948B881">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0C6FC54B" wp14:textId="7A7937A1">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370697E8" wp14:textId="6F304653">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2F753EF6" wp14:textId="0CDCDDE6">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3200E6E" wp14:textId="726907FD">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17CDE59" wp14:textId="78E460D0">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31865766" wp14:textId="2CF8F066">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1D39C934" wp14:textId="1883F35A">
      <w:pPr>
        <w:spacing w:before="0" w:beforeAutospacing="off" w:after="0" w:afterAutospacing="off" w:line="360" w:lineRule="auto"/>
        <w:ind w:firstLine="720"/>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5751FBDC" wp14:textId="3EBE2671">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1087BF8F" wp14:textId="18C4A906">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21552BF3" wp14:textId="1270C709">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4D9FB44B" wp14:textId="5AFF644E">
      <w:pPr>
        <w:spacing w:before="0" w:beforeAutospacing="off" w:after="240" w:afterAutospacing="off" w:line="360" w:lineRule="auto"/>
      </w:pPr>
      <w:r w:rsidRPr="3C1A8BC8" w:rsidR="1F3215E5">
        <w:rPr>
          <w:rFonts w:ascii="Times New Roman" w:hAnsi="Times New Roman" w:eastAsia="Times New Roman" w:cs="Times New Roman"/>
          <w:b w:val="1"/>
          <w:bCs w:val="1"/>
          <w:noProof w:val="0"/>
          <w:sz w:val="24"/>
          <w:szCs w:val="24"/>
          <w:lang w:val="en-GB"/>
        </w:rPr>
        <w:t>Reference list</w:t>
      </w:r>
    </w:p>
    <w:p xmlns:wp14="http://schemas.microsoft.com/office/word/2010/wordml" w:rsidP="3C1A8BC8" wp14:paraId="0BDCC7F7" wp14:textId="03FE3838">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Archbold, M., Davies, B. and Mais, D. (2023) </w:t>
      </w:r>
      <w:r w:rsidRPr="3C1A8BC8" w:rsidR="1F3215E5">
        <w:rPr>
          <w:rFonts w:ascii="Times New Roman" w:hAnsi="Times New Roman" w:eastAsia="Times New Roman" w:cs="Times New Roman"/>
          <w:i w:val="1"/>
          <w:iCs w:val="1"/>
          <w:noProof w:val="0"/>
          <w:sz w:val="24"/>
          <w:szCs w:val="24"/>
          <w:lang w:val="en-GB"/>
        </w:rPr>
        <w:t>Deprivation and the impact on smoking prevalence, England and Wales: 2017 to 2021</w:t>
      </w:r>
      <w:r w:rsidRPr="3C1A8BC8" w:rsidR="1F3215E5">
        <w:rPr>
          <w:rFonts w:ascii="Times New Roman" w:hAnsi="Times New Roman" w:eastAsia="Times New Roman" w:cs="Times New Roman"/>
          <w:noProof w:val="0"/>
          <w:sz w:val="24"/>
          <w:szCs w:val="24"/>
          <w:lang w:val="en-GB"/>
        </w:rPr>
        <w:t>. Cardiff: Office for National Statistics.</w:t>
      </w:r>
    </w:p>
    <w:p xmlns:wp14="http://schemas.microsoft.com/office/word/2010/wordml" w:rsidP="3C1A8BC8" wp14:paraId="4320EEB6" wp14:textId="30775A4B">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Armstrong-Mensah, E.A. (2017) </w:t>
      </w:r>
      <w:r w:rsidRPr="3C1A8BC8" w:rsidR="1F3215E5">
        <w:rPr>
          <w:rFonts w:ascii="Times New Roman" w:hAnsi="Times New Roman" w:eastAsia="Times New Roman" w:cs="Times New Roman"/>
          <w:i w:val="1"/>
          <w:iCs w:val="1"/>
          <w:noProof w:val="0"/>
          <w:sz w:val="24"/>
          <w:szCs w:val="24"/>
          <w:lang w:val="en-GB"/>
        </w:rPr>
        <w:t>Global Health: Issues, Challenges, and Global Action</w:t>
      </w:r>
      <w:r w:rsidRPr="3C1A8BC8" w:rsidR="1F3215E5">
        <w:rPr>
          <w:rFonts w:ascii="Times New Roman" w:hAnsi="Times New Roman" w:eastAsia="Times New Roman" w:cs="Times New Roman"/>
          <w:noProof w:val="0"/>
          <w:sz w:val="24"/>
          <w:szCs w:val="24"/>
          <w:lang w:val="en-GB"/>
        </w:rPr>
        <w:t xml:space="preserve">. </w:t>
      </w:r>
      <w:r w:rsidRPr="3C1A8BC8" w:rsidR="1F3215E5">
        <w:rPr>
          <w:rFonts w:ascii="Times New Roman" w:hAnsi="Times New Roman" w:eastAsia="Times New Roman" w:cs="Times New Roman"/>
          <w:i w:val="1"/>
          <w:iCs w:val="1"/>
          <w:noProof w:val="0"/>
          <w:sz w:val="24"/>
          <w:szCs w:val="24"/>
          <w:lang w:val="en-GB"/>
        </w:rPr>
        <w:t>Google Books</w:t>
      </w:r>
      <w:r w:rsidRPr="3C1A8BC8" w:rsidR="1F3215E5">
        <w:rPr>
          <w:rFonts w:ascii="Times New Roman" w:hAnsi="Times New Roman" w:eastAsia="Times New Roman" w:cs="Times New Roman"/>
          <w:noProof w:val="0"/>
          <w:sz w:val="24"/>
          <w:szCs w:val="24"/>
          <w:lang w:val="en-GB"/>
        </w:rPr>
        <w:t xml:space="preserve">. John Wiley &amp; Sons. Available at: </w:t>
      </w:r>
      <w:hyperlink r:id="R6bfadf51272043ac">
        <w:r w:rsidRPr="3C1A8BC8" w:rsidR="1F3215E5">
          <w:rPr>
            <w:rStyle w:val="Hyperlink"/>
            <w:noProof w:val="0"/>
            <w:lang w:val="en-GB"/>
          </w:rPr>
          <w:t>https://books.google.co.uk/books?hl=ro&amp;lr=&amp;id=wPAjDgAAQBAJ&amp;oi=fnd&amp;pg=PP1&amp;dq=Global+Health:+Issues</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40CEFF14" wp14:textId="7B6B3927">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Beard, E.V., West, R., Jarvis, M., Michie, S. and Brown, J. (2019) ‘S’-shaped curve: modelling trends in smoking prevalence, uptake and cessation in Great Britain from 1973 to 2016. </w:t>
      </w:r>
      <w:r w:rsidRPr="3C1A8BC8" w:rsidR="1F3215E5">
        <w:rPr>
          <w:rFonts w:ascii="Times New Roman" w:hAnsi="Times New Roman" w:eastAsia="Times New Roman" w:cs="Times New Roman"/>
          <w:i w:val="1"/>
          <w:iCs w:val="1"/>
          <w:noProof w:val="0"/>
          <w:sz w:val="24"/>
          <w:szCs w:val="24"/>
          <w:lang w:val="en-GB"/>
        </w:rPr>
        <w:t>Thorax</w:t>
      </w:r>
      <w:r w:rsidRPr="3C1A8BC8" w:rsidR="1F3215E5">
        <w:rPr>
          <w:rFonts w:ascii="Times New Roman" w:hAnsi="Times New Roman" w:eastAsia="Times New Roman" w:cs="Times New Roman"/>
          <w:noProof w:val="0"/>
          <w:sz w:val="24"/>
          <w:szCs w:val="24"/>
          <w:lang w:val="en-GB"/>
        </w:rPr>
        <w:t>, 74(9), pp.875–881.</w:t>
      </w:r>
    </w:p>
    <w:p xmlns:wp14="http://schemas.microsoft.com/office/word/2010/wordml" w:rsidP="3C1A8BC8" wp14:paraId="38959D71" wp14:textId="200F3518">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Bircher, J. (2005) Towards a Dynamic Definition of Health and Disease. </w:t>
      </w:r>
      <w:r w:rsidRPr="3C1A8BC8" w:rsidR="1F3215E5">
        <w:rPr>
          <w:rFonts w:ascii="Times New Roman" w:hAnsi="Times New Roman" w:eastAsia="Times New Roman" w:cs="Times New Roman"/>
          <w:i w:val="1"/>
          <w:iCs w:val="1"/>
          <w:noProof w:val="0"/>
          <w:sz w:val="24"/>
          <w:szCs w:val="24"/>
          <w:lang w:val="en-GB"/>
        </w:rPr>
        <w:t>Medicine, Health Care and Philosophy</w:t>
      </w:r>
      <w:r w:rsidRPr="3C1A8BC8" w:rsidR="1F3215E5">
        <w:rPr>
          <w:rFonts w:ascii="Times New Roman" w:hAnsi="Times New Roman" w:eastAsia="Times New Roman" w:cs="Times New Roman"/>
          <w:noProof w:val="0"/>
          <w:sz w:val="24"/>
          <w:szCs w:val="24"/>
          <w:lang w:val="en-GB"/>
        </w:rPr>
        <w:t xml:space="preserve">, 8(3), pp.335–341. </w:t>
      </w:r>
    </w:p>
    <w:p xmlns:wp14="http://schemas.microsoft.com/office/word/2010/wordml" w:rsidP="3C1A8BC8" wp14:paraId="618A5A34" wp14:textId="689F5E9A">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Bolton, D. (2023) A revitalized biopsychosocial model: core theory, research paradigms, and clinical implications. </w:t>
      </w:r>
      <w:r w:rsidRPr="3C1A8BC8" w:rsidR="1F3215E5">
        <w:rPr>
          <w:rFonts w:ascii="Times New Roman" w:hAnsi="Times New Roman" w:eastAsia="Times New Roman" w:cs="Times New Roman"/>
          <w:i w:val="1"/>
          <w:iCs w:val="1"/>
          <w:noProof w:val="0"/>
          <w:sz w:val="24"/>
          <w:szCs w:val="24"/>
          <w:lang w:val="en-GB"/>
        </w:rPr>
        <w:t>Cambridge University Press</w:t>
      </w:r>
      <w:r w:rsidRPr="3C1A8BC8" w:rsidR="1F3215E5">
        <w:rPr>
          <w:rFonts w:ascii="Times New Roman" w:hAnsi="Times New Roman" w:eastAsia="Times New Roman" w:cs="Times New Roman"/>
          <w:noProof w:val="0"/>
          <w:sz w:val="24"/>
          <w:szCs w:val="24"/>
          <w:lang w:val="en-GB"/>
        </w:rPr>
        <w:t>, 53(16), pp.7504–7511.</w:t>
      </w:r>
    </w:p>
    <w:p xmlns:wp14="http://schemas.microsoft.com/office/word/2010/wordml" w:rsidP="3C1A8BC8" wp14:paraId="2B168A9A" wp14:textId="4173E970">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Bowen, L. (2022). </w:t>
      </w:r>
      <w:r w:rsidRPr="3C1A8BC8" w:rsidR="1F3215E5">
        <w:rPr>
          <w:rFonts w:ascii="Times New Roman" w:hAnsi="Times New Roman" w:eastAsia="Times New Roman" w:cs="Times New Roman"/>
          <w:i w:val="1"/>
          <w:iCs w:val="1"/>
          <w:noProof w:val="0"/>
          <w:sz w:val="24"/>
          <w:szCs w:val="24"/>
          <w:lang w:val="en-GB"/>
        </w:rPr>
        <w:t>ASH Cymru Kickstarts Stop Smoking Campaign: StopiOctober</w:t>
      </w:r>
      <w:r w:rsidRPr="3C1A8BC8" w:rsidR="1F3215E5">
        <w:rPr>
          <w:rFonts w:ascii="Times New Roman" w:hAnsi="Times New Roman" w:eastAsia="Times New Roman" w:cs="Times New Roman"/>
          <w:noProof w:val="0"/>
          <w:sz w:val="24"/>
          <w:szCs w:val="24"/>
          <w:lang w:val="en-GB"/>
        </w:rPr>
        <w:t xml:space="preserve">. Action on Smoking and Health. Available at: </w:t>
      </w:r>
      <w:hyperlink r:id="R465b4921a41d4aba">
        <w:r w:rsidRPr="3C1A8BC8" w:rsidR="1F3215E5">
          <w:rPr>
            <w:rStyle w:val="Hyperlink"/>
            <w:noProof w:val="0"/>
            <w:lang w:val="en-GB"/>
          </w:rPr>
          <w:t>https://ash.wales/stopioctober-2022-press-release/</w:t>
        </w:r>
      </w:hyperlink>
      <w:r w:rsidRPr="3C1A8BC8" w:rsidR="1F3215E5">
        <w:rPr>
          <w:rFonts w:ascii="Times New Roman" w:hAnsi="Times New Roman" w:eastAsia="Times New Roman" w:cs="Times New Roman"/>
          <w:noProof w:val="0"/>
          <w:sz w:val="24"/>
          <w:szCs w:val="24"/>
          <w:lang w:val="en-GB"/>
        </w:rPr>
        <w:t xml:space="preserve"> (Accessed 17 Jan. 2024).</w:t>
      </w:r>
    </w:p>
    <w:p xmlns:wp14="http://schemas.microsoft.com/office/word/2010/wordml" w:rsidP="3C1A8BC8" wp14:paraId="0F070D91" wp14:textId="73CE690B">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Chudasama, Y.V., Khunti, K., Gillies, C.L., Dhalwani, N.N., Davies, M.J., Yates, T. and Zaccardi, F. (2020) Healthy lifestyle and life expectancy in people with multimorbidity in the UK Biobank: A longitudinal cohort study. </w:t>
      </w:r>
      <w:r w:rsidRPr="3C1A8BC8" w:rsidR="1F3215E5">
        <w:rPr>
          <w:rFonts w:ascii="Times New Roman" w:hAnsi="Times New Roman" w:eastAsia="Times New Roman" w:cs="Times New Roman"/>
          <w:i w:val="1"/>
          <w:iCs w:val="1"/>
          <w:noProof w:val="0"/>
          <w:sz w:val="24"/>
          <w:szCs w:val="24"/>
          <w:lang w:val="en-GB"/>
        </w:rPr>
        <w:t>PLOS Medicine</w:t>
      </w:r>
      <w:r w:rsidRPr="3C1A8BC8" w:rsidR="1F3215E5">
        <w:rPr>
          <w:rFonts w:ascii="Times New Roman" w:hAnsi="Times New Roman" w:eastAsia="Times New Roman" w:cs="Times New Roman"/>
          <w:noProof w:val="0"/>
          <w:sz w:val="24"/>
          <w:szCs w:val="24"/>
          <w:lang w:val="en-GB"/>
        </w:rPr>
        <w:t xml:space="preserve">, 17(9), p.e1003332. </w:t>
      </w:r>
    </w:p>
    <w:p xmlns:wp14="http://schemas.microsoft.com/office/word/2010/wordml" w:rsidP="3C1A8BC8" wp14:paraId="43E544B5" wp14:textId="390EF4F5">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Davies, H. (2017) The Well-being of Future Generations (Wales) Act 2015—A Step Change in the Legal Protection of the Interests of Future Generations? </w:t>
      </w:r>
      <w:r w:rsidRPr="3C1A8BC8" w:rsidR="1F3215E5">
        <w:rPr>
          <w:rFonts w:ascii="Times New Roman" w:hAnsi="Times New Roman" w:eastAsia="Times New Roman" w:cs="Times New Roman"/>
          <w:i w:val="1"/>
          <w:iCs w:val="1"/>
          <w:noProof w:val="0"/>
          <w:sz w:val="24"/>
          <w:szCs w:val="24"/>
          <w:lang w:val="en-GB"/>
        </w:rPr>
        <w:t>Journal of Environmental Law</w:t>
      </w:r>
      <w:r w:rsidRPr="3C1A8BC8" w:rsidR="1F3215E5">
        <w:rPr>
          <w:rFonts w:ascii="Times New Roman" w:hAnsi="Times New Roman" w:eastAsia="Times New Roman" w:cs="Times New Roman"/>
          <w:noProof w:val="0"/>
          <w:sz w:val="24"/>
          <w:szCs w:val="24"/>
          <w:lang w:val="en-GB"/>
        </w:rPr>
        <w:t xml:space="preserve">, 29(1), pp.165–175. </w:t>
      </w:r>
    </w:p>
    <w:p xmlns:wp14="http://schemas.microsoft.com/office/word/2010/wordml" w:rsidP="3C1A8BC8" wp14:paraId="3E8CF160" wp14:textId="617F4424">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de Jong, E. and Vijge, M.J. (2021) From Millennium to Sustainable Development Goals: Evolving discourses and their reflection in policy coherence for development. </w:t>
      </w:r>
      <w:r w:rsidRPr="3C1A8BC8" w:rsidR="1F3215E5">
        <w:rPr>
          <w:rFonts w:ascii="Times New Roman" w:hAnsi="Times New Roman" w:eastAsia="Times New Roman" w:cs="Times New Roman"/>
          <w:i w:val="1"/>
          <w:iCs w:val="1"/>
          <w:noProof w:val="0"/>
          <w:sz w:val="24"/>
          <w:szCs w:val="24"/>
          <w:lang w:val="en-GB"/>
        </w:rPr>
        <w:t>Earth System Governance</w:t>
      </w:r>
      <w:r w:rsidRPr="3C1A8BC8" w:rsidR="1F3215E5">
        <w:rPr>
          <w:rFonts w:ascii="Times New Roman" w:hAnsi="Times New Roman" w:eastAsia="Times New Roman" w:cs="Times New Roman"/>
          <w:noProof w:val="0"/>
          <w:sz w:val="24"/>
          <w:szCs w:val="24"/>
          <w:lang w:val="en-GB"/>
        </w:rPr>
        <w:t xml:space="preserve">, 7, p.100087. </w:t>
      </w:r>
    </w:p>
    <w:p xmlns:wp14="http://schemas.microsoft.com/office/word/2010/wordml" w:rsidP="3C1A8BC8" wp14:paraId="6C153241" wp14:textId="73C6DC6D">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de Lacy, E., Fletcher, A., Hewitt, G., Murphy, S. and Moore, G. (2017) Cross-sectional study examining the prevalence, correlates and sequencing of electronic cigarette and tobacco use among 11–16-year olds in schools in Wales. </w:t>
      </w:r>
      <w:r w:rsidRPr="3C1A8BC8" w:rsidR="1F3215E5">
        <w:rPr>
          <w:rFonts w:ascii="Times New Roman" w:hAnsi="Times New Roman" w:eastAsia="Times New Roman" w:cs="Times New Roman"/>
          <w:i w:val="1"/>
          <w:iCs w:val="1"/>
          <w:noProof w:val="0"/>
          <w:sz w:val="24"/>
          <w:szCs w:val="24"/>
          <w:lang w:val="en-GB"/>
        </w:rPr>
        <w:t>BMJ Open</w:t>
      </w:r>
      <w:r w:rsidRPr="3C1A8BC8" w:rsidR="1F3215E5">
        <w:rPr>
          <w:rFonts w:ascii="Times New Roman" w:hAnsi="Times New Roman" w:eastAsia="Times New Roman" w:cs="Times New Roman"/>
          <w:noProof w:val="0"/>
          <w:sz w:val="24"/>
          <w:szCs w:val="24"/>
          <w:lang w:val="en-GB"/>
        </w:rPr>
        <w:t xml:space="preserve">, 7(2), p.e012784. </w:t>
      </w:r>
    </w:p>
    <w:p xmlns:wp14="http://schemas.microsoft.com/office/word/2010/wordml" w:rsidP="3C1A8BC8" wp14:paraId="2266EEE6" wp14:textId="54422CEF">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Department of Health and Social Care (2023). </w:t>
      </w:r>
      <w:r w:rsidRPr="3C1A8BC8" w:rsidR="1F3215E5">
        <w:rPr>
          <w:rFonts w:ascii="Times New Roman" w:hAnsi="Times New Roman" w:eastAsia="Times New Roman" w:cs="Times New Roman"/>
          <w:i w:val="1"/>
          <w:iCs w:val="1"/>
          <w:noProof w:val="0"/>
          <w:sz w:val="24"/>
          <w:szCs w:val="24"/>
          <w:lang w:val="en-GB"/>
        </w:rPr>
        <w:t>Creating a smokefree generation and tackling youth vaping: your views</w:t>
      </w:r>
      <w:r w:rsidRPr="3C1A8BC8" w:rsidR="1F3215E5">
        <w:rPr>
          <w:rFonts w:ascii="Times New Roman" w:hAnsi="Times New Roman" w:eastAsia="Times New Roman" w:cs="Times New Roman"/>
          <w:noProof w:val="0"/>
          <w:sz w:val="24"/>
          <w:szCs w:val="24"/>
          <w:lang w:val="en-GB"/>
        </w:rPr>
        <w:t xml:space="preserve">. GOV.UK. Available at: </w:t>
      </w:r>
      <w:hyperlink r:id="Rbc6521fedf2c43c1">
        <w:r w:rsidRPr="3C1A8BC8" w:rsidR="1F3215E5">
          <w:rPr>
            <w:rStyle w:val="Hyperlink"/>
            <w:noProof w:val="0"/>
            <w:lang w:val="en-GB"/>
          </w:rPr>
          <w:t>https://www.gov.uk/government/consultations/creating-a-smokefree-generation-and-tackling-youth-vaping/creating-a-smokefree-generation-and-tackling-youth-vaping-your-views</w:t>
        </w:r>
      </w:hyperlink>
      <w:r w:rsidRPr="3C1A8BC8" w:rsidR="1F3215E5">
        <w:rPr>
          <w:rFonts w:ascii="Times New Roman" w:hAnsi="Times New Roman" w:eastAsia="Times New Roman" w:cs="Times New Roman"/>
          <w:noProof w:val="0"/>
          <w:sz w:val="24"/>
          <w:szCs w:val="24"/>
          <w:lang w:val="en-GB"/>
        </w:rPr>
        <w:t xml:space="preserve"> (Accessed 16 Jan. 2024).</w:t>
      </w:r>
    </w:p>
    <w:p xmlns:wp14="http://schemas.microsoft.com/office/word/2010/wordml" w:rsidP="3C1A8BC8" wp14:paraId="71BBC1CF" wp14:textId="02F5327E">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Dugani, S., Bhutta, Z.A. and Kissoon, N. (2017) Empowering people for sustainable development: the Ottawa Charter and beyond. </w:t>
      </w:r>
      <w:r w:rsidRPr="3C1A8BC8" w:rsidR="1F3215E5">
        <w:rPr>
          <w:rFonts w:ascii="Times New Roman" w:hAnsi="Times New Roman" w:eastAsia="Times New Roman" w:cs="Times New Roman"/>
          <w:i w:val="1"/>
          <w:iCs w:val="1"/>
          <w:noProof w:val="0"/>
          <w:sz w:val="24"/>
          <w:szCs w:val="24"/>
          <w:lang w:val="en-GB"/>
        </w:rPr>
        <w:t>Journal of Global Health</w:t>
      </w:r>
      <w:r w:rsidRPr="3C1A8BC8" w:rsidR="1F3215E5">
        <w:rPr>
          <w:rFonts w:ascii="Times New Roman" w:hAnsi="Times New Roman" w:eastAsia="Times New Roman" w:cs="Times New Roman"/>
          <w:noProof w:val="0"/>
          <w:sz w:val="24"/>
          <w:szCs w:val="24"/>
          <w:lang w:val="en-GB"/>
        </w:rPr>
        <w:t xml:space="preserve">, 7(1). </w:t>
      </w:r>
    </w:p>
    <w:p xmlns:wp14="http://schemas.microsoft.com/office/word/2010/wordml" w:rsidP="3C1A8BC8" wp14:paraId="124331B2" wp14:textId="799F735E">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Earle, S. (2007) Promoting public health: exploring the issues. In: </w:t>
      </w:r>
      <w:r w:rsidRPr="3C1A8BC8" w:rsidR="1F3215E5">
        <w:rPr>
          <w:rFonts w:ascii="Times New Roman" w:hAnsi="Times New Roman" w:eastAsia="Times New Roman" w:cs="Times New Roman"/>
          <w:i w:val="1"/>
          <w:iCs w:val="1"/>
          <w:noProof w:val="0"/>
          <w:sz w:val="24"/>
          <w:szCs w:val="24"/>
          <w:lang w:val="en-GB"/>
        </w:rPr>
        <w:t>Theory and Research in Promoting Public Health</w:t>
      </w:r>
      <w:r w:rsidRPr="3C1A8BC8" w:rsidR="1F3215E5">
        <w:rPr>
          <w:rFonts w:ascii="Times New Roman" w:hAnsi="Times New Roman" w:eastAsia="Times New Roman" w:cs="Times New Roman"/>
          <w:noProof w:val="0"/>
          <w:sz w:val="24"/>
          <w:szCs w:val="24"/>
          <w:lang w:val="en-GB"/>
        </w:rPr>
        <w:t xml:space="preserve">. LONDON: Sage Publication, pp.1–36. Available at: </w:t>
      </w:r>
      <w:hyperlink w:anchor="v=onepage&amp;q=earle%202007%20health&amp;f=false" r:id="R350d25cf0d5f4206">
        <w:r w:rsidRPr="3C1A8BC8" w:rsidR="1F3215E5">
          <w:rPr>
            <w:rStyle w:val="Hyperlink"/>
            <w:noProof w:val="0"/>
            <w:lang w:val="en-GB"/>
          </w:rPr>
          <w:t>https://books.google.co.uk/books?hl=ro&amp;lr=&amp;id=m2jfd__DrE4C&amp;oi=fnd&amp;pg=PA1&amp;dq=earle+2007+health&amp;ots=GwSDC8ovav&amp;sig=EuCMPQaAVgMm1YH0g9M6JE2KTG4&amp;redir_esc=y#v=onepage&amp;q=earle%202007%20health&amp;f=false</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6EB59F40" wp14:textId="4C5957FE">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Fehling, M., Nelson, B.D. and Venkatapuram, S. (2013) Limitations of the Millennium Development Goals: a literature review. </w:t>
      </w:r>
      <w:r w:rsidRPr="3C1A8BC8" w:rsidR="1F3215E5">
        <w:rPr>
          <w:rFonts w:ascii="Times New Roman" w:hAnsi="Times New Roman" w:eastAsia="Times New Roman" w:cs="Times New Roman"/>
          <w:i w:val="1"/>
          <w:iCs w:val="1"/>
          <w:noProof w:val="0"/>
          <w:sz w:val="24"/>
          <w:szCs w:val="24"/>
          <w:lang w:val="en-GB"/>
        </w:rPr>
        <w:t>Global Public Health</w:t>
      </w:r>
      <w:r w:rsidRPr="3C1A8BC8" w:rsidR="1F3215E5">
        <w:rPr>
          <w:rFonts w:ascii="Times New Roman" w:hAnsi="Times New Roman" w:eastAsia="Times New Roman" w:cs="Times New Roman"/>
          <w:noProof w:val="0"/>
          <w:sz w:val="24"/>
          <w:szCs w:val="24"/>
          <w:lang w:val="en-GB"/>
        </w:rPr>
        <w:t>, 8(10), pp.1109–1122.</w:t>
      </w:r>
    </w:p>
    <w:p xmlns:wp14="http://schemas.microsoft.com/office/word/2010/wordml" w:rsidP="3C1A8BC8" wp14:paraId="119B4711" wp14:textId="3FCED853">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Flor, L.S., Reitsma, M.B., Gupta, V., Ng, M. and Gakidou, E. (2021) The Effects of Tobacco Control Policies on Global Smoking Prevalence. </w:t>
      </w:r>
      <w:r w:rsidRPr="3C1A8BC8" w:rsidR="1F3215E5">
        <w:rPr>
          <w:rFonts w:ascii="Times New Roman" w:hAnsi="Times New Roman" w:eastAsia="Times New Roman" w:cs="Times New Roman"/>
          <w:i w:val="1"/>
          <w:iCs w:val="1"/>
          <w:noProof w:val="0"/>
          <w:sz w:val="24"/>
          <w:szCs w:val="24"/>
          <w:lang w:val="en-GB"/>
        </w:rPr>
        <w:t>Nature Medicine</w:t>
      </w:r>
      <w:r w:rsidRPr="3C1A8BC8" w:rsidR="1F3215E5">
        <w:rPr>
          <w:rFonts w:ascii="Times New Roman" w:hAnsi="Times New Roman" w:eastAsia="Times New Roman" w:cs="Times New Roman"/>
          <w:noProof w:val="0"/>
          <w:sz w:val="24"/>
          <w:szCs w:val="24"/>
          <w:lang w:val="en-GB"/>
        </w:rPr>
        <w:t xml:space="preserve">, 27(2), pp.239–243. </w:t>
      </w:r>
    </w:p>
    <w:p xmlns:wp14="http://schemas.microsoft.com/office/word/2010/wordml" w:rsidP="3C1A8BC8" wp14:paraId="760C14C0" wp14:textId="03275201">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Gov UK (2019). </w:t>
      </w:r>
      <w:r w:rsidRPr="3C1A8BC8" w:rsidR="1F3215E5">
        <w:rPr>
          <w:rFonts w:ascii="Times New Roman" w:hAnsi="Times New Roman" w:eastAsia="Times New Roman" w:cs="Times New Roman"/>
          <w:i w:val="1"/>
          <w:iCs w:val="1"/>
          <w:noProof w:val="0"/>
          <w:sz w:val="24"/>
          <w:szCs w:val="24"/>
          <w:lang w:val="en-GB"/>
        </w:rPr>
        <w:t>Devolution of powers to Scotland, Wales and Northern Ireland</w:t>
      </w:r>
      <w:r w:rsidRPr="3C1A8BC8" w:rsidR="1F3215E5">
        <w:rPr>
          <w:rFonts w:ascii="Times New Roman" w:hAnsi="Times New Roman" w:eastAsia="Times New Roman" w:cs="Times New Roman"/>
          <w:noProof w:val="0"/>
          <w:sz w:val="24"/>
          <w:szCs w:val="24"/>
          <w:lang w:val="en-GB"/>
        </w:rPr>
        <w:t xml:space="preserve">. GOV.UK. Available at: </w:t>
      </w:r>
      <w:hyperlink r:id="R64adcd38acd746a8">
        <w:r w:rsidRPr="3C1A8BC8" w:rsidR="1F3215E5">
          <w:rPr>
            <w:rStyle w:val="Hyperlink"/>
            <w:noProof w:val="0"/>
            <w:lang w:val="en-GB"/>
          </w:rPr>
          <w:t>https://www.gov.uk/guidance/devolution-of-powers-to-scotland-wales-and-northern-ireland</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1E0B585C" wp14:textId="62E95F94">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Hallingberg, B., Angel, L., Brown, R., Copeland, L., Gray, L., Van Godwin, J. and Moore, G. (2021) Changes in childhood experimentation with, and exposure to, tobacco and e-cigarettes and perceived smoking norms: a repeated cross-sectional study of 10–11 year olds’ in Wales. </w:t>
      </w:r>
      <w:r w:rsidRPr="3C1A8BC8" w:rsidR="1F3215E5">
        <w:rPr>
          <w:rFonts w:ascii="Times New Roman" w:hAnsi="Times New Roman" w:eastAsia="Times New Roman" w:cs="Times New Roman"/>
          <w:i w:val="1"/>
          <w:iCs w:val="1"/>
          <w:noProof w:val="0"/>
          <w:sz w:val="24"/>
          <w:szCs w:val="24"/>
          <w:lang w:val="en-GB"/>
        </w:rPr>
        <w:t>BMC Public Health</w:t>
      </w:r>
      <w:r w:rsidRPr="3C1A8BC8" w:rsidR="1F3215E5">
        <w:rPr>
          <w:rFonts w:ascii="Times New Roman" w:hAnsi="Times New Roman" w:eastAsia="Times New Roman" w:cs="Times New Roman"/>
          <w:noProof w:val="0"/>
          <w:sz w:val="24"/>
          <w:szCs w:val="24"/>
          <w:lang w:val="en-GB"/>
        </w:rPr>
        <w:t xml:space="preserve">, 21(1). </w:t>
      </w:r>
    </w:p>
    <w:p xmlns:wp14="http://schemas.microsoft.com/office/word/2010/wordml" w:rsidP="3C1A8BC8" wp14:paraId="2EC89DD7" wp14:textId="3BE86727">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Ham, C. and Murray, R. (2018) </w:t>
      </w:r>
      <w:r w:rsidRPr="3C1A8BC8" w:rsidR="1F3215E5">
        <w:rPr>
          <w:rFonts w:ascii="Times New Roman" w:hAnsi="Times New Roman" w:eastAsia="Times New Roman" w:cs="Times New Roman"/>
          <w:i w:val="1"/>
          <w:iCs w:val="1"/>
          <w:noProof w:val="0"/>
          <w:sz w:val="24"/>
          <w:szCs w:val="24"/>
          <w:lang w:val="en-GB"/>
        </w:rPr>
        <w:t>The NHS 10-year plan</w:t>
      </w:r>
      <w:r w:rsidRPr="3C1A8BC8" w:rsidR="1F3215E5">
        <w:rPr>
          <w:rFonts w:ascii="Times New Roman" w:hAnsi="Times New Roman" w:eastAsia="Times New Roman" w:cs="Times New Roman"/>
          <w:noProof w:val="0"/>
          <w:sz w:val="24"/>
          <w:szCs w:val="24"/>
          <w:lang w:val="en-GB"/>
        </w:rPr>
        <w:t xml:space="preserve">. The King’s Fund. Available at: </w:t>
      </w:r>
      <w:hyperlink r:id="Rfe2deb21493241ee">
        <w:r w:rsidRPr="3C1A8BC8" w:rsidR="1F3215E5">
          <w:rPr>
            <w:rStyle w:val="Hyperlink"/>
            <w:noProof w:val="0"/>
            <w:lang w:val="en-GB"/>
          </w:rPr>
          <w:t>https://www.kingsfund.org.uk/publications/nhs-10-year-plan</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42541027" wp14:textId="774F7BE2">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Hickson, K. and Williams, B. (2022) The Beveridge Report at 80. </w:t>
      </w:r>
      <w:r w:rsidRPr="3C1A8BC8" w:rsidR="1F3215E5">
        <w:rPr>
          <w:rFonts w:ascii="Times New Roman" w:hAnsi="Times New Roman" w:eastAsia="Times New Roman" w:cs="Times New Roman"/>
          <w:i w:val="1"/>
          <w:iCs w:val="1"/>
          <w:noProof w:val="0"/>
          <w:sz w:val="24"/>
          <w:szCs w:val="24"/>
          <w:lang w:val="en-GB"/>
        </w:rPr>
        <w:t>Political Insight</w:t>
      </w:r>
      <w:r w:rsidRPr="3C1A8BC8" w:rsidR="1F3215E5">
        <w:rPr>
          <w:rFonts w:ascii="Times New Roman" w:hAnsi="Times New Roman" w:eastAsia="Times New Roman" w:cs="Times New Roman"/>
          <w:noProof w:val="0"/>
          <w:sz w:val="24"/>
          <w:szCs w:val="24"/>
          <w:lang w:val="en-GB"/>
        </w:rPr>
        <w:t>, 13(1), pp.22–29.</w:t>
      </w:r>
    </w:p>
    <w:p xmlns:wp14="http://schemas.microsoft.com/office/word/2010/wordml" w:rsidP="3C1A8BC8" wp14:paraId="55FAEF8B" wp14:textId="27DE5D2A">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Jumbe, S., Madurasinghe, V.W., James, W.Y., Houlihan, C., Jumbe, S.L., Yau, T., Tomini, F., Eldridge, S., Mihaylova, B., Steed, L., Sohanpal, R., Attar, D., Taylor, S.J.C., Griffiths, C. and Walton, R. (2022) STOP— a training intervention to optimise treatment for smoking cessation in community pharmacies: cluster randomised controlled trial. </w:t>
      </w:r>
      <w:r w:rsidRPr="3C1A8BC8" w:rsidR="1F3215E5">
        <w:rPr>
          <w:rFonts w:ascii="Times New Roman" w:hAnsi="Times New Roman" w:eastAsia="Times New Roman" w:cs="Times New Roman"/>
          <w:i w:val="1"/>
          <w:iCs w:val="1"/>
          <w:noProof w:val="0"/>
          <w:sz w:val="24"/>
          <w:szCs w:val="24"/>
          <w:lang w:val="en-GB"/>
        </w:rPr>
        <w:t>BMC Medicine</w:t>
      </w:r>
      <w:r w:rsidRPr="3C1A8BC8" w:rsidR="1F3215E5">
        <w:rPr>
          <w:rFonts w:ascii="Times New Roman" w:hAnsi="Times New Roman" w:eastAsia="Times New Roman" w:cs="Times New Roman"/>
          <w:noProof w:val="0"/>
          <w:sz w:val="24"/>
          <w:szCs w:val="24"/>
          <w:lang w:val="en-GB"/>
        </w:rPr>
        <w:t xml:space="preserve">, 20(1). </w:t>
      </w:r>
    </w:p>
    <w:p xmlns:wp14="http://schemas.microsoft.com/office/word/2010/wordml" w:rsidP="3C1A8BC8" wp14:paraId="694F5DF3" wp14:textId="412EC96A">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Khan, Z. (2023) The Emerging Challenges and Strengths of the National Health Services: A Physician Perspective. </w:t>
      </w:r>
      <w:r w:rsidRPr="3C1A8BC8" w:rsidR="1F3215E5">
        <w:rPr>
          <w:rFonts w:ascii="Times New Roman" w:hAnsi="Times New Roman" w:eastAsia="Times New Roman" w:cs="Times New Roman"/>
          <w:i w:val="1"/>
          <w:iCs w:val="1"/>
          <w:noProof w:val="0"/>
          <w:sz w:val="24"/>
          <w:szCs w:val="24"/>
          <w:lang w:val="en-GB"/>
        </w:rPr>
        <w:t>Cureus</w:t>
      </w:r>
      <w:r w:rsidRPr="3C1A8BC8" w:rsidR="1F3215E5">
        <w:rPr>
          <w:rFonts w:ascii="Times New Roman" w:hAnsi="Times New Roman" w:eastAsia="Times New Roman" w:cs="Times New Roman"/>
          <w:noProof w:val="0"/>
          <w:sz w:val="24"/>
          <w:szCs w:val="24"/>
          <w:lang w:val="en-GB"/>
        </w:rPr>
        <w:t>, 15(5).</w:t>
      </w:r>
    </w:p>
    <w:p xmlns:wp14="http://schemas.microsoft.com/office/word/2010/wordml" w:rsidP="3C1A8BC8" wp14:paraId="1816EF16" wp14:textId="2F54A326">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Lehman, B.J., David, D.M. and Gruber, J.A. (2017) Rethinking the Biopsychosocial Model of health: Understanding Health as a Dynamic System. </w:t>
      </w:r>
      <w:r w:rsidRPr="3C1A8BC8" w:rsidR="1F3215E5">
        <w:rPr>
          <w:rFonts w:ascii="Times New Roman" w:hAnsi="Times New Roman" w:eastAsia="Times New Roman" w:cs="Times New Roman"/>
          <w:i w:val="1"/>
          <w:iCs w:val="1"/>
          <w:noProof w:val="0"/>
          <w:sz w:val="24"/>
          <w:szCs w:val="24"/>
          <w:lang w:val="en-GB"/>
        </w:rPr>
        <w:t>Social and Personality Psychology Compass</w:t>
      </w:r>
      <w:r w:rsidRPr="3C1A8BC8" w:rsidR="1F3215E5">
        <w:rPr>
          <w:rFonts w:ascii="Times New Roman" w:hAnsi="Times New Roman" w:eastAsia="Times New Roman" w:cs="Times New Roman"/>
          <w:noProof w:val="0"/>
          <w:sz w:val="24"/>
          <w:szCs w:val="24"/>
          <w:lang w:val="en-GB"/>
        </w:rPr>
        <w:t xml:space="preserve">, 11(8), pp.1–17. </w:t>
      </w:r>
    </w:p>
    <w:p xmlns:wp14="http://schemas.microsoft.com/office/word/2010/wordml" w:rsidP="3C1A8BC8" wp14:paraId="5807D535" wp14:textId="171648E6">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Liu, J., Gaiha, S.M. and Halpern-Felsher, B. (2020) A Breath of Knowledge: Overview of Current Adolescent E-cigarette Prevention and Cessation Programs. </w:t>
      </w:r>
      <w:r w:rsidRPr="3C1A8BC8" w:rsidR="1F3215E5">
        <w:rPr>
          <w:rFonts w:ascii="Times New Roman" w:hAnsi="Times New Roman" w:eastAsia="Times New Roman" w:cs="Times New Roman"/>
          <w:i w:val="1"/>
          <w:iCs w:val="1"/>
          <w:noProof w:val="0"/>
          <w:sz w:val="24"/>
          <w:szCs w:val="24"/>
          <w:lang w:val="en-GB"/>
        </w:rPr>
        <w:t>Current Addiction Reports</w:t>
      </w:r>
      <w:r w:rsidRPr="3C1A8BC8" w:rsidR="1F3215E5">
        <w:rPr>
          <w:rFonts w:ascii="Times New Roman" w:hAnsi="Times New Roman" w:eastAsia="Times New Roman" w:cs="Times New Roman"/>
          <w:noProof w:val="0"/>
          <w:sz w:val="24"/>
          <w:szCs w:val="24"/>
          <w:lang w:val="en-GB"/>
        </w:rPr>
        <w:t xml:space="preserve">, 7(4), pp.520–532. </w:t>
      </w:r>
    </w:p>
    <w:p xmlns:wp14="http://schemas.microsoft.com/office/word/2010/wordml" w:rsidP="3C1A8BC8" wp14:paraId="306C387A" wp14:textId="20857F15">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MacKinnon, D. (2013). Devolution, State Restructuring and Policy Divergence in the UK. </w:t>
      </w:r>
      <w:r w:rsidRPr="3C1A8BC8" w:rsidR="1F3215E5">
        <w:rPr>
          <w:rFonts w:ascii="Times New Roman" w:hAnsi="Times New Roman" w:eastAsia="Times New Roman" w:cs="Times New Roman"/>
          <w:i w:val="1"/>
          <w:iCs w:val="1"/>
          <w:noProof w:val="0"/>
          <w:sz w:val="24"/>
          <w:szCs w:val="24"/>
          <w:lang w:val="en-GB"/>
        </w:rPr>
        <w:t>The Geographical Journal</w:t>
      </w:r>
      <w:r w:rsidRPr="3C1A8BC8" w:rsidR="1F3215E5">
        <w:rPr>
          <w:rFonts w:ascii="Times New Roman" w:hAnsi="Times New Roman" w:eastAsia="Times New Roman" w:cs="Times New Roman"/>
          <w:noProof w:val="0"/>
          <w:sz w:val="24"/>
          <w:szCs w:val="24"/>
          <w:lang w:val="en-GB"/>
        </w:rPr>
        <w:t>, 181(1), pp.47–56.</w:t>
      </w:r>
    </w:p>
    <w:p xmlns:wp14="http://schemas.microsoft.com/office/word/2010/wordml" w:rsidP="3C1A8BC8" wp14:paraId="43F44E79" wp14:textId="3CFA5C62">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Messham, E. and Sheard, S. (2020) Taking the long view: the development of the Well-being of Future Generations (Wales) Act. </w:t>
      </w:r>
      <w:r w:rsidRPr="3C1A8BC8" w:rsidR="1F3215E5">
        <w:rPr>
          <w:rFonts w:ascii="Times New Roman" w:hAnsi="Times New Roman" w:eastAsia="Times New Roman" w:cs="Times New Roman"/>
          <w:i w:val="1"/>
          <w:iCs w:val="1"/>
          <w:noProof w:val="0"/>
          <w:sz w:val="24"/>
          <w:szCs w:val="24"/>
          <w:lang w:val="en-GB"/>
        </w:rPr>
        <w:t>Health Research Policy and Systems</w:t>
      </w:r>
      <w:r w:rsidRPr="3C1A8BC8" w:rsidR="1F3215E5">
        <w:rPr>
          <w:rFonts w:ascii="Times New Roman" w:hAnsi="Times New Roman" w:eastAsia="Times New Roman" w:cs="Times New Roman"/>
          <w:noProof w:val="0"/>
          <w:sz w:val="24"/>
          <w:szCs w:val="24"/>
          <w:lang w:val="en-GB"/>
        </w:rPr>
        <w:t xml:space="preserve">, 18(1). </w:t>
      </w:r>
    </w:p>
    <w:p xmlns:wp14="http://schemas.microsoft.com/office/word/2010/wordml" w:rsidP="3C1A8BC8" wp14:paraId="73A7CB26" wp14:textId="0D8F2479">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Moore, G., Angel, L., Gray, L., Copeland, L., Van Godwin, J., Segrott, J. and Hallingberg, B. (2020.) Associations of Socioeconomic Status, Parental Smoking and Parental E-Cigarette Use with 10–11-Year-Old Children’s Perceptions of Tobacco Cigarettes and E-Cigarettes: Cross Sectional Analysis of the CHETS Wales 3 Survey. </w:t>
      </w:r>
      <w:r w:rsidRPr="3C1A8BC8" w:rsidR="1F3215E5">
        <w:rPr>
          <w:rFonts w:ascii="Times New Roman" w:hAnsi="Times New Roman" w:eastAsia="Times New Roman" w:cs="Times New Roman"/>
          <w:i w:val="1"/>
          <w:iCs w:val="1"/>
          <w:noProof w:val="0"/>
          <w:sz w:val="24"/>
          <w:szCs w:val="24"/>
          <w:lang w:val="en-GB"/>
        </w:rPr>
        <w:t>International Journal of Environmental Research and Public Health</w:t>
      </w:r>
      <w:r w:rsidRPr="3C1A8BC8" w:rsidR="1F3215E5">
        <w:rPr>
          <w:rFonts w:ascii="Times New Roman" w:hAnsi="Times New Roman" w:eastAsia="Times New Roman" w:cs="Times New Roman"/>
          <w:noProof w:val="0"/>
          <w:sz w:val="24"/>
          <w:szCs w:val="24"/>
          <w:lang w:val="en-GB"/>
        </w:rPr>
        <w:t xml:space="preserve">, 17(3), p.683. </w:t>
      </w:r>
    </w:p>
    <w:p xmlns:wp14="http://schemas.microsoft.com/office/word/2010/wordml" w:rsidP="3C1A8BC8" wp14:paraId="096E3AEA" wp14:textId="01B98B40">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Papadakis, S., Cole, A.G., Reid, R.D., Coja, M., Aitken, D., Mullen, K.-A. ., Gharib, M. and Pipe, A.L. (2016) Increasing Rates of Tobacco Treatment Delivery in Primary Care Practice: Evaluation of the Ottawa Model for Smoking Cessation. </w:t>
      </w:r>
      <w:r w:rsidRPr="3C1A8BC8" w:rsidR="1F3215E5">
        <w:rPr>
          <w:rFonts w:ascii="Times New Roman" w:hAnsi="Times New Roman" w:eastAsia="Times New Roman" w:cs="Times New Roman"/>
          <w:i w:val="1"/>
          <w:iCs w:val="1"/>
          <w:noProof w:val="0"/>
          <w:sz w:val="24"/>
          <w:szCs w:val="24"/>
          <w:lang w:val="en-GB"/>
        </w:rPr>
        <w:t>The Annals of Family Medicine</w:t>
      </w:r>
      <w:r w:rsidRPr="3C1A8BC8" w:rsidR="1F3215E5">
        <w:rPr>
          <w:rFonts w:ascii="Times New Roman" w:hAnsi="Times New Roman" w:eastAsia="Times New Roman" w:cs="Times New Roman"/>
          <w:noProof w:val="0"/>
          <w:sz w:val="24"/>
          <w:szCs w:val="24"/>
          <w:lang w:val="en-GB"/>
        </w:rPr>
        <w:t>, 14(3), pp.235–243.</w:t>
      </w:r>
    </w:p>
    <w:p xmlns:wp14="http://schemas.microsoft.com/office/word/2010/wordml" w:rsidP="3C1A8BC8" wp14:paraId="483749E7" wp14:textId="63A70BC1">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Parry, S., Shiu, E. and Doyle, C. (2022) </w:t>
      </w:r>
      <w:r w:rsidRPr="3C1A8BC8" w:rsidR="1F3215E5">
        <w:rPr>
          <w:rFonts w:ascii="Times New Roman" w:hAnsi="Times New Roman" w:eastAsia="Times New Roman" w:cs="Times New Roman"/>
          <w:i w:val="1"/>
          <w:iCs w:val="1"/>
          <w:noProof w:val="0"/>
          <w:sz w:val="24"/>
          <w:szCs w:val="24"/>
          <w:lang w:val="en-GB"/>
        </w:rPr>
        <w:t>A Review of the Tobacco Control Action Plan and Delivery Plans for Wales</w:t>
      </w:r>
      <w:r w:rsidRPr="3C1A8BC8" w:rsidR="1F3215E5">
        <w:rPr>
          <w:rFonts w:ascii="Times New Roman" w:hAnsi="Times New Roman" w:eastAsia="Times New Roman" w:cs="Times New Roman"/>
          <w:noProof w:val="0"/>
          <w:sz w:val="24"/>
          <w:szCs w:val="24"/>
          <w:lang w:val="en-GB"/>
        </w:rPr>
        <w:t>. Cardiff: Welsh Government, GSR report number 37/2022.</w:t>
      </w:r>
    </w:p>
    <w:p xmlns:wp14="http://schemas.microsoft.com/office/word/2010/wordml" w:rsidP="3C1A8BC8" wp14:paraId="64C0BBB9" wp14:textId="53DA74E8">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Pipe, A.L., Evans, W. and Papadakis, S. (2022) Smoking cessation: health system challenges and opportunities. </w:t>
      </w:r>
      <w:r w:rsidRPr="3C1A8BC8" w:rsidR="1F3215E5">
        <w:rPr>
          <w:rFonts w:ascii="Times New Roman" w:hAnsi="Times New Roman" w:eastAsia="Times New Roman" w:cs="Times New Roman"/>
          <w:i w:val="1"/>
          <w:iCs w:val="1"/>
          <w:noProof w:val="0"/>
          <w:sz w:val="24"/>
          <w:szCs w:val="24"/>
          <w:lang w:val="en-GB"/>
        </w:rPr>
        <w:t>Tobacco Control</w:t>
      </w:r>
      <w:r w:rsidRPr="3C1A8BC8" w:rsidR="1F3215E5">
        <w:rPr>
          <w:rFonts w:ascii="Times New Roman" w:hAnsi="Times New Roman" w:eastAsia="Times New Roman" w:cs="Times New Roman"/>
          <w:noProof w:val="0"/>
          <w:sz w:val="24"/>
          <w:szCs w:val="24"/>
          <w:lang w:val="en-GB"/>
        </w:rPr>
        <w:t xml:space="preserve">, 31(2), pp.340–347. </w:t>
      </w:r>
    </w:p>
    <w:p xmlns:wp14="http://schemas.microsoft.com/office/word/2010/wordml" w:rsidP="3C1A8BC8" wp14:paraId="26901095" wp14:textId="4D1E056E">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Public Health Wales (2023) </w:t>
      </w:r>
      <w:r w:rsidRPr="3C1A8BC8" w:rsidR="1F3215E5">
        <w:rPr>
          <w:rFonts w:ascii="Times New Roman" w:hAnsi="Times New Roman" w:eastAsia="Times New Roman" w:cs="Times New Roman"/>
          <w:i w:val="1"/>
          <w:iCs w:val="1"/>
          <w:noProof w:val="0"/>
          <w:sz w:val="24"/>
          <w:szCs w:val="24"/>
          <w:lang w:val="en-GB"/>
        </w:rPr>
        <w:t>Working together for a healthier Wales. Our Long Term Strategy 2023-2035</w:t>
      </w:r>
      <w:r w:rsidRPr="3C1A8BC8" w:rsidR="1F3215E5">
        <w:rPr>
          <w:rFonts w:ascii="Times New Roman" w:hAnsi="Times New Roman" w:eastAsia="Times New Roman" w:cs="Times New Roman"/>
          <w:noProof w:val="0"/>
          <w:sz w:val="24"/>
          <w:szCs w:val="24"/>
          <w:lang w:val="en-GB"/>
        </w:rPr>
        <w:t xml:space="preserve">. Cardiff: Public Health Wales. Available at: </w:t>
      </w:r>
      <w:hyperlink r:id="R116f850c15c84688">
        <w:r w:rsidRPr="3C1A8BC8" w:rsidR="1F3215E5">
          <w:rPr>
            <w:rStyle w:val="Hyperlink"/>
            <w:noProof w:val="0"/>
            <w:lang w:val="en-GB"/>
          </w:rPr>
          <w:t>https://phw.nhs.wales/about-us/working-together-for-a-healthier-wales/phw-strategy-plain-eng-0523-pdf/</w:t>
        </w:r>
      </w:hyperlink>
      <w:r w:rsidRPr="3C1A8BC8" w:rsidR="1F3215E5">
        <w:rPr>
          <w:rFonts w:ascii="Times New Roman" w:hAnsi="Times New Roman" w:eastAsia="Times New Roman" w:cs="Times New Roman"/>
          <w:noProof w:val="0"/>
          <w:sz w:val="24"/>
          <w:szCs w:val="24"/>
          <w:lang w:val="en-GB"/>
        </w:rPr>
        <w:t>. (Accessed 16 Jan.2024).</w:t>
      </w:r>
    </w:p>
    <w:p xmlns:wp14="http://schemas.microsoft.com/office/word/2010/wordml" w:rsidP="3C1A8BC8" wp14:paraId="6963ECFD" wp14:textId="2DC46C8B">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Reed, H. (2021) </w:t>
      </w:r>
      <w:r w:rsidRPr="3C1A8BC8" w:rsidR="1F3215E5">
        <w:rPr>
          <w:rFonts w:ascii="Times New Roman" w:hAnsi="Times New Roman" w:eastAsia="Times New Roman" w:cs="Times New Roman"/>
          <w:i w:val="1"/>
          <w:iCs w:val="1"/>
          <w:noProof w:val="0"/>
          <w:sz w:val="24"/>
          <w:szCs w:val="24"/>
          <w:lang w:val="en-GB"/>
        </w:rPr>
        <w:t>Estimates of poverty in the UK adjusted for expenditure on tobacco -2021 update</w:t>
      </w:r>
      <w:r w:rsidRPr="3C1A8BC8" w:rsidR="1F3215E5">
        <w:rPr>
          <w:rFonts w:ascii="Times New Roman" w:hAnsi="Times New Roman" w:eastAsia="Times New Roman" w:cs="Times New Roman"/>
          <w:noProof w:val="0"/>
          <w:sz w:val="24"/>
          <w:szCs w:val="24"/>
          <w:lang w:val="en-GB"/>
        </w:rPr>
        <w:t xml:space="preserve">. Available at: </w:t>
      </w:r>
      <w:hyperlink r:id="R5c06411261154958">
        <w:r w:rsidRPr="3C1A8BC8" w:rsidR="1F3215E5">
          <w:rPr>
            <w:rStyle w:val="Hyperlink"/>
            <w:noProof w:val="0"/>
            <w:lang w:val="en-GB"/>
          </w:rPr>
          <w:t>https://ash.org.uk/uploads/Smoking-and-poverty-July-2021.pdf?v=1647950520</w:t>
        </w:r>
      </w:hyperlink>
      <w:r w:rsidRPr="3C1A8BC8" w:rsidR="1F3215E5">
        <w:rPr>
          <w:rFonts w:ascii="Times New Roman" w:hAnsi="Times New Roman" w:eastAsia="Times New Roman" w:cs="Times New Roman"/>
          <w:noProof w:val="0"/>
          <w:sz w:val="24"/>
          <w:szCs w:val="24"/>
          <w:lang w:val="en-GB"/>
        </w:rPr>
        <w:t xml:space="preserve"> (Accessed 17 Jan. 2024).</w:t>
      </w:r>
    </w:p>
    <w:p xmlns:wp14="http://schemas.microsoft.com/office/word/2010/wordml" w:rsidP="3C1A8BC8" wp14:paraId="7F395832" wp14:textId="523315C9">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Revie, L. and Mais, D. (2023) </w:t>
      </w:r>
      <w:r w:rsidRPr="3C1A8BC8" w:rsidR="1F3215E5">
        <w:rPr>
          <w:rFonts w:ascii="Times New Roman" w:hAnsi="Times New Roman" w:eastAsia="Times New Roman" w:cs="Times New Roman"/>
          <w:i w:val="1"/>
          <w:iCs w:val="1"/>
          <w:noProof w:val="0"/>
          <w:sz w:val="24"/>
          <w:szCs w:val="24"/>
          <w:lang w:val="en-GB"/>
        </w:rPr>
        <w:t>Adult Smoking Habits in the UK - Office for National Statistics</w:t>
      </w:r>
      <w:r w:rsidRPr="3C1A8BC8" w:rsidR="1F3215E5">
        <w:rPr>
          <w:rFonts w:ascii="Times New Roman" w:hAnsi="Times New Roman" w:eastAsia="Times New Roman" w:cs="Times New Roman"/>
          <w:noProof w:val="0"/>
          <w:sz w:val="24"/>
          <w:szCs w:val="24"/>
          <w:lang w:val="en-GB"/>
        </w:rPr>
        <w:t xml:space="preserve">. Office for National Statistics. Available at: </w:t>
      </w:r>
      <w:hyperlink r:id="Reb7f6bc3631347d3">
        <w:r w:rsidRPr="3C1A8BC8" w:rsidR="1F3215E5">
          <w:rPr>
            <w:rStyle w:val="Hyperlink"/>
            <w:noProof w:val="0"/>
            <w:lang w:val="en-GB"/>
          </w:rPr>
          <w:t>https://www.ons.gov.uk/peoplepopulationandcommunity/healthandsocialcare/healthandlifeexpectancies/bulletins/adultsmokinghabitsingreatbritain/2022</w:t>
        </w:r>
      </w:hyperlink>
      <w:r w:rsidRPr="3C1A8BC8" w:rsidR="1F3215E5">
        <w:rPr>
          <w:rFonts w:ascii="Times New Roman" w:hAnsi="Times New Roman" w:eastAsia="Times New Roman" w:cs="Times New Roman"/>
          <w:noProof w:val="0"/>
          <w:sz w:val="24"/>
          <w:szCs w:val="24"/>
          <w:lang w:val="en-GB"/>
        </w:rPr>
        <w:t xml:space="preserve"> (Accessed 16 Jan. 2024).</w:t>
      </w:r>
    </w:p>
    <w:p xmlns:wp14="http://schemas.microsoft.com/office/word/2010/wordml" w:rsidP="3C1A8BC8" wp14:paraId="281492E9" wp14:textId="26941376">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Semple, S., Dobson, R., O’Donnell, R., Abidin, E.Z., Tigova, O., Okello, G. and Fernández, E. (2022) Smoke-free spaces: a decade of progress, a need for more? </w:t>
      </w:r>
      <w:r w:rsidRPr="3C1A8BC8" w:rsidR="1F3215E5">
        <w:rPr>
          <w:rFonts w:ascii="Times New Roman" w:hAnsi="Times New Roman" w:eastAsia="Times New Roman" w:cs="Times New Roman"/>
          <w:i w:val="1"/>
          <w:iCs w:val="1"/>
          <w:noProof w:val="0"/>
          <w:sz w:val="24"/>
          <w:szCs w:val="24"/>
          <w:lang w:val="en-GB"/>
        </w:rPr>
        <w:t>Tobacco Control</w:t>
      </w:r>
      <w:r w:rsidRPr="3C1A8BC8" w:rsidR="1F3215E5">
        <w:rPr>
          <w:rFonts w:ascii="Times New Roman" w:hAnsi="Times New Roman" w:eastAsia="Times New Roman" w:cs="Times New Roman"/>
          <w:noProof w:val="0"/>
          <w:sz w:val="24"/>
          <w:szCs w:val="24"/>
          <w:lang w:val="en-GB"/>
        </w:rPr>
        <w:t xml:space="preserve">, 31(2), pp.250–256. </w:t>
      </w:r>
    </w:p>
    <w:p xmlns:wp14="http://schemas.microsoft.com/office/word/2010/wordml" w:rsidP="3C1A8BC8" wp14:paraId="730324A6" wp14:textId="65531286">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Smith, C.E., Hill, S.E. and Amos, A. (2019) Impact of specialist and primary care stop smoking support on socio‐economic inequalities in cessation in the United Kingdom: a systematic review and national equity initial review completed 22 January 2019; final version accepted 19 July 2019 analysis. </w:t>
      </w:r>
      <w:r w:rsidRPr="3C1A8BC8" w:rsidR="1F3215E5">
        <w:rPr>
          <w:rFonts w:ascii="Times New Roman" w:hAnsi="Times New Roman" w:eastAsia="Times New Roman" w:cs="Times New Roman"/>
          <w:i w:val="1"/>
          <w:iCs w:val="1"/>
          <w:noProof w:val="0"/>
          <w:sz w:val="24"/>
          <w:szCs w:val="24"/>
          <w:lang w:val="en-GB"/>
        </w:rPr>
        <w:t>Addiction</w:t>
      </w:r>
      <w:r w:rsidRPr="3C1A8BC8" w:rsidR="1F3215E5">
        <w:rPr>
          <w:rFonts w:ascii="Times New Roman" w:hAnsi="Times New Roman" w:eastAsia="Times New Roman" w:cs="Times New Roman"/>
          <w:noProof w:val="0"/>
          <w:sz w:val="24"/>
          <w:szCs w:val="24"/>
          <w:lang w:val="en-GB"/>
        </w:rPr>
        <w:t xml:space="preserve">, 115, pp.34–46. </w:t>
      </w:r>
    </w:p>
    <w:p xmlns:wp14="http://schemas.microsoft.com/office/word/2010/wordml" w:rsidP="3C1A8BC8" wp14:paraId="2214250C" wp14:textId="7CAE1E02">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The Health Foundation (2022) </w:t>
      </w:r>
      <w:r w:rsidRPr="3C1A8BC8" w:rsidR="1F3215E5">
        <w:rPr>
          <w:rFonts w:ascii="Times New Roman" w:hAnsi="Times New Roman" w:eastAsia="Times New Roman" w:cs="Times New Roman"/>
          <w:i w:val="1"/>
          <w:iCs w:val="1"/>
          <w:noProof w:val="0"/>
          <w:sz w:val="24"/>
          <w:szCs w:val="24"/>
          <w:lang w:val="en-GB"/>
        </w:rPr>
        <w:t>Life expectancy and healthy life expectancy at birth by deprivation</w:t>
      </w:r>
      <w:r w:rsidRPr="3C1A8BC8" w:rsidR="1F3215E5">
        <w:rPr>
          <w:rFonts w:ascii="Times New Roman" w:hAnsi="Times New Roman" w:eastAsia="Times New Roman" w:cs="Times New Roman"/>
          <w:noProof w:val="0"/>
          <w:sz w:val="24"/>
          <w:szCs w:val="24"/>
          <w:lang w:val="en-GB"/>
        </w:rPr>
        <w:t xml:space="preserve">. London: Health Foundation. Available at: </w:t>
      </w:r>
      <w:hyperlink r:id="Rc1f5a89802114ad6">
        <w:r w:rsidRPr="3C1A8BC8" w:rsidR="1F3215E5">
          <w:rPr>
            <w:rStyle w:val="Hyperlink"/>
            <w:noProof w:val="0"/>
            <w:lang w:val="en-GB"/>
          </w:rPr>
          <w:t>https://www.health.org.uk/evidence-hub/health-inequalities/life-expectancy-and-healthy-life-expectancy-at-birth-by-deprivation</w:t>
        </w:r>
      </w:hyperlink>
      <w:r w:rsidRPr="3C1A8BC8" w:rsidR="1F3215E5">
        <w:rPr>
          <w:rFonts w:ascii="Times New Roman" w:hAnsi="Times New Roman" w:eastAsia="Times New Roman" w:cs="Times New Roman"/>
          <w:noProof w:val="0"/>
          <w:sz w:val="24"/>
          <w:szCs w:val="24"/>
          <w:lang w:val="en-GB"/>
        </w:rPr>
        <w:t xml:space="preserve"> (Accessed 17 Jan. 2024).</w:t>
      </w:r>
    </w:p>
    <w:p xmlns:wp14="http://schemas.microsoft.com/office/word/2010/wordml" w:rsidP="3C1A8BC8" wp14:paraId="6F31D6B2" wp14:textId="27651A2A">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Timberlake, D.S., Laitinen, U., Kinnunen, J.M. and Rimpela, A.H. (2020) Strategies and barriers to achieving the goal of Finland’s tobacco endgame. </w:t>
      </w:r>
      <w:r w:rsidRPr="3C1A8BC8" w:rsidR="1F3215E5">
        <w:rPr>
          <w:rFonts w:ascii="Times New Roman" w:hAnsi="Times New Roman" w:eastAsia="Times New Roman" w:cs="Times New Roman"/>
          <w:i w:val="1"/>
          <w:iCs w:val="1"/>
          <w:noProof w:val="0"/>
          <w:sz w:val="24"/>
          <w:szCs w:val="24"/>
          <w:lang w:val="en-GB"/>
        </w:rPr>
        <w:t>Tobacco Control</w:t>
      </w:r>
      <w:r w:rsidRPr="3C1A8BC8" w:rsidR="1F3215E5">
        <w:rPr>
          <w:rFonts w:ascii="Times New Roman" w:hAnsi="Times New Roman" w:eastAsia="Times New Roman" w:cs="Times New Roman"/>
          <w:noProof w:val="0"/>
          <w:sz w:val="24"/>
          <w:szCs w:val="24"/>
          <w:lang w:val="en-GB"/>
        </w:rPr>
        <w:t>, 29(4), pp.398–404.</w:t>
      </w:r>
    </w:p>
    <w:p xmlns:wp14="http://schemas.microsoft.com/office/word/2010/wordml" w:rsidP="3C1A8BC8" wp14:paraId="1069ED07" wp14:textId="2ED38570">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Torrance, D. (2023) </w:t>
      </w:r>
      <w:r w:rsidRPr="3C1A8BC8" w:rsidR="1F3215E5">
        <w:rPr>
          <w:rFonts w:ascii="Times New Roman" w:hAnsi="Times New Roman" w:eastAsia="Times New Roman" w:cs="Times New Roman"/>
          <w:i w:val="1"/>
          <w:iCs w:val="1"/>
          <w:noProof w:val="0"/>
          <w:sz w:val="24"/>
          <w:szCs w:val="24"/>
          <w:lang w:val="en-GB"/>
        </w:rPr>
        <w:t>Devolution in Wales: ‘A process, not an event’</w:t>
      </w:r>
      <w:r w:rsidRPr="3C1A8BC8" w:rsidR="1F3215E5">
        <w:rPr>
          <w:rFonts w:ascii="Times New Roman" w:hAnsi="Times New Roman" w:eastAsia="Times New Roman" w:cs="Times New Roman"/>
          <w:noProof w:val="0"/>
          <w:sz w:val="24"/>
          <w:szCs w:val="24"/>
          <w:lang w:val="en-GB"/>
        </w:rPr>
        <w:t xml:space="preserve">. Cardiff: House of Commons Library. Available at: </w:t>
      </w:r>
      <w:hyperlink r:id="R9cfe64bf046c483a">
        <w:r w:rsidRPr="3C1A8BC8" w:rsidR="1F3215E5">
          <w:rPr>
            <w:rStyle w:val="Hyperlink"/>
            <w:noProof w:val="0"/>
            <w:lang w:val="en-GB"/>
          </w:rPr>
          <w:t>https://commonslibrary.parliament.uk/research-briefings/cbp-8318/</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4B968CF9" wp14:textId="4A9DB4BE">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United Nations (1987) </w:t>
      </w:r>
      <w:r w:rsidRPr="3C1A8BC8" w:rsidR="1F3215E5">
        <w:rPr>
          <w:rFonts w:ascii="Times New Roman" w:hAnsi="Times New Roman" w:eastAsia="Times New Roman" w:cs="Times New Roman"/>
          <w:i w:val="1"/>
          <w:iCs w:val="1"/>
          <w:noProof w:val="0"/>
          <w:sz w:val="24"/>
          <w:szCs w:val="24"/>
          <w:lang w:val="en-GB"/>
        </w:rPr>
        <w:t>Report of the World Commission on Environment and Development: Our Common Future</w:t>
      </w:r>
      <w:r w:rsidRPr="3C1A8BC8" w:rsidR="1F3215E5">
        <w:rPr>
          <w:rFonts w:ascii="Times New Roman" w:hAnsi="Times New Roman" w:eastAsia="Times New Roman" w:cs="Times New Roman"/>
          <w:noProof w:val="0"/>
          <w:sz w:val="24"/>
          <w:szCs w:val="24"/>
          <w:lang w:val="en-GB"/>
        </w:rPr>
        <w:t xml:space="preserve">. New York: United Nations. General Assembly document A/42/427, p.41. Available at: </w:t>
      </w:r>
      <w:hyperlink r:id="R77bd44211b0744a6">
        <w:r w:rsidRPr="3C1A8BC8" w:rsidR="1F3215E5">
          <w:rPr>
            <w:rStyle w:val="Hyperlink"/>
            <w:noProof w:val="0"/>
            <w:lang w:val="en-GB"/>
          </w:rPr>
          <w:t>https://sustainabledevelopment.un.org/content/documents/5987our-common-future.pdf</w:t>
        </w:r>
      </w:hyperlink>
      <w:r w:rsidRPr="3C1A8BC8" w:rsidR="1F3215E5">
        <w:rPr>
          <w:rFonts w:ascii="Times New Roman" w:hAnsi="Times New Roman" w:eastAsia="Times New Roman" w:cs="Times New Roman"/>
          <w:noProof w:val="0"/>
          <w:sz w:val="24"/>
          <w:szCs w:val="24"/>
          <w:lang w:val="en-GB"/>
        </w:rPr>
        <w:t xml:space="preserve"> (Accessed 14 Jan. 2024).</w:t>
      </w:r>
    </w:p>
    <w:p xmlns:wp14="http://schemas.microsoft.com/office/word/2010/wordml" w:rsidP="3C1A8BC8" wp14:paraId="38812EA1" wp14:textId="1426A77D">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United Nations (2015) </w:t>
      </w:r>
      <w:r w:rsidRPr="3C1A8BC8" w:rsidR="1F3215E5">
        <w:rPr>
          <w:rFonts w:ascii="Times New Roman" w:hAnsi="Times New Roman" w:eastAsia="Times New Roman" w:cs="Times New Roman"/>
          <w:i w:val="1"/>
          <w:iCs w:val="1"/>
          <w:noProof w:val="0"/>
          <w:sz w:val="24"/>
          <w:szCs w:val="24"/>
          <w:lang w:val="en-GB"/>
        </w:rPr>
        <w:t>The millennium development goals report</w:t>
      </w:r>
      <w:r w:rsidRPr="3C1A8BC8" w:rsidR="1F3215E5">
        <w:rPr>
          <w:rFonts w:ascii="Times New Roman" w:hAnsi="Times New Roman" w:eastAsia="Times New Roman" w:cs="Times New Roman"/>
          <w:noProof w:val="0"/>
          <w:sz w:val="24"/>
          <w:szCs w:val="24"/>
          <w:lang w:val="en-GB"/>
        </w:rPr>
        <w:t xml:space="preserve">. [online] </w:t>
      </w:r>
      <w:r w:rsidRPr="3C1A8BC8" w:rsidR="1F3215E5">
        <w:rPr>
          <w:rFonts w:ascii="Times New Roman" w:hAnsi="Times New Roman" w:eastAsia="Times New Roman" w:cs="Times New Roman"/>
          <w:i w:val="1"/>
          <w:iCs w:val="1"/>
          <w:noProof w:val="0"/>
          <w:sz w:val="24"/>
          <w:szCs w:val="24"/>
          <w:lang w:val="en-GB"/>
        </w:rPr>
        <w:t>United Nations</w:t>
      </w:r>
      <w:r w:rsidRPr="3C1A8BC8" w:rsidR="1F3215E5">
        <w:rPr>
          <w:rFonts w:ascii="Times New Roman" w:hAnsi="Times New Roman" w:eastAsia="Times New Roman" w:cs="Times New Roman"/>
          <w:noProof w:val="0"/>
          <w:sz w:val="24"/>
          <w:szCs w:val="24"/>
          <w:lang w:val="en-GB"/>
        </w:rPr>
        <w:t xml:space="preserve">. New York: United Nations. Available at: </w:t>
      </w:r>
      <w:hyperlink r:id="Rbd34cef5846c4f45">
        <w:r w:rsidRPr="3C1A8BC8" w:rsidR="1F3215E5">
          <w:rPr>
            <w:rStyle w:val="Hyperlink"/>
            <w:noProof w:val="0"/>
            <w:lang w:val="en-GB"/>
          </w:rPr>
          <w:t>https://www.un.org/millenniumgoals/2015_MDG_Report/pdf/MDG%202015%20rev%20(July%201).pdf</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2DB1EA65" wp14:textId="5AB207B9">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Velenturf, A.P.M. and Purnell, P. (2021) Principles for a Sustainable Circular Economy. </w:t>
      </w:r>
      <w:r w:rsidRPr="3C1A8BC8" w:rsidR="1F3215E5">
        <w:rPr>
          <w:rFonts w:ascii="Times New Roman" w:hAnsi="Times New Roman" w:eastAsia="Times New Roman" w:cs="Times New Roman"/>
          <w:i w:val="1"/>
          <w:iCs w:val="1"/>
          <w:noProof w:val="0"/>
          <w:sz w:val="24"/>
          <w:szCs w:val="24"/>
          <w:lang w:val="en-GB"/>
        </w:rPr>
        <w:t>Sustainable Production and Consumption</w:t>
      </w:r>
      <w:r w:rsidRPr="3C1A8BC8" w:rsidR="1F3215E5">
        <w:rPr>
          <w:rFonts w:ascii="Times New Roman" w:hAnsi="Times New Roman" w:eastAsia="Times New Roman" w:cs="Times New Roman"/>
          <w:noProof w:val="0"/>
          <w:sz w:val="24"/>
          <w:szCs w:val="24"/>
          <w:lang w:val="en-GB"/>
        </w:rPr>
        <w:t xml:space="preserve">, 27(1), pp.1437–1457. </w:t>
      </w:r>
    </w:p>
    <w:p xmlns:wp14="http://schemas.microsoft.com/office/word/2010/wordml" w:rsidP="3C1A8BC8" wp14:paraId="61D6123A" wp14:textId="24CDB2E6">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Warwick-Booth, L., Cross, R. and Lowcock, D. (2021) </w:t>
      </w:r>
      <w:r w:rsidRPr="3C1A8BC8" w:rsidR="1F3215E5">
        <w:rPr>
          <w:rFonts w:ascii="Times New Roman" w:hAnsi="Times New Roman" w:eastAsia="Times New Roman" w:cs="Times New Roman"/>
          <w:i w:val="1"/>
          <w:iCs w:val="1"/>
          <w:noProof w:val="0"/>
          <w:sz w:val="24"/>
          <w:szCs w:val="24"/>
          <w:lang w:val="en-GB"/>
        </w:rPr>
        <w:t>Contemporary health studies: an introduction</w:t>
      </w:r>
      <w:r w:rsidRPr="3C1A8BC8" w:rsidR="1F3215E5">
        <w:rPr>
          <w:rFonts w:ascii="Times New Roman" w:hAnsi="Times New Roman" w:eastAsia="Times New Roman" w:cs="Times New Roman"/>
          <w:noProof w:val="0"/>
          <w:sz w:val="24"/>
          <w:szCs w:val="24"/>
          <w:lang w:val="en-GB"/>
        </w:rPr>
        <w:t xml:space="preserve">. Cambridge: Polity. Available at: </w:t>
      </w:r>
      <w:hyperlink w:anchor="v=onepage&amp;q=Contemporary%20Health%20Studies%3A%20An%20Introduction.&amp;f=false" r:id="R44071b63bba44710">
        <w:r w:rsidRPr="3C1A8BC8" w:rsidR="1F3215E5">
          <w:rPr>
            <w:rStyle w:val="Hyperlink"/>
            <w:noProof w:val="0"/>
            <w:lang w:val="en-GB"/>
          </w:rPr>
          <w:t>https://books.google.co.uk/books?hl=ro&amp;lr=&amp;id=Q_ErEAAAQBAJ&amp;oi=fnd&amp;pg=PT12&amp;dq=Contemporary+Health+Studies:+An+Introduction.+&amp;ots=XekakXxGem&amp;sig=-5XBSKyjlrC2d8c23mABl4gX_xA&amp;redir_esc=y#v=onepage&amp;q=Contemporary%20Health%20Studies%3A%20An%20Introduction.&amp;f=false</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422773DE" wp14:textId="0763F919">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Welsh Government (2019) </w:t>
      </w:r>
      <w:r w:rsidRPr="3C1A8BC8" w:rsidR="1F3215E5">
        <w:rPr>
          <w:rFonts w:ascii="Times New Roman" w:hAnsi="Times New Roman" w:eastAsia="Times New Roman" w:cs="Times New Roman"/>
          <w:i w:val="1"/>
          <w:iCs w:val="1"/>
          <w:noProof w:val="0"/>
          <w:sz w:val="24"/>
          <w:szCs w:val="24"/>
          <w:lang w:val="en-GB"/>
        </w:rPr>
        <w:t>NHS Wales Planning Framework 2020/2023</w:t>
      </w:r>
      <w:r w:rsidRPr="3C1A8BC8" w:rsidR="1F3215E5">
        <w:rPr>
          <w:rFonts w:ascii="Times New Roman" w:hAnsi="Times New Roman" w:eastAsia="Times New Roman" w:cs="Times New Roman"/>
          <w:noProof w:val="0"/>
          <w:sz w:val="24"/>
          <w:szCs w:val="24"/>
          <w:lang w:val="en-GB"/>
        </w:rPr>
        <w:t xml:space="preserve">. Cardiff: Welsh Government. Available at: </w:t>
      </w:r>
      <w:hyperlink r:id="Rfc05b75bbc57415b">
        <w:r w:rsidRPr="3C1A8BC8" w:rsidR="1F3215E5">
          <w:rPr>
            <w:rStyle w:val="Hyperlink"/>
            <w:noProof w:val="0"/>
            <w:lang w:val="en-GB"/>
          </w:rPr>
          <w:t>https://www.gov.wales/sites/default/files/publications/2019-09/nhs-wales-planning-framework-2020-to-2023.pdf</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7F726FA3" wp14:textId="2B633C6B">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Welsh Government (2021) </w:t>
      </w:r>
      <w:r w:rsidRPr="3C1A8BC8" w:rsidR="1F3215E5">
        <w:rPr>
          <w:rFonts w:ascii="Times New Roman" w:hAnsi="Times New Roman" w:eastAsia="Times New Roman" w:cs="Times New Roman"/>
          <w:i w:val="1"/>
          <w:iCs w:val="1"/>
          <w:noProof w:val="0"/>
          <w:sz w:val="24"/>
          <w:szCs w:val="24"/>
          <w:lang w:val="en-GB"/>
        </w:rPr>
        <w:t>Well-being of Future Generations (Wales) Act 2015. 3rd. edition</w:t>
      </w:r>
      <w:r w:rsidRPr="3C1A8BC8" w:rsidR="1F3215E5">
        <w:rPr>
          <w:rFonts w:ascii="Times New Roman" w:hAnsi="Times New Roman" w:eastAsia="Times New Roman" w:cs="Times New Roman"/>
          <w:noProof w:val="0"/>
          <w:sz w:val="24"/>
          <w:szCs w:val="24"/>
          <w:lang w:val="en-GB"/>
        </w:rPr>
        <w:t xml:space="preserve">. Cardiff: Welsh Government. Available at: </w:t>
      </w:r>
      <w:hyperlink r:id="Ra877199b9c1743d1">
        <w:r w:rsidRPr="3C1A8BC8" w:rsidR="1F3215E5">
          <w:rPr>
            <w:rStyle w:val="Hyperlink"/>
            <w:noProof w:val="0"/>
            <w:lang w:val="en-GB"/>
          </w:rPr>
          <w:t>https://www.gov.wales/sites/default/files/publications/2021-10/well-being-future-generations-wales-act-2015-the-essentials-2021.pdf</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2DBBF096" wp14:textId="16C28E00">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Welsh Government (2022) </w:t>
      </w:r>
      <w:r w:rsidRPr="3C1A8BC8" w:rsidR="1F3215E5">
        <w:rPr>
          <w:rFonts w:ascii="Times New Roman" w:hAnsi="Times New Roman" w:eastAsia="Times New Roman" w:cs="Times New Roman"/>
          <w:i w:val="1"/>
          <w:iCs w:val="1"/>
          <w:noProof w:val="0"/>
          <w:sz w:val="24"/>
          <w:szCs w:val="24"/>
          <w:lang w:val="en-GB"/>
        </w:rPr>
        <w:t>Towards a Smoke-free Wales Tobacco Control Delivery Plan 2022-2024</w:t>
      </w:r>
      <w:r w:rsidRPr="3C1A8BC8" w:rsidR="1F3215E5">
        <w:rPr>
          <w:rFonts w:ascii="Times New Roman" w:hAnsi="Times New Roman" w:eastAsia="Times New Roman" w:cs="Times New Roman"/>
          <w:noProof w:val="0"/>
          <w:sz w:val="24"/>
          <w:szCs w:val="24"/>
          <w:lang w:val="en-GB"/>
        </w:rPr>
        <w:t xml:space="preserve">. Cardiff: Welsh Government. Available at: </w:t>
      </w:r>
      <w:hyperlink r:id="Rf622dc51c4874545">
        <w:r w:rsidRPr="3C1A8BC8" w:rsidR="1F3215E5">
          <w:rPr>
            <w:rStyle w:val="Hyperlink"/>
            <w:noProof w:val="0"/>
            <w:lang w:val="en-GB"/>
          </w:rPr>
          <w:t>https://www.gov.wales/sites/default/files/publications/2022-07/tobacco-control-delivery-plan-2022-2024.pdf</w:t>
        </w:r>
      </w:hyperlink>
      <w:r w:rsidRPr="3C1A8BC8" w:rsidR="1F3215E5">
        <w:rPr>
          <w:rFonts w:ascii="Times New Roman" w:hAnsi="Times New Roman" w:eastAsia="Times New Roman" w:cs="Times New Roman"/>
          <w:noProof w:val="0"/>
          <w:sz w:val="24"/>
          <w:szCs w:val="24"/>
          <w:lang w:val="en-GB"/>
        </w:rPr>
        <w:t xml:space="preserve"> (Accessed 17 Jan. 2024).</w:t>
      </w:r>
    </w:p>
    <w:p xmlns:wp14="http://schemas.microsoft.com/office/word/2010/wordml" w:rsidP="3C1A8BC8" wp14:paraId="4B98C856" wp14:textId="115890D7">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Welsh Government (2022a). </w:t>
      </w:r>
      <w:r w:rsidRPr="3C1A8BC8" w:rsidR="1F3215E5">
        <w:rPr>
          <w:rFonts w:ascii="Times New Roman" w:hAnsi="Times New Roman" w:eastAsia="Times New Roman" w:cs="Times New Roman"/>
          <w:i w:val="1"/>
          <w:iCs w:val="1"/>
          <w:noProof w:val="0"/>
          <w:sz w:val="24"/>
          <w:szCs w:val="24"/>
          <w:lang w:val="en-GB"/>
        </w:rPr>
        <w:t>Wales’ new Future Generations Commissioner announced</w:t>
      </w:r>
      <w:r w:rsidRPr="3C1A8BC8" w:rsidR="1F3215E5">
        <w:rPr>
          <w:rFonts w:ascii="Times New Roman" w:hAnsi="Times New Roman" w:eastAsia="Times New Roman" w:cs="Times New Roman"/>
          <w:noProof w:val="0"/>
          <w:sz w:val="24"/>
          <w:szCs w:val="24"/>
          <w:lang w:val="en-GB"/>
        </w:rPr>
        <w:t xml:space="preserve">. GOV.WALES. Available at: </w:t>
      </w:r>
      <w:hyperlink r:id="R4f7a23c9601c4aa5">
        <w:r w:rsidRPr="3C1A8BC8" w:rsidR="1F3215E5">
          <w:rPr>
            <w:rStyle w:val="Hyperlink"/>
            <w:noProof w:val="0"/>
            <w:lang w:val="en-GB"/>
          </w:rPr>
          <w:t>https://www.gov.wales/wales-new-future-generations-commissioner-announced</w:t>
        </w:r>
      </w:hyperlink>
      <w:r w:rsidRPr="3C1A8BC8" w:rsidR="1F3215E5">
        <w:rPr>
          <w:rFonts w:ascii="Times New Roman" w:hAnsi="Times New Roman" w:eastAsia="Times New Roman" w:cs="Times New Roman"/>
          <w:noProof w:val="0"/>
          <w:sz w:val="24"/>
          <w:szCs w:val="24"/>
          <w:lang w:val="en-GB"/>
        </w:rPr>
        <w:t xml:space="preserve"> (Accessed 16 Jan. 2024).</w:t>
      </w:r>
    </w:p>
    <w:p xmlns:wp14="http://schemas.microsoft.com/office/word/2010/wordml" w:rsidP="3C1A8BC8" wp14:paraId="4D466A05" wp14:textId="12A8EAE3">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Welsh Government (2023) </w:t>
      </w:r>
      <w:r w:rsidRPr="3C1A8BC8" w:rsidR="1F3215E5">
        <w:rPr>
          <w:rFonts w:ascii="Times New Roman" w:hAnsi="Times New Roman" w:eastAsia="Times New Roman" w:cs="Times New Roman"/>
          <w:i w:val="1"/>
          <w:iCs w:val="1"/>
          <w:noProof w:val="0"/>
          <w:sz w:val="24"/>
          <w:szCs w:val="24"/>
          <w:lang w:val="en-GB"/>
        </w:rPr>
        <w:t>Shaping Our Health. Chief Medical Officer for Wales annual report 2023</w:t>
      </w:r>
      <w:r w:rsidRPr="3C1A8BC8" w:rsidR="1F3215E5">
        <w:rPr>
          <w:rFonts w:ascii="Times New Roman" w:hAnsi="Times New Roman" w:eastAsia="Times New Roman" w:cs="Times New Roman"/>
          <w:noProof w:val="0"/>
          <w:sz w:val="24"/>
          <w:szCs w:val="24"/>
          <w:lang w:val="en-GB"/>
        </w:rPr>
        <w:t xml:space="preserve">. Cardiff: Welsh Government. Available at: </w:t>
      </w:r>
      <w:hyperlink r:id="R19304fa8ec414e40">
        <w:r w:rsidRPr="3C1A8BC8" w:rsidR="1F3215E5">
          <w:rPr>
            <w:rStyle w:val="Hyperlink"/>
            <w:noProof w:val="0"/>
            <w:lang w:val="en-GB"/>
          </w:rPr>
          <w:t>https://www.gov.wales/sites/default/files/publications/2023-11/chief-medical-officer-for-wales-annual-report-2023_0.pdf</w:t>
        </w:r>
      </w:hyperlink>
      <w:r w:rsidRPr="3C1A8BC8" w:rsidR="1F3215E5">
        <w:rPr>
          <w:rFonts w:ascii="Times New Roman" w:hAnsi="Times New Roman" w:eastAsia="Times New Roman" w:cs="Times New Roman"/>
          <w:noProof w:val="0"/>
          <w:sz w:val="24"/>
          <w:szCs w:val="24"/>
          <w:lang w:val="en-GB"/>
        </w:rPr>
        <w:t xml:space="preserve"> (Accessed 17 Jan. 2024).</w:t>
      </w:r>
    </w:p>
    <w:p xmlns:wp14="http://schemas.microsoft.com/office/word/2010/wordml" w:rsidP="3C1A8BC8" wp14:paraId="5172B808" wp14:textId="779E1CEC">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Woodbridge, M. (2015) From MDGs to SDGs: What are the Sustainable Development Goals? </w:t>
      </w:r>
      <w:r w:rsidRPr="3C1A8BC8" w:rsidR="1F3215E5">
        <w:rPr>
          <w:rFonts w:ascii="Times New Roman" w:hAnsi="Times New Roman" w:eastAsia="Times New Roman" w:cs="Times New Roman"/>
          <w:i w:val="1"/>
          <w:iCs w:val="1"/>
          <w:noProof w:val="0"/>
          <w:sz w:val="24"/>
          <w:szCs w:val="24"/>
          <w:lang w:val="en-GB"/>
        </w:rPr>
        <w:t>ICLEI Briefing Sheet - Urban Issues</w:t>
      </w:r>
      <w:r w:rsidRPr="3C1A8BC8" w:rsidR="1F3215E5">
        <w:rPr>
          <w:rFonts w:ascii="Times New Roman" w:hAnsi="Times New Roman" w:eastAsia="Times New Roman" w:cs="Times New Roman"/>
          <w:noProof w:val="0"/>
          <w:sz w:val="24"/>
          <w:szCs w:val="24"/>
          <w:lang w:val="en-GB"/>
        </w:rPr>
        <w:t xml:space="preserve">, 1, pp.1–4. Available at: </w:t>
      </w:r>
      <w:hyperlink r:id="R8271d9e8918a4de3">
        <w:r w:rsidRPr="3C1A8BC8" w:rsidR="1F3215E5">
          <w:rPr>
            <w:rStyle w:val="Hyperlink"/>
            <w:noProof w:val="0"/>
            <w:lang w:val="en-GB"/>
          </w:rPr>
          <w:t>https://www.local2030.org/library/251/From-MDGs-to-SDGs-What-are-the-Sustainable-Development-Goals.pdf</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14AE747A" wp14:textId="101B7B37">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World Health Organisation (2018) </w:t>
      </w:r>
      <w:r w:rsidRPr="3C1A8BC8" w:rsidR="1F3215E5">
        <w:rPr>
          <w:rFonts w:ascii="Times New Roman" w:hAnsi="Times New Roman" w:eastAsia="Times New Roman" w:cs="Times New Roman"/>
          <w:i w:val="1"/>
          <w:iCs w:val="1"/>
          <w:noProof w:val="0"/>
          <w:sz w:val="24"/>
          <w:szCs w:val="24"/>
          <w:lang w:val="en-GB"/>
        </w:rPr>
        <w:t>Millennium Development Goals (MDGs)</w:t>
      </w:r>
      <w:r w:rsidRPr="3C1A8BC8" w:rsidR="1F3215E5">
        <w:rPr>
          <w:rFonts w:ascii="Times New Roman" w:hAnsi="Times New Roman" w:eastAsia="Times New Roman" w:cs="Times New Roman"/>
          <w:noProof w:val="0"/>
          <w:sz w:val="24"/>
          <w:szCs w:val="24"/>
          <w:lang w:val="en-GB"/>
        </w:rPr>
        <w:t xml:space="preserve">. World Health Organization. Available at: </w:t>
      </w:r>
      <w:hyperlink r:id="R4d03ddeaf22a49bb">
        <w:r w:rsidRPr="3C1A8BC8" w:rsidR="1F3215E5">
          <w:rPr>
            <w:rStyle w:val="Hyperlink"/>
            <w:noProof w:val="0"/>
            <w:lang w:val="en-GB"/>
          </w:rPr>
          <w:t>https://www.who.int/news-room/fact-sheets/detail/millennium-development-goals-(mdgs</w:t>
        </w:r>
      </w:hyperlink>
      <w:r w:rsidRPr="3C1A8BC8" w:rsidR="1F3215E5">
        <w:rPr>
          <w:rFonts w:ascii="Times New Roman" w:hAnsi="Times New Roman" w:eastAsia="Times New Roman" w:cs="Times New Roman"/>
          <w:noProof w:val="0"/>
          <w:sz w:val="24"/>
          <w:szCs w:val="24"/>
          <w:lang w:val="en-GB"/>
        </w:rPr>
        <w:t>) (Accessed 15 Jan. 2024).</w:t>
      </w:r>
    </w:p>
    <w:p xmlns:wp14="http://schemas.microsoft.com/office/word/2010/wordml" w:rsidP="3C1A8BC8" wp14:paraId="6675CD39" wp14:textId="6766DBD0">
      <w:pPr>
        <w:spacing w:before="0" w:beforeAutospacing="off" w:after="240" w:afterAutospacing="off" w:line="360" w:lineRule="auto"/>
      </w:pPr>
      <w:r w:rsidRPr="3C1A8BC8" w:rsidR="1F3215E5">
        <w:rPr>
          <w:rFonts w:ascii="Times New Roman" w:hAnsi="Times New Roman" w:eastAsia="Times New Roman" w:cs="Times New Roman"/>
          <w:noProof w:val="0"/>
          <w:sz w:val="24"/>
          <w:szCs w:val="24"/>
          <w:lang w:val="en-GB"/>
        </w:rPr>
        <w:t xml:space="preserve">World Health Organization (2024) </w:t>
      </w:r>
      <w:r w:rsidRPr="3C1A8BC8" w:rsidR="1F3215E5">
        <w:rPr>
          <w:rFonts w:ascii="Times New Roman" w:hAnsi="Times New Roman" w:eastAsia="Times New Roman" w:cs="Times New Roman"/>
          <w:i w:val="1"/>
          <w:iCs w:val="1"/>
          <w:noProof w:val="0"/>
          <w:sz w:val="24"/>
          <w:szCs w:val="24"/>
          <w:lang w:val="en-GB"/>
        </w:rPr>
        <w:t>Constitution of the World Health Organization</w:t>
      </w:r>
      <w:r w:rsidRPr="3C1A8BC8" w:rsidR="1F3215E5">
        <w:rPr>
          <w:rFonts w:ascii="Times New Roman" w:hAnsi="Times New Roman" w:eastAsia="Times New Roman" w:cs="Times New Roman"/>
          <w:noProof w:val="0"/>
          <w:sz w:val="24"/>
          <w:szCs w:val="24"/>
          <w:lang w:val="en-GB"/>
        </w:rPr>
        <w:t xml:space="preserve">. World Health Organisation. Available at: </w:t>
      </w:r>
      <w:hyperlink r:id="R28b96682c5d94826">
        <w:r w:rsidRPr="3C1A8BC8" w:rsidR="1F3215E5">
          <w:rPr>
            <w:rStyle w:val="Hyperlink"/>
            <w:noProof w:val="0"/>
            <w:lang w:val="en-GB"/>
          </w:rPr>
          <w:t>https://www.who.int/about/accountability/governance/constitution</w:t>
        </w:r>
      </w:hyperlink>
      <w:r w:rsidRPr="3C1A8BC8" w:rsidR="1F3215E5">
        <w:rPr>
          <w:rFonts w:ascii="Times New Roman" w:hAnsi="Times New Roman" w:eastAsia="Times New Roman" w:cs="Times New Roman"/>
          <w:noProof w:val="0"/>
          <w:sz w:val="24"/>
          <w:szCs w:val="24"/>
          <w:lang w:val="en-GB"/>
        </w:rPr>
        <w:t xml:space="preserve"> (Accessed 15 Jan. 2024).</w:t>
      </w:r>
    </w:p>
    <w:p xmlns:wp14="http://schemas.microsoft.com/office/word/2010/wordml" w:rsidP="3C1A8BC8" wp14:paraId="24EBBDCA" wp14:textId="3F2716B3">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45486C35" wp14:textId="775234D5">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33857543" wp14:textId="17061BE3">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6A93691B" wp14:textId="4055DD60">
      <w:pPr>
        <w:spacing w:before="0" w:beforeAutospacing="off" w:after="0" w:afterAutospacing="off" w:line="360" w:lineRule="auto"/>
      </w:pPr>
      <w:r w:rsidRPr="3C1A8BC8" w:rsidR="1F3215E5">
        <w:rPr>
          <w:rFonts w:ascii="Times New Roman" w:hAnsi="Times New Roman" w:eastAsia="Times New Roman" w:cs="Times New Roman"/>
          <w:noProof w:val="0"/>
          <w:sz w:val="24"/>
          <w:szCs w:val="24"/>
          <w:lang w:val="en-GB"/>
        </w:rPr>
        <w:t xml:space="preserve"> </w:t>
      </w:r>
    </w:p>
    <w:p xmlns:wp14="http://schemas.microsoft.com/office/word/2010/wordml" w:rsidP="3C1A8BC8" wp14:paraId="6375B83A" wp14:textId="77FFCDB7">
      <w:pPr>
        <w:spacing w:before="0" w:beforeAutospacing="off" w:after="0" w:afterAutospacing="off" w:line="360" w:lineRule="auto"/>
        <w:rPr>
          <w:rFonts w:ascii="Times New Roman" w:hAnsi="Times New Roman" w:eastAsia="Times New Roman" w:cs="Times New Roman"/>
          <w:noProof w:val="0"/>
          <w:sz w:val="24"/>
          <w:szCs w:val="24"/>
          <w:lang w:val="en-GB"/>
        </w:rPr>
      </w:pPr>
    </w:p>
    <w:p xmlns:wp14="http://schemas.microsoft.com/office/word/2010/wordml" w:rsidP="3C1A8BC8" wp14:paraId="5E5787A5" wp14:textId="0F8709E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659A69"/>
    <w:rsid w:val="12980DC4"/>
    <w:rsid w:val="15C88C3D"/>
    <w:rsid w:val="1A4E3559"/>
    <w:rsid w:val="1F3215E5"/>
    <w:rsid w:val="239CCA15"/>
    <w:rsid w:val="23AF1862"/>
    <w:rsid w:val="2A60C68A"/>
    <w:rsid w:val="329171C3"/>
    <w:rsid w:val="3C1A8BC8"/>
    <w:rsid w:val="44659A69"/>
    <w:rsid w:val="44FC7A8C"/>
    <w:rsid w:val="4F507753"/>
    <w:rsid w:val="5E3EC7DC"/>
    <w:rsid w:val="6E402ED8"/>
    <w:rsid w:val="7303FD32"/>
    <w:rsid w:val="785B6A05"/>
    <w:rsid w:val="79F0B900"/>
    <w:rsid w:val="7C1E7EE5"/>
    <w:rsid w:val="7C6EEF27"/>
    <w:rsid w:val="7D200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847B1"/>
  <w15:chartTrackingRefBased/>
  <w15:docId w15:val="{44606F98-25D5-4DF0-8C61-C392A25DBE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ooks.google.co.uk/books?hl=ro&amp;lr=&amp;id=wPAjDgAAQBAJ&amp;oi=fnd&amp;pg=PP1&amp;dq=Global+Health:+Issues" TargetMode="External" Id="R6bfadf51272043ac" /><Relationship Type="http://schemas.openxmlformats.org/officeDocument/2006/relationships/hyperlink" Target="https://ash.wales/stopioctober-2022-press-release/" TargetMode="External" Id="R465b4921a41d4aba" /><Relationship Type="http://schemas.openxmlformats.org/officeDocument/2006/relationships/hyperlink" Target="https://www.gov.uk/government/consultations/creating-a-smokefree-generation-and-tackling-youth-vaping/creating-a-smokefree-generation-and-tackling-youth-vaping-your-views" TargetMode="External" Id="Rbc6521fedf2c43c1" /><Relationship Type="http://schemas.openxmlformats.org/officeDocument/2006/relationships/hyperlink" Target="https://books.google.co.uk/books?hl=ro&amp;lr=&amp;id=m2jfd__DrE4C&amp;oi=fnd&amp;pg=PA1&amp;dq=earle+2007+health&amp;ots=GwSDC8ovav&amp;sig=EuCMPQaAVgMm1YH0g9M6JE2KTG4&amp;redir_esc=y" TargetMode="External" Id="R350d25cf0d5f4206" /><Relationship Type="http://schemas.openxmlformats.org/officeDocument/2006/relationships/hyperlink" Target="https://www.gov.uk/guidance/devolution-of-powers-to-scotland-wales-and-northern-ireland" TargetMode="External" Id="R64adcd38acd746a8" /><Relationship Type="http://schemas.openxmlformats.org/officeDocument/2006/relationships/hyperlink" Target="https://www.kingsfund.org.uk/publications/nhs-10-year-plan" TargetMode="External" Id="Rfe2deb21493241ee" /><Relationship Type="http://schemas.openxmlformats.org/officeDocument/2006/relationships/hyperlink" Target="https://phw.nhs.wales/about-us/working-together-for-a-healthier-wales/phw-strategy-plain-eng-0523-pdf/" TargetMode="External" Id="R116f850c15c84688" /><Relationship Type="http://schemas.openxmlformats.org/officeDocument/2006/relationships/hyperlink" Target="https://ash.org.uk/uploads/Smoking-and-poverty-July-2021.pdf?v=1647950520" TargetMode="External" Id="R5c06411261154958" /><Relationship Type="http://schemas.openxmlformats.org/officeDocument/2006/relationships/hyperlink" Target="https://www.ons.gov.uk/peoplepopulationandcommunity/healthandsocialcare/healthandlifeexpectancies/bulletins/adultsmokinghabitsingreatbritain/2022" TargetMode="External" Id="Reb7f6bc3631347d3" /><Relationship Type="http://schemas.openxmlformats.org/officeDocument/2006/relationships/hyperlink" Target="https://www.health.org.uk/evidence-hub/health-inequalities/life-expectancy-and-healthy-life-expectancy-at-birth-by-deprivation" TargetMode="External" Id="Rc1f5a89802114ad6" /><Relationship Type="http://schemas.openxmlformats.org/officeDocument/2006/relationships/hyperlink" Target="https://commonslibrary.parliament.uk/research-briefings/cbp-8318/" TargetMode="External" Id="R9cfe64bf046c483a" /><Relationship Type="http://schemas.openxmlformats.org/officeDocument/2006/relationships/hyperlink" Target="https://sustainabledevelopment.un.org/content/documents/5987our-common-future.pdf" TargetMode="External" Id="R77bd44211b0744a6" /><Relationship Type="http://schemas.openxmlformats.org/officeDocument/2006/relationships/hyperlink" Target="https://www.un.org/millenniumgoals/2015_MDG_Report/pdf/MDG%202015%20rev%20(July%201).pdf" TargetMode="External" Id="Rbd34cef5846c4f45" /><Relationship Type="http://schemas.openxmlformats.org/officeDocument/2006/relationships/hyperlink" Target="https://books.google.co.uk/books?hl=ro&amp;lr=&amp;id=Q_ErEAAAQBAJ&amp;oi=fnd&amp;pg=PT12&amp;dq=Contemporary+Health+Studies:+An+Introduction.+&amp;ots=XekakXxGem&amp;sig=-5XBSKyjlrC2d8c23mABl4gX_xA&amp;redir_esc=y" TargetMode="External" Id="R44071b63bba44710" /><Relationship Type="http://schemas.openxmlformats.org/officeDocument/2006/relationships/hyperlink" Target="https://www.gov.wales/sites/default/files/publications/2019-09/nhs-wales-planning-framework-2020-to-2023.pdf" TargetMode="External" Id="Rfc05b75bbc57415b" /><Relationship Type="http://schemas.openxmlformats.org/officeDocument/2006/relationships/hyperlink" Target="https://www.gov.wales/sites/default/files/publications/2021-10/well-being-future-generations-wales-act-2015-the-essentials-2021.pdf" TargetMode="External" Id="Ra877199b9c1743d1" /><Relationship Type="http://schemas.openxmlformats.org/officeDocument/2006/relationships/hyperlink" Target="https://www.gov.wales/sites/default/files/publications/2022-07/tobacco-control-delivery-plan-2022-2024.pdf" TargetMode="External" Id="Rf622dc51c4874545" /><Relationship Type="http://schemas.openxmlformats.org/officeDocument/2006/relationships/hyperlink" Target="https://www.gov.wales/wales-new-future-generations-commissioner-announced" TargetMode="External" Id="R4f7a23c9601c4aa5" /><Relationship Type="http://schemas.openxmlformats.org/officeDocument/2006/relationships/hyperlink" Target="https://www.gov.wales/sites/default/files/publications/2023-11/chief-medical-officer-for-wales-annual-report-2023_0.pdf" TargetMode="External" Id="R19304fa8ec414e40" /><Relationship Type="http://schemas.openxmlformats.org/officeDocument/2006/relationships/hyperlink" Target="https://www.local2030.org/library/251/From-MDGs-to-SDGs-What-are-the-Sustainable-Development-Goals.pdf" TargetMode="External" Id="R8271d9e8918a4de3" /><Relationship Type="http://schemas.openxmlformats.org/officeDocument/2006/relationships/hyperlink" Target="https://www.who.int/news-room/fact-sheets/detail/millennium-development-goals-(mdgs" TargetMode="External" Id="R4d03ddeaf22a49bb" /><Relationship Type="http://schemas.openxmlformats.org/officeDocument/2006/relationships/hyperlink" Target="https://www.who.int/about/accountability/governance/constitution" TargetMode="External" Id="R28b96682c5d948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Clarke (2126229)</dc:creator>
  <keywords/>
  <dc:description/>
  <lastModifiedBy>Nia Clarke (2126229)</lastModifiedBy>
  <revision>3</revision>
  <dcterms:created xsi:type="dcterms:W3CDTF">2024-04-18T08:02:54.6573588Z</dcterms:created>
  <dcterms:modified xsi:type="dcterms:W3CDTF">2024-04-19T07:58:44.9571347Z</dcterms:modified>
</coreProperties>
</file>