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AC664" w14:textId="77777777" w:rsidR="001A07CF" w:rsidRPr="001A07CF" w:rsidRDefault="001A07CF" w:rsidP="001A07CF">
      <w:pPr>
        <w:spacing w:line="360" w:lineRule="auto"/>
        <w:jc w:val="both"/>
        <w:rPr>
          <w:rFonts w:ascii="Arial" w:hAnsi="Arial" w:cs="Arial"/>
          <w:sz w:val="22"/>
          <w:szCs w:val="22"/>
        </w:rPr>
      </w:pPr>
    </w:p>
    <w:p w14:paraId="3969DB05" w14:textId="77777777" w:rsidR="001A07CF" w:rsidRPr="001A07CF" w:rsidRDefault="001A07CF" w:rsidP="001A07CF">
      <w:pPr>
        <w:spacing w:line="360" w:lineRule="auto"/>
        <w:jc w:val="both"/>
        <w:rPr>
          <w:rFonts w:ascii="Arial" w:hAnsi="Arial" w:cs="Arial"/>
          <w:sz w:val="22"/>
          <w:szCs w:val="22"/>
        </w:rPr>
      </w:pPr>
    </w:p>
    <w:p w14:paraId="2D042FDA" w14:textId="77777777" w:rsidR="001A07CF" w:rsidRPr="001A07CF" w:rsidRDefault="001A07CF" w:rsidP="001A07CF">
      <w:pPr>
        <w:spacing w:line="360" w:lineRule="auto"/>
        <w:jc w:val="both"/>
        <w:rPr>
          <w:rFonts w:ascii="Arial" w:hAnsi="Arial" w:cs="Arial"/>
          <w:sz w:val="22"/>
          <w:szCs w:val="22"/>
        </w:rPr>
      </w:pPr>
    </w:p>
    <w:p w14:paraId="14AC7A4A" w14:textId="77777777" w:rsidR="001A07CF" w:rsidRPr="001A07CF" w:rsidRDefault="001A07CF" w:rsidP="001A07CF">
      <w:pPr>
        <w:spacing w:line="360" w:lineRule="auto"/>
        <w:jc w:val="both"/>
        <w:rPr>
          <w:rFonts w:ascii="Arial" w:hAnsi="Arial" w:cs="Arial"/>
          <w:sz w:val="22"/>
          <w:szCs w:val="22"/>
        </w:rPr>
      </w:pPr>
    </w:p>
    <w:p w14:paraId="37DC3649" w14:textId="77777777" w:rsidR="001A07CF" w:rsidRPr="001A07CF" w:rsidRDefault="001A07CF" w:rsidP="001A07CF">
      <w:pPr>
        <w:spacing w:line="360" w:lineRule="auto"/>
        <w:jc w:val="both"/>
        <w:rPr>
          <w:rFonts w:ascii="Arial" w:hAnsi="Arial" w:cs="Arial"/>
          <w:sz w:val="22"/>
          <w:szCs w:val="22"/>
        </w:rPr>
      </w:pPr>
    </w:p>
    <w:p w14:paraId="161B5A5A" w14:textId="77777777" w:rsidR="001A07CF" w:rsidRPr="001A07CF" w:rsidRDefault="001A07CF" w:rsidP="001A07CF">
      <w:pPr>
        <w:spacing w:line="360" w:lineRule="auto"/>
        <w:jc w:val="both"/>
        <w:rPr>
          <w:rFonts w:ascii="Arial" w:hAnsi="Arial" w:cs="Arial"/>
          <w:sz w:val="22"/>
          <w:szCs w:val="22"/>
        </w:rPr>
      </w:pPr>
      <w:r w:rsidRPr="001A07CF">
        <w:rPr>
          <w:rFonts w:ascii="Arial" w:hAnsi="Arial" w:cs="Arial"/>
          <w:sz w:val="22"/>
          <w:szCs w:val="22"/>
        </w:rPr>
        <w:t>A Scoping Review of The Effectiveness of Telehealth Consultations in UK Primary Healthcare: Identifying Themes Using Aveyard’s Simplified Thematic Analysis</w:t>
      </w:r>
    </w:p>
    <w:p w14:paraId="3265DB47" w14:textId="77777777" w:rsidR="001A07CF" w:rsidRPr="001A07CF" w:rsidRDefault="001A07CF" w:rsidP="001A07CF">
      <w:pPr>
        <w:spacing w:line="360" w:lineRule="auto"/>
        <w:jc w:val="both"/>
        <w:rPr>
          <w:rFonts w:ascii="Arial" w:hAnsi="Arial" w:cs="Arial"/>
          <w:sz w:val="22"/>
          <w:szCs w:val="22"/>
        </w:rPr>
      </w:pPr>
    </w:p>
    <w:p w14:paraId="089A0F8F" w14:textId="77777777" w:rsidR="001A07CF" w:rsidRPr="001A07CF" w:rsidRDefault="001A07CF" w:rsidP="001A07CF">
      <w:pPr>
        <w:spacing w:line="360" w:lineRule="auto"/>
        <w:jc w:val="both"/>
        <w:rPr>
          <w:rFonts w:ascii="Arial" w:hAnsi="Arial" w:cs="Arial"/>
          <w:sz w:val="22"/>
          <w:szCs w:val="22"/>
        </w:rPr>
      </w:pPr>
    </w:p>
    <w:p w14:paraId="19538F7B" w14:textId="77777777" w:rsidR="001A07CF" w:rsidRPr="001A07CF" w:rsidRDefault="001A07CF" w:rsidP="001A07CF">
      <w:pPr>
        <w:spacing w:line="360" w:lineRule="auto"/>
        <w:jc w:val="both"/>
        <w:rPr>
          <w:rFonts w:ascii="Arial" w:hAnsi="Arial" w:cs="Arial"/>
          <w:sz w:val="22"/>
          <w:szCs w:val="22"/>
        </w:rPr>
      </w:pPr>
      <w:r w:rsidRPr="001A07CF">
        <w:rPr>
          <w:rFonts w:ascii="Arial" w:hAnsi="Arial" w:cs="Arial"/>
          <w:sz w:val="22"/>
          <w:szCs w:val="22"/>
        </w:rPr>
        <w:t>Student Name: Gazala Haroon</w:t>
      </w:r>
      <w:r w:rsidRPr="001A07CF">
        <w:rPr>
          <w:rFonts w:ascii="Arial" w:hAnsi="Arial" w:cs="Arial"/>
          <w:sz w:val="22"/>
          <w:szCs w:val="22"/>
        </w:rPr>
        <w:tab/>
      </w:r>
    </w:p>
    <w:p w14:paraId="35B433CE" w14:textId="77777777" w:rsidR="001A07CF" w:rsidRPr="001A07CF" w:rsidRDefault="001A07CF" w:rsidP="001A07CF">
      <w:pPr>
        <w:spacing w:line="360" w:lineRule="auto"/>
        <w:jc w:val="both"/>
        <w:rPr>
          <w:rFonts w:ascii="Arial" w:hAnsi="Arial" w:cs="Arial"/>
          <w:sz w:val="22"/>
          <w:szCs w:val="22"/>
        </w:rPr>
      </w:pPr>
      <w:r w:rsidRPr="001A07CF">
        <w:rPr>
          <w:rFonts w:ascii="Arial" w:hAnsi="Arial" w:cs="Arial"/>
          <w:sz w:val="22"/>
          <w:szCs w:val="22"/>
        </w:rPr>
        <w:t>Student Number: 2411422</w:t>
      </w:r>
    </w:p>
    <w:p w14:paraId="5D3442AC" w14:textId="77777777" w:rsidR="001A07CF" w:rsidRPr="001A07CF" w:rsidRDefault="001A07CF" w:rsidP="001A07CF">
      <w:pPr>
        <w:spacing w:line="360" w:lineRule="auto"/>
        <w:jc w:val="both"/>
        <w:rPr>
          <w:rFonts w:ascii="Arial" w:hAnsi="Arial" w:cs="Arial"/>
          <w:sz w:val="22"/>
          <w:szCs w:val="22"/>
        </w:rPr>
      </w:pPr>
      <w:r w:rsidRPr="001A07CF">
        <w:rPr>
          <w:rFonts w:ascii="Arial" w:hAnsi="Arial" w:cs="Arial"/>
          <w:sz w:val="22"/>
          <w:szCs w:val="22"/>
        </w:rPr>
        <w:t>Module Code:</w:t>
      </w:r>
      <w:r w:rsidRPr="001A07CF">
        <w:rPr>
          <w:rFonts w:ascii="Arial" w:hAnsi="Arial" w:cs="Arial"/>
          <w:sz w:val="22"/>
          <w:szCs w:val="22"/>
        </w:rPr>
        <w:br w:type="page"/>
      </w:r>
    </w:p>
    <w:sdt>
      <w:sdtPr>
        <w:rPr>
          <w:rFonts w:ascii="Arial" w:eastAsiaTheme="minorHAnsi" w:hAnsi="Arial" w:cs="Arial"/>
          <w:color w:val="auto"/>
          <w:kern w:val="2"/>
          <w:sz w:val="22"/>
          <w:szCs w:val="22"/>
          <w:lang w:val="en-GB"/>
          <w14:ligatures w14:val="standardContextual"/>
        </w:rPr>
        <w:id w:val="-2073957357"/>
        <w:docPartObj>
          <w:docPartGallery w:val="Table of Contents"/>
          <w:docPartUnique/>
        </w:docPartObj>
      </w:sdtPr>
      <w:sdtEndPr>
        <w:rPr>
          <w:b/>
          <w:bCs/>
          <w:noProof/>
        </w:rPr>
      </w:sdtEndPr>
      <w:sdtContent>
        <w:p w14:paraId="38EE9C59" w14:textId="77777777" w:rsidR="001A07CF" w:rsidRPr="001A07CF" w:rsidRDefault="001A07CF" w:rsidP="001A07CF">
          <w:pPr>
            <w:pStyle w:val="TOCHeading"/>
            <w:spacing w:line="360" w:lineRule="auto"/>
            <w:jc w:val="both"/>
            <w:rPr>
              <w:rFonts w:ascii="Arial" w:hAnsi="Arial" w:cs="Arial"/>
              <w:color w:val="auto"/>
              <w:sz w:val="22"/>
              <w:szCs w:val="22"/>
            </w:rPr>
          </w:pPr>
          <w:r w:rsidRPr="001A07CF">
            <w:rPr>
              <w:rFonts w:ascii="Arial" w:hAnsi="Arial" w:cs="Arial"/>
              <w:color w:val="auto"/>
              <w:sz w:val="22"/>
              <w:szCs w:val="22"/>
            </w:rPr>
            <w:t>Contents</w:t>
          </w:r>
        </w:p>
        <w:p w14:paraId="34F0D055" w14:textId="77777777" w:rsidR="001A07CF" w:rsidRPr="001A07CF" w:rsidRDefault="001A07CF" w:rsidP="001A07CF">
          <w:pPr>
            <w:pStyle w:val="TOC2"/>
            <w:tabs>
              <w:tab w:val="right" w:leader="dot" w:pos="9016"/>
            </w:tabs>
            <w:spacing w:line="360" w:lineRule="auto"/>
            <w:jc w:val="both"/>
            <w:rPr>
              <w:rFonts w:ascii="Arial" w:hAnsi="Arial" w:cs="Arial"/>
              <w:noProof/>
              <w:sz w:val="22"/>
              <w:szCs w:val="22"/>
            </w:rPr>
          </w:pPr>
          <w:r w:rsidRPr="001A07CF">
            <w:rPr>
              <w:rFonts w:ascii="Arial" w:hAnsi="Arial" w:cs="Arial"/>
              <w:sz w:val="22"/>
              <w:szCs w:val="22"/>
            </w:rPr>
            <w:fldChar w:fldCharType="begin"/>
          </w:r>
          <w:r w:rsidRPr="001A07CF">
            <w:rPr>
              <w:rFonts w:ascii="Arial" w:hAnsi="Arial" w:cs="Arial"/>
              <w:sz w:val="22"/>
              <w:szCs w:val="22"/>
            </w:rPr>
            <w:instrText xml:space="preserve"> TOC \o "1-3" \h \z \u </w:instrText>
          </w:r>
          <w:r w:rsidRPr="001A07CF">
            <w:rPr>
              <w:rFonts w:ascii="Arial" w:hAnsi="Arial" w:cs="Arial"/>
              <w:sz w:val="22"/>
              <w:szCs w:val="22"/>
            </w:rPr>
            <w:fldChar w:fldCharType="separate"/>
          </w:r>
          <w:hyperlink w:anchor="_Toc232931777" w:history="1">
            <w:r w:rsidRPr="001A07CF">
              <w:rPr>
                <w:rStyle w:val="Hyperlink"/>
                <w:rFonts w:ascii="Arial" w:hAnsi="Arial" w:cs="Arial"/>
                <w:b/>
                <w:bCs/>
                <w:noProof/>
                <w:sz w:val="22"/>
                <w:szCs w:val="22"/>
              </w:rPr>
              <w:t>Introduction</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_Toc232931777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3</w:t>
            </w:r>
            <w:r w:rsidRPr="001A07CF">
              <w:rPr>
                <w:rFonts w:ascii="Arial" w:hAnsi="Arial" w:cs="Arial"/>
                <w:noProof/>
                <w:webHidden/>
                <w:sz w:val="22"/>
                <w:szCs w:val="22"/>
              </w:rPr>
              <w:fldChar w:fldCharType="end"/>
            </w:r>
          </w:hyperlink>
        </w:p>
        <w:p w14:paraId="15752A18" w14:textId="77777777" w:rsidR="001A07CF" w:rsidRPr="001A07CF" w:rsidRDefault="001A07CF" w:rsidP="001A07CF">
          <w:pPr>
            <w:pStyle w:val="TOC2"/>
            <w:tabs>
              <w:tab w:val="right" w:leader="dot" w:pos="9016"/>
            </w:tabs>
            <w:spacing w:line="360" w:lineRule="auto"/>
            <w:jc w:val="both"/>
            <w:rPr>
              <w:rFonts w:ascii="Arial" w:hAnsi="Arial" w:cs="Arial"/>
              <w:noProof/>
              <w:sz w:val="22"/>
              <w:szCs w:val="22"/>
            </w:rPr>
          </w:pPr>
          <w:hyperlink w:anchor="_Toc232931778" w:history="1">
            <w:r w:rsidRPr="001A07CF">
              <w:rPr>
                <w:rStyle w:val="Hyperlink"/>
                <w:rFonts w:ascii="Arial" w:hAnsi="Arial" w:cs="Arial"/>
                <w:b/>
                <w:bCs/>
                <w:i/>
                <w:iCs/>
                <w:noProof/>
                <w:sz w:val="22"/>
                <w:szCs w:val="22"/>
              </w:rPr>
              <w:t>Definition of Key Concepts</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_Toc232931778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3</w:t>
            </w:r>
            <w:r w:rsidRPr="001A07CF">
              <w:rPr>
                <w:rFonts w:ascii="Arial" w:hAnsi="Arial" w:cs="Arial"/>
                <w:noProof/>
                <w:webHidden/>
                <w:sz w:val="22"/>
                <w:szCs w:val="22"/>
              </w:rPr>
              <w:fldChar w:fldCharType="end"/>
            </w:r>
          </w:hyperlink>
        </w:p>
        <w:p w14:paraId="4ADC8CB2" w14:textId="77777777" w:rsidR="001A07CF" w:rsidRPr="001A07CF" w:rsidRDefault="001A07CF" w:rsidP="001A07CF">
          <w:pPr>
            <w:pStyle w:val="TOC2"/>
            <w:tabs>
              <w:tab w:val="right" w:leader="dot" w:pos="9016"/>
            </w:tabs>
            <w:spacing w:line="360" w:lineRule="auto"/>
            <w:jc w:val="both"/>
            <w:rPr>
              <w:rFonts w:ascii="Arial" w:hAnsi="Arial" w:cs="Arial"/>
              <w:noProof/>
              <w:sz w:val="22"/>
              <w:szCs w:val="22"/>
            </w:rPr>
          </w:pPr>
          <w:hyperlink w:anchor="_Toc232931779" w:history="1">
            <w:r w:rsidRPr="001A07CF">
              <w:rPr>
                <w:rStyle w:val="Hyperlink"/>
                <w:rFonts w:ascii="Arial" w:hAnsi="Arial" w:cs="Arial"/>
                <w:b/>
                <w:bCs/>
                <w:i/>
                <w:iCs/>
                <w:noProof/>
                <w:sz w:val="22"/>
                <w:szCs w:val="22"/>
              </w:rPr>
              <w:t>Study Rationale</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_Toc232931779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3</w:t>
            </w:r>
            <w:r w:rsidRPr="001A07CF">
              <w:rPr>
                <w:rFonts w:ascii="Arial" w:hAnsi="Arial" w:cs="Arial"/>
                <w:noProof/>
                <w:webHidden/>
                <w:sz w:val="22"/>
                <w:szCs w:val="22"/>
              </w:rPr>
              <w:fldChar w:fldCharType="end"/>
            </w:r>
          </w:hyperlink>
        </w:p>
        <w:p w14:paraId="0A0E686D" w14:textId="77777777" w:rsidR="001A07CF" w:rsidRPr="001A07CF" w:rsidRDefault="001A07CF" w:rsidP="001A07CF">
          <w:pPr>
            <w:pStyle w:val="TOC2"/>
            <w:tabs>
              <w:tab w:val="right" w:leader="dot" w:pos="9016"/>
            </w:tabs>
            <w:spacing w:line="360" w:lineRule="auto"/>
            <w:jc w:val="both"/>
            <w:rPr>
              <w:rFonts w:ascii="Arial" w:hAnsi="Arial" w:cs="Arial"/>
              <w:noProof/>
              <w:sz w:val="22"/>
              <w:szCs w:val="22"/>
            </w:rPr>
          </w:pPr>
          <w:hyperlink w:anchor="_Toc232931780" w:history="1">
            <w:r w:rsidRPr="001A07CF">
              <w:rPr>
                <w:rStyle w:val="Hyperlink"/>
                <w:rFonts w:ascii="Arial" w:hAnsi="Arial" w:cs="Arial"/>
                <w:b/>
                <w:bCs/>
                <w:i/>
                <w:iCs/>
                <w:noProof/>
                <w:sz w:val="22"/>
                <w:szCs w:val="22"/>
              </w:rPr>
              <w:t>Review Question</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_Toc232931780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4</w:t>
            </w:r>
            <w:r w:rsidRPr="001A07CF">
              <w:rPr>
                <w:rFonts w:ascii="Arial" w:hAnsi="Arial" w:cs="Arial"/>
                <w:noProof/>
                <w:webHidden/>
                <w:sz w:val="22"/>
                <w:szCs w:val="22"/>
              </w:rPr>
              <w:fldChar w:fldCharType="end"/>
            </w:r>
          </w:hyperlink>
        </w:p>
        <w:p w14:paraId="65C8D651" w14:textId="77777777" w:rsidR="001A07CF" w:rsidRPr="001A07CF" w:rsidRDefault="001A07CF" w:rsidP="001A07CF">
          <w:pPr>
            <w:pStyle w:val="TOC2"/>
            <w:tabs>
              <w:tab w:val="right" w:leader="dot" w:pos="9016"/>
            </w:tabs>
            <w:spacing w:line="360" w:lineRule="auto"/>
            <w:jc w:val="both"/>
            <w:rPr>
              <w:rFonts w:ascii="Arial" w:hAnsi="Arial" w:cs="Arial"/>
              <w:noProof/>
              <w:sz w:val="22"/>
              <w:szCs w:val="22"/>
            </w:rPr>
          </w:pPr>
          <w:hyperlink w:anchor="_Toc232931781" w:history="1">
            <w:r w:rsidRPr="001A07CF">
              <w:rPr>
                <w:rStyle w:val="Hyperlink"/>
                <w:rFonts w:ascii="Arial" w:hAnsi="Arial" w:cs="Arial"/>
                <w:b/>
                <w:bCs/>
                <w:i/>
                <w:iCs/>
                <w:noProof/>
                <w:sz w:val="22"/>
                <w:szCs w:val="22"/>
              </w:rPr>
              <w:t>Review Objectives</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_Toc232931781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4</w:t>
            </w:r>
            <w:r w:rsidRPr="001A07CF">
              <w:rPr>
                <w:rFonts w:ascii="Arial" w:hAnsi="Arial" w:cs="Arial"/>
                <w:noProof/>
                <w:webHidden/>
                <w:sz w:val="22"/>
                <w:szCs w:val="22"/>
              </w:rPr>
              <w:fldChar w:fldCharType="end"/>
            </w:r>
          </w:hyperlink>
        </w:p>
        <w:p w14:paraId="64D2CE85" w14:textId="77777777" w:rsidR="001A07CF" w:rsidRPr="001A07CF" w:rsidRDefault="001A07CF" w:rsidP="001A07CF">
          <w:pPr>
            <w:pStyle w:val="TOC1"/>
            <w:tabs>
              <w:tab w:val="right" w:leader="dot" w:pos="9016"/>
            </w:tabs>
            <w:spacing w:line="360" w:lineRule="auto"/>
            <w:jc w:val="both"/>
            <w:rPr>
              <w:rFonts w:ascii="Arial" w:hAnsi="Arial" w:cs="Arial"/>
              <w:noProof/>
              <w:sz w:val="22"/>
              <w:szCs w:val="22"/>
            </w:rPr>
          </w:pPr>
          <w:hyperlink w:anchor="_Toc232931782" w:history="1">
            <w:r w:rsidRPr="001A07CF">
              <w:rPr>
                <w:rStyle w:val="Hyperlink"/>
                <w:rFonts w:ascii="Arial" w:hAnsi="Arial" w:cs="Arial"/>
                <w:b/>
                <w:bCs/>
                <w:noProof/>
                <w:sz w:val="22"/>
                <w:szCs w:val="22"/>
              </w:rPr>
              <w:t>Background</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_Toc232931782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4</w:t>
            </w:r>
            <w:r w:rsidRPr="001A07CF">
              <w:rPr>
                <w:rFonts w:ascii="Arial" w:hAnsi="Arial" w:cs="Arial"/>
                <w:noProof/>
                <w:webHidden/>
                <w:sz w:val="22"/>
                <w:szCs w:val="22"/>
              </w:rPr>
              <w:fldChar w:fldCharType="end"/>
            </w:r>
          </w:hyperlink>
        </w:p>
        <w:p w14:paraId="0649B024" w14:textId="77777777" w:rsidR="001A07CF" w:rsidRPr="001A07CF" w:rsidRDefault="001A07CF" w:rsidP="001A07CF">
          <w:pPr>
            <w:pStyle w:val="TOC2"/>
            <w:tabs>
              <w:tab w:val="right" w:leader="dot" w:pos="9016"/>
            </w:tabs>
            <w:spacing w:line="360" w:lineRule="auto"/>
            <w:jc w:val="both"/>
            <w:rPr>
              <w:rFonts w:ascii="Arial" w:hAnsi="Arial" w:cs="Arial"/>
              <w:noProof/>
              <w:sz w:val="22"/>
              <w:szCs w:val="22"/>
            </w:rPr>
          </w:pPr>
          <w:hyperlink w:anchor="_Toc232931783" w:history="1">
            <w:r w:rsidRPr="001A07CF">
              <w:rPr>
                <w:rStyle w:val="Hyperlink"/>
                <w:rFonts w:ascii="Arial" w:hAnsi="Arial" w:cs="Arial"/>
                <w:b/>
                <w:bCs/>
                <w:i/>
                <w:iCs/>
                <w:noProof/>
                <w:sz w:val="22"/>
                <w:szCs w:val="22"/>
              </w:rPr>
              <w:t>Current Policies and Legislation</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_Toc232931783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4</w:t>
            </w:r>
            <w:r w:rsidRPr="001A07CF">
              <w:rPr>
                <w:rFonts w:ascii="Arial" w:hAnsi="Arial" w:cs="Arial"/>
                <w:noProof/>
                <w:webHidden/>
                <w:sz w:val="22"/>
                <w:szCs w:val="22"/>
              </w:rPr>
              <w:fldChar w:fldCharType="end"/>
            </w:r>
          </w:hyperlink>
        </w:p>
        <w:p w14:paraId="53F7172A" w14:textId="77777777" w:rsidR="001A07CF" w:rsidRPr="001A07CF" w:rsidRDefault="001A07CF" w:rsidP="001A07CF">
          <w:pPr>
            <w:pStyle w:val="TOC2"/>
            <w:tabs>
              <w:tab w:val="right" w:leader="dot" w:pos="9016"/>
            </w:tabs>
            <w:spacing w:line="360" w:lineRule="auto"/>
            <w:jc w:val="both"/>
            <w:rPr>
              <w:rFonts w:ascii="Arial" w:hAnsi="Arial" w:cs="Arial"/>
              <w:noProof/>
              <w:sz w:val="22"/>
              <w:szCs w:val="22"/>
            </w:rPr>
          </w:pPr>
          <w:hyperlink w:anchor="_Toc232931784" w:history="1">
            <w:r w:rsidRPr="001A07CF">
              <w:rPr>
                <w:rStyle w:val="Hyperlink"/>
                <w:rFonts w:ascii="Arial" w:hAnsi="Arial" w:cs="Arial"/>
                <w:b/>
                <w:bCs/>
                <w:i/>
                <w:iCs/>
                <w:noProof/>
                <w:sz w:val="22"/>
                <w:szCs w:val="22"/>
              </w:rPr>
              <w:t>Existing Services and Practice</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_Toc232931784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5</w:t>
            </w:r>
            <w:r w:rsidRPr="001A07CF">
              <w:rPr>
                <w:rFonts w:ascii="Arial" w:hAnsi="Arial" w:cs="Arial"/>
                <w:noProof/>
                <w:webHidden/>
                <w:sz w:val="22"/>
                <w:szCs w:val="22"/>
              </w:rPr>
              <w:fldChar w:fldCharType="end"/>
            </w:r>
          </w:hyperlink>
        </w:p>
        <w:p w14:paraId="4940880A" w14:textId="77777777" w:rsidR="001A07CF" w:rsidRPr="001A07CF" w:rsidRDefault="001A07CF" w:rsidP="001A07CF">
          <w:pPr>
            <w:pStyle w:val="TOC2"/>
            <w:tabs>
              <w:tab w:val="right" w:leader="dot" w:pos="9016"/>
            </w:tabs>
            <w:spacing w:line="360" w:lineRule="auto"/>
            <w:jc w:val="both"/>
            <w:rPr>
              <w:rFonts w:ascii="Arial" w:hAnsi="Arial" w:cs="Arial"/>
              <w:noProof/>
              <w:sz w:val="22"/>
              <w:szCs w:val="22"/>
            </w:rPr>
          </w:pPr>
          <w:hyperlink w:anchor="_Toc232931785" w:history="1">
            <w:r w:rsidRPr="001A07CF">
              <w:rPr>
                <w:rStyle w:val="Hyperlink"/>
                <w:rFonts w:ascii="Arial" w:hAnsi="Arial" w:cs="Arial"/>
                <w:b/>
                <w:bCs/>
                <w:i/>
                <w:iCs/>
                <w:noProof/>
                <w:sz w:val="22"/>
                <w:szCs w:val="22"/>
              </w:rPr>
              <w:t>Key Challenges and Issues</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_Toc232931785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5</w:t>
            </w:r>
            <w:r w:rsidRPr="001A07CF">
              <w:rPr>
                <w:rFonts w:ascii="Arial" w:hAnsi="Arial" w:cs="Arial"/>
                <w:noProof/>
                <w:webHidden/>
                <w:sz w:val="22"/>
                <w:szCs w:val="22"/>
              </w:rPr>
              <w:fldChar w:fldCharType="end"/>
            </w:r>
          </w:hyperlink>
        </w:p>
        <w:p w14:paraId="4BAFC30C" w14:textId="77777777" w:rsidR="001A07CF" w:rsidRPr="001A07CF" w:rsidRDefault="001A07CF" w:rsidP="001A07CF">
          <w:pPr>
            <w:pStyle w:val="TOC1"/>
            <w:tabs>
              <w:tab w:val="right" w:leader="dot" w:pos="9016"/>
            </w:tabs>
            <w:spacing w:line="360" w:lineRule="auto"/>
            <w:jc w:val="both"/>
            <w:rPr>
              <w:rFonts w:ascii="Arial" w:hAnsi="Arial" w:cs="Arial"/>
              <w:noProof/>
              <w:sz w:val="22"/>
              <w:szCs w:val="22"/>
            </w:rPr>
          </w:pPr>
          <w:hyperlink w:anchor="_Toc232931786" w:history="1">
            <w:r w:rsidRPr="001A07CF">
              <w:rPr>
                <w:rStyle w:val="Hyperlink"/>
                <w:rFonts w:ascii="Arial" w:hAnsi="Arial" w:cs="Arial"/>
                <w:b/>
                <w:bCs/>
                <w:noProof/>
                <w:sz w:val="22"/>
                <w:szCs w:val="22"/>
              </w:rPr>
              <w:t>Methods</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_Toc232931786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6</w:t>
            </w:r>
            <w:r w:rsidRPr="001A07CF">
              <w:rPr>
                <w:rFonts w:ascii="Arial" w:hAnsi="Arial" w:cs="Arial"/>
                <w:noProof/>
                <w:webHidden/>
                <w:sz w:val="22"/>
                <w:szCs w:val="22"/>
              </w:rPr>
              <w:fldChar w:fldCharType="end"/>
            </w:r>
          </w:hyperlink>
        </w:p>
        <w:p w14:paraId="30DA6DEA" w14:textId="77777777" w:rsidR="001A07CF" w:rsidRPr="001A07CF" w:rsidRDefault="001A07CF" w:rsidP="001A07CF">
          <w:pPr>
            <w:pStyle w:val="TOC2"/>
            <w:tabs>
              <w:tab w:val="right" w:leader="dot" w:pos="9016"/>
            </w:tabs>
            <w:spacing w:line="360" w:lineRule="auto"/>
            <w:jc w:val="both"/>
            <w:rPr>
              <w:rFonts w:ascii="Arial" w:hAnsi="Arial" w:cs="Arial"/>
              <w:noProof/>
              <w:sz w:val="22"/>
              <w:szCs w:val="22"/>
            </w:rPr>
          </w:pPr>
          <w:hyperlink w:anchor="_Toc232931787" w:history="1">
            <w:r w:rsidRPr="001A07CF">
              <w:rPr>
                <w:rStyle w:val="Hyperlink"/>
                <w:rFonts w:ascii="Arial" w:hAnsi="Arial" w:cs="Arial"/>
                <w:b/>
                <w:bCs/>
                <w:i/>
                <w:iCs/>
                <w:noProof/>
                <w:sz w:val="22"/>
                <w:szCs w:val="22"/>
              </w:rPr>
              <w:t>Data Collection Approach</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_Toc232931787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6</w:t>
            </w:r>
            <w:r w:rsidRPr="001A07CF">
              <w:rPr>
                <w:rFonts w:ascii="Arial" w:hAnsi="Arial" w:cs="Arial"/>
                <w:noProof/>
                <w:webHidden/>
                <w:sz w:val="22"/>
                <w:szCs w:val="22"/>
              </w:rPr>
              <w:fldChar w:fldCharType="end"/>
            </w:r>
          </w:hyperlink>
        </w:p>
        <w:p w14:paraId="46B77995" w14:textId="77777777" w:rsidR="001A07CF" w:rsidRPr="001A07CF" w:rsidRDefault="001A07CF" w:rsidP="001A07CF">
          <w:pPr>
            <w:pStyle w:val="TOC2"/>
            <w:tabs>
              <w:tab w:val="right" w:leader="dot" w:pos="9016"/>
            </w:tabs>
            <w:spacing w:line="360" w:lineRule="auto"/>
            <w:jc w:val="both"/>
            <w:rPr>
              <w:rFonts w:ascii="Arial" w:hAnsi="Arial" w:cs="Arial"/>
              <w:noProof/>
              <w:sz w:val="22"/>
              <w:szCs w:val="22"/>
            </w:rPr>
          </w:pPr>
          <w:hyperlink w:anchor="_Toc232931788" w:history="1">
            <w:r w:rsidRPr="001A07CF">
              <w:rPr>
                <w:rStyle w:val="Hyperlink"/>
                <w:rFonts w:ascii="Arial" w:hAnsi="Arial" w:cs="Arial"/>
                <w:b/>
                <w:bCs/>
                <w:i/>
                <w:iCs/>
                <w:noProof/>
                <w:sz w:val="22"/>
                <w:szCs w:val="22"/>
              </w:rPr>
              <w:t>Data Analysis Approach</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_Toc232931788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7</w:t>
            </w:r>
            <w:r w:rsidRPr="001A07CF">
              <w:rPr>
                <w:rFonts w:ascii="Arial" w:hAnsi="Arial" w:cs="Arial"/>
                <w:noProof/>
                <w:webHidden/>
                <w:sz w:val="22"/>
                <w:szCs w:val="22"/>
              </w:rPr>
              <w:fldChar w:fldCharType="end"/>
            </w:r>
          </w:hyperlink>
        </w:p>
        <w:p w14:paraId="07C01F3A" w14:textId="77777777" w:rsidR="001A07CF" w:rsidRPr="001A07CF" w:rsidRDefault="001A07CF" w:rsidP="001A07CF">
          <w:pPr>
            <w:pStyle w:val="TOC2"/>
            <w:tabs>
              <w:tab w:val="right" w:leader="dot" w:pos="9016"/>
            </w:tabs>
            <w:spacing w:line="360" w:lineRule="auto"/>
            <w:jc w:val="both"/>
            <w:rPr>
              <w:rFonts w:ascii="Arial" w:hAnsi="Arial" w:cs="Arial"/>
              <w:noProof/>
              <w:sz w:val="22"/>
              <w:szCs w:val="22"/>
            </w:rPr>
          </w:pPr>
          <w:hyperlink w:anchor="_Toc232931789" w:history="1">
            <w:r w:rsidRPr="001A07CF">
              <w:rPr>
                <w:rStyle w:val="Hyperlink"/>
                <w:rFonts w:ascii="Arial" w:hAnsi="Arial" w:cs="Arial"/>
                <w:b/>
                <w:bCs/>
                <w:i/>
                <w:iCs/>
                <w:noProof/>
                <w:sz w:val="22"/>
                <w:szCs w:val="22"/>
              </w:rPr>
              <w:t>Ethical Considerations</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_Toc232931789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7</w:t>
            </w:r>
            <w:r w:rsidRPr="001A07CF">
              <w:rPr>
                <w:rFonts w:ascii="Arial" w:hAnsi="Arial" w:cs="Arial"/>
                <w:noProof/>
                <w:webHidden/>
                <w:sz w:val="22"/>
                <w:szCs w:val="22"/>
              </w:rPr>
              <w:fldChar w:fldCharType="end"/>
            </w:r>
          </w:hyperlink>
        </w:p>
        <w:p w14:paraId="707A9C3B" w14:textId="77777777" w:rsidR="001A07CF" w:rsidRPr="001A07CF" w:rsidRDefault="001A07CF" w:rsidP="001A07CF">
          <w:pPr>
            <w:pStyle w:val="TOC1"/>
            <w:tabs>
              <w:tab w:val="right" w:leader="dot" w:pos="9016"/>
            </w:tabs>
            <w:spacing w:line="360" w:lineRule="auto"/>
            <w:jc w:val="both"/>
            <w:rPr>
              <w:rFonts w:ascii="Arial" w:hAnsi="Arial" w:cs="Arial"/>
              <w:noProof/>
              <w:sz w:val="22"/>
              <w:szCs w:val="22"/>
            </w:rPr>
          </w:pPr>
          <w:hyperlink w:anchor="_Toc232931790" w:history="1">
            <w:r w:rsidRPr="001A07CF">
              <w:rPr>
                <w:rStyle w:val="Hyperlink"/>
                <w:rFonts w:ascii="Arial" w:hAnsi="Arial" w:cs="Arial"/>
                <w:b/>
                <w:bCs/>
                <w:noProof/>
                <w:sz w:val="22"/>
                <w:szCs w:val="22"/>
              </w:rPr>
              <w:t>Results</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_Toc232931790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7</w:t>
            </w:r>
            <w:r w:rsidRPr="001A07CF">
              <w:rPr>
                <w:rFonts w:ascii="Arial" w:hAnsi="Arial" w:cs="Arial"/>
                <w:noProof/>
                <w:webHidden/>
                <w:sz w:val="22"/>
                <w:szCs w:val="22"/>
              </w:rPr>
              <w:fldChar w:fldCharType="end"/>
            </w:r>
          </w:hyperlink>
        </w:p>
        <w:p w14:paraId="2AC86B10" w14:textId="77777777" w:rsidR="001A07CF" w:rsidRPr="001A07CF" w:rsidRDefault="001A07CF" w:rsidP="001A07CF">
          <w:pPr>
            <w:pStyle w:val="TOC2"/>
            <w:tabs>
              <w:tab w:val="right" w:leader="dot" w:pos="9016"/>
            </w:tabs>
            <w:spacing w:line="360" w:lineRule="auto"/>
            <w:jc w:val="both"/>
            <w:rPr>
              <w:rFonts w:ascii="Arial" w:hAnsi="Arial" w:cs="Arial"/>
              <w:noProof/>
              <w:sz w:val="22"/>
              <w:szCs w:val="22"/>
            </w:rPr>
          </w:pPr>
          <w:hyperlink w:anchor="_Toc232931791" w:history="1">
            <w:r w:rsidRPr="001A07CF">
              <w:rPr>
                <w:rStyle w:val="Hyperlink"/>
                <w:rFonts w:ascii="Arial" w:hAnsi="Arial" w:cs="Arial"/>
                <w:b/>
                <w:bCs/>
                <w:i/>
                <w:iCs/>
                <w:noProof/>
                <w:sz w:val="22"/>
                <w:szCs w:val="22"/>
              </w:rPr>
              <w:t>Summary of Reviewed Articles</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_Toc232931791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7</w:t>
            </w:r>
            <w:r w:rsidRPr="001A07CF">
              <w:rPr>
                <w:rFonts w:ascii="Arial" w:hAnsi="Arial" w:cs="Arial"/>
                <w:noProof/>
                <w:webHidden/>
                <w:sz w:val="22"/>
                <w:szCs w:val="22"/>
              </w:rPr>
              <w:fldChar w:fldCharType="end"/>
            </w:r>
          </w:hyperlink>
        </w:p>
        <w:p w14:paraId="65C00061" w14:textId="77777777" w:rsidR="001A07CF" w:rsidRPr="001A07CF" w:rsidRDefault="001A07CF" w:rsidP="001A07CF">
          <w:pPr>
            <w:pStyle w:val="TOC2"/>
            <w:tabs>
              <w:tab w:val="right" w:leader="dot" w:pos="9016"/>
            </w:tabs>
            <w:spacing w:line="360" w:lineRule="auto"/>
            <w:jc w:val="both"/>
            <w:rPr>
              <w:rFonts w:ascii="Arial" w:hAnsi="Arial" w:cs="Arial"/>
              <w:noProof/>
              <w:sz w:val="22"/>
              <w:szCs w:val="22"/>
            </w:rPr>
          </w:pPr>
          <w:hyperlink w:anchor="_Toc232931792" w:history="1">
            <w:r w:rsidRPr="001A07CF">
              <w:rPr>
                <w:rStyle w:val="Hyperlink"/>
                <w:rFonts w:ascii="Arial" w:hAnsi="Arial" w:cs="Arial"/>
                <w:b/>
                <w:bCs/>
                <w:i/>
                <w:iCs/>
                <w:noProof/>
                <w:sz w:val="22"/>
                <w:szCs w:val="22"/>
              </w:rPr>
              <w:t>Thematic Analysis</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_Toc232931792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10</w:t>
            </w:r>
            <w:r w:rsidRPr="001A07CF">
              <w:rPr>
                <w:rFonts w:ascii="Arial" w:hAnsi="Arial" w:cs="Arial"/>
                <w:noProof/>
                <w:webHidden/>
                <w:sz w:val="22"/>
                <w:szCs w:val="22"/>
              </w:rPr>
              <w:fldChar w:fldCharType="end"/>
            </w:r>
          </w:hyperlink>
        </w:p>
        <w:p w14:paraId="11DB7297" w14:textId="77777777" w:rsidR="001A07CF" w:rsidRPr="001A07CF" w:rsidRDefault="001A07CF" w:rsidP="001A07CF">
          <w:pPr>
            <w:pStyle w:val="TOC3"/>
            <w:tabs>
              <w:tab w:val="right" w:leader="dot" w:pos="9016"/>
            </w:tabs>
            <w:spacing w:line="360" w:lineRule="auto"/>
            <w:jc w:val="both"/>
            <w:rPr>
              <w:rFonts w:ascii="Arial" w:hAnsi="Arial" w:cs="Arial"/>
              <w:noProof/>
              <w:sz w:val="22"/>
              <w:szCs w:val="22"/>
            </w:rPr>
          </w:pPr>
          <w:hyperlink w:anchor="_Toc232931793" w:history="1">
            <w:r w:rsidRPr="001A07CF">
              <w:rPr>
                <w:rStyle w:val="Hyperlink"/>
                <w:rFonts w:ascii="Arial" w:hAnsi="Arial" w:cs="Arial"/>
                <w:b/>
                <w:bCs/>
                <w:noProof/>
                <w:sz w:val="22"/>
                <w:szCs w:val="22"/>
              </w:rPr>
              <w:t>Theme 1: Improved Healthcare Accessibility</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_Toc232931793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10</w:t>
            </w:r>
            <w:r w:rsidRPr="001A07CF">
              <w:rPr>
                <w:rFonts w:ascii="Arial" w:hAnsi="Arial" w:cs="Arial"/>
                <w:noProof/>
                <w:webHidden/>
                <w:sz w:val="22"/>
                <w:szCs w:val="22"/>
              </w:rPr>
              <w:fldChar w:fldCharType="end"/>
            </w:r>
          </w:hyperlink>
        </w:p>
        <w:p w14:paraId="2AC7CD2B" w14:textId="77777777" w:rsidR="001A07CF" w:rsidRPr="001A07CF" w:rsidRDefault="001A07CF" w:rsidP="001A07CF">
          <w:pPr>
            <w:pStyle w:val="TOC3"/>
            <w:tabs>
              <w:tab w:val="right" w:leader="dot" w:pos="9016"/>
            </w:tabs>
            <w:spacing w:line="360" w:lineRule="auto"/>
            <w:jc w:val="both"/>
            <w:rPr>
              <w:rFonts w:ascii="Arial" w:hAnsi="Arial" w:cs="Arial"/>
              <w:noProof/>
              <w:sz w:val="22"/>
              <w:szCs w:val="22"/>
            </w:rPr>
          </w:pPr>
          <w:hyperlink w:anchor="_Toc232931794" w:history="1">
            <w:r w:rsidRPr="001A07CF">
              <w:rPr>
                <w:rStyle w:val="Hyperlink"/>
                <w:rFonts w:ascii="Arial" w:hAnsi="Arial" w:cs="Arial"/>
                <w:b/>
                <w:bCs/>
                <w:noProof/>
                <w:sz w:val="22"/>
                <w:szCs w:val="22"/>
              </w:rPr>
              <w:t>Theme 2: Digital Exclusion and Health Inequities</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_Toc232931794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10</w:t>
            </w:r>
            <w:r w:rsidRPr="001A07CF">
              <w:rPr>
                <w:rFonts w:ascii="Arial" w:hAnsi="Arial" w:cs="Arial"/>
                <w:noProof/>
                <w:webHidden/>
                <w:sz w:val="22"/>
                <w:szCs w:val="22"/>
              </w:rPr>
              <w:fldChar w:fldCharType="end"/>
            </w:r>
          </w:hyperlink>
        </w:p>
        <w:p w14:paraId="4E16BAF2" w14:textId="77777777" w:rsidR="001A07CF" w:rsidRPr="001A07CF" w:rsidRDefault="001A07CF" w:rsidP="001A07CF">
          <w:pPr>
            <w:pStyle w:val="TOC3"/>
            <w:tabs>
              <w:tab w:val="right" w:leader="dot" w:pos="9016"/>
            </w:tabs>
            <w:spacing w:line="360" w:lineRule="auto"/>
            <w:jc w:val="both"/>
            <w:rPr>
              <w:rFonts w:ascii="Arial" w:hAnsi="Arial" w:cs="Arial"/>
              <w:noProof/>
              <w:sz w:val="22"/>
              <w:szCs w:val="22"/>
            </w:rPr>
          </w:pPr>
          <w:hyperlink w:anchor="_Toc232931795" w:history="1">
            <w:r w:rsidRPr="001A07CF">
              <w:rPr>
                <w:rStyle w:val="Hyperlink"/>
                <w:rFonts w:ascii="Arial" w:hAnsi="Arial" w:cs="Arial"/>
                <w:b/>
                <w:bCs/>
                <w:noProof/>
                <w:sz w:val="22"/>
                <w:szCs w:val="22"/>
              </w:rPr>
              <w:t>Theme 3: Patient and Professional Preferences for Consultation Methods</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_Toc232931795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11</w:t>
            </w:r>
            <w:r w:rsidRPr="001A07CF">
              <w:rPr>
                <w:rFonts w:ascii="Arial" w:hAnsi="Arial" w:cs="Arial"/>
                <w:noProof/>
                <w:webHidden/>
                <w:sz w:val="22"/>
                <w:szCs w:val="22"/>
              </w:rPr>
              <w:fldChar w:fldCharType="end"/>
            </w:r>
          </w:hyperlink>
        </w:p>
        <w:p w14:paraId="590EA4F6" w14:textId="77777777" w:rsidR="001A07CF" w:rsidRPr="001A07CF" w:rsidRDefault="001A07CF" w:rsidP="001A07CF">
          <w:pPr>
            <w:pStyle w:val="TOC3"/>
            <w:tabs>
              <w:tab w:val="right" w:leader="dot" w:pos="9016"/>
            </w:tabs>
            <w:spacing w:line="360" w:lineRule="auto"/>
            <w:jc w:val="both"/>
            <w:rPr>
              <w:rFonts w:ascii="Arial" w:hAnsi="Arial" w:cs="Arial"/>
              <w:noProof/>
              <w:sz w:val="22"/>
              <w:szCs w:val="22"/>
            </w:rPr>
          </w:pPr>
          <w:hyperlink w:anchor="_Toc232931796" w:history="1">
            <w:r w:rsidRPr="001A07CF">
              <w:rPr>
                <w:rStyle w:val="Hyperlink"/>
                <w:rFonts w:ascii="Arial" w:hAnsi="Arial" w:cs="Arial"/>
                <w:b/>
                <w:bCs/>
                <w:noProof/>
                <w:sz w:val="22"/>
                <w:szCs w:val="22"/>
              </w:rPr>
              <w:t>Theme 4: Implementation Challenges in Primary Care</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_Toc232931796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11</w:t>
            </w:r>
            <w:r w:rsidRPr="001A07CF">
              <w:rPr>
                <w:rFonts w:ascii="Arial" w:hAnsi="Arial" w:cs="Arial"/>
                <w:noProof/>
                <w:webHidden/>
                <w:sz w:val="22"/>
                <w:szCs w:val="22"/>
              </w:rPr>
              <w:fldChar w:fldCharType="end"/>
            </w:r>
          </w:hyperlink>
        </w:p>
        <w:p w14:paraId="21DB6369" w14:textId="77777777" w:rsidR="001A07CF" w:rsidRPr="001A07CF" w:rsidRDefault="001A07CF" w:rsidP="001A07CF">
          <w:pPr>
            <w:pStyle w:val="TOC1"/>
            <w:tabs>
              <w:tab w:val="right" w:leader="dot" w:pos="9016"/>
            </w:tabs>
            <w:spacing w:line="360" w:lineRule="auto"/>
            <w:jc w:val="both"/>
            <w:rPr>
              <w:rFonts w:ascii="Arial" w:hAnsi="Arial" w:cs="Arial"/>
              <w:noProof/>
              <w:sz w:val="22"/>
              <w:szCs w:val="22"/>
            </w:rPr>
          </w:pPr>
          <w:hyperlink w:anchor="_Toc232931797" w:history="1">
            <w:r w:rsidRPr="001A07CF">
              <w:rPr>
                <w:rStyle w:val="Hyperlink"/>
                <w:rFonts w:ascii="Arial" w:hAnsi="Arial" w:cs="Arial"/>
                <w:b/>
                <w:bCs/>
                <w:noProof/>
                <w:sz w:val="22"/>
                <w:szCs w:val="22"/>
              </w:rPr>
              <w:t>Discussion</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_Toc232931797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11</w:t>
            </w:r>
            <w:r w:rsidRPr="001A07CF">
              <w:rPr>
                <w:rFonts w:ascii="Arial" w:hAnsi="Arial" w:cs="Arial"/>
                <w:noProof/>
                <w:webHidden/>
                <w:sz w:val="22"/>
                <w:szCs w:val="22"/>
              </w:rPr>
              <w:fldChar w:fldCharType="end"/>
            </w:r>
          </w:hyperlink>
        </w:p>
        <w:p w14:paraId="78817826" w14:textId="77777777" w:rsidR="001A07CF" w:rsidRPr="001A07CF" w:rsidRDefault="001A07CF" w:rsidP="001A07CF">
          <w:pPr>
            <w:pStyle w:val="TOC2"/>
            <w:tabs>
              <w:tab w:val="right" w:leader="dot" w:pos="9016"/>
            </w:tabs>
            <w:spacing w:line="360" w:lineRule="auto"/>
            <w:jc w:val="both"/>
            <w:rPr>
              <w:rFonts w:ascii="Arial" w:hAnsi="Arial" w:cs="Arial"/>
              <w:noProof/>
              <w:sz w:val="22"/>
              <w:szCs w:val="22"/>
            </w:rPr>
          </w:pPr>
          <w:hyperlink w:anchor="_Toc232931798" w:history="1">
            <w:r w:rsidRPr="001A07CF">
              <w:rPr>
                <w:rStyle w:val="Hyperlink"/>
                <w:rFonts w:ascii="Arial" w:hAnsi="Arial" w:cs="Arial"/>
                <w:b/>
                <w:bCs/>
                <w:i/>
                <w:iCs/>
                <w:noProof/>
                <w:sz w:val="22"/>
                <w:szCs w:val="22"/>
              </w:rPr>
              <w:t>Interpretation of Patterns and Contradictions</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_Toc232931798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11</w:t>
            </w:r>
            <w:r w:rsidRPr="001A07CF">
              <w:rPr>
                <w:rFonts w:ascii="Arial" w:hAnsi="Arial" w:cs="Arial"/>
                <w:noProof/>
                <w:webHidden/>
                <w:sz w:val="22"/>
                <w:szCs w:val="22"/>
              </w:rPr>
              <w:fldChar w:fldCharType="end"/>
            </w:r>
          </w:hyperlink>
        </w:p>
        <w:p w14:paraId="19EB552D" w14:textId="77777777" w:rsidR="001A07CF" w:rsidRPr="001A07CF" w:rsidRDefault="001A07CF" w:rsidP="001A07CF">
          <w:pPr>
            <w:pStyle w:val="TOC2"/>
            <w:tabs>
              <w:tab w:val="right" w:leader="dot" w:pos="9016"/>
            </w:tabs>
            <w:spacing w:line="360" w:lineRule="auto"/>
            <w:jc w:val="both"/>
            <w:rPr>
              <w:rFonts w:ascii="Arial" w:hAnsi="Arial" w:cs="Arial"/>
              <w:noProof/>
              <w:sz w:val="22"/>
              <w:szCs w:val="22"/>
            </w:rPr>
          </w:pPr>
          <w:hyperlink w:anchor="_Toc232931799" w:history="1">
            <w:r w:rsidRPr="001A07CF">
              <w:rPr>
                <w:rStyle w:val="Hyperlink"/>
                <w:rFonts w:ascii="Arial" w:hAnsi="Arial" w:cs="Arial"/>
                <w:b/>
                <w:bCs/>
                <w:i/>
                <w:iCs/>
                <w:noProof/>
                <w:sz w:val="22"/>
                <w:szCs w:val="22"/>
              </w:rPr>
              <w:t>Gaps and Limitations</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_Toc232931799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12</w:t>
            </w:r>
            <w:r w:rsidRPr="001A07CF">
              <w:rPr>
                <w:rFonts w:ascii="Arial" w:hAnsi="Arial" w:cs="Arial"/>
                <w:noProof/>
                <w:webHidden/>
                <w:sz w:val="22"/>
                <w:szCs w:val="22"/>
              </w:rPr>
              <w:fldChar w:fldCharType="end"/>
            </w:r>
          </w:hyperlink>
        </w:p>
        <w:p w14:paraId="742F4D20" w14:textId="77777777" w:rsidR="001A07CF" w:rsidRPr="001A07CF" w:rsidRDefault="001A07CF" w:rsidP="001A07CF">
          <w:pPr>
            <w:pStyle w:val="TOC2"/>
            <w:tabs>
              <w:tab w:val="right" w:leader="dot" w:pos="9016"/>
            </w:tabs>
            <w:spacing w:line="360" w:lineRule="auto"/>
            <w:jc w:val="both"/>
            <w:rPr>
              <w:rFonts w:ascii="Arial" w:hAnsi="Arial" w:cs="Arial"/>
              <w:noProof/>
              <w:sz w:val="22"/>
              <w:szCs w:val="22"/>
            </w:rPr>
          </w:pPr>
          <w:hyperlink w:anchor="_Toc232931800" w:history="1">
            <w:r w:rsidRPr="001A07CF">
              <w:rPr>
                <w:rStyle w:val="Hyperlink"/>
                <w:rFonts w:ascii="Arial" w:hAnsi="Arial" w:cs="Arial"/>
                <w:b/>
                <w:bCs/>
                <w:i/>
                <w:iCs/>
                <w:noProof/>
                <w:sz w:val="22"/>
                <w:szCs w:val="22"/>
              </w:rPr>
              <w:t>Theoretical and Practical Implications</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_Toc232931800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13</w:t>
            </w:r>
            <w:r w:rsidRPr="001A07CF">
              <w:rPr>
                <w:rFonts w:ascii="Arial" w:hAnsi="Arial" w:cs="Arial"/>
                <w:noProof/>
                <w:webHidden/>
                <w:sz w:val="22"/>
                <w:szCs w:val="22"/>
              </w:rPr>
              <w:fldChar w:fldCharType="end"/>
            </w:r>
          </w:hyperlink>
        </w:p>
        <w:p w14:paraId="55AEC427" w14:textId="77777777" w:rsidR="001A07CF" w:rsidRPr="001A07CF" w:rsidRDefault="001A07CF" w:rsidP="001A07CF">
          <w:pPr>
            <w:pStyle w:val="TOC1"/>
            <w:tabs>
              <w:tab w:val="right" w:leader="dot" w:pos="9016"/>
            </w:tabs>
            <w:spacing w:line="360" w:lineRule="auto"/>
            <w:jc w:val="both"/>
            <w:rPr>
              <w:rFonts w:ascii="Arial" w:hAnsi="Arial" w:cs="Arial"/>
              <w:noProof/>
              <w:sz w:val="22"/>
              <w:szCs w:val="22"/>
            </w:rPr>
          </w:pPr>
          <w:hyperlink w:anchor="_Toc232931801" w:history="1">
            <w:r w:rsidRPr="001A07CF">
              <w:rPr>
                <w:rStyle w:val="Hyperlink"/>
                <w:rFonts w:ascii="Arial" w:hAnsi="Arial" w:cs="Arial"/>
                <w:b/>
                <w:bCs/>
                <w:noProof/>
                <w:sz w:val="22"/>
                <w:szCs w:val="22"/>
              </w:rPr>
              <w:t>Conclusion and Recommendations</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_Toc232931801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13</w:t>
            </w:r>
            <w:r w:rsidRPr="001A07CF">
              <w:rPr>
                <w:rFonts w:ascii="Arial" w:hAnsi="Arial" w:cs="Arial"/>
                <w:noProof/>
                <w:webHidden/>
                <w:sz w:val="22"/>
                <w:szCs w:val="22"/>
              </w:rPr>
              <w:fldChar w:fldCharType="end"/>
            </w:r>
          </w:hyperlink>
        </w:p>
        <w:p w14:paraId="2CA7EC01" w14:textId="77777777" w:rsidR="001A07CF" w:rsidRPr="001A07CF" w:rsidRDefault="001A07CF" w:rsidP="001A07CF">
          <w:pPr>
            <w:pStyle w:val="TOC2"/>
            <w:tabs>
              <w:tab w:val="right" w:leader="dot" w:pos="9016"/>
            </w:tabs>
            <w:spacing w:line="360" w:lineRule="auto"/>
            <w:jc w:val="both"/>
            <w:rPr>
              <w:rFonts w:ascii="Arial" w:hAnsi="Arial" w:cs="Arial"/>
              <w:noProof/>
              <w:sz w:val="22"/>
              <w:szCs w:val="22"/>
            </w:rPr>
          </w:pPr>
          <w:hyperlink w:anchor="_Toc232931802" w:history="1">
            <w:r w:rsidRPr="001A07CF">
              <w:rPr>
                <w:rStyle w:val="Hyperlink"/>
                <w:rFonts w:ascii="Arial" w:hAnsi="Arial" w:cs="Arial"/>
                <w:b/>
                <w:bCs/>
                <w:i/>
                <w:iCs/>
                <w:noProof/>
                <w:sz w:val="22"/>
                <w:szCs w:val="22"/>
              </w:rPr>
              <w:t>Key Takeaways</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_Toc232931802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13</w:t>
            </w:r>
            <w:r w:rsidRPr="001A07CF">
              <w:rPr>
                <w:rFonts w:ascii="Arial" w:hAnsi="Arial" w:cs="Arial"/>
                <w:noProof/>
                <w:webHidden/>
                <w:sz w:val="22"/>
                <w:szCs w:val="22"/>
              </w:rPr>
              <w:fldChar w:fldCharType="end"/>
            </w:r>
          </w:hyperlink>
        </w:p>
        <w:p w14:paraId="4115A20D" w14:textId="77777777" w:rsidR="001A07CF" w:rsidRPr="001A07CF" w:rsidRDefault="001A07CF" w:rsidP="001A07CF">
          <w:pPr>
            <w:pStyle w:val="TOC2"/>
            <w:tabs>
              <w:tab w:val="right" w:leader="dot" w:pos="9016"/>
            </w:tabs>
            <w:spacing w:line="360" w:lineRule="auto"/>
            <w:jc w:val="both"/>
            <w:rPr>
              <w:rFonts w:ascii="Arial" w:hAnsi="Arial" w:cs="Arial"/>
              <w:noProof/>
              <w:sz w:val="22"/>
              <w:szCs w:val="22"/>
            </w:rPr>
          </w:pPr>
          <w:hyperlink w:anchor="_Toc232931803" w:history="1">
            <w:r w:rsidRPr="001A07CF">
              <w:rPr>
                <w:rStyle w:val="Hyperlink"/>
                <w:rFonts w:ascii="Arial" w:hAnsi="Arial" w:cs="Arial"/>
                <w:b/>
                <w:bCs/>
                <w:i/>
                <w:iCs/>
                <w:noProof/>
                <w:sz w:val="22"/>
                <w:szCs w:val="22"/>
              </w:rPr>
              <w:t>Recommendations for Future Research</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_Toc232931803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13</w:t>
            </w:r>
            <w:r w:rsidRPr="001A07CF">
              <w:rPr>
                <w:rFonts w:ascii="Arial" w:hAnsi="Arial" w:cs="Arial"/>
                <w:noProof/>
                <w:webHidden/>
                <w:sz w:val="22"/>
                <w:szCs w:val="22"/>
              </w:rPr>
              <w:fldChar w:fldCharType="end"/>
            </w:r>
          </w:hyperlink>
        </w:p>
        <w:p w14:paraId="75F6B5B2" w14:textId="77777777" w:rsidR="001A07CF" w:rsidRPr="001A07CF" w:rsidRDefault="001A07CF" w:rsidP="001A07CF">
          <w:pPr>
            <w:pStyle w:val="TOC2"/>
            <w:tabs>
              <w:tab w:val="right" w:leader="dot" w:pos="9016"/>
            </w:tabs>
            <w:spacing w:line="360" w:lineRule="auto"/>
            <w:jc w:val="both"/>
            <w:rPr>
              <w:rFonts w:ascii="Arial" w:hAnsi="Arial" w:cs="Arial"/>
              <w:noProof/>
              <w:sz w:val="22"/>
              <w:szCs w:val="22"/>
            </w:rPr>
          </w:pPr>
          <w:hyperlink w:anchor="_Toc232931804" w:history="1">
            <w:r w:rsidRPr="001A07CF">
              <w:rPr>
                <w:rStyle w:val="Hyperlink"/>
                <w:rFonts w:ascii="Arial" w:hAnsi="Arial" w:cs="Arial"/>
                <w:b/>
                <w:bCs/>
                <w:i/>
                <w:iCs/>
                <w:noProof/>
                <w:sz w:val="22"/>
                <w:szCs w:val="22"/>
              </w:rPr>
              <w:t>Recommendations for Policy and Practice</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_Toc232931804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14</w:t>
            </w:r>
            <w:r w:rsidRPr="001A07CF">
              <w:rPr>
                <w:rFonts w:ascii="Arial" w:hAnsi="Arial" w:cs="Arial"/>
                <w:noProof/>
                <w:webHidden/>
                <w:sz w:val="22"/>
                <w:szCs w:val="22"/>
              </w:rPr>
              <w:fldChar w:fldCharType="end"/>
            </w:r>
          </w:hyperlink>
        </w:p>
        <w:p w14:paraId="14A559DD" w14:textId="77777777" w:rsidR="001A07CF" w:rsidRPr="001A07CF" w:rsidRDefault="001A07CF" w:rsidP="001A07CF">
          <w:pPr>
            <w:pStyle w:val="TOC1"/>
            <w:tabs>
              <w:tab w:val="right" w:leader="dot" w:pos="9016"/>
            </w:tabs>
            <w:spacing w:line="360" w:lineRule="auto"/>
            <w:jc w:val="both"/>
            <w:rPr>
              <w:rFonts w:ascii="Arial" w:hAnsi="Arial" w:cs="Arial"/>
              <w:noProof/>
              <w:sz w:val="22"/>
              <w:szCs w:val="22"/>
            </w:rPr>
          </w:pPr>
          <w:hyperlink w:anchor="_Toc232931805" w:history="1">
            <w:r w:rsidRPr="001A07CF">
              <w:rPr>
                <w:rStyle w:val="Hyperlink"/>
                <w:rFonts w:ascii="Arial" w:hAnsi="Arial" w:cs="Arial"/>
                <w:noProof/>
                <w:sz w:val="22"/>
                <w:szCs w:val="22"/>
              </w:rPr>
              <w:t>List of References</w:t>
            </w:r>
            <w:r w:rsidRPr="001A07CF">
              <w:rPr>
                <w:rFonts w:ascii="Arial" w:hAnsi="Arial" w:cs="Arial"/>
                <w:noProof/>
                <w:webHidden/>
                <w:sz w:val="22"/>
                <w:szCs w:val="22"/>
              </w:rPr>
              <w:tab/>
            </w:r>
            <w:r w:rsidRPr="001A07CF">
              <w:rPr>
                <w:rFonts w:ascii="Arial" w:hAnsi="Arial" w:cs="Arial"/>
                <w:noProof/>
                <w:webHidden/>
                <w:sz w:val="22"/>
                <w:szCs w:val="22"/>
              </w:rPr>
              <w:fldChar w:fldCharType="begin"/>
            </w:r>
            <w:r w:rsidRPr="001A07CF">
              <w:rPr>
                <w:rFonts w:ascii="Arial" w:hAnsi="Arial" w:cs="Arial"/>
                <w:noProof/>
                <w:webHidden/>
                <w:sz w:val="22"/>
                <w:szCs w:val="22"/>
              </w:rPr>
              <w:instrText xml:space="preserve"> PAGEREF _Toc232931805 \h </w:instrText>
            </w:r>
            <w:r w:rsidRPr="001A07CF">
              <w:rPr>
                <w:rFonts w:ascii="Arial" w:hAnsi="Arial" w:cs="Arial"/>
                <w:noProof/>
                <w:webHidden/>
                <w:sz w:val="22"/>
                <w:szCs w:val="22"/>
              </w:rPr>
            </w:r>
            <w:r w:rsidRPr="001A07CF">
              <w:rPr>
                <w:rFonts w:ascii="Arial" w:hAnsi="Arial" w:cs="Arial"/>
                <w:noProof/>
                <w:webHidden/>
                <w:sz w:val="22"/>
                <w:szCs w:val="22"/>
              </w:rPr>
              <w:fldChar w:fldCharType="separate"/>
            </w:r>
            <w:r w:rsidRPr="001A07CF">
              <w:rPr>
                <w:rFonts w:ascii="Arial" w:hAnsi="Arial" w:cs="Arial"/>
                <w:noProof/>
                <w:webHidden/>
                <w:sz w:val="22"/>
                <w:szCs w:val="22"/>
              </w:rPr>
              <w:t>15</w:t>
            </w:r>
            <w:r w:rsidRPr="001A07CF">
              <w:rPr>
                <w:rFonts w:ascii="Arial" w:hAnsi="Arial" w:cs="Arial"/>
                <w:noProof/>
                <w:webHidden/>
                <w:sz w:val="22"/>
                <w:szCs w:val="22"/>
              </w:rPr>
              <w:fldChar w:fldCharType="end"/>
            </w:r>
          </w:hyperlink>
        </w:p>
        <w:p w14:paraId="267531DA" w14:textId="77777777" w:rsidR="001A07CF" w:rsidRPr="001A07CF" w:rsidRDefault="001A07CF" w:rsidP="001A07CF">
          <w:pPr>
            <w:spacing w:line="360" w:lineRule="auto"/>
            <w:jc w:val="both"/>
            <w:rPr>
              <w:rFonts w:ascii="Arial" w:hAnsi="Arial" w:cs="Arial"/>
              <w:sz w:val="22"/>
              <w:szCs w:val="22"/>
            </w:rPr>
          </w:pPr>
          <w:r w:rsidRPr="001A07CF">
            <w:rPr>
              <w:rFonts w:ascii="Arial" w:hAnsi="Arial" w:cs="Arial"/>
              <w:b/>
              <w:bCs/>
              <w:noProof/>
              <w:sz w:val="22"/>
              <w:szCs w:val="22"/>
            </w:rPr>
            <w:fldChar w:fldCharType="end"/>
          </w:r>
        </w:p>
      </w:sdtContent>
    </w:sdt>
    <w:p w14:paraId="1491297E" w14:textId="77777777" w:rsidR="001459F9" w:rsidRDefault="001A07CF" w:rsidP="001A07CF">
      <w:pPr>
        <w:spacing w:line="360" w:lineRule="auto"/>
        <w:jc w:val="both"/>
        <w:rPr>
          <w:rFonts w:ascii="Arial" w:hAnsi="Arial" w:cs="Arial"/>
          <w:sz w:val="22"/>
          <w:szCs w:val="22"/>
        </w:rPr>
      </w:pPr>
      <w:r w:rsidRPr="001A07CF">
        <w:rPr>
          <w:rFonts w:ascii="Arial" w:hAnsi="Arial" w:cs="Arial"/>
          <w:sz w:val="22"/>
          <w:szCs w:val="22"/>
        </w:rPr>
        <w:t xml:space="preserve">The role of Telehealth Consultations in UK Primary Healthcare: Scoping Review </w:t>
      </w:r>
      <w:bookmarkStart w:id="0" w:name="_Toc232931777"/>
    </w:p>
    <w:p w14:paraId="7906455E" w14:textId="2E6C8759" w:rsidR="001A07CF" w:rsidRPr="001A07CF" w:rsidRDefault="001A07CF" w:rsidP="001A07CF">
      <w:pPr>
        <w:spacing w:line="360" w:lineRule="auto"/>
        <w:jc w:val="both"/>
        <w:rPr>
          <w:rFonts w:ascii="Arial" w:hAnsi="Arial" w:cs="Arial"/>
          <w:b/>
          <w:bCs/>
          <w:sz w:val="22"/>
          <w:szCs w:val="22"/>
        </w:rPr>
      </w:pPr>
      <w:r w:rsidRPr="001A07CF">
        <w:rPr>
          <w:rFonts w:ascii="Arial" w:hAnsi="Arial" w:cs="Arial"/>
          <w:b/>
          <w:bCs/>
          <w:sz w:val="22"/>
          <w:szCs w:val="22"/>
        </w:rPr>
        <w:t>Introduction</w:t>
      </w:r>
      <w:bookmarkEnd w:id="0"/>
    </w:p>
    <w:p w14:paraId="00A02ACD" w14:textId="77777777" w:rsidR="001A07CF" w:rsidRPr="001A07CF" w:rsidRDefault="001A07CF" w:rsidP="001A07CF">
      <w:pPr>
        <w:spacing w:line="360" w:lineRule="auto"/>
        <w:ind w:firstLine="720"/>
        <w:jc w:val="both"/>
        <w:rPr>
          <w:rFonts w:ascii="Arial" w:hAnsi="Arial" w:cs="Arial"/>
          <w:sz w:val="22"/>
          <w:szCs w:val="22"/>
        </w:rPr>
      </w:pPr>
      <w:r w:rsidRPr="001A07CF">
        <w:rPr>
          <w:rFonts w:ascii="Arial" w:hAnsi="Arial" w:cs="Arial"/>
          <w:sz w:val="22"/>
          <w:szCs w:val="22"/>
        </w:rPr>
        <w:t>The rapid advancement of digital technologies has transformed healthcare delivery worldwide, especially after the COVID-19 pandemic (</w:t>
      </w:r>
      <w:proofErr w:type="spellStart"/>
      <w:r w:rsidRPr="001A07CF">
        <w:rPr>
          <w:rFonts w:ascii="Arial" w:hAnsi="Arial" w:cs="Arial"/>
          <w:sz w:val="22"/>
          <w:szCs w:val="22"/>
        </w:rPr>
        <w:t>Alashek</w:t>
      </w:r>
      <w:proofErr w:type="spellEnd"/>
      <w:r w:rsidRPr="001A07CF">
        <w:rPr>
          <w:rFonts w:ascii="Arial" w:hAnsi="Arial" w:cs="Arial"/>
          <w:sz w:val="22"/>
          <w:szCs w:val="22"/>
        </w:rPr>
        <w:t xml:space="preserve"> and Ali, 2024). One of the most significant developments has been the increased use of telehealth consultations within primary healthcare settings. In the United Kingdom, the National Health Service (NHS) has increasingly adopted telehealth to improve healthcare accessibility, efficiency, and continuity of care (</w:t>
      </w:r>
      <w:proofErr w:type="spellStart"/>
      <w:r w:rsidRPr="001A07CF">
        <w:rPr>
          <w:rFonts w:ascii="Arial" w:hAnsi="Arial" w:cs="Arial"/>
          <w:sz w:val="22"/>
          <w:szCs w:val="22"/>
        </w:rPr>
        <w:t>Alashek</w:t>
      </w:r>
      <w:proofErr w:type="spellEnd"/>
      <w:r w:rsidRPr="001A07CF">
        <w:rPr>
          <w:rFonts w:ascii="Arial" w:hAnsi="Arial" w:cs="Arial"/>
          <w:sz w:val="22"/>
          <w:szCs w:val="22"/>
        </w:rPr>
        <w:t xml:space="preserve"> and Ali, 2024). As telehealth becomes a crucial component of healthcare delivery, it is important to understand its effectiveness and the challenges associated with its implementation in UK primary care.</w:t>
      </w:r>
    </w:p>
    <w:p w14:paraId="1B96B37F" w14:textId="77777777" w:rsidR="001A07CF" w:rsidRPr="001A07CF" w:rsidRDefault="001A07CF" w:rsidP="001A07CF">
      <w:pPr>
        <w:pStyle w:val="Heading2"/>
        <w:spacing w:line="360" w:lineRule="auto"/>
        <w:jc w:val="both"/>
        <w:rPr>
          <w:rFonts w:ascii="Arial" w:hAnsi="Arial" w:cs="Arial"/>
          <w:b/>
          <w:bCs/>
          <w:i/>
          <w:iCs/>
          <w:color w:val="auto"/>
          <w:sz w:val="22"/>
          <w:szCs w:val="22"/>
        </w:rPr>
      </w:pPr>
      <w:bookmarkStart w:id="1" w:name="_Toc232931778"/>
      <w:r w:rsidRPr="001A07CF">
        <w:rPr>
          <w:rFonts w:ascii="Arial" w:hAnsi="Arial" w:cs="Arial"/>
          <w:b/>
          <w:bCs/>
          <w:i/>
          <w:iCs/>
          <w:color w:val="auto"/>
          <w:sz w:val="22"/>
          <w:szCs w:val="22"/>
        </w:rPr>
        <w:t>Definition of Key Concepts</w:t>
      </w:r>
      <w:bookmarkEnd w:id="1"/>
    </w:p>
    <w:p w14:paraId="7F70CB60" w14:textId="77777777" w:rsidR="001A07CF" w:rsidRPr="001A07CF" w:rsidRDefault="001A07CF" w:rsidP="001A07CF">
      <w:pPr>
        <w:pStyle w:val="ListParagraph"/>
        <w:numPr>
          <w:ilvl w:val="0"/>
          <w:numId w:val="3"/>
        </w:numPr>
        <w:spacing w:line="360" w:lineRule="auto"/>
        <w:jc w:val="both"/>
        <w:rPr>
          <w:rFonts w:ascii="Arial" w:hAnsi="Arial" w:cs="Arial"/>
          <w:sz w:val="22"/>
          <w:szCs w:val="22"/>
        </w:rPr>
      </w:pPr>
      <w:r w:rsidRPr="001A07CF">
        <w:rPr>
          <w:rFonts w:ascii="Arial" w:hAnsi="Arial" w:cs="Arial"/>
          <w:b/>
          <w:bCs/>
          <w:sz w:val="22"/>
          <w:szCs w:val="22"/>
        </w:rPr>
        <w:t>Telehealth:</w:t>
      </w:r>
      <w:r w:rsidRPr="001A07CF">
        <w:rPr>
          <w:rFonts w:ascii="Arial" w:hAnsi="Arial" w:cs="Arial"/>
          <w:sz w:val="22"/>
          <w:szCs w:val="22"/>
        </w:rPr>
        <w:t xml:space="preserve"> Telehealth refers to the delivery of healthcare services through information and communication technologies that enable healthcare professionals and patients to communicate remotely. It may include telephone consultations, video consultations, remote monitoring, mobile health applications, and online healthcare platforms (Sharma et al, 2022). </w:t>
      </w:r>
    </w:p>
    <w:p w14:paraId="25372F14" w14:textId="77777777" w:rsidR="001A07CF" w:rsidRPr="001A07CF" w:rsidRDefault="001A07CF" w:rsidP="001A07CF">
      <w:pPr>
        <w:pStyle w:val="ListParagraph"/>
        <w:numPr>
          <w:ilvl w:val="0"/>
          <w:numId w:val="3"/>
        </w:numPr>
        <w:spacing w:line="360" w:lineRule="auto"/>
        <w:jc w:val="both"/>
        <w:rPr>
          <w:rFonts w:ascii="Arial" w:hAnsi="Arial" w:cs="Arial"/>
          <w:sz w:val="22"/>
          <w:szCs w:val="22"/>
        </w:rPr>
      </w:pPr>
      <w:r w:rsidRPr="001A07CF">
        <w:rPr>
          <w:rFonts w:ascii="Arial" w:hAnsi="Arial" w:cs="Arial"/>
          <w:b/>
          <w:bCs/>
          <w:sz w:val="22"/>
          <w:szCs w:val="22"/>
        </w:rPr>
        <w:t>Primary Healthcare:</w:t>
      </w:r>
      <w:r w:rsidRPr="001A07CF">
        <w:rPr>
          <w:rFonts w:ascii="Arial" w:hAnsi="Arial" w:cs="Arial"/>
          <w:sz w:val="22"/>
          <w:szCs w:val="22"/>
        </w:rPr>
        <w:t xml:space="preserve"> Primary healthcare is the first level of contact between individuals and healthcare services. It includes services provided by general practitioners (GPs), nurses, pharmacists, and other healthcare professionals who deliver preventative, diagnostic, treatment, and referral services within the community (de Visser et al, 2024). </w:t>
      </w:r>
    </w:p>
    <w:p w14:paraId="5115E49C" w14:textId="77777777" w:rsidR="001A07CF" w:rsidRPr="001A07CF" w:rsidRDefault="001A07CF" w:rsidP="001A07CF">
      <w:pPr>
        <w:pStyle w:val="ListParagraph"/>
        <w:numPr>
          <w:ilvl w:val="0"/>
          <w:numId w:val="3"/>
        </w:numPr>
        <w:spacing w:line="360" w:lineRule="auto"/>
        <w:jc w:val="both"/>
        <w:rPr>
          <w:rFonts w:ascii="Arial" w:hAnsi="Arial" w:cs="Arial"/>
          <w:sz w:val="22"/>
          <w:szCs w:val="22"/>
        </w:rPr>
      </w:pPr>
      <w:r w:rsidRPr="001A07CF">
        <w:rPr>
          <w:rFonts w:ascii="Arial" w:hAnsi="Arial" w:cs="Arial"/>
          <w:b/>
          <w:bCs/>
          <w:sz w:val="22"/>
          <w:szCs w:val="22"/>
        </w:rPr>
        <w:t>Digital Health:</w:t>
      </w:r>
      <w:r w:rsidRPr="001A07CF">
        <w:rPr>
          <w:rFonts w:ascii="Arial" w:hAnsi="Arial" w:cs="Arial"/>
          <w:sz w:val="22"/>
          <w:szCs w:val="22"/>
        </w:rPr>
        <w:t xml:space="preserve"> Digital health involves the use of digital technologies, such as EHRs and mobile apps, to improve health outcomes, healthcare delivery, and patient experiences. Telehealth is considered an important component of digital health practice (NHS England, 2026).</w:t>
      </w:r>
    </w:p>
    <w:p w14:paraId="4FF0266A" w14:textId="77777777" w:rsidR="001A07CF" w:rsidRPr="001A07CF" w:rsidRDefault="001A07CF" w:rsidP="001A07CF">
      <w:pPr>
        <w:pStyle w:val="ListParagraph"/>
        <w:numPr>
          <w:ilvl w:val="0"/>
          <w:numId w:val="3"/>
        </w:numPr>
        <w:spacing w:line="360" w:lineRule="auto"/>
        <w:jc w:val="both"/>
        <w:rPr>
          <w:rFonts w:ascii="Arial" w:hAnsi="Arial" w:cs="Arial"/>
          <w:sz w:val="22"/>
          <w:szCs w:val="22"/>
        </w:rPr>
      </w:pPr>
      <w:r w:rsidRPr="001A07CF">
        <w:rPr>
          <w:rFonts w:ascii="Arial" w:hAnsi="Arial" w:cs="Arial"/>
          <w:b/>
          <w:bCs/>
          <w:sz w:val="22"/>
          <w:szCs w:val="22"/>
        </w:rPr>
        <w:t>Scoping Review:</w:t>
      </w:r>
      <w:r w:rsidRPr="001A07CF">
        <w:rPr>
          <w:rFonts w:ascii="Arial" w:hAnsi="Arial" w:cs="Arial"/>
          <w:sz w:val="22"/>
          <w:szCs w:val="22"/>
        </w:rPr>
        <w:t xml:space="preserve"> A scoping review is secondary research used to identify, map, and synthesise existing evidence relating to a specific topic. Unlike systematic reviews, scoping reviews aim to provide an overview of the available literature rather than assess intervention effectiveness (Khalil et al, 2025). </w:t>
      </w:r>
    </w:p>
    <w:p w14:paraId="4AFE8002" w14:textId="77777777" w:rsidR="001A07CF" w:rsidRPr="001A07CF" w:rsidRDefault="001A07CF" w:rsidP="001A07CF">
      <w:pPr>
        <w:pStyle w:val="Heading2"/>
        <w:spacing w:line="360" w:lineRule="auto"/>
        <w:jc w:val="both"/>
        <w:rPr>
          <w:rFonts w:ascii="Arial" w:hAnsi="Arial" w:cs="Arial"/>
          <w:b/>
          <w:bCs/>
          <w:i/>
          <w:iCs/>
          <w:color w:val="auto"/>
          <w:sz w:val="22"/>
          <w:szCs w:val="22"/>
        </w:rPr>
      </w:pPr>
      <w:bookmarkStart w:id="2" w:name="_Toc232931779"/>
      <w:r w:rsidRPr="001A07CF">
        <w:rPr>
          <w:rFonts w:ascii="Arial" w:hAnsi="Arial" w:cs="Arial"/>
          <w:b/>
          <w:bCs/>
          <w:i/>
          <w:iCs/>
          <w:color w:val="auto"/>
          <w:sz w:val="22"/>
          <w:szCs w:val="22"/>
        </w:rPr>
        <w:t>Study Rationale</w:t>
      </w:r>
      <w:bookmarkEnd w:id="2"/>
    </w:p>
    <w:p w14:paraId="20819BDA" w14:textId="08DE7D2F" w:rsidR="001A07CF" w:rsidRPr="001A07CF" w:rsidRDefault="001A07CF" w:rsidP="001A07CF">
      <w:pPr>
        <w:spacing w:line="360" w:lineRule="auto"/>
        <w:ind w:firstLine="720"/>
        <w:jc w:val="both"/>
        <w:rPr>
          <w:rFonts w:ascii="Arial" w:hAnsi="Arial" w:cs="Arial"/>
          <w:sz w:val="22"/>
          <w:szCs w:val="22"/>
        </w:rPr>
      </w:pPr>
      <w:r w:rsidRPr="001A07CF">
        <w:rPr>
          <w:rFonts w:ascii="Arial" w:hAnsi="Arial" w:cs="Arial"/>
          <w:sz w:val="22"/>
          <w:szCs w:val="22"/>
        </w:rPr>
        <w:t xml:space="preserve">Telehealth has become increasingly important in healthcare delivery within the UK. Following the COVID-19 pandemic, remote consultations were rapidly adopted across NHS </w:t>
      </w:r>
      <w:r w:rsidRPr="001A07CF">
        <w:rPr>
          <w:rFonts w:ascii="Arial" w:hAnsi="Arial" w:cs="Arial"/>
          <w:sz w:val="22"/>
          <w:szCs w:val="22"/>
        </w:rPr>
        <w:lastRenderedPageBreak/>
        <w:t>primary care services to reduce infection risks and maintain access to healthcare. Research suggests that telehealth can improve access to healthcare services, reduce travel time for patients, increase convenience, and support continuity of care for individuals with long-term conditions (de Visser et al, 2024). However, telehealth also presents significant challenges. Digital exclusion remains a concern, particularly among older adults, individuals with limited digital literacy, and those lacking access to appropriate technology (Kemp et al, 2025). Moreover, concerns have been raised regarding patient confidentiality, data security, communication quality, and the limitations of conducting physical assessments remotely (Tukur et al, 2023). Considering the increasing integration of telehealth into UK healthcare services, understanding both its benefits and limitations is important for informing future policy, practice, and service development.</w:t>
      </w:r>
    </w:p>
    <w:p w14:paraId="2744CCD8" w14:textId="77777777" w:rsidR="001A07CF" w:rsidRPr="001A07CF" w:rsidRDefault="001A07CF" w:rsidP="001A07CF">
      <w:pPr>
        <w:pStyle w:val="Heading2"/>
        <w:spacing w:line="360" w:lineRule="auto"/>
        <w:jc w:val="both"/>
        <w:rPr>
          <w:rFonts w:ascii="Arial" w:hAnsi="Arial" w:cs="Arial"/>
          <w:b/>
          <w:bCs/>
          <w:i/>
          <w:iCs/>
          <w:color w:val="auto"/>
          <w:sz w:val="22"/>
          <w:szCs w:val="22"/>
        </w:rPr>
      </w:pPr>
      <w:bookmarkStart w:id="3" w:name="_Toc232931780"/>
      <w:r w:rsidRPr="001A07CF">
        <w:rPr>
          <w:rFonts w:ascii="Arial" w:hAnsi="Arial" w:cs="Arial"/>
          <w:b/>
          <w:bCs/>
          <w:i/>
          <w:iCs/>
          <w:color w:val="auto"/>
          <w:sz w:val="22"/>
          <w:szCs w:val="22"/>
        </w:rPr>
        <w:t>Review Question</w:t>
      </w:r>
      <w:bookmarkEnd w:id="3"/>
    </w:p>
    <w:p w14:paraId="15733B5C" w14:textId="1696CF1D" w:rsidR="001A07CF" w:rsidRPr="001A07CF" w:rsidRDefault="0067183B" w:rsidP="001A07CF">
      <w:pPr>
        <w:spacing w:line="360" w:lineRule="auto"/>
        <w:jc w:val="both"/>
        <w:rPr>
          <w:rFonts w:ascii="Arial" w:hAnsi="Arial" w:cs="Arial"/>
          <w:sz w:val="22"/>
          <w:szCs w:val="22"/>
        </w:rPr>
      </w:pPr>
      <w:r>
        <w:rPr>
          <w:rFonts w:ascii="Arial" w:hAnsi="Arial" w:cs="Arial"/>
          <w:sz w:val="22"/>
          <w:szCs w:val="22"/>
        </w:rPr>
        <w:t>The following research question guides this scoping review</w:t>
      </w:r>
      <w:r w:rsidR="001A07CF" w:rsidRPr="001A07CF">
        <w:rPr>
          <w:rFonts w:ascii="Arial" w:hAnsi="Arial" w:cs="Arial"/>
          <w:sz w:val="22"/>
          <w:szCs w:val="22"/>
        </w:rPr>
        <w:t>:</w:t>
      </w:r>
    </w:p>
    <w:p w14:paraId="00B8F771" w14:textId="77777777" w:rsidR="001A07CF" w:rsidRPr="001A07CF" w:rsidRDefault="001A07CF" w:rsidP="001A07CF">
      <w:pPr>
        <w:pStyle w:val="ListParagraph"/>
        <w:numPr>
          <w:ilvl w:val="0"/>
          <w:numId w:val="2"/>
        </w:numPr>
        <w:spacing w:line="360" w:lineRule="auto"/>
        <w:jc w:val="both"/>
        <w:rPr>
          <w:rFonts w:ascii="Arial" w:hAnsi="Arial" w:cs="Arial"/>
          <w:sz w:val="22"/>
          <w:szCs w:val="22"/>
        </w:rPr>
      </w:pPr>
      <w:r w:rsidRPr="001A07CF">
        <w:rPr>
          <w:rFonts w:ascii="Arial" w:hAnsi="Arial" w:cs="Arial"/>
          <w:sz w:val="22"/>
          <w:szCs w:val="22"/>
        </w:rPr>
        <w:t>What evidence exists regarding the impact, benefits, and challenges of telehealth consultations in UK primary healthcare?</w:t>
      </w:r>
    </w:p>
    <w:p w14:paraId="52F9544F" w14:textId="77777777" w:rsidR="001A07CF" w:rsidRPr="001A07CF" w:rsidRDefault="001A07CF" w:rsidP="001A07CF">
      <w:pPr>
        <w:pStyle w:val="Heading2"/>
        <w:spacing w:line="360" w:lineRule="auto"/>
        <w:jc w:val="both"/>
        <w:rPr>
          <w:rFonts w:ascii="Arial" w:hAnsi="Arial" w:cs="Arial"/>
          <w:b/>
          <w:bCs/>
          <w:i/>
          <w:iCs/>
          <w:color w:val="auto"/>
          <w:sz w:val="22"/>
          <w:szCs w:val="22"/>
        </w:rPr>
      </w:pPr>
      <w:bookmarkStart w:id="4" w:name="_Toc232931781"/>
      <w:r w:rsidRPr="001A07CF">
        <w:rPr>
          <w:rFonts w:ascii="Arial" w:hAnsi="Arial" w:cs="Arial"/>
          <w:b/>
          <w:bCs/>
          <w:i/>
          <w:iCs/>
          <w:color w:val="auto"/>
          <w:sz w:val="22"/>
          <w:szCs w:val="22"/>
        </w:rPr>
        <w:t>Review Objectives</w:t>
      </w:r>
      <w:bookmarkEnd w:id="4"/>
    </w:p>
    <w:p w14:paraId="422445A0" w14:textId="77777777" w:rsidR="001A07CF" w:rsidRPr="001A07CF" w:rsidRDefault="001A07CF" w:rsidP="001A07CF">
      <w:pPr>
        <w:spacing w:line="360" w:lineRule="auto"/>
        <w:ind w:firstLine="720"/>
        <w:jc w:val="both"/>
        <w:rPr>
          <w:rFonts w:ascii="Arial" w:hAnsi="Arial" w:cs="Arial"/>
          <w:sz w:val="22"/>
          <w:szCs w:val="22"/>
        </w:rPr>
      </w:pPr>
      <w:r w:rsidRPr="001A07CF">
        <w:rPr>
          <w:rFonts w:ascii="Arial" w:hAnsi="Arial" w:cs="Arial"/>
          <w:sz w:val="22"/>
          <w:szCs w:val="22"/>
        </w:rPr>
        <w:t xml:space="preserve">This scoping review primarily aims to systematically review the impact, benefits, and challenges of telehealth consultations in UK primary healthcare. </w:t>
      </w:r>
    </w:p>
    <w:p w14:paraId="048FD1C9" w14:textId="77777777" w:rsidR="001A07CF" w:rsidRPr="001A07CF" w:rsidRDefault="001A07CF" w:rsidP="001A07CF">
      <w:pPr>
        <w:spacing w:line="360" w:lineRule="auto"/>
        <w:jc w:val="both"/>
        <w:rPr>
          <w:rFonts w:ascii="Arial" w:hAnsi="Arial" w:cs="Arial"/>
          <w:sz w:val="22"/>
          <w:szCs w:val="22"/>
        </w:rPr>
      </w:pPr>
      <w:r w:rsidRPr="001A07CF">
        <w:rPr>
          <w:rFonts w:ascii="Arial" w:hAnsi="Arial" w:cs="Arial"/>
          <w:sz w:val="22"/>
          <w:szCs w:val="22"/>
        </w:rPr>
        <w:t>The review objectives are to:</w:t>
      </w:r>
    </w:p>
    <w:p w14:paraId="1C6FCA83" w14:textId="77777777" w:rsidR="001A07CF" w:rsidRPr="001A07CF" w:rsidRDefault="001A07CF" w:rsidP="001A07CF">
      <w:pPr>
        <w:pStyle w:val="ListParagraph"/>
        <w:numPr>
          <w:ilvl w:val="0"/>
          <w:numId w:val="2"/>
        </w:numPr>
        <w:spacing w:line="360" w:lineRule="auto"/>
        <w:jc w:val="both"/>
        <w:rPr>
          <w:rFonts w:ascii="Arial" w:hAnsi="Arial" w:cs="Arial"/>
          <w:sz w:val="22"/>
          <w:szCs w:val="22"/>
        </w:rPr>
      </w:pPr>
      <w:r w:rsidRPr="001A07CF">
        <w:rPr>
          <w:rFonts w:ascii="Arial" w:hAnsi="Arial" w:cs="Arial"/>
          <w:sz w:val="22"/>
          <w:szCs w:val="22"/>
        </w:rPr>
        <w:t>Identify the benefits of telehealth consultations in UK primary healthcare.</w:t>
      </w:r>
    </w:p>
    <w:p w14:paraId="07B8C9CD" w14:textId="77777777" w:rsidR="001A07CF" w:rsidRPr="001A07CF" w:rsidRDefault="001A07CF" w:rsidP="001A07CF">
      <w:pPr>
        <w:pStyle w:val="ListParagraph"/>
        <w:numPr>
          <w:ilvl w:val="0"/>
          <w:numId w:val="2"/>
        </w:numPr>
        <w:spacing w:line="360" w:lineRule="auto"/>
        <w:jc w:val="both"/>
        <w:rPr>
          <w:rFonts w:ascii="Arial" w:hAnsi="Arial" w:cs="Arial"/>
          <w:sz w:val="22"/>
          <w:szCs w:val="22"/>
        </w:rPr>
      </w:pPr>
      <w:r w:rsidRPr="001A07CF">
        <w:rPr>
          <w:rFonts w:ascii="Arial" w:hAnsi="Arial" w:cs="Arial"/>
          <w:sz w:val="22"/>
          <w:szCs w:val="22"/>
        </w:rPr>
        <w:t xml:space="preserve">Explore the challenges associated with telehealth consultations. </w:t>
      </w:r>
    </w:p>
    <w:p w14:paraId="57227884" w14:textId="77777777" w:rsidR="001A07CF" w:rsidRPr="001A07CF" w:rsidRDefault="001A07CF" w:rsidP="001A07CF">
      <w:pPr>
        <w:pStyle w:val="ListParagraph"/>
        <w:numPr>
          <w:ilvl w:val="0"/>
          <w:numId w:val="2"/>
        </w:numPr>
        <w:spacing w:line="360" w:lineRule="auto"/>
        <w:jc w:val="both"/>
        <w:rPr>
          <w:rFonts w:ascii="Arial" w:hAnsi="Arial" w:cs="Arial"/>
          <w:sz w:val="22"/>
          <w:szCs w:val="22"/>
        </w:rPr>
      </w:pPr>
      <w:r w:rsidRPr="001A07CF">
        <w:rPr>
          <w:rFonts w:ascii="Arial" w:hAnsi="Arial" w:cs="Arial"/>
          <w:sz w:val="22"/>
          <w:szCs w:val="22"/>
        </w:rPr>
        <w:t>Examine the impact of telehealth on accessibility, healthcare delivery, and patient satisfaction.</w:t>
      </w:r>
    </w:p>
    <w:p w14:paraId="60763EE3" w14:textId="77777777" w:rsidR="001A07CF" w:rsidRPr="001A07CF" w:rsidRDefault="001A07CF" w:rsidP="001A07CF">
      <w:pPr>
        <w:pStyle w:val="Heading1"/>
        <w:spacing w:line="360" w:lineRule="auto"/>
        <w:jc w:val="both"/>
        <w:rPr>
          <w:rFonts w:ascii="Arial" w:hAnsi="Arial" w:cs="Arial"/>
          <w:b/>
          <w:bCs/>
          <w:color w:val="auto"/>
          <w:sz w:val="22"/>
          <w:szCs w:val="22"/>
        </w:rPr>
      </w:pPr>
      <w:bookmarkStart w:id="5" w:name="_Toc232931782"/>
      <w:r w:rsidRPr="001A07CF">
        <w:rPr>
          <w:rFonts w:ascii="Arial" w:hAnsi="Arial" w:cs="Arial"/>
          <w:b/>
          <w:bCs/>
          <w:color w:val="auto"/>
          <w:sz w:val="22"/>
          <w:szCs w:val="22"/>
        </w:rPr>
        <w:t>Background</w:t>
      </w:r>
      <w:bookmarkEnd w:id="5"/>
    </w:p>
    <w:p w14:paraId="335769A0" w14:textId="77777777" w:rsidR="001A07CF" w:rsidRPr="001A07CF" w:rsidRDefault="001A07CF" w:rsidP="001A07CF">
      <w:pPr>
        <w:pStyle w:val="Heading2"/>
        <w:spacing w:line="360" w:lineRule="auto"/>
        <w:jc w:val="both"/>
        <w:rPr>
          <w:rFonts w:ascii="Arial" w:hAnsi="Arial" w:cs="Arial"/>
          <w:b/>
          <w:bCs/>
          <w:i/>
          <w:iCs/>
          <w:color w:val="auto"/>
          <w:sz w:val="22"/>
          <w:szCs w:val="22"/>
        </w:rPr>
      </w:pPr>
      <w:bookmarkStart w:id="6" w:name="_Toc232931783"/>
      <w:r w:rsidRPr="001A07CF">
        <w:rPr>
          <w:rFonts w:ascii="Arial" w:hAnsi="Arial" w:cs="Arial"/>
          <w:b/>
          <w:bCs/>
          <w:i/>
          <w:iCs/>
          <w:color w:val="auto"/>
          <w:sz w:val="22"/>
          <w:szCs w:val="22"/>
        </w:rPr>
        <w:t>Current Policies and Legislation</w:t>
      </w:r>
      <w:bookmarkEnd w:id="6"/>
    </w:p>
    <w:p w14:paraId="3B7BECD4" w14:textId="77777777" w:rsidR="001A07CF" w:rsidRPr="001A07CF" w:rsidRDefault="001A07CF" w:rsidP="001A07CF">
      <w:pPr>
        <w:spacing w:line="360" w:lineRule="auto"/>
        <w:ind w:firstLine="720"/>
        <w:jc w:val="both"/>
        <w:rPr>
          <w:rFonts w:ascii="Arial" w:hAnsi="Arial" w:cs="Arial"/>
          <w:sz w:val="22"/>
          <w:szCs w:val="22"/>
        </w:rPr>
      </w:pPr>
      <w:r w:rsidRPr="001A07CF">
        <w:rPr>
          <w:rFonts w:ascii="Arial" w:hAnsi="Arial" w:cs="Arial"/>
          <w:sz w:val="22"/>
          <w:szCs w:val="22"/>
        </w:rPr>
        <w:t xml:space="preserve">The expansion of telehealth within UK primary healthcare has been influenced by national digital transformation policies and strategies. The NHS Long Term Plan emphasises the importance of digital technologies in improving healthcare accessibility, efficiency, and patient-centred care. The plan outlines a commitment to increasing the availability of digital-first healthcare services, including online consultations and remote healthcare delivery (NHS England, 2026). Similarly, the NHS Digital Transformation Programme promotes the </w:t>
      </w:r>
      <w:r w:rsidRPr="001A07CF">
        <w:rPr>
          <w:rFonts w:ascii="Arial" w:hAnsi="Arial" w:cs="Arial"/>
          <w:sz w:val="22"/>
          <w:szCs w:val="22"/>
        </w:rPr>
        <w:lastRenderedPageBreak/>
        <w:t>integration of technology across healthcare services to enhance patient outcomes and support sustainable healthcare delivery (NHS England, 2026).</w:t>
      </w:r>
    </w:p>
    <w:p w14:paraId="1C39425B" w14:textId="2E8F7A68" w:rsidR="001A07CF" w:rsidRPr="001A07CF" w:rsidRDefault="001A07CF" w:rsidP="001A07CF">
      <w:pPr>
        <w:spacing w:line="360" w:lineRule="auto"/>
        <w:ind w:firstLine="720"/>
        <w:jc w:val="both"/>
        <w:rPr>
          <w:rFonts w:ascii="Arial" w:hAnsi="Arial" w:cs="Arial"/>
          <w:sz w:val="22"/>
          <w:szCs w:val="22"/>
        </w:rPr>
      </w:pPr>
      <w:r w:rsidRPr="001A07CF">
        <w:rPr>
          <w:rFonts w:ascii="Arial" w:hAnsi="Arial" w:cs="Arial"/>
          <w:sz w:val="22"/>
          <w:szCs w:val="22"/>
        </w:rPr>
        <w:t xml:space="preserve">The implementation of telehealth services is also governed by legislation relating to data protection and patient confidentiality. Regulations such as the UK General Data Protection Regulation (GDPR) establish legal requirements for the collection, storage, and processing of personal health information (Odeh et al, 2024). These regulations are particularly important in telehealth settings, where patient information is transmitted electronically. Therefore, Healthcare professionals delivering remote consultations must ensure compliance with data protection and patient confidentiality requirements. Internationally, the World Health </w:t>
      </w:r>
      <w:r w:rsidR="00CD6E84">
        <w:rPr>
          <w:rFonts w:ascii="Arial" w:hAnsi="Arial" w:cs="Arial"/>
          <w:sz w:val="22"/>
          <w:szCs w:val="22"/>
        </w:rPr>
        <w:t>Organisation</w:t>
      </w:r>
      <w:r w:rsidRPr="001A07CF">
        <w:rPr>
          <w:rFonts w:ascii="Arial" w:hAnsi="Arial" w:cs="Arial"/>
          <w:sz w:val="22"/>
          <w:szCs w:val="22"/>
        </w:rPr>
        <w:t xml:space="preserve"> (WHO) has recognised digital health technologies as an essential component of modern healthcare systems. The WHO Global Strategy on Digital Health 2020-2025 highlights the potential of digital technologies to improve healthcare accessibility, strengthen healthcare systems, and support universal health coverage (WHO, 2021). These policy developments demonstrate the increasing importance of telehealth within both national and international healthcare agendas.</w:t>
      </w:r>
    </w:p>
    <w:p w14:paraId="5BB35F85" w14:textId="77777777" w:rsidR="001A07CF" w:rsidRPr="001A07CF" w:rsidRDefault="001A07CF" w:rsidP="001A07CF">
      <w:pPr>
        <w:pStyle w:val="Heading2"/>
        <w:spacing w:line="360" w:lineRule="auto"/>
        <w:jc w:val="both"/>
        <w:rPr>
          <w:rFonts w:ascii="Arial" w:hAnsi="Arial" w:cs="Arial"/>
          <w:b/>
          <w:bCs/>
          <w:i/>
          <w:iCs/>
          <w:color w:val="auto"/>
          <w:sz w:val="22"/>
          <w:szCs w:val="22"/>
        </w:rPr>
      </w:pPr>
      <w:bookmarkStart w:id="7" w:name="_Toc232931784"/>
      <w:r w:rsidRPr="001A07CF">
        <w:rPr>
          <w:rFonts w:ascii="Arial" w:hAnsi="Arial" w:cs="Arial"/>
          <w:b/>
          <w:bCs/>
          <w:i/>
          <w:iCs/>
          <w:color w:val="auto"/>
          <w:sz w:val="22"/>
          <w:szCs w:val="22"/>
        </w:rPr>
        <w:t>Existing Services and Practice</w:t>
      </w:r>
      <w:bookmarkEnd w:id="7"/>
    </w:p>
    <w:p w14:paraId="0B644F94" w14:textId="77777777" w:rsidR="001A07CF" w:rsidRPr="001A07CF" w:rsidRDefault="001A07CF" w:rsidP="001A07CF">
      <w:pPr>
        <w:spacing w:line="360" w:lineRule="auto"/>
        <w:ind w:firstLine="720"/>
        <w:jc w:val="both"/>
        <w:rPr>
          <w:rFonts w:ascii="Arial" w:hAnsi="Arial" w:cs="Arial"/>
          <w:sz w:val="22"/>
          <w:szCs w:val="22"/>
        </w:rPr>
      </w:pPr>
      <w:r w:rsidRPr="001A07CF">
        <w:rPr>
          <w:rFonts w:ascii="Arial" w:hAnsi="Arial" w:cs="Arial"/>
          <w:sz w:val="22"/>
          <w:szCs w:val="22"/>
        </w:rPr>
        <w:t>Telehealth is now widely integrated into UK primary healthcare services. General practitioners (GPs), nurses, pharmacists, and other primary care professionals routinely use telephone and video consultations to assess, monitor, and manage patient health (NHS England, 2023). Current telehealth services support a wide range of healthcare activities, including routine consultations, medication reviews, management of chronic conditions, mental health support, follow-up appointments, and health education. Digital consultation platforms such as patient portals have also become increasingly common within primary care practices (NHS England, 2023). These technologies enable patients to communicate with healthcare professionals, access medical information, and manage appointments remotely. Research has shown that telehealth improves service efficiency by reducing unnecessary visits and enabling healthcare professionals to manage larger patient populations more effectively (de Visser et al, 2024). Additionally, telehealth has increased accessibility for individuals living in rural areas and those with mobility difficulties (NHS England, 2023).</w:t>
      </w:r>
    </w:p>
    <w:p w14:paraId="224DA793" w14:textId="77777777" w:rsidR="001A07CF" w:rsidRPr="001A07CF" w:rsidRDefault="001A07CF" w:rsidP="001A07CF">
      <w:pPr>
        <w:pStyle w:val="Heading2"/>
        <w:spacing w:line="360" w:lineRule="auto"/>
        <w:jc w:val="both"/>
        <w:rPr>
          <w:rFonts w:ascii="Arial" w:hAnsi="Arial" w:cs="Arial"/>
          <w:b/>
          <w:bCs/>
          <w:i/>
          <w:iCs/>
          <w:color w:val="auto"/>
          <w:sz w:val="22"/>
          <w:szCs w:val="22"/>
        </w:rPr>
      </w:pPr>
      <w:bookmarkStart w:id="8" w:name="_Toc232931785"/>
      <w:r w:rsidRPr="001A07CF">
        <w:rPr>
          <w:rFonts w:ascii="Arial" w:hAnsi="Arial" w:cs="Arial"/>
          <w:b/>
          <w:bCs/>
          <w:i/>
          <w:iCs/>
          <w:color w:val="auto"/>
          <w:sz w:val="22"/>
          <w:szCs w:val="22"/>
        </w:rPr>
        <w:t>Key Challenges and Issues</w:t>
      </w:r>
      <w:bookmarkEnd w:id="8"/>
    </w:p>
    <w:p w14:paraId="18227ED5" w14:textId="77777777" w:rsidR="001A07CF" w:rsidRPr="001A07CF" w:rsidRDefault="001A07CF" w:rsidP="001A07CF">
      <w:pPr>
        <w:spacing w:line="360" w:lineRule="auto"/>
        <w:ind w:firstLine="720"/>
        <w:jc w:val="both"/>
        <w:rPr>
          <w:rFonts w:ascii="Arial" w:hAnsi="Arial" w:cs="Arial"/>
          <w:sz w:val="22"/>
          <w:szCs w:val="22"/>
        </w:rPr>
      </w:pPr>
      <w:r w:rsidRPr="001A07CF">
        <w:rPr>
          <w:rFonts w:ascii="Arial" w:hAnsi="Arial" w:cs="Arial"/>
          <w:sz w:val="22"/>
          <w:szCs w:val="22"/>
        </w:rPr>
        <w:t xml:space="preserve">Despite its widespread adoption, several challenges continue to affect the effectiveness of telehealth within UK primary healthcare. One major concern is digital exclusion. Individuals with limited digital literacy, inadequate internet access, or limited access to digital devices may experience difficulties engaging with telehealth services. Older adults are particularly vulnerable to digital exclusion, thus creating inequalities in healthcare access </w:t>
      </w:r>
      <w:r w:rsidRPr="001A07CF">
        <w:rPr>
          <w:rFonts w:ascii="Arial" w:hAnsi="Arial" w:cs="Arial"/>
          <w:sz w:val="22"/>
          <w:szCs w:val="22"/>
        </w:rPr>
        <w:lastRenderedPageBreak/>
        <w:t>(Kemp et al, 2025). Healthcare professionals may also face difficulties conducting detailed patient assessments remotely, especially when physical examinations are required. Some studies have also reported concerns regarding reduced patient-professional rapport during remote consultations.</w:t>
      </w:r>
    </w:p>
    <w:p w14:paraId="7E686F57" w14:textId="77777777" w:rsidR="001A07CF" w:rsidRPr="001A07CF" w:rsidRDefault="001A07CF" w:rsidP="001A07CF">
      <w:pPr>
        <w:spacing w:line="360" w:lineRule="auto"/>
        <w:ind w:firstLine="720"/>
        <w:jc w:val="both"/>
        <w:rPr>
          <w:rFonts w:ascii="Arial" w:hAnsi="Arial" w:cs="Arial"/>
          <w:sz w:val="22"/>
          <w:szCs w:val="22"/>
        </w:rPr>
      </w:pPr>
      <w:r w:rsidRPr="001A07CF">
        <w:rPr>
          <w:rFonts w:ascii="Arial" w:hAnsi="Arial" w:cs="Arial"/>
          <w:sz w:val="22"/>
          <w:szCs w:val="22"/>
        </w:rPr>
        <w:t>Therefore, although telehealth has been widely implemented across the NHS, evidence regarding its overall effectiveness remains varied. As a result, there is a need to synthesise current UK-based research to identify benefits, challenges, and outcomes associated with telehealth consultations in primary healthcare. This scoping review seeks to address this gap by systematically examining the available evidence and identifying key themes relevant to future healthcare practice and digital health policy.</w:t>
      </w:r>
    </w:p>
    <w:p w14:paraId="07846521" w14:textId="77777777" w:rsidR="001A07CF" w:rsidRPr="001A07CF" w:rsidRDefault="001A07CF" w:rsidP="001A07CF">
      <w:pPr>
        <w:pStyle w:val="Heading1"/>
        <w:spacing w:line="360" w:lineRule="auto"/>
        <w:jc w:val="both"/>
        <w:rPr>
          <w:rFonts w:ascii="Arial" w:hAnsi="Arial" w:cs="Arial"/>
          <w:b/>
          <w:bCs/>
          <w:color w:val="auto"/>
          <w:sz w:val="22"/>
          <w:szCs w:val="22"/>
        </w:rPr>
      </w:pPr>
      <w:bookmarkStart w:id="9" w:name="_Toc232931786"/>
      <w:r w:rsidRPr="001A07CF">
        <w:rPr>
          <w:rFonts w:ascii="Arial" w:hAnsi="Arial" w:cs="Arial"/>
          <w:b/>
          <w:bCs/>
          <w:color w:val="auto"/>
          <w:sz w:val="22"/>
          <w:szCs w:val="22"/>
        </w:rPr>
        <w:t>Methods</w:t>
      </w:r>
      <w:bookmarkEnd w:id="9"/>
    </w:p>
    <w:p w14:paraId="7D2854AA" w14:textId="77777777" w:rsidR="001A07CF" w:rsidRPr="001A07CF" w:rsidRDefault="001A07CF" w:rsidP="001A07CF">
      <w:pPr>
        <w:spacing w:line="360" w:lineRule="auto"/>
        <w:ind w:firstLine="720"/>
        <w:jc w:val="both"/>
        <w:rPr>
          <w:rFonts w:ascii="Arial" w:hAnsi="Arial" w:cs="Arial"/>
          <w:sz w:val="22"/>
          <w:szCs w:val="22"/>
        </w:rPr>
      </w:pPr>
      <w:r w:rsidRPr="001A07CF">
        <w:rPr>
          <w:rFonts w:ascii="Arial" w:hAnsi="Arial" w:cs="Arial"/>
          <w:sz w:val="22"/>
          <w:szCs w:val="22"/>
        </w:rPr>
        <w:t>This study employed a scoping review methodology to examine the evidence relating to the impact, effectiveness, and challenges of telehealth consultations within UK primary healthcare. Scoping reviews are commonly used to map the existing literature on a particular topic, identify key concepts, and explore gaps within the evidence base (Khalil et al, 2025). The review was guided by the research question: What evidence exists regarding the effectiveness and challenges of telehealth consultations in UK primary healthcare?</w:t>
      </w:r>
    </w:p>
    <w:p w14:paraId="0F44E802" w14:textId="77777777" w:rsidR="001A07CF" w:rsidRPr="001A07CF" w:rsidRDefault="001A07CF" w:rsidP="001A07CF">
      <w:pPr>
        <w:pStyle w:val="Heading2"/>
        <w:spacing w:line="360" w:lineRule="auto"/>
        <w:jc w:val="both"/>
        <w:rPr>
          <w:rFonts w:ascii="Arial" w:hAnsi="Arial" w:cs="Arial"/>
          <w:b/>
          <w:bCs/>
          <w:i/>
          <w:iCs/>
          <w:color w:val="auto"/>
          <w:sz w:val="22"/>
          <w:szCs w:val="22"/>
        </w:rPr>
      </w:pPr>
      <w:bookmarkStart w:id="10" w:name="_Toc232931787"/>
      <w:r w:rsidRPr="001A07CF">
        <w:rPr>
          <w:rFonts w:ascii="Arial" w:hAnsi="Arial" w:cs="Arial"/>
          <w:b/>
          <w:bCs/>
          <w:i/>
          <w:iCs/>
          <w:color w:val="auto"/>
          <w:sz w:val="22"/>
          <w:szCs w:val="22"/>
        </w:rPr>
        <w:t>Data Collection Approach</w:t>
      </w:r>
      <w:bookmarkEnd w:id="10"/>
    </w:p>
    <w:p w14:paraId="61855E14" w14:textId="65F7F868" w:rsidR="001A07CF" w:rsidRPr="001A07CF" w:rsidRDefault="001A07CF" w:rsidP="001A07CF">
      <w:pPr>
        <w:spacing w:line="360" w:lineRule="auto"/>
        <w:ind w:firstLine="720"/>
        <w:jc w:val="both"/>
        <w:rPr>
          <w:rFonts w:ascii="Arial" w:hAnsi="Arial" w:cs="Arial"/>
          <w:sz w:val="22"/>
          <w:szCs w:val="22"/>
        </w:rPr>
      </w:pPr>
      <w:r w:rsidRPr="001A07CF">
        <w:rPr>
          <w:rFonts w:ascii="Arial" w:hAnsi="Arial" w:cs="Arial"/>
          <w:sz w:val="22"/>
          <w:szCs w:val="22"/>
        </w:rPr>
        <w:t>A structured literature search was conducted to identify relevant peer-reviewed studies. The primary databases used were PubMed and CINAHL, as they both provide access to a range of healthcare, nursing, and digital health studies. These databases also contain high-quality academic literature relevant to primary healthcare practice and telehealth implementation. A combination of keywords and Boolean operators was used to ensure the identification of relevant studies. The search terms included: “telehealth”, “telemedicine”, “remote consultation”, “virtual consultation”, “digital health”, “primary healthcare”, “primary care”, “NHS”, and “UK”. These terms were combined using Boolean operators such as AND OR. Examples included:</w:t>
      </w:r>
    </w:p>
    <w:p w14:paraId="54771ECC" w14:textId="77777777" w:rsidR="001A07CF" w:rsidRPr="001A07CF" w:rsidRDefault="001A07CF" w:rsidP="001A07CF">
      <w:pPr>
        <w:pStyle w:val="ListParagraph"/>
        <w:numPr>
          <w:ilvl w:val="0"/>
          <w:numId w:val="1"/>
        </w:numPr>
        <w:spacing w:line="360" w:lineRule="auto"/>
        <w:jc w:val="both"/>
        <w:rPr>
          <w:rFonts w:ascii="Arial" w:hAnsi="Arial" w:cs="Arial"/>
          <w:sz w:val="22"/>
          <w:szCs w:val="22"/>
        </w:rPr>
      </w:pPr>
      <w:r w:rsidRPr="001A07CF">
        <w:rPr>
          <w:rFonts w:ascii="Arial" w:hAnsi="Arial" w:cs="Arial"/>
          <w:sz w:val="22"/>
          <w:szCs w:val="22"/>
        </w:rPr>
        <w:t>“telehealth” AND “primary healthcare” AND “United Kingdom”</w:t>
      </w:r>
    </w:p>
    <w:p w14:paraId="78E569C6" w14:textId="0AD9F0CF" w:rsidR="001A07CF" w:rsidRPr="001A07CF" w:rsidRDefault="001A07CF" w:rsidP="001A07CF">
      <w:pPr>
        <w:pStyle w:val="ListParagraph"/>
        <w:numPr>
          <w:ilvl w:val="0"/>
          <w:numId w:val="1"/>
        </w:numPr>
        <w:spacing w:line="360" w:lineRule="auto"/>
        <w:jc w:val="both"/>
        <w:rPr>
          <w:rFonts w:ascii="Arial" w:hAnsi="Arial" w:cs="Arial"/>
          <w:sz w:val="22"/>
          <w:szCs w:val="22"/>
        </w:rPr>
      </w:pPr>
      <w:r w:rsidRPr="001A07CF">
        <w:rPr>
          <w:rFonts w:ascii="Arial" w:hAnsi="Arial" w:cs="Arial"/>
          <w:sz w:val="22"/>
          <w:szCs w:val="22"/>
        </w:rPr>
        <w:t>“</w:t>
      </w:r>
      <w:r w:rsidR="003B4319" w:rsidRPr="001A07CF">
        <w:rPr>
          <w:rFonts w:ascii="Arial" w:hAnsi="Arial" w:cs="Arial"/>
          <w:sz w:val="22"/>
          <w:szCs w:val="22"/>
        </w:rPr>
        <w:t>Remote</w:t>
      </w:r>
      <w:r w:rsidRPr="001A07CF">
        <w:rPr>
          <w:rFonts w:ascii="Arial" w:hAnsi="Arial" w:cs="Arial"/>
          <w:sz w:val="22"/>
          <w:szCs w:val="22"/>
        </w:rPr>
        <w:t xml:space="preserve"> consultation” AND “NHS”</w:t>
      </w:r>
    </w:p>
    <w:p w14:paraId="1417BFD4" w14:textId="44FB6697" w:rsidR="001A07CF" w:rsidRPr="001A07CF" w:rsidRDefault="001A07CF" w:rsidP="001A07CF">
      <w:pPr>
        <w:pStyle w:val="ListParagraph"/>
        <w:numPr>
          <w:ilvl w:val="0"/>
          <w:numId w:val="1"/>
        </w:numPr>
        <w:spacing w:line="360" w:lineRule="auto"/>
        <w:jc w:val="both"/>
        <w:rPr>
          <w:rFonts w:ascii="Arial" w:hAnsi="Arial" w:cs="Arial"/>
          <w:sz w:val="22"/>
          <w:szCs w:val="22"/>
        </w:rPr>
      </w:pPr>
      <w:r w:rsidRPr="001A07CF">
        <w:rPr>
          <w:rFonts w:ascii="Arial" w:hAnsi="Arial" w:cs="Arial"/>
          <w:sz w:val="22"/>
          <w:szCs w:val="22"/>
        </w:rPr>
        <w:t xml:space="preserve">“telemedicine” OR “virtual consultation” AND “primary care” </w:t>
      </w:r>
      <w:r w:rsidR="00CD6E84">
        <w:rPr>
          <w:rFonts w:ascii="Arial" w:hAnsi="Arial" w:cs="Arial"/>
          <w:sz w:val="22"/>
          <w:szCs w:val="22"/>
        </w:rPr>
        <w:t>AND</w:t>
      </w:r>
      <w:r w:rsidRPr="001A07CF">
        <w:rPr>
          <w:rFonts w:ascii="Arial" w:hAnsi="Arial" w:cs="Arial"/>
          <w:sz w:val="22"/>
          <w:szCs w:val="22"/>
        </w:rPr>
        <w:t xml:space="preserve"> “UK”</w:t>
      </w:r>
    </w:p>
    <w:p w14:paraId="6E26D4E5" w14:textId="50500E48" w:rsidR="001A07CF" w:rsidRPr="001A07CF" w:rsidRDefault="001A07CF" w:rsidP="001A07CF">
      <w:pPr>
        <w:pStyle w:val="Heading2"/>
        <w:spacing w:line="360" w:lineRule="auto"/>
        <w:jc w:val="both"/>
        <w:rPr>
          <w:rFonts w:ascii="Arial" w:hAnsi="Arial" w:cs="Arial"/>
          <w:b/>
          <w:bCs/>
          <w:i/>
          <w:iCs/>
          <w:color w:val="auto"/>
          <w:sz w:val="22"/>
          <w:szCs w:val="22"/>
        </w:rPr>
      </w:pPr>
      <w:r w:rsidRPr="001A07CF">
        <w:rPr>
          <w:rFonts w:ascii="Arial" w:hAnsi="Arial" w:cs="Arial"/>
          <w:b/>
          <w:bCs/>
          <w:i/>
          <w:iCs/>
          <w:color w:val="auto"/>
          <w:sz w:val="22"/>
          <w:szCs w:val="22"/>
        </w:rPr>
        <w:t xml:space="preserve">Inclusion </w:t>
      </w:r>
      <w:r w:rsidR="0067183B">
        <w:rPr>
          <w:rFonts w:ascii="Arial" w:hAnsi="Arial" w:cs="Arial"/>
          <w:b/>
          <w:bCs/>
          <w:i/>
          <w:iCs/>
          <w:color w:val="auto"/>
          <w:sz w:val="22"/>
          <w:szCs w:val="22"/>
        </w:rPr>
        <w:t>criteria</w:t>
      </w:r>
    </w:p>
    <w:p w14:paraId="62C24DD3" w14:textId="77777777" w:rsidR="001A07CF" w:rsidRPr="001A07CF" w:rsidRDefault="001A07CF" w:rsidP="001A07CF">
      <w:pPr>
        <w:spacing w:line="360" w:lineRule="auto"/>
        <w:jc w:val="both"/>
        <w:rPr>
          <w:rFonts w:ascii="Arial" w:hAnsi="Arial" w:cs="Arial"/>
          <w:sz w:val="22"/>
          <w:szCs w:val="22"/>
        </w:rPr>
      </w:pPr>
      <w:r w:rsidRPr="001A07CF">
        <w:rPr>
          <w:rFonts w:ascii="Arial" w:hAnsi="Arial" w:cs="Arial"/>
          <w:sz w:val="22"/>
          <w:szCs w:val="22"/>
        </w:rPr>
        <w:t>Studies were included if they:</w:t>
      </w:r>
    </w:p>
    <w:p w14:paraId="53308293" w14:textId="77777777" w:rsidR="001A07CF" w:rsidRPr="001A07CF" w:rsidRDefault="001A07CF" w:rsidP="001A07CF">
      <w:pPr>
        <w:pStyle w:val="ListParagraph"/>
        <w:numPr>
          <w:ilvl w:val="0"/>
          <w:numId w:val="5"/>
        </w:numPr>
        <w:spacing w:line="360" w:lineRule="auto"/>
        <w:jc w:val="both"/>
        <w:rPr>
          <w:rFonts w:ascii="Arial" w:hAnsi="Arial" w:cs="Arial"/>
          <w:sz w:val="22"/>
          <w:szCs w:val="22"/>
        </w:rPr>
      </w:pPr>
      <w:r w:rsidRPr="001A07CF">
        <w:rPr>
          <w:rFonts w:ascii="Arial" w:hAnsi="Arial" w:cs="Arial"/>
          <w:sz w:val="22"/>
          <w:szCs w:val="22"/>
        </w:rPr>
        <w:t xml:space="preserve">Were peer-reviewed journal articles published in English in the last 5 years. </w:t>
      </w:r>
    </w:p>
    <w:p w14:paraId="070E22F6" w14:textId="77777777" w:rsidR="001A07CF" w:rsidRPr="001A07CF" w:rsidRDefault="001A07CF" w:rsidP="001A07CF">
      <w:pPr>
        <w:pStyle w:val="ListParagraph"/>
        <w:numPr>
          <w:ilvl w:val="0"/>
          <w:numId w:val="5"/>
        </w:numPr>
        <w:spacing w:line="360" w:lineRule="auto"/>
        <w:jc w:val="both"/>
        <w:rPr>
          <w:rFonts w:ascii="Arial" w:hAnsi="Arial" w:cs="Arial"/>
          <w:sz w:val="22"/>
          <w:szCs w:val="22"/>
        </w:rPr>
      </w:pPr>
      <w:r w:rsidRPr="001A07CF">
        <w:rPr>
          <w:rFonts w:ascii="Arial" w:hAnsi="Arial" w:cs="Arial"/>
          <w:sz w:val="22"/>
          <w:szCs w:val="22"/>
        </w:rPr>
        <w:lastRenderedPageBreak/>
        <w:t>Focused on telehealth consultations within UK primary healthcare settings.</w:t>
      </w:r>
    </w:p>
    <w:p w14:paraId="445FFDE0" w14:textId="77777777" w:rsidR="001A07CF" w:rsidRPr="001A07CF" w:rsidRDefault="001A07CF" w:rsidP="001A07CF">
      <w:pPr>
        <w:pStyle w:val="ListParagraph"/>
        <w:numPr>
          <w:ilvl w:val="0"/>
          <w:numId w:val="5"/>
        </w:numPr>
        <w:spacing w:line="360" w:lineRule="auto"/>
        <w:jc w:val="both"/>
        <w:rPr>
          <w:rFonts w:ascii="Arial" w:hAnsi="Arial" w:cs="Arial"/>
          <w:sz w:val="22"/>
          <w:szCs w:val="22"/>
        </w:rPr>
      </w:pPr>
      <w:r w:rsidRPr="001A07CF">
        <w:rPr>
          <w:rFonts w:ascii="Arial" w:hAnsi="Arial" w:cs="Arial"/>
          <w:sz w:val="22"/>
          <w:szCs w:val="22"/>
        </w:rPr>
        <w:t xml:space="preserve">Addressed either the impact, benefits, or challenges associated with telehealth. </w:t>
      </w:r>
    </w:p>
    <w:p w14:paraId="319B514B" w14:textId="77777777" w:rsidR="001A07CF" w:rsidRDefault="001A07CF" w:rsidP="001A07CF">
      <w:pPr>
        <w:pStyle w:val="ListParagraph"/>
        <w:numPr>
          <w:ilvl w:val="0"/>
          <w:numId w:val="5"/>
        </w:numPr>
        <w:spacing w:line="360" w:lineRule="auto"/>
        <w:jc w:val="both"/>
        <w:rPr>
          <w:rFonts w:ascii="Arial" w:hAnsi="Arial" w:cs="Arial"/>
          <w:sz w:val="22"/>
          <w:szCs w:val="22"/>
        </w:rPr>
      </w:pPr>
      <w:r w:rsidRPr="001A07CF">
        <w:rPr>
          <w:rFonts w:ascii="Arial" w:hAnsi="Arial" w:cs="Arial"/>
          <w:sz w:val="22"/>
          <w:szCs w:val="22"/>
        </w:rPr>
        <w:t xml:space="preserve">Both primary and secondary research studies were eligible for inclusion. </w:t>
      </w:r>
    </w:p>
    <w:p w14:paraId="134E393B" w14:textId="5D64C79B" w:rsidR="0067183B" w:rsidRPr="003B4319" w:rsidRDefault="0067183B" w:rsidP="0067183B">
      <w:pPr>
        <w:pStyle w:val="ListParagraph"/>
        <w:spacing w:line="360" w:lineRule="auto"/>
        <w:jc w:val="both"/>
        <w:rPr>
          <w:rFonts w:ascii="Arial" w:hAnsi="Arial" w:cs="Arial"/>
          <w:b/>
          <w:bCs/>
          <w:i/>
          <w:iCs/>
          <w:sz w:val="22"/>
          <w:szCs w:val="22"/>
        </w:rPr>
      </w:pPr>
      <w:r w:rsidRPr="003B4319">
        <w:rPr>
          <w:rFonts w:ascii="Arial" w:hAnsi="Arial" w:cs="Arial"/>
          <w:b/>
          <w:bCs/>
          <w:i/>
          <w:iCs/>
          <w:sz w:val="22"/>
          <w:szCs w:val="22"/>
        </w:rPr>
        <w:t>Exclus</w:t>
      </w:r>
      <w:r w:rsidR="003B4319" w:rsidRPr="003B4319">
        <w:rPr>
          <w:rFonts w:ascii="Arial" w:hAnsi="Arial" w:cs="Arial"/>
          <w:b/>
          <w:bCs/>
          <w:i/>
          <w:iCs/>
          <w:sz w:val="22"/>
          <w:szCs w:val="22"/>
        </w:rPr>
        <w:t>ion criteria</w:t>
      </w:r>
    </w:p>
    <w:p w14:paraId="2E8A78B3" w14:textId="77777777" w:rsidR="001A07CF" w:rsidRPr="001A07CF" w:rsidRDefault="001A07CF" w:rsidP="001A07CF">
      <w:pPr>
        <w:spacing w:line="360" w:lineRule="auto"/>
        <w:jc w:val="both"/>
        <w:rPr>
          <w:rFonts w:ascii="Arial" w:hAnsi="Arial" w:cs="Arial"/>
          <w:sz w:val="22"/>
          <w:szCs w:val="22"/>
        </w:rPr>
      </w:pPr>
      <w:r w:rsidRPr="001A07CF">
        <w:rPr>
          <w:rFonts w:ascii="Arial" w:hAnsi="Arial" w:cs="Arial"/>
          <w:sz w:val="22"/>
          <w:szCs w:val="22"/>
        </w:rPr>
        <w:t>Studies were excluded if they were:</w:t>
      </w:r>
    </w:p>
    <w:p w14:paraId="11452553" w14:textId="77777777" w:rsidR="001A07CF" w:rsidRPr="001A07CF" w:rsidRDefault="001A07CF" w:rsidP="001A07CF">
      <w:pPr>
        <w:pStyle w:val="ListParagraph"/>
        <w:numPr>
          <w:ilvl w:val="0"/>
          <w:numId w:val="4"/>
        </w:numPr>
        <w:spacing w:line="360" w:lineRule="auto"/>
        <w:jc w:val="both"/>
        <w:rPr>
          <w:rFonts w:ascii="Arial" w:hAnsi="Arial" w:cs="Arial"/>
          <w:sz w:val="22"/>
          <w:szCs w:val="22"/>
        </w:rPr>
      </w:pPr>
      <w:r w:rsidRPr="001A07CF">
        <w:rPr>
          <w:rFonts w:ascii="Arial" w:hAnsi="Arial" w:cs="Arial"/>
          <w:sz w:val="22"/>
          <w:szCs w:val="22"/>
        </w:rPr>
        <w:t>Not peer-reviewed</w:t>
      </w:r>
    </w:p>
    <w:p w14:paraId="24B5A0C5" w14:textId="77777777" w:rsidR="001A07CF" w:rsidRPr="001A07CF" w:rsidRDefault="001A07CF" w:rsidP="001A07CF">
      <w:pPr>
        <w:pStyle w:val="ListParagraph"/>
        <w:numPr>
          <w:ilvl w:val="0"/>
          <w:numId w:val="4"/>
        </w:numPr>
        <w:spacing w:line="360" w:lineRule="auto"/>
        <w:jc w:val="both"/>
        <w:rPr>
          <w:rFonts w:ascii="Arial" w:hAnsi="Arial" w:cs="Arial"/>
          <w:sz w:val="22"/>
          <w:szCs w:val="22"/>
        </w:rPr>
      </w:pPr>
      <w:r w:rsidRPr="001A07CF">
        <w:rPr>
          <w:rFonts w:ascii="Arial" w:hAnsi="Arial" w:cs="Arial"/>
          <w:sz w:val="22"/>
          <w:szCs w:val="22"/>
        </w:rPr>
        <w:t>Older than 5 years</w:t>
      </w:r>
    </w:p>
    <w:p w14:paraId="66E56135" w14:textId="77777777" w:rsidR="001A07CF" w:rsidRPr="001A07CF" w:rsidRDefault="001A07CF" w:rsidP="001A07CF">
      <w:pPr>
        <w:pStyle w:val="ListParagraph"/>
        <w:numPr>
          <w:ilvl w:val="0"/>
          <w:numId w:val="4"/>
        </w:numPr>
        <w:spacing w:line="360" w:lineRule="auto"/>
        <w:jc w:val="both"/>
        <w:rPr>
          <w:rFonts w:ascii="Arial" w:hAnsi="Arial" w:cs="Arial"/>
          <w:sz w:val="22"/>
          <w:szCs w:val="22"/>
        </w:rPr>
      </w:pPr>
      <w:r w:rsidRPr="001A07CF">
        <w:rPr>
          <w:rFonts w:ascii="Arial" w:hAnsi="Arial" w:cs="Arial"/>
          <w:sz w:val="22"/>
          <w:szCs w:val="22"/>
        </w:rPr>
        <w:t xml:space="preserve">Conducted outside the UK or focused on secondary and tertiary care settings. </w:t>
      </w:r>
    </w:p>
    <w:p w14:paraId="08CF1E93" w14:textId="77777777" w:rsidR="001A07CF" w:rsidRPr="001A07CF" w:rsidRDefault="001A07CF" w:rsidP="001A07CF">
      <w:pPr>
        <w:pStyle w:val="Heading2"/>
        <w:spacing w:line="360" w:lineRule="auto"/>
        <w:jc w:val="both"/>
        <w:rPr>
          <w:rFonts w:ascii="Arial" w:hAnsi="Arial" w:cs="Arial"/>
          <w:b/>
          <w:bCs/>
          <w:i/>
          <w:iCs/>
          <w:color w:val="auto"/>
          <w:sz w:val="22"/>
          <w:szCs w:val="22"/>
        </w:rPr>
      </w:pPr>
      <w:bookmarkStart w:id="11" w:name="_Toc232931788"/>
      <w:r w:rsidRPr="001A07CF">
        <w:rPr>
          <w:rFonts w:ascii="Arial" w:hAnsi="Arial" w:cs="Arial"/>
          <w:b/>
          <w:bCs/>
          <w:i/>
          <w:iCs/>
          <w:color w:val="auto"/>
          <w:sz w:val="22"/>
          <w:szCs w:val="22"/>
        </w:rPr>
        <w:t>Data Analysis Approach</w:t>
      </w:r>
      <w:bookmarkEnd w:id="11"/>
    </w:p>
    <w:p w14:paraId="0CD4AB99" w14:textId="3BAD30B1" w:rsidR="001A07CF" w:rsidRPr="001A07CF" w:rsidRDefault="001A07CF" w:rsidP="001A07CF">
      <w:pPr>
        <w:spacing w:line="360" w:lineRule="auto"/>
        <w:ind w:firstLine="720"/>
        <w:jc w:val="both"/>
        <w:rPr>
          <w:rFonts w:ascii="Arial" w:hAnsi="Arial" w:cs="Arial"/>
          <w:sz w:val="22"/>
          <w:szCs w:val="22"/>
        </w:rPr>
      </w:pPr>
      <w:r w:rsidRPr="001A07CF">
        <w:rPr>
          <w:rFonts w:ascii="Arial" w:hAnsi="Arial" w:cs="Arial"/>
          <w:sz w:val="22"/>
          <w:szCs w:val="22"/>
        </w:rPr>
        <w:t xml:space="preserve">The selected studies were analysed using Aveyard’s simplified thematic analysis approach. This method provides a structured yet accessible framework for identifying patterns and themes across multiple research studies (Aveyard, 2023). Thematic analysis is particularly suitable for scoping reviews because it enables researchers to synthesise findings from studies with different methodologies and explore recurring concepts within the literature. The analysis began with repeated reading of the selected studies to achieve familiarity with the data. Key findings, conclusions, and observations relating to telehealth effectiveness and implementation were then extracted and coded. Similar codes were grouped to identify broader themes. Through a process of comparison and refinement, themes were developed that reflected common findings across the literature. This approach facilitated the identification of patterns relating to the benefits of telehealth, barriers to implementation, and implications for healthcare delivery. </w:t>
      </w:r>
    </w:p>
    <w:p w14:paraId="55C7B6EA" w14:textId="77777777" w:rsidR="001A07CF" w:rsidRPr="001A07CF" w:rsidRDefault="001A07CF" w:rsidP="001A07CF">
      <w:pPr>
        <w:pStyle w:val="Heading2"/>
        <w:spacing w:line="360" w:lineRule="auto"/>
        <w:jc w:val="both"/>
        <w:rPr>
          <w:rFonts w:ascii="Arial" w:hAnsi="Arial" w:cs="Arial"/>
          <w:b/>
          <w:bCs/>
          <w:i/>
          <w:iCs/>
          <w:color w:val="auto"/>
          <w:sz w:val="22"/>
          <w:szCs w:val="22"/>
        </w:rPr>
      </w:pPr>
      <w:bookmarkStart w:id="12" w:name="_Toc232931789"/>
      <w:r w:rsidRPr="001A07CF">
        <w:rPr>
          <w:rFonts w:ascii="Arial" w:hAnsi="Arial" w:cs="Arial"/>
          <w:b/>
          <w:bCs/>
          <w:i/>
          <w:iCs/>
          <w:color w:val="auto"/>
          <w:sz w:val="22"/>
          <w:szCs w:val="22"/>
        </w:rPr>
        <w:t>Ethical Considerations</w:t>
      </w:r>
      <w:bookmarkEnd w:id="12"/>
    </w:p>
    <w:p w14:paraId="69C120E6" w14:textId="3281517C" w:rsidR="001A07CF" w:rsidRPr="001A07CF" w:rsidRDefault="001A07CF" w:rsidP="001A07CF">
      <w:pPr>
        <w:spacing w:line="360" w:lineRule="auto"/>
        <w:ind w:firstLine="720"/>
        <w:jc w:val="both"/>
        <w:rPr>
          <w:rFonts w:ascii="Arial" w:hAnsi="Arial" w:cs="Arial"/>
          <w:sz w:val="22"/>
          <w:szCs w:val="22"/>
        </w:rPr>
      </w:pPr>
      <w:r w:rsidRPr="001A07CF">
        <w:rPr>
          <w:rFonts w:ascii="Arial" w:hAnsi="Arial" w:cs="Arial"/>
          <w:sz w:val="22"/>
          <w:szCs w:val="22"/>
        </w:rPr>
        <w:t xml:space="preserve">Formal ethical approval was not required because this study involved secondary analysis of existing literature. No human participants were involved, and no personal or confidential data were collected. However, several ethical principles were considered throughout the research process. To minimise bias, transparent inclusion and exclusion criteria were established before the literature search was conducted. Studies were selected based on their relevance to the research question rather than their findings, thus reducing the risk of selective reporting (Soliman et al, 2026). All sources were accurately cited and referenced to avoid plagiarism and </w:t>
      </w:r>
      <w:r w:rsidR="00CD6E84">
        <w:rPr>
          <w:rFonts w:ascii="Arial" w:hAnsi="Arial" w:cs="Arial"/>
          <w:sz w:val="22"/>
          <w:szCs w:val="22"/>
        </w:rPr>
        <w:t xml:space="preserve">ensure </w:t>
      </w:r>
      <w:r w:rsidRPr="001A07CF">
        <w:rPr>
          <w:rFonts w:ascii="Arial" w:hAnsi="Arial" w:cs="Arial"/>
          <w:sz w:val="22"/>
          <w:szCs w:val="22"/>
        </w:rPr>
        <w:t>academic integrity. Additionally, the research process was documented clearly to promote transparency and allow the review methods to be understood and replicated by other researchers (Soliman et al, 2026). By adhering to these principles, the study ensured that the findings were trustworthy, objective, and ethically sound.</w:t>
      </w:r>
    </w:p>
    <w:p w14:paraId="3117F4FE" w14:textId="77777777" w:rsidR="001A07CF" w:rsidRPr="001A07CF" w:rsidRDefault="001A07CF" w:rsidP="001A07CF">
      <w:pPr>
        <w:pStyle w:val="Heading1"/>
        <w:spacing w:line="360" w:lineRule="auto"/>
        <w:jc w:val="both"/>
        <w:rPr>
          <w:rFonts w:ascii="Arial" w:hAnsi="Arial" w:cs="Arial"/>
          <w:b/>
          <w:bCs/>
          <w:color w:val="auto"/>
          <w:sz w:val="22"/>
          <w:szCs w:val="22"/>
        </w:rPr>
      </w:pPr>
      <w:bookmarkStart w:id="13" w:name="_Toc232931790"/>
      <w:r w:rsidRPr="001A07CF">
        <w:rPr>
          <w:rFonts w:ascii="Arial" w:hAnsi="Arial" w:cs="Arial"/>
          <w:b/>
          <w:bCs/>
          <w:color w:val="auto"/>
          <w:sz w:val="22"/>
          <w:szCs w:val="22"/>
        </w:rPr>
        <w:lastRenderedPageBreak/>
        <w:t>Results</w:t>
      </w:r>
      <w:bookmarkEnd w:id="13"/>
    </w:p>
    <w:p w14:paraId="7F1E7B27" w14:textId="77777777" w:rsidR="001A07CF" w:rsidRPr="001A07CF" w:rsidRDefault="001A07CF" w:rsidP="001A07CF">
      <w:pPr>
        <w:pStyle w:val="Heading2"/>
        <w:spacing w:line="360" w:lineRule="auto"/>
        <w:jc w:val="both"/>
        <w:rPr>
          <w:rFonts w:ascii="Arial" w:hAnsi="Arial" w:cs="Arial"/>
          <w:b/>
          <w:bCs/>
          <w:i/>
          <w:iCs/>
          <w:color w:val="auto"/>
          <w:sz w:val="22"/>
          <w:szCs w:val="22"/>
        </w:rPr>
      </w:pPr>
      <w:bookmarkStart w:id="14" w:name="_Toc232931791"/>
      <w:r w:rsidRPr="001A07CF">
        <w:rPr>
          <w:rFonts w:ascii="Arial" w:hAnsi="Arial" w:cs="Arial"/>
          <w:b/>
          <w:bCs/>
          <w:i/>
          <w:iCs/>
          <w:color w:val="auto"/>
          <w:sz w:val="22"/>
          <w:szCs w:val="22"/>
        </w:rPr>
        <w:t>Summary of Reviewed Articles</w:t>
      </w:r>
      <w:bookmarkEnd w:id="14"/>
    </w:p>
    <w:p w14:paraId="4F6780ED" w14:textId="77777777" w:rsidR="001A07CF" w:rsidRPr="001A07CF" w:rsidRDefault="001A07CF" w:rsidP="001A07CF">
      <w:pPr>
        <w:spacing w:line="360" w:lineRule="auto"/>
        <w:jc w:val="both"/>
        <w:rPr>
          <w:rFonts w:ascii="Arial" w:hAnsi="Arial" w:cs="Arial"/>
          <w:b/>
          <w:bCs/>
          <w:i/>
          <w:iCs/>
          <w:sz w:val="22"/>
          <w:szCs w:val="22"/>
        </w:rPr>
      </w:pPr>
      <w:r w:rsidRPr="001A07CF">
        <w:rPr>
          <w:rFonts w:ascii="Arial" w:hAnsi="Arial" w:cs="Arial"/>
          <w:b/>
          <w:bCs/>
          <w:i/>
          <w:iCs/>
          <w:sz w:val="22"/>
          <w:szCs w:val="22"/>
        </w:rPr>
        <w:t>Table1: Summary of Key Details of Selected Articles</w:t>
      </w:r>
    </w:p>
    <w:tbl>
      <w:tblPr>
        <w:tblStyle w:val="TableGrid"/>
        <w:tblW w:w="0" w:type="auto"/>
        <w:tblLook w:val="04A0" w:firstRow="1" w:lastRow="0" w:firstColumn="1" w:lastColumn="0" w:noHBand="0" w:noVBand="1"/>
      </w:tblPr>
      <w:tblGrid>
        <w:gridCol w:w="1803"/>
        <w:gridCol w:w="1803"/>
        <w:gridCol w:w="1803"/>
        <w:gridCol w:w="1803"/>
        <w:gridCol w:w="1804"/>
      </w:tblGrid>
      <w:tr w:rsidR="001A07CF" w:rsidRPr="001A07CF" w14:paraId="70FB9009" w14:textId="77777777" w:rsidTr="000E667F">
        <w:tc>
          <w:tcPr>
            <w:tcW w:w="1803" w:type="dxa"/>
          </w:tcPr>
          <w:p w14:paraId="50C9E461" w14:textId="77777777"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Authors &amp; Year</w:t>
            </w:r>
          </w:p>
        </w:tc>
        <w:tc>
          <w:tcPr>
            <w:tcW w:w="1803" w:type="dxa"/>
          </w:tcPr>
          <w:p w14:paraId="6C4B46BC" w14:textId="77777777"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Research Objectives</w:t>
            </w:r>
          </w:p>
        </w:tc>
        <w:tc>
          <w:tcPr>
            <w:tcW w:w="1803" w:type="dxa"/>
          </w:tcPr>
          <w:p w14:paraId="1EE590E9" w14:textId="77777777"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Methods</w:t>
            </w:r>
          </w:p>
        </w:tc>
        <w:tc>
          <w:tcPr>
            <w:tcW w:w="1803" w:type="dxa"/>
          </w:tcPr>
          <w:p w14:paraId="67F502CC" w14:textId="77777777"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Key Findings</w:t>
            </w:r>
          </w:p>
        </w:tc>
        <w:tc>
          <w:tcPr>
            <w:tcW w:w="1804" w:type="dxa"/>
          </w:tcPr>
          <w:p w14:paraId="3D79493D" w14:textId="77777777"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Relevance to Review Question</w:t>
            </w:r>
          </w:p>
        </w:tc>
      </w:tr>
      <w:tr w:rsidR="001A07CF" w:rsidRPr="001A07CF" w14:paraId="3780285D" w14:textId="77777777" w:rsidTr="000E667F">
        <w:tc>
          <w:tcPr>
            <w:tcW w:w="1803" w:type="dxa"/>
          </w:tcPr>
          <w:p w14:paraId="7DD1922A" w14:textId="77777777"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Antonio et al. (2024)</w:t>
            </w:r>
          </w:p>
        </w:tc>
        <w:tc>
          <w:tcPr>
            <w:tcW w:w="1803" w:type="dxa"/>
          </w:tcPr>
          <w:p w14:paraId="6BE160D9" w14:textId="77777777"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 xml:space="preserve">To collate and examine evidence relating to remote consultations in UK primary care on the experiences of patients with mental health conditions </w:t>
            </w:r>
          </w:p>
        </w:tc>
        <w:tc>
          <w:tcPr>
            <w:tcW w:w="1803" w:type="dxa"/>
          </w:tcPr>
          <w:p w14:paraId="404D4DF5" w14:textId="77777777"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Systematic review of studies covering a range of mental health conditions and remote consultation methods</w:t>
            </w:r>
          </w:p>
        </w:tc>
        <w:tc>
          <w:tcPr>
            <w:tcW w:w="1803" w:type="dxa"/>
          </w:tcPr>
          <w:p w14:paraId="70B483D9" w14:textId="4479B326"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 xml:space="preserve">Patients were overall satisfied with remote consultations, especially those with certain conditions such as anxiety. Some studies showed that </w:t>
            </w:r>
            <w:r w:rsidR="00CD6E84">
              <w:rPr>
                <w:rFonts w:ascii="Arial" w:hAnsi="Arial" w:cs="Arial"/>
                <w:sz w:val="22"/>
                <w:szCs w:val="22"/>
              </w:rPr>
              <w:t xml:space="preserve">the </w:t>
            </w:r>
            <w:r w:rsidRPr="001A07CF">
              <w:rPr>
                <w:rFonts w:ascii="Arial" w:hAnsi="Arial" w:cs="Arial"/>
                <w:sz w:val="22"/>
                <w:szCs w:val="22"/>
              </w:rPr>
              <w:t xml:space="preserve">face-to-face consultation method was preferred, with patients citing negatives to remote consultations such as </w:t>
            </w:r>
            <w:r w:rsidR="00CD6E84">
              <w:rPr>
                <w:rFonts w:ascii="Arial" w:hAnsi="Arial" w:cs="Arial"/>
                <w:sz w:val="22"/>
                <w:szCs w:val="22"/>
              </w:rPr>
              <w:t xml:space="preserve">a </w:t>
            </w:r>
            <w:r w:rsidRPr="001A07CF">
              <w:rPr>
                <w:rFonts w:ascii="Arial" w:hAnsi="Arial" w:cs="Arial"/>
                <w:sz w:val="22"/>
                <w:szCs w:val="22"/>
              </w:rPr>
              <w:t>lack of format flexibility.</w:t>
            </w:r>
          </w:p>
        </w:tc>
        <w:tc>
          <w:tcPr>
            <w:tcW w:w="1804" w:type="dxa"/>
          </w:tcPr>
          <w:p w14:paraId="5832FF7C" w14:textId="6DA0E024"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 xml:space="preserve">Highlights the benefits of telehealth for people with certain mental conditions. It also highlights </w:t>
            </w:r>
            <w:r w:rsidR="00CD6E84">
              <w:rPr>
                <w:rFonts w:ascii="Arial" w:hAnsi="Arial" w:cs="Arial"/>
                <w:sz w:val="22"/>
                <w:szCs w:val="22"/>
              </w:rPr>
              <w:t xml:space="preserve">the </w:t>
            </w:r>
            <w:r w:rsidRPr="001A07CF">
              <w:rPr>
                <w:rFonts w:ascii="Arial" w:hAnsi="Arial" w:cs="Arial"/>
                <w:sz w:val="22"/>
                <w:szCs w:val="22"/>
              </w:rPr>
              <w:t>challenges of telehealth implementation</w:t>
            </w:r>
            <w:r w:rsidR="00CD6E84">
              <w:rPr>
                <w:rFonts w:ascii="Arial" w:hAnsi="Arial" w:cs="Arial"/>
                <w:sz w:val="22"/>
                <w:szCs w:val="22"/>
              </w:rPr>
              <w:t>,</w:t>
            </w:r>
            <w:r w:rsidRPr="001A07CF">
              <w:rPr>
                <w:rFonts w:ascii="Arial" w:hAnsi="Arial" w:cs="Arial"/>
                <w:sz w:val="22"/>
                <w:szCs w:val="22"/>
              </w:rPr>
              <w:t xml:space="preserve"> as most patients still prefer face-to-face consultation.</w:t>
            </w:r>
          </w:p>
        </w:tc>
      </w:tr>
      <w:tr w:rsidR="001A07CF" w:rsidRPr="001A07CF" w14:paraId="111D65C1" w14:textId="77777777" w:rsidTr="000E667F">
        <w:tc>
          <w:tcPr>
            <w:tcW w:w="1803" w:type="dxa"/>
          </w:tcPr>
          <w:p w14:paraId="4A995C57" w14:textId="77777777" w:rsidR="001A07CF" w:rsidRPr="001A07CF" w:rsidRDefault="001A07CF" w:rsidP="000E667F">
            <w:pPr>
              <w:spacing w:line="360" w:lineRule="auto"/>
              <w:jc w:val="both"/>
              <w:rPr>
                <w:rFonts w:ascii="Arial" w:hAnsi="Arial" w:cs="Arial"/>
                <w:sz w:val="22"/>
                <w:szCs w:val="22"/>
              </w:rPr>
            </w:pPr>
            <w:proofErr w:type="spellStart"/>
            <w:r w:rsidRPr="001A07CF">
              <w:rPr>
                <w:rFonts w:ascii="Arial" w:hAnsi="Arial" w:cs="Arial"/>
                <w:sz w:val="22"/>
                <w:szCs w:val="22"/>
              </w:rPr>
              <w:t>Gobburi</w:t>
            </w:r>
            <w:proofErr w:type="spellEnd"/>
            <w:r w:rsidRPr="001A07CF">
              <w:rPr>
                <w:rFonts w:ascii="Arial" w:hAnsi="Arial" w:cs="Arial"/>
                <w:sz w:val="22"/>
                <w:szCs w:val="22"/>
              </w:rPr>
              <w:t xml:space="preserve"> et al. (2025)</w:t>
            </w:r>
          </w:p>
        </w:tc>
        <w:tc>
          <w:tcPr>
            <w:tcW w:w="1803" w:type="dxa"/>
          </w:tcPr>
          <w:p w14:paraId="7878464D" w14:textId="058D3278"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 xml:space="preserve">To examine telemedicine use in rural areas of the UK and its impact </w:t>
            </w:r>
            <w:r w:rsidR="00CD6E84">
              <w:rPr>
                <w:rFonts w:ascii="Arial" w:hAnsi="Arial" w:cs="Arial"/>
                <w:sz w:val="22"/>
                <w:szCs w:val="22"/>
              </w:rPr>
              <w:t>on</w:t>
            </w:r>
            <w:r w:rsidRPr="001A07CF">
              <w:rPr>
                <w:rFonts w:ascii="Arial" w:hAnsi="Arial" w:cs="Arial"/>
                <w:sz w:val="22"/>
                <w:szCs w:val="22"/>
              </w:rPr>
              <w:t xml:space="preserve"> improving access to healthcare facilities</w:t>
            </w:r>
          </w:p>
        </w:tc>
        <w:tc>
          <w:tcPr>
            <w:tcW w:w="1803" w:type="dxa"/>
          </w:tcPr>
          <w:p w14:paraId="392DE9DD" w14:textId="77777777"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Systematic literature review with thematic analysis</w:t>
            </w:r>
          </w:p>
        </w:tc>
        <w:tc>
          <w:tcPr>
            <w:tcW w:w="1803" w:type="dxa"/>
          </w:tcPr>
          <w:p w14:paraId="3171A0B9" w14:textId="0A2821E3"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 xml:space="preserve">Telemedicine significantly improved access to healthcare in rural areas by reducing travel barriers, improving </w:t>
            </w:r>
            <w:r w:rsidRPr="001A07CF">
              <w:rPr>
                <w:rFonts w:ascii="Arial" w:hAnsi="Arial" w:cs="Arial"/>
                <w:sz w:val="22"/>
                <w:szCs w:val="22"/>
              </w:rPr>
              <w:lastRenderedPageBreak/>
              <w:t xml:space="preserve">mental health services, and increasing patient engagement. However, challenges such as </w:t>
            </w:r>
            <w:r w:rsidR="00CD6E84">
              <w:rPr>
                <w:rFonts w:ascii="Arial" w:hAnsi="Arial" w:cs="Arial"/>
                <w:sz w:val="22"/>
                <w:szCs w:val="22"/>
              </w:rPr>
              <w:t xml:space="preserve">a </w:t>
            </w:r>
            <w:r w:rsidRPr="001A07CF">
              <w:rPr>
                <w:rFonts w:ascii="Arial" w:hAnsi="Arial" w:cs="Arial"/>
                <w:sz w:val="22"/>
                <w:szCs w:val="22"/>
              </w:rPr>
              <w:t>lack of technological literacy and communication obstacles were also identified.</w:t>
            </w:r>
          </w:p>
        </w:tc>
        <w:tc>
          <w:tcPr>
            <w:tcW w:w="1804" w:type="dxa"/>
          </w:tcPr>
          <w:p w14:paraId="6F2FA016" w14:textId="77777777"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lastRenderedPageBreak/>
              <w:t>Demonstrates the impact of telehealth on healthcare accessibility as well as the challenges that limit its effectiveness.</w:t>
            </w:r>
          </w:p>
        </w:tc>
      </w:tr>
      <w:tr w:rsidR="001A07CF" w:rsidRPr="001A07CF" w14:paraId="3D02FD21" w14:textId="77777777" w:rsidTr="000E667F">
        <w:tc>
          <w:tcPr>
            <w:tcW w:w="1803" w:type="dxa"/>
          </w:tcPr>
          <w:p w14:paraId="2FD55709" w14:textId="77777777"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Greenhalgh et al. (2022)</w:t>
            </w:r>
          </w:p>
        </w:tc>
        <w:tc>
          <w:tcPr>
            <w:tcW w:w="1803" w:type="dxa"/>
          </w:tcPr>
          <w:p w14:paraId="2678B768" w14:textId="6C60D11C"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To explore why GPs rarely use video consultations in UK general practice</w:t>
            </w:r>
            <w:r w:rsidR="00CD6E84">
              <w:rPr>
                <w:rFonts w:ascii="Arial" w:hAnsi="Arial" w:cs="Arial"/>
                <w:sz w:val="22"/>
                <w:szCs w:val="22"/>
              </w:rPr>
              <w:t>,</w:t>
            </w:r>
            <w:r w:rsidRPr="001A07CF">
              <w:rPr>
                <w:rFonts w:ascii="Arial" w:hAnsi="Arial" w:cs="Arial"/>
                <w:sz w:val="22"/>
                <w:szCs w:val="22"/>
              </w:rPr>
              <w:t xml:space="preserve"> since less than 1% of consultations occur by video</w:t>
            </w:r>
          </w:p>
        </w:tc>
        <w:tc>
          <w:tcPr>
            <w:tcW w:w="1803" w:type="dxa"/>
          </w:tcPr>
          <w:p w14:paraId="0020E109" w14:textId="3D3D6BBE"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 xml:space="preserve">Qualitative analysis of data from 3 mixed-method case studies of remote consultations conducted between </w:t>
            </w:r>
            <w:r w:rsidR="00CD6E84">
              <w:rPr>
                <w:rFonts w:ascii="Arial" w:hAnsi="Arial" w:cs="Arial"/>
                <w:sz w:val="22"/>
                <w:szCs w:val="22"/>
              </w:rPr>
              <w:t>2019 and 2021</w:t>
            </w:r>
            <w:r w:rsidRPr="001A07CF">
              <w:rPr>
                <w:rFonts w:ascii="Arial" w:hAnsi="Arial" w:cs="Arial"/>
                <w:sz w:val="22"/>
                <w:szCs w:val="22"/>
              </w:rPr>
              <w:t xml:space="preserve"> through interviews and focus groups</w:t>
            </w:r>
          </w:p>
        </w:tc>
        <w:tc>
          <w:tcPr>
            <w:tcW w:w="1803" w:type="dxa"/>
          </w:tcPr>
          <w:p w14:paraId="0865B7FE" w14:textId="560CDE5E"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 xml:space="preserve">GPs preferred telephone consultations as they felt they were adequate and safe for many simple presenting problems. In-person assessment was considered necessary for the more complex ones. There was also </w:t>
            </w:r>
            <w:r w:rsidR="00CD6E84">
              <w:rPr>
                <w:rFonts w:ascii="Arial" w:hAnsi="Arial" w:cs="Arial"/>
                <w:sz w:val="22"/>
                <w:szCs w:val="22"/>
              </w:rPr>
              <w:t xml:space="preserve">a </w:t>
            </w:r>
            <w:r w:rsidRPr="001A07CF">
              <w:rPr>
                <w:rFonts w:ascii="Arial" w:hAnsi="Arial" w:cs="Arial"/>
                <w:sz w:val="22"/>
                <w:szCs w:val="22"/>
              </w:rPr>
              <w:t xml:space="preserve">strong preference for in-person assessment by patients due to therapeutic presence. </w:t>
            </w:r>
          </w:p>
        </w:tc>
        <w:tc>
          <w:tcPr>
            <w:tcW w:w="1804" w:type="dxa"/>
          </w:tcPr>
          <w:p w14:paraId="415034B6" w14:textId="5D8D8792"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Identifies barriers to telehealth adoption</w:t>
            </w:r>
            <w:r w:rsidR="00CD6E84">
              <w:rPr>
                <w:rFonts w:ascii="Arial" w:hAnsi="Arial" w:cs="Arial"/>
                <w:sz w:val="22"/>
                <w:szCs w:val="22"/>
              </w:rPr>
              <w:t>,</w:t>
            </w:r>
            <w:r w:rsidRPr="001A07CF">
              <w:rPr>
                <w:rFonts w:ascii="Arial" w:hAnsi="Arial" w:cs="Arial"/>
                <w:sz w:val="22"/>
                <w:szCs w:val="22"/>
              </w:rPr>
              <w:t xml:space="preserve"> such as professional and patient preference.</w:t>
            </w:r>
          </w:p>
        </w:tc>
      </w:tr>
      <w:tr w:rsidR="001A07CF" w:rsidRPr="001A07CF" w14:paraId="41FE85C5" w14:textId="77777777" w:rsidTr="000E667F">
        <w:tc>
          <w:tcPr>
            <w:tcW w:w="1803" w:type="dxa"/>
          </w:tcPr>
          <w:p w14:paraId="36B5AF6F" w14:textId="77777777"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lastRenderedPageBreak/>
              <w:t>Islam et al. (2024)</w:t>
            </w:r>
          </w:p>
        </w:tc>
        <w:tc>
          <w:tcPr>
            <w:tcW w:w="1803" w:type="dxa"/>
          </w:tcPr>
          <w:p w14:paraId="731803FF" w14:textId="2C83F8E3"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 xml:space="preserve">To explore the impact of </w:t>
            </w:r>
            <w:r w:rsidR="00CD6E84">
              <w:rPr>
                <w:rFonts w:ascii="Arial" w:hAnsi="Arial" w:cs="Arial"/>
                <w:sz w:val="22"/>
                <w:szCs w:val="22"/>
              </w:rPr>
              <w:t>digitisation</w:t>
            </w:r>
            <w:r w:rsidRPr="001A07CF">
              <w:rPr>
                <w:rFonts w:ascii="Arial" w:hAnsi="Arial" w:cs="Arial"/>
                <w:sz w:val="22"/>
                <w:szCs w:val="22"/>
              </w:rPr>
              <w:t xml:space="preserve"> on access to and </w:t>
            </w:r>
            <w:r w:rsidR="00CD6E84">
              <w:rPr>
                <w:rFonts w:ascii="Arial" w:hAnsi="Arial" w:cs="Arial"/>
                <w:sz w:val="22"/>
                <w:szCs w:val="22"/>
              </w:rPr>
              <w:t>utilisation</w:t>
            </w:r>
            <w:r w:rsidRPr="001A07CF">
              <w:rPr>
                <w:rFonts w:ascii="Arial" w:hAnsi="Arial" w:cs="Arial"/>
                <w:sz w:val="22"/>
                <w:szCs w:val="22"/>
              </w:rPr>
              <w:t xml:space="preserve"> of primary care services among minoritised ethnic communities in the UK</w:t>
            </w:r>
          </w:p>
        </w:tc>
        <w:tc>
          <w:tcPr>
            <w:tcW w:w="1803" w:type="dxa"/>
          </w:tcPr>
          <w:p w14:paraId="7B5E4332" w14:textId="400AE32D"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Qualitative study</w:t>
            </w:r>
            <w:r w:rsidR="00CD6E84">
              <w:rPr>
                <w:rFonts w:ascii="Arial" w:hAnsi="Arial" w:cs="Arial"/>
                <w:sz w:val="22"/>
                <w:szCs w:val="22"/>
              </w:rPr>
              <w:t>:</w:t>
            </w:r>
            <w:r w:rsidRPr="001A07CF">
              <w:rPr>
                <w:rFonts w:ascii="Arial" w:hAnsi="Arial" w:cs="Arial"/>
                <w:sz w:val="22"/>
                <w:szCs w:val="22"/>
              </w:rPr>
              <w:t xml:space="preserve"> interviews were used in data collection</w:t>
            </w:r>
          </w:p>
        </w:tc>
        <w:tc>
          <w:tcPr>
            <w:tcW w:w="1803" w:type="dxa"/>
          </w:tcPr>
          <w:p w14:paraId="6A44D537" w14:textId="056CD984"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 xml:space="preserve">Access to digital care among minoritised ethnic communities was </w:t>
            </w:r>
            <w:r w:rsidR="00CD6E84">
              <w:rPr>
                <w:rFonts w:ascii="Arial" w:hAnsi="Arial" w:cs="Arial"/>
                <w:sz w:val="22"/>
                <w:szCs w:val="22"/>
              </w:rPr>
              <w:t>challenged</w:t>
            </w:r>
            <w:r w:rsidRPr="001A07CF">
              <w:rPr>
                <w:rFonts w:ascii="Arial" w:hAnsi="Arial" w:cs="Arial"/>
                <w:sz w:val="22"/>
                <w:szCs w:val="22"/>
              </w:rPr>
              <w:t xml:space="preserve"> by factors such as inadequate devices, low digital literacy, and internet connectivity problems. Problems such as </w:t>
            </w:r>
            <w:r w:rsidR="00CD6E84">
              <w:rPr>
                <w:rFonts w:ascii="Arial" w:hAnsi="Arial" w:cs="Arial"/>
                <w:sz w:val="22"/>
                <w:szCs w:val="22"/>
              </w:rPr>
              <w:t xml:space="preserve">a </w:t>
            </w:r>
            <w:r w:rsidRPr="001A07CF">
              <w:rPr>
                <w:rFonts w:ascii="Arial" w:hAnsi="Arial" w:cs="Arial"/>
                <w:sz w:val="22"/>
                <w:szCs w:val="22"/>
              </w:rPr>
              <w:t>lack of language support were also identified</w:t>
            </w:r>
          </w:p>
        </w:tc>
        <w:tc>
          <w:tcPr>
            <w:tcW w:w="1804" w:type="dxa"/>
          </w:tcPr>
          <w:p w14:paraId="6DB48927" w14:textId="48760FAB"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Highlights inequalities and digital exclusion issues associated with the adoption of digital health</w:t>
            </w:r>
            <w:r w:rsidR="00CD6E84">
              <w:rPr>
                <w:rFonts w:ascii="Arial" w:hAnsi="Arial" w:cs="Arial"/>
                <w:sz w:val="22"/>
                <w:szCs w:val="22"/>
              </w:rPr>
              <w:t>,</w:t>
            </w:r>
            <w:r w:rsidRPr="001A07CF">
              <w:rPr>
                <w:rFonts w:ascii="Arial" w:hAnsi="Arial" w:cs="Arial"/>
                <w:sz w:val="22"/>
                <w:szCs w:val="22"/>
              </w:rPr>
              <w:t xml:space="preserve"> such as telemedicine</w:t>
            </w:r>
          </w:p>
        </w:tc>
      </w:tr>
      <w:tr w:rsidR="001A07CF" w:rsidRPr="001A07CF" w14:paraId="4A42E9A2" w14:textId="77777777" w:rsidTr="000E667F">
        <w:tc>
          <w:tcPr>
            <w:tcW w:w="1803" w:type="dxa"/>
          </w:tcPr>
          <w:p w14:paraId="6099A092" w14:textId="77777777"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Turner et al. (2021)</w:t>
            </w:r>
          </w:p>
        </w:tc>
        <w:tc>
          <w:tcPr>
            <w:tcW w:w="1803" w:type="dxa"/>
          </w:tcPr>
          <w:p w14:paraId="00B1E29A" w14:textId="77777777"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To investigate and understand the unintended consequences of online consultations in UK primary care</w:t>
            </w:r>
          </w:p>
        </w:tc>
        <w:tc>
          <w:tcPr>
            <w:tcW w:w="1803" w:type="dxa"/>
          </w:tcPr>
          <w:p w14:paraId="434ED98E" w14:textId="77777777"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Qualitative study; Data collected through interviews with patients and general practice staff</w:t>
            </w:r>
          </w:p>
        </w:tc>
        <w:tc>
          <w:tcPr>
            <w:tcW w:w="1803" w:type="dxa"/>
          </w:tcPr>
          <w:p w14:paraId="42FCEB7D" w14:textId="20694F66"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t xml:space="preserve">Online consultations restricted patient access to care by making it difficult for some patients to effectively communicate with a GP. It also disadvantaged digitally-excluded patients, while some staff noted additional </w:t>
            </w:r>
            <w:r w:rsidRPr="001A07CF">
              <w:rPr>
                <w:rFonts w:ascii="Arial" w:hAnsi="Arial" w:cs="Arial"/>
                <w:sz w:val="22"/>
                <w:szCs w:val="22"/>
              </w:rPr>
              <w:lastRenderedPageBreak/>
              <w:t>work and dissatisfaction</w:t>
            </w:r>
            <w:r w:rsidR="00CD6E84">
              <w:rPr>
                <w:rFonts w:ascii="Arial" w:hAnsi="Arial" w:cs="Arial"/>
                <w:sz w:val="22"/>
                <w:szCs w:val="22"/>
              </w:rPr>
              <w:t>.</w:t>
            </w:r>
            <w:r w:rsidRPr="001A07CF">
              <w:rPr>
                <w:rFonts w:ascii="Arial" w:hAnsi="Arial" w:cs="Arial"/>
                <w:sz w:val="22"/>
                <w:szCs w:val="22"/>
              </w:rPr>
              <w:t xml:space="preserve"> </w:t>
            </w:r>
          </w:p>
        </w:tc>
        <w:tc>
          <w:tcPr>
            <w:tcW w:w="1804" w:type="dxa"/>
          </w:tcPr>
          <w:p w14:paraId="7BE2E39D" w14:textId="0E5D74F5" w:rsidR="001A07CF" w:rsidRPr="001A07CF" w:rsidRDefault="001A07CF" w:rsidP="000E667F">
            <w:pPr>
              <w:spacing w:line="360" w:lineRule="auto"/>
              <w:jc w:val="both"/>
              <w:rPr>
                <w:rFonts w:ascii="Arial" w:hAnsi="Arial" w:cs="Arial"/>
                <w:sz w:val="22"/>
                <w:szCs w:val="22"/>
              </w:rPr>
            </w:pPr>
            <w:r w:rsidRPr="001A07CF">
              <w:rPr>
                <w:rFonts w:ascii="Arial" w:hAnsi="Arial" w:cs="Arial"/>
                <w:sz w:val="22"/>
                <w:szCs w:val="22"/>
              </w:rPr>
              <w:lastRenderedPageBreak/>
              <w:t xml:space="preserve">Highlights the challenges of online consultations that limit </w:t>
            </w:r>
            <w:r w:rsidR="00CD6E84">
              <w:rPr>
                <w:rFonts w:ascii="Arial" w:hAnsi="Arial" w:cs="Arial"/>
                <w:sz w:val="22"/>
                <w:szCs w:val="22"/>
              </w:rPr>
              <w:t>their</w:t>
            </w:r>
            <w:r w:rsidRPr="001A07CF">
              <w:rPr>
                <w:rFonts w:ascii="Arial" w:hAnsi="Arial" w:cs="Arial"/>
                <w:sz w:val="22"/>
                <w:szCs w:val="22"/>
              </w:rPr>
              <w:t xml:space="preserve"> adoption by both patients and GPs</w:t>
            </w:r>
          </w:p>
        </w:tc>
      </w:tr>
    </w:tbl>
    <w:p w14:paraId="0409BF67" w14:textId="77777777" w:rsidR="001A07CF" w:rsidRPr="001A07CF" w:rsidRDefault="001A07CF" w:rsidP="001A07CF">
      <w:pPr>
        <w:spacing w:line="360" w:lineRule="auto"/>
        <w:jc w:val="both"/>
        <w:rPr>
          <w:rFonts w:ascii="Arial" w:hAnsi="Arial" w:cs="Arial"/>
          <w:sz w:val="22"/>
          <w:szCs w:val="22"/>
        </w:rPr>
      </w:pPr>
    </w:p>
    <w:p w14:paraId="050073D7" w14:textId="77777777" w:rsidR="001A07CF" w:rsidRPr="001A07CF" w:rsidRDefault="001A07CF" w:rsidP="001A07CF">
      <w:pPr>
        <w:pStyle w:val="Heading2"/>
        <w:spacing w:line="360" w:lineRule="auto"/>
        <w:jc w:val="both"/>
        <w:rPr>
          <w:rFonts w:ascii="Arial" w:hAnsi="Arial" w:cs="Arial"/>
          <w:b/>
          <w:bCs/>
          <w:i/>
          <w:iCs/>
          <w:color w:val="auto"/>
          <w:sz w:val="22"/>
          <w:szCs w:val="22"/>
        </w:rPr>
      </w:pPr>
      <w:bookmarkStart w:id="15" w:name="_Toc232931792"/>
      <w:r w:rsidRPr="001A07CF">
        <w:rPr>
          <w:rFonts w:ascii="Arial" w:hAnsi="Arial" w:cs="Arial"/>
          <w:b/>
          <w:bCs/>
          <w:i/>
          <w:iCs/>
          <w:color w:val="auto"/>
          <w:sz w:val="22"/>
          <w:szCs w:val="22"/>
        </w:rPr>
        <w:t>Thematic Analysis</w:t>
      </w:r>
      <w:bookmarkEnd w:id="15"/>
    </w:p>
    <w:p w14:paraId="7D68B307" w14:textId="77777777" w:rsidR="001A07CF" w:rsidRPr="001A07CF" w:rsidRDefault="001A07CF" w:rsidP="001A07CF">
      <w:pPr>
        <w:pStyle w:val="Heading3"/>
        <w:spacing w:line="360" w:lineRule="auto"/>
        <w:jc w:val="both"/>
        <w:rPr>
          <w:rFonts w:ascii="Arial" w:hAnsi="Arial" w:cs="Arial"/>
          <w:b/>
          <w:bCs/>
          <w:color w:val="auto"/>
          <w:sz w:val="22"/>
          <w:szCs w:val="22"/>
        </w:rPr>
      </w:pPr>
      <w:bookmarkStart w:id="16" w:name="_Toc232931793"/>
      <w:r w:rsidRPr="001A07CF">
        <w:rPr>
          <w:rFonts w:ascii="Arial" w:hAnsi="Arial" w:cs="Arial"/>
          <w:b/>
          <w:bCs/>
          <w:color w:val="auto"/>
          <w:sz w:val="22"/>
          <w:szCs w:val="22"/>
        </w:rPr>
        <w:t>Theme 1: Improved Healthcare Accessibility</w:t>
      </w:r>
      <w:bookmarkEnd w:id="16"/>
    </w:p>
    <w:p w14:paraId="34A90F07" w14:textId="207CB965" w:rsidR="001A07CF" w:rsidRPr="001A07CF" w:rsidRDefault="001A07CF" w:rsidP="001A07CF">
      <w:pPr>
        <w:spacing w:line="360" w:lineRule="auto"/>
        <w:ind w:firstLine="720"/>
        <w:jc w:val="both"/>
        <w:rPr>
          <w:rFonts w:ascii="Arial" w:hAnsi="Arial" w:cs="Arial"/>
          <w:sz w:val="22"/>
          <w:szCs w:val="22"/>
        </w:rPr>
      </w:pPr>
      <w:r w:rsidRPr="001A07CF">
        <w:rPr>
          <w:rFonts w:ascii="Arial" w:hAnsi="Arial" w:cs="Arial"/>
          <w:sz w:val="22"/>
          <w:szCs w:val="22"/>
        </w:rPr>
        <w:t xml:space="preserve">A prominent theme across the reviewed studies was the potential of telehealth to improve access to healthcare services. As shown in Table 1, </w:t>
      </w:r>
      <w:proofErr w:type="spellStart"/>
      <w:r w:rsidRPr="001A07CF">
        <w:rPr>
          <w:rFonts w:ascii="Arial" w:hAnsi="Arial" w:cs="Arial"/>
          <w:sz w:val="22"/>
          <w:szCs w:val="22"/>
        </w:rPr>
        <w:t>Gobburi</w:t>
      </w:r>
      <w:proofErr w:type="spellEnd"/>
      <w:r w:rsidRPr="001A07CF">
        <w:rPr>
          <w:rFonts w:ascii="Arial" w:hAnsi="Arial" w:cs="Arial"/>
          <w:sz w:val="22"/>
          <w:szCs w:val="22"/>
        </w:rPr>
        <w:t xml:space="preserve"> et al. (2025) found that telemedicine significantly improved healthcare access in rural areas by reducing travel barriers and increasing patient engagement. This suggests that telehealth can help overcome geographical obstacles that often limit access to primary healthcare services</w:t>
      </w:r>
      <w:r w:rsidR="00285963">
        <w:rPr>
          <w:rFonts w:ascii="Arial" w:hAnsi="Arial" w:cs="Arial"/>
          <w:sz w:val="22"/>
          <w:szCs w:val="22"/>
        </w:rPr>
        <w:t>.</w:t>
      </w:r>
      <w:r w:rsidRPr="001A07CF">
        <w:rPr>
          <w:rFonts w:ascii="Arial" w:hAnsi="Arial" w:cs="Arial"/>
          <w:sz w:val="22"/>
          <w:szCs w:val="22"/>
        </w:rPr>
        <w:t xml:space="preserve"> Participants in their study considered telephone consultations sufficient for many patient cases, indicating that telehealth can effectively support routine healthcare provision. Antonio et al. (2024) also found that patients with certain mental health conditions, particularly anxiety disorders, were generally satisfied with remote consultations. While the literature indicates that telehealth enhances healthcare accessibility, the extent of these benefits appears to vary across patient populations and healthcare contexts.</w:t>
      </w:r>
    </w:p>
    <w:p w14:paraId="54B24035" w14:textId="77777777" w:rsidR="001A07CF" w:rsidRPr="001A07CF" w:rsidRDefault="001A07CF" w:rsidP="001A07CF">
      <w:pPr>
        <w:pStyle w:val="Heading3"/>
        <w:spacing w:line="360" w:lineRule="auto"/>
        <w:jc w:val="both"/>
        <w:rPr>
          <w:rFonts w:ascii="Arial" w:hAnsi="Arial" w:cs="Arial"/>
          <w:b/>
          <w:bCs/>
          <w:color w:val="auto"/>
          <w:sz w:val="22"/>
          <w:szCs w:val="22"/>
        </w:rPr>
      </w:pPr>
      <w:bookmarkStart w:id="17" w:name="_Toc232931794"/>
      <w:r w:rsidRPr="001A07CF">
        <w:rPr>
          <w:rFonts w:ascii="Arial" w:hAnsi="Arial" w:cs="Arial"/>
          <w:b/>
          <w:bCs/>
          <w:color w:val="auto"/>
          <w:sz w:val="22"/>
          <w:szCs w:val="22"/>
        </w:rPr>
        <w:t>Theme 2: Digital Exclusion and Health Inequities</w:t>
      </w:r>
      <w:bookmarkEnd w:id="17"/>
    </w:p>
    <w:p w14:paraId="555601BA" w14:textId="77777777" w:rsidR="001A07CF" w:rsidRPr="001A07CF" w:rsidRDefault="001A07CF" w:rsidP="001A07CF">
      <w:pPr>
        <w:spacing w:line="360" w:lineRule="auto"/>
        <w:ind w:firstLine="720"/>
        <w:jc w:val="both"/>
        <w:rPr>
          <w:rFonts w:ascii="Arial" w:hAnsi="Arial" w:cs="Arial"/>
          <w:sz w:val="22"/>
          <w:szCs w:val="22"/>
        </w:rPr>
      </w:pPr>
      <w:r w:rsidRPr="001A07CF">
        <w:rPr>
          <w:rFonts w:ascii="Arial" w:hAnsi="Arial" w:cs="Arial"/>
          <w:sz w:val="22"/>
          <w:szCs w:val="22"/>
        </w:rPr>
        <w:t xml:space="preserve">Despite improvements in accessibility, several studies highlighted concerns regarding digital exclusion and healthcare inequalities. As presented in Table 1, Islam et al. (2024) found that individuals from minoritised ethnic communities experienced barriers to accessing digital healthcare due to inadequate devices, low digital literacy, internet connectivity issues, and limited language support. Similarly, </w:t>
      </w:r>
      <w:proofErr w:type="spellStart"/>
      <w:r w:rsidRPr="001A07CF">
        <w:rPr>
          <w:rFonts w:ascii="Arial" w:hAnsi="Arial" w:cs="Arial"/>
          <w:sz w:val="22"/>
          <w:szCs w:val="22"/>
        </w:rPr>
        <w:t>Gobburi</w:t>
      </w:r>
      <w:proofErr w:type="spellEnd"/>
      <w:r w:rsidRPr="001A07CF">
        <w:rPr>
          <w:rFonts w:ascii="Arial" w:hAnsi="Arial" w:cs="Arial"/>
          <w:sz w:val="22"/>
          <w:szCs w:val="22"/>
        </w:rPr>
        <w:t xml:space="preserve"> et al. (2025) identified technological literacy challenges as a significant obstacle to telemedicine use in rural communities. Turner et al. (2021) further reported that online consultations disadvantaged digitally excluded patients, creating additional barriers to healthcare access. These findings reveal an important contradiction within the literature. While telehealth can improve accessibility for some patients, it may simultaneously create new forms of exclusion for others. </w:t>
      </w:r>
    </w:p>
    <w:p w14:paraId="5F8D198E" w14:textId="77777777" w:rsidR="001A07CF" w:rsidRPr="001A07CF" w:rsidRDefault="001A07CF" w:rsidP="001A07CF">
      <w:pPr>
        <w:pStyle w:val="Heading3"/>
        <w:spacing w:line="360" w:lineRule="auto"/>
        <w:jc w:val="both"/>
        <w:rPr>
          <w:rFonts w:ascii="Arial" w:hAnsi="Arial" w:cs="Arial"/>
          <w:b/>
          <w:bCs/>
          <w:color w:val="auto"/>
          <w:sz w:val="22"/>
          <w:szCs w:val="22"/>
        </w:rPr>
      </w:pPr>
      <w:bookmarkStart w:id="18" w:name="_Toc232931795"/>
      <w:r w:rsidRPr="001A07CF">
        <w:rPr>
          <w:rFonts w:ascii="Arial" w:hAnsi="Arial" w:cs="Arial"/>
          <w:b/>
          <w:bCs/>
          <w:color w:val="auto"/>
          <w:sz w:val="22"/>
          <w:szCs w:val="22"/>
        </w:rPr>
        <w:t>Theme 3: Patient and Professional Preferences for Consultation Methods</w:t>
      </w:r>
      <w:bookmarkEnd w:id="18"/>
    </w:p>
    <w:p w14:paraId="431A4663" w14:textId="77777777" w:rsidR="001A07CF" w:rsidRPr="001A07CF" w:rsidRDefault="001A07CF" w:rsidP="001A07CF">
      <w:pPr>
        <w:spacing w:line="360" w:lineRule="auto"/>
        <w:ind w:firstLine="720"/>
        <w:jc w:val="both"/>
        <w:rPr>
          <w:rFonts w:ascii="Arial" w:hAnsi="Arial" w:cs="Arial"/>
          <w:sz w:val="22"/>
          <w:szCs w:val="22"/>
        </w:rPr>
      </w:pPr>
      <w:r w:rsidRPr="001A07CF">
        <w:rPr>
          <w:rFonts w:ascii="Arial" w:hAnsi="Arial" w:cs="Arial"/>
          <w:sz w:val="22"/>
          <w:szCs w:val="22"/>
        </w:rPr>
        <w:t xml:space="preserve">Another recurring theme concerned preferences for different consultation methods. Several studies found that both patients and healthcare professionals continued to value face-to-face interactions despite recognising the benefits of telehealth. Antonio et al. (2024) reported that although many patients were satisfied with remote consultations, some still preferred in-person appointments due to concerns regarding flexibility and communication quality. Greenhalgh et al. (2022) also found that general practitioners preferred telephone </w:t>
      </w:r>
      <w:r w:rsidRPr="001A07CF">
        <w:rPr>
          <w:rFonts w:ascii="Arial" w:hAnsi="Arial" w:cs="Arial"/>
          <w:sz w:val="22"/>
          <w:szCs w:val="22"/>
        </w:rPr>
        <w:lastRenderedPageBreak/>
        <w:t>consultations over video consultations because they considered them adequate and safe for managing many routine health concerns. However, both patients and clinicians viewed face-to-face consultations as more appropriate for complex healthcare needs due to the therapeutic presence they provide. These findings suggest that telehealth cannot entirely replace face-to-face healthcare delivery.</w:t>
      </w:r>
    </w:p>
    <w:p w14:paraId="620B09B9" w14:textId="77777777" w:rsidR="001A07CF" w:rsidRPr="001A07CF" w:rsidRDefault="001A07CF" w:rsidP="001A07CF">
      <w:pPr>
        <w:pStyle w:val="Heading3"/>
        <w:spacing w:line="360" w:lineRule="auto"/>
        <w:jc w:val="both"/>
        <w:rPr>
          <w:rFonts w:ascii="Arial" w:hAnsi="Arial" w:cs="Arial"/>
          <w:b/>
          <w:bCs/>
          <w:color w:val="auto"/>
          <w:sz w:val="22"/>
          <w:szCs w:val="22"/>
        </w:rPr>
      </w:pPr>
      <w:bookmarkStart w:id="19" w:name="_Toc232931796"/>
      <w:r w:rsidRPr="001A07CF">
        <w:rPr>
          <w:rFonts w:ascii="Arial" w:hAnsi="Arial" w:cs="Arial"/>
          <w:b/>
          <w:bCs/>
          <w:color w:val="auto"/>
          <w:sz w:val="22"/>
          <w:szCs w:val="22"/>
        </w:rPr>
        <w:t>Theme 4: Implementation Challenges in Primary Care</w:t>
      </w:r>
      <w:bookmarkEnd w:id="19"/>
    </w:p>
    <w:p w14:paraId="5C80DC2A" w14:textId="7C3FBA94" w:rsidR="001A07CF" w:rsidRPr="001A07CF" w:rsidRDefault="001A07CF" w:rsidP="001A07CF">
      <w:pPr>
        <w:spacing w:line="360" w:lineRule="auto"/>
        <w:ind w:firstLine="720"/>
        <w:jc w:val="both"/>
        <w:rPr>
          <w:rFonts w:ascii="Arial" w:hAnsi="Arial" w:cs="Arial"/>
          <w:sz w:val="22"/>
          <w:szCs w:val="22"/>
        </w:rPr>
      </w:pPr>
      <w:r w:rsidRPr="001A07CF">
        <w:rPr>
          <w:rFonts w:ascii="Arial" w:hAnsi="Arial" w:cs="Arial"/>
          <w:sz w:val="22"/>
          <w:szCs w:val="22"/>
        </w:rPr>
        <w:t xml:space="preserve">The studies identified practical challenges associated with telehealth implementation. As shown in Table 1, Turner et al. (2021) found that online consultation systems increased staff workload and created dissatisfaction among some healthcare professionals. Communication difficulties were also reported, especially with patients struggling to effectively explain their health concerns through digital platforms. Similarly, Antonio et al. (2024) identified limitations related to consultation format flexibility, while </w:t>
      </w:r>
      <w:proofErr w:type="spellStart"/>
      <w:r w:rsidRPr="001A07CF">
        <w:rPr>
          <w:rFonts w:ascii="Arial" w:hAnsi="Arial" w:cs="Arial"/>
          <w:sz w:val="22"/>
          <w:szCs w:val="22"/>
        </w:rPr>
        <w:t>Gobburi</w:t>
      </w:r>
      <w:proofErr w:type="spellEnd"/>
      <w:r w:rsidRPr="001A07CF">
        <w:rPr>
          <w:rFonts w:ascii="Arial" w:hAnsi="Arial" w:cs="Arial"/>
          <w:sz w:val="22"/>
          <w:szCs w:val="22"/>
        </w:rPr>
        <w:t xml:space="preserve"> et al. (2025) highlighted communication obstacles that affected service delivery. These findings suggest that successful telehealth implementation requires more than technological availability alone. Factors such as staff training, digital infrastructure, patient support, and effective communication processes are also important. The literature shows that although telehealth offers significant benefits for healthcare delivery, several operational and organisational challenges continue to influence its effectiveness within UK primary care settings. </w:t>
      </w:r>
    </w:p>
    <w:p w14:paraId="568B2EEB" w14:textId="77777777" w:rsidR="001A07CF" w:rsidRPr="001A07CF" w:rsidRDefault="001A07CF" w:rsidP="001A07CF">
      <w:pPr>
        <w:pStyle w:val="Heading1"/>
        <w:spacing w:line="360" w:lineRule="auto"/>
        <w:jc w:val="both"/>
        <w:rPr>
          <w:rFonts w:ascii="Arial" w:hAnsi="Arial" w:cs="Arial"/>
          <w:b/>
          <w:bCs/>
          <w:color w:val="auto"/>
          <w:sz w:val="22"/>
          <w:szCs w:val="22"/>
        </w:rPr>
      </w:pPr>
      <w:bookmarkStart w:id="20" w:name="_Toc232931797"/>
      <w:r w:rsidRPr="001A07CF">
        <w:rPr>
          <w:rFonts w:ascii="Arial" w:hAnsi="Arial" w:cs="Arial"/>
          <w:b/>
          <w:bCs/>
          <w:color w:val="auto"/>
          <w:sz w:val="22"/>
          <w:szCs w:val="22"/>
        </w:rPr>
        <w:t>Discussion</w:t>
      </w:r>
      <w:bookmarkEnd w:id="20"/>
    </w:p>
    <w:p w14:paraId="3493CA48" w14:textId="77777777" w:rsidR="001A07CF" w:rsidRPr="001A07CF" w:rsidRDefault="001A07CF" w:rsidP="001A07CF">
      <w:pPr>
        <w:pStyle w:val="Heading2"/>
        <w:spacing w:line="360" w:lineRule="auto"/>
        <w:jc w:val="both"/>
        <w:rPr>
          <w:rFonts w:ascii="Arial" w:hAnsi="Arial" w:cs="Arial"/>
          <w:b/>
          <w:bCs/>
          <w:i/>
          <w:iCs/>
          <w:color w:val="auto"/>
          <w:sz w:val="22"/>
          <w:szCs w:val="22"/>
        </w:rPr>
      </w:pPr>
      <w:bookmarkStart w:id="21" w:name="_Toc232931798"/>
      <w:r w:rsidRPr="001A07CF">
        <w:rPr>
          <w:rFonts w:ascii="Arial" w:hAnsi="Arial" w:cs="Arial"/>
          <w:b/>
          <w:bCs/>
          <w:i/>
          <w:iCs/>
          <w:color w:val="auto"/>
          <w:sz w:val="22"/>
          <w:szCs w:val="22"/>
        </w:rPr>
        <w:t>Interpretation of Patterns and Contradictions</w:t>
      </w:r>
      <w:bookmarkEnd w:id="21"/>
    </w:p>
    <w:p w14:paraId="24C40EFD" w14:textId="3EEC303F" w:rsidR="001A07CF" w:rsidRPr="001A07CF" w:rsidRDefault="001A07CF" w:rsidP="001A07CF">
      <w:pPr>
        <w:spacing w:line="360" w:lineRule="auto"/>
        <w:ind w:firstLine="720"/>
        <w:jc w:val="both"/>
        <w:rPr>
          <w:rFonts w:ascii="Arial" w:hAnsi="Arial" w:cs="Arial"/>
          <w:sz w:val="22"/>
          <w:szCs w:val="22"/>
        </w:rPr>
      </w:pPr>
      <w:r w:rsidRPr="001A07CF">
        <w:rPr>
          <w:rFonts w:ascii="Arial" w:hAnsi="Arial" w:cs="Arial"/>
          <w:sz w:val="22"/>
          <w:szCs w:val="22"/>
        </w:rPr>
        <w:t>The findings showed that telehealth was associated with improved healthcare accessibility, greater convenience for patients, and continuity of care</w:t>
      </w:r>
      <w:r w:rsidR="00ED3E89">
        <w:rPr>
          <w:rFonts w:ascii="Arial" w:hAnsi="Arial" w:cs="Arial"/>
          <w:sz w:val="22"/>
          <w:szCs w:val="22"/>
        </w:rPr>
        <w:t xml:space="preserve"> </w:t>
      </w:r>
      <w:proofErr w:type="spellStart"/>
      <w:r w:rsidR="007F00FE">
        <w:rPr>
          <w:rFonts w:ascii="Arial" w:hAnsi="Arial" w:cs="Arial"/>
          <w:sz w:val="22"/>
          <w:szCs w:val="22"/>
        </w:rPr>
        <w:t>Goburi</w:t>
      </w:r>
      <w:proofErr w:type="spellEnd"/>
      <w:r w:rsidR="007F00FE">
        <w:rPr>
          <w:rFonts w:ascii="Arial" w:hAnsi="Arial" w:cs="Arial"/>
          <w:sz w:val="22"/>
          <w:szCs w:val="22"/>
        </w:rPr>
        <w:t xml:space="preserve"> et al.(2025)</w:t>
      </w:r>
      <w:r w:rsidR="00ED3E89">
        <w:rPr>
          <w:rFonts w:ascii="Arial" w:hAnsi="Arial" w:cs="Arial"/>
          <w:sz w:val="22"/>
          <w:szCs w:val="22"/>
        </w:rPr>
        <w:t>.</w:t>
      </w:r>
      <w:r w:rsidRPr="001A07CF">
        <w:rPr>
          <w:rFonts w:ascii="Arial" w:hAnsi="Arial" w:cs="Arial"/>
          <w:sz w:val="22"/>
          <w:szCs w:val="22"/>
        </w:rPr>
        <w:t xml:space="preserve"> These findings support the first objective of the review, which aimed to identify the benefits of telehealth consultations. However, the evidence also indicated that while remote consultations improved access for many individuals, particularly those living in rural areas, challenges relating to digital exclusion, communication barriers, and patient preferences continued to limit </w:t>
      </w:r>
      <w:r w:rsidR="00CD6E84">
        <w:rPr>
          <w:rFonts w:ascii="Arial" w:hAnsi="Arial" w:cs="Arial"/>
          <w:sz w:val="22"/>
          <w:szCs w:val="22"/>
        </w:rPr>
        <w:t>their</w:t>
      </w:r>
      <w:r w:rsidRPr="001A07CF">
        <w:rPr>
          <w:rFonts w:ascii="Arial" w:hAnsi="Arial" w:cs="Arial"/>
          <w:sz w:val="22"/>
          <w:szCs w:val="22"/>
        </w:rPr>
        <w:t xml:space="preserve"> effectiveness.</w:t>
      </w:r>
      <w:r w:rsidR="00ED3E89">
        <w:rPr>
          <w:rFonts w:ascii="Arial" w:hAnsi="Arial" w:cs="Arial"/>
          <w:sz w:val="22"/>
          <w:szCs w:val="22"/>
        </w:rPr>
        <w:t xml:space="preserve"> </w:t>
      </w:r>
      <w:r w:rsidR="00AB5345">
        <w:rPr>
          <w:rFonts w:ascii="Arial" w:hAnsi="Arial" w:cs="Arial"/>
          <w:sz w:val="22"/>
          <w:szCs w:val="22"/>
        </w:rPr>
        <w:t>Turner et al. (2024).</w:t>
      </w:r>
      <w:r w:rsidRPr="001A07CF">
        <w:rPr>
          <w:rFonts w:ascii="Arial" w:hAnsi="Arial" w:cs="Arial"/>
          <w:sz w:val="22"/>
          <w:szCs w:val="22"/>
        </w:rPr>
        <w:t xml:space="preserve"> This supports the second review objective and suggests that telehealth should be viewed as a complementary approach to healthcare delivery rather than a complete replacement for face-to-face consultations.</w:t>
      </w:r>
    </w:p>
    <w:p w14:paraId="107FC9CB" w14:textId="7A1A08D8" w:rsidR="001A07CF" w:rsidRPr="001A07CF" w:rsidRDefault="001A07CF" w:rsidP="001A07CF">
      <w:pPr>
        <w:spacing w:line="360" w:lineRule="auto"/>
        <w:ind w:firstLine="720"/>
        <w:jc w:val="both"/>
        <w:rPr>
          <w:rFonts w:ascii="Arial" w:hAnsi="Arial" w:cs="Arial"/>
          <w:sz w:val="22"/>
          <w:szCs w:val="22"/>
        </w:rPr>
      </w:pPr>
      <w:r w:rsidRPr="001A07CF">
        <w:rPr>
          <w:rFonts w:ascii="Arial" w:hAnsi="Arial" w:cs="Arial"/>
          <w:sz w:val="22"/>
          <w:szCs w:val="22"/>
        </w:rPr>
        <w:t xml:space="preserve">Several areas of agreement emerged across the studies. For </w:t>
      </w:r>
      <w:r w:rsidR="00832C99" w:rsidRPr="001A07CF">
        <w:rPr>
          <w:rFonts w:ascii="Arial" w:hAnsi="Arial" w:cs="Arial"/>
          <w:sz w:val="22"/>
          <w:szCs w:val="22"/>
        </w:rPr>
        <w:t>example,</w:t>
      </w:r>
      <w:r w:rsidR="00832C99">
        <w:rPr>
          <w:rFonts w:ascii="Arial" w:hAnsi="Arial" w:cs="Arial"/>
          <w:sz w:val="22"/>
          <w:szCs w:val="22"/>
        </w:rPr>
        <w:t xml:space="preserve"> </w:t>
      </w:r>
      <w:proofErr w:type="spellStart"/>
      <w:r w:rsidR="00832C99" w:rsidRPr="001A07CF">
        <w:rPr>
          <w:rFonts w:ascii="Arial" w:hAnsi="Arial" w:cs="Arial"/>
          <w:sz w:val="22"/>
          <w:szCs w:val="22"/>
        </w:rPr>
        <w:t>Gobburi</w:t>
      </w:r>
      <w:proofErr w:type="spellEnd"/>
      <w:r w:rsidRPr="001A07CF">
        <w:rPr>
          <w:rFonts w:ascii="Arial" w:hAnsi="Arial" w:cs="Arial"/>
          <w:sz w:val="22"/>
          <w:szCs w:val="22"/>
        </w:rPr>
        <w:t xml:space="preserve"> et al. (2025) found that telehealth improved access to healthcare services by reducing geographical and logistical barriers. Similarly, Antonio et al. (2024) reported high levels of satisfaction among some patients receiving remote consultations, particularly those with anxiety-related conditions. These findings collectively support the argument that telehealth can increase </w:t>
      </w:r>
      <w:r w:rsidRPr="001A07CF">
        <w:rPr>
          <w:rFonts w:ascii="Arial" w:hAnsi="Arial" w:cs="Arial"/>
          <w:sz w:val="22"/>
          <w:szCs w:val="22"/>
        </w:rPr>
        <w:lastRenderedPageBreak/>
        <w:t xml:space="preserve">healthcare accessibility and convenience. There was also agreement among Islam et al. (2024), </w:t>
      </w:r>
      <w:proofErr w:type="spellStart"/>
      <w:r w:rsidRPr="001A07CF">
        <w:rPr>
          <w:rFonts w:ascii="Arial" w:hAnsi="Arial" w:cs="Arial"/>
          <w:sz w:val="22"/>
          <w:szCs w:val="22"/>
        </w:rPr>
        <w:t>Gobburi</w:t>
      </w:r>
      <w:proofErr w:type="spellEnd"/>
      <w:r w:rsidRPr="001A07CF">
        <w:rPr>
          <w:rFonts w:ascii="Arial" w:hAnsi="Arial" w:cs="Arial"/>
          <w:sz w:val="22"/>
          <w:szCs w:val="22"/>
        </w:rPr>
        <w:t xml:space="preserve"> et al. (2025), and Turner et al. (2021) regarding the negative consequences of digital exclusion. These studies demonstrated that limited digital literacy, poor internet connectivity, language barriers, and lack of suitable devices can prevent some populations from benefiting from digital healthcare services.</w:t>
      </w:r>
    </w:p>
    <w:p w14:paraId="116D27F9" w14:textId="77777777" w:rsidR="001A07CF" w:rsidRPr="001A07CF" w:rsidRDefault="001A07CF" w:rsidP="001A07CF">
      <w:pPr>
        <w:spacing w:line="360" w:lineRule="auto"/>
        <w:ind w:firstLine="720"/>
        <w:jc w:val="both"/>
        <w:rPr>
          <w:rFonts w:ascii="Arial" w:hAnsi="Arial" w:cs="Arial"/>
          <w:sz w:val="22"/>
          <w:szCs w:val="22"/>
        </w:rPr>
      </w:pPr>
      <w:r w:rsidRPr="001A07CF">
        <w:rPr>
          <w:rFonts w:ascii="Arial" w:hAnsi="Arial" w:cs="Arial"/>
          <w:sz w:val="22"/>
          <w:szCs w:val="22"/>
        </w:rPr>
        <w:t xml:space="preserve">Despite these similarities, important differences were also noted. Antonio et al. (2024) found that some patients were satisfied with remote consultations. On the other hand, Greenhalgh et al. (2022) reported a strong preference among both patients and general practitioners for face-to-face consultations, particularly in complex cases. This contrast suggests that perceptions of telehealth may depend on the nature of the health condition, the complexity of the consultation, and individual patient preferences. </w:t>
      </w:r>
    </w:p>
    <w:p w14:paraId="23A329EA" w14:textId="77777777" w:rsidR="001A07CF" w:rsidRPr="001A07CF" w:rsidRDefault="001A07CF" w:rsidP="001A07CF">
      <w:pPr>
        <w:pStyle w:val="Heading2"/>
        <w:spacing w:line="360" w:lineRule="auto"/>
        <w:jc w:val="both"/>
        <w:rPr>
          <w:rFonts w:ascii="Arial" w:hAnsi="Arial" w:cs="Arial"/>
          <w:b/>
          <w:bCs/>
          <w:i/>
          <w:iCs/>
          <w:color w:val="auto"/>
          <w:sz w:val="22"/>
          <w:szCs w:val="22"/>
        </w:rPr>
      </w:pPr>
      <w:bookmarkStart w:id="22" w:name="_Toc232931799"/>
      <w:r w:rsidRPr="001A07CF">
        <w:rPr>
          <w:rFonts w:ascii="Arial" w:hAnsi="Arial" w:cs="Arial"/>
          <w:b/>
          <w:bCs/>
          <w:i/>
          <w:iCs/>
          <w:color w:val="auto"/>
          <w:sz w:val="22"/>
          <w:szCs w:val="22"/>
        </w:rPr>
        <w:t>Gaps and Limitations</w:t>
      </w:r>
      <w:bookmarkEnd w:id="22"/>
    </w:p>
    <w:p w14:paraId="458BC129" w14:textId="77777777" w:rsidR="001A07CF" w:rsidRPr="001A07CF" w:rsidRDefault="001A07CF" w:rsidP="001A07CF">
      <w:pPr>
        <w:spacing w:line="360" w:lineRule="auto"/>
        <w:ind w:firstLine="720"/>
        <w:jc w:val="both"/>
        <w:rPr>
          <w:rFonts w:ascii="Arial" w:hAnsi="Arial" w:cs="Arial"/>
          <w:sz w:val="22"/>
          <w:szCs w:val="22"/>
        </w:rPr>
      </w:pPr>
      <w:r w:rsidRPr="001A07CF">
        <w:rPr>
          <w:rFonts w:ascii="Arial" w:hAnsi="Arial" w:cs="Arial"/>
          <w:sz w:val="22"/>
          <w:szCs w:val="22"/>
        </w:rPr>
        <w:t>Although the reviewed studies provide valuable insights, several gaps remain within the existing literature. First, most of the studies relied heavily on qualitative research methods. While qualitative studies provide rich insights into patient and professional experiences, they often involve smaller samples and may limit the generalisability of findings. More large-scale quantitative studies examining patient outcomes, healthcare efficiency, and long-term effectiveness would strengthen the evidence. Second, some studies focused on specific patient populations, such as individuals with mental health conditions or minoritised ethnic communities. While these perspectives are important, the studies do not provide evidence regarding the experiences of other patient groups, including older adults with multiple long-term conditions. Moreover, other studies examined short-term experiences following the rapid adoption of telehealth during the pandemic. Therefore, there is a need for longitudinal research examining the sustainability and long-term impact of telehealth within UK primary care.</w:t>
      </w:r>
    </w:p>
    <w:p w14:paraId="1D7E22DB" w14:textId="77777777" w:rsidR="001A07CF" w:rsidRPr="001A07CF" w:rsidRDefault="001A07CF" w:rsidP="001A07CF">
      <w:pPr>
        <w:pStyle w:val="Heading2"/>
        <w:spacing w:line="360" w:lineRule="auto"/>
        <w:jc w:val="both"/>
        <w:rPr>
          <w:rFonts w:ascii="Arial" w:hAnsi="Arial" w:cs="Arial"/>
          <w:b/>
          <w:bCs/>
          <w:i/>
          <w:iCs/>
          <w:color w:val="auto"/>
          <w:sz w:val="22"/>
          <w:szCs w:val="22"/>
        </w:rPr>
      </w:pPr>
      <w:bookmarkStart w:id="23" w:name="_Toc232931800"/>
      <w:r w:rsidRPr="001A07CF">
        <w:rPr>
          <w:rFonts w:ascii="Arial" w:hAnsi="Arial" w:cs="Arial"/>
          <w:b/>
          <w:bCs/>
          <w:i/>
          <w:iCs/>
          <w:color w:val="auto"/>
          <w:sz w:val="22"/>
          <w:szCs w:val="22"/>
        </w:rPr>
        <w:t>Theoretical and Practical Implications</w:t>
      </w:r>
      <w:bookmarkEnd w:id="23"/>
    </w:p>
    <w:p w14:paraId="0B0BE0B0" w14:textId="77777777" w:rsidR="001A07CF" w:rsidRPr="001A07CF" w:rsidRDefault="001A07CF" w:rsidP="001A07CF">
      <w:pPr>
        <w:spacing w:line="360" w:lineRule="auto"/>
        <w:ind w:firstLine="720"/>
        <w:jc w:val="both"/>
        <w:rPr>
          <w:rFonts w:ascii="Arial" w:hAnsi="Arial" w:cs="Arial"/>
          <w:sz w:val="22"/>
          <w:szCs w:val="22"/>
        </w:rPr>
      </w:pPr>
      <w:r w:rsidRPr="001A07CF">
        <w:rPr>
          <w:rFonts w:ascii="Arial" w:hAnsi="Arial" w:cs="Arial"/>
          <w:sz w:val="22"/>
          <w:szCs w:val="22"/>
        </w:rPr>
        <w:t xml:space="preserve">The findings have important implications for both healthcare practice and future research. From a practical perspective, the evidence suggests that telehealth can support more flexible and accessible healthcare delivery when implemented appropriately. However, healthcare organisations must address barriers relating to digital literacy, language support, and technological access to ensure equitable service provision. Training for healthcare professionals may also be necessary to improve confidence and effectiveness when conducting remote consultations. From a research perspective, future studies should focus on identifying strategies that reduce digital exclusion and improve patient engagement with telehealth services. It is also important to evaluate the long-term clinical outcomes of telehealth compared with traditional face-to-face consultations. </w:t>
      </w:r>
    </w:p>
    <w:p w14:paraId="61B76B18" w14:textId="77777777" w:rsidR="001A07CF" w:rsidRPr="001A07CF" w:rsidRDefault="001A07CF" w:rsidP="001A07CF">
      <w:pPr>
        <w:pStyle w:val="Heading1"/>
        <w:spacing w:line="360" w:lineRule="auto"/>
        <w:jc w:val="both"/>
        <w:rPr>
          <w:rFonts w:ascii="Arial" w:hAnsi="Arial" w:cs="Arial"/>
          <w:b/>
          <w:bCs/>
          <w:color w:val="auto"/>
          <w:sz w:val="22"/>
          <w:szCs w:val="22"/>
        </w:rPr>
      </w:pPr>
      <w:bookmarkStart w:id="24" w:name="_Toc232931801"/>
      <w:r w:rsidRPr="001A07CF">
        <w:rPr>
          <w:rFonts w:ascii="Arial" w:hAnsi="Arial" w:cs="Arial"/>
          <w:b/>
          <w:bCs/>
          <w:color w:val="auto"/>
          <w:sz w:val="22"/>
          <w:szCs w:val="22"/>
        </w:rPr>
        <w:lastRenderedPageBreak/>
        <w:t>Conclusion and Recommendations</w:t>
      </w:r>
      <w:bookmarkEnd w:id="24"/>
    </w:p>
    <w:p w14:paraId="54946989" w14:textId="77777777" w:rsidR="001A07CF" w:rsidRPr="001A07CF" w:rsidRDefault="001A07CF" w:rsidP="001A07CF">
      <w:pPr>
        <w:pStyle w:val="Heading2"/>
        <w:spacing w:line="360" w:lineRule="auto"/>
        <w:jc w:val="both"/>
        <w:rPr>
          <w:rFonts w:ascii="Arial" w:hAnsi="Arial" w:cs="Arial"/>
          <w:b/>
          <w:bCs/>
          <w:i/>
          <w:iCs/>
          <w:color w:val="auto"/>
          <w:sz w:val="22"/>
          <w:szCs w:val="22"/>
        </w:rPr>
      </w:pPr>
      <w:bookmarkStart w:id="25" w:name="_Toc232931802"/>
      <w:r w:rsidRPr="001A07CF">
        <w:rPr>
          <w:rFonts w:ascii="Arial" w:hAnsi="Arial" w:cs="Arial"/>
          <w:b/>
          <w:bCs/>
          <w:i/>
          <w:iCs/>
          <w:color w:val="auto"/>
          <w:sz w:val="22"/>
          <w:szCs w:val="22"/>
        </w:rPr>
        <w:t>Key Takeaways</w:t>
      </w:r>
      <w:bookmarkEnd w:id="25"/>
    </w:p>
    <w:p w14:paraId="5CA1833C" w14:textId="720F63C4" w:rsidR="001A07CF" w:rsidRPr="001A07CF" w:rsidRDefault="001A07CF" w:rsidP="001A07CF">
      <w:pPr>
        <w:spacing w:line="360" w:lineRule="auto"/>
        <w:ind w:firstLine="720"/>
        <w:jc w:val="both"/>
        <w:rPr>
          <w:rFonts w:ascii="Arial" w:hAnsi="Arial" w:cs="Arial"/>
          <w:sz w:val="22"/>
          <w:szCs w:val="22"/>
        </w:rPr>
      </w:pPr>
      <w:r w:rsidRPr="001A07CF">
        <w:rPr>
          <w:rFonts w:ascii="Arial" w:hAnsi="Arial" w:cs="Arial"/>
          <w:sz w:val="22"/>
          <w:szCs w:val="22"/>
        </w:rPr>
        <w:t xml:space="preserve">This scoping review examined the effectiveness and challenges of telehealth consultations in UK primary healthcare. The findings indicate that telehealth has become an important component of healthcare delivery, especially after the COVID-19 pandemic. The reviewed studies demonstrated that telehealth </w:t>
      </w:r>
      <w:r w:rsidR="00C939A3" w:rsidRPr="001A07CF">
        <w:rPr>
          <w:rFonts w:ascii="Arial" w:hAnsi="Arial" w:cs="Arial"/>
          <w:sz w:val="22"/>
          <w:szCs w:val="22"/>
        </w:rPr>
        <w:t>could</w:t>
      </w:r>
      <w:r w:rsidRPr="001A07CF">
        <w:rPr>
          <w:rFonts w:ascii="Arial" w:hAnsi="Arial" w:cs="Arial"/>
          <w:sz w:val="22"/>
          <w:szCs w:val="22"/>
        </w:rPr>
        <w:t xml:space="preserve"> improve access to healthcare services, increase convenience for patients, and support continuity of care, especially for individuals living in rural areas and those with certain mental health conditions. These findings suggest that telehealth has significant potential to enhance healthcare accessibility and efficiency within primary care settings.</w:t>
      </w:r>
    </w:p>
    <w:p w14:paraId="3B34862A" w14:textId="3466EE79" w:rsidR="001A07CF" w:rsidRPr="001A07CF" w:rsidRDefault="001A07CF" w:rsidP="001A07CF">
      <w:pPr>
        <w:spacing w:line="360" w:lineRule="auto"/>
        <w:ind w:firstLine="720"/>
        <w:jc w:val="both"/>
        <w:rPr>
          <w:rFonts w:ascii="Arial" w:hAnsi="Arial" w:cs="Arial"/>
          <w:sz w:val="22"/>
          <w:szCs w:val="22"/>
        </w:rPr>
      </w:pPr>
      <w:r w:rsidRPr="001A07CF">
        <w:rPr>
          <w:rFonts w:ascii="Arial" w:hAnsi="Arial" w:cs="Arial"/>
          <w:sz w:val="22"/>
          <w:szCs w:val="22"/>
        </w:rPr>
        <w:t xml:space="preserve">However, the review also identified several challenges that may limit the effectiveness of telehealth. </w:t>
      </w:r>
      <w:r w:rsidR="00C939A3" w:rsidRPr="001A07CF">
        <w:rPr>
          <w:rFonts w:ascii="Arial" w:hAnsi="Arial" w:cs="Arial"/>
          <w:sz w:val="22"/>
          <w:szCs w:val="22"/>
        </w:rPr>
        <w:t>Digital exclusion</w:t>
      </w:r>
      <w:r w:rsidRPr="001A07CF">
        <w:rPr>
          <w:rFonts w:ascii="Arial" w:hAnsi="Arial" w:cs="Arial"/>
          <w:sz w:val="22"/>
          <w:szCs w:val="22"/>
        </w:rPr>
        <w:t xml:space="preserve"> limited digital literacy, language barriers, communication difficulties, and preferences for face-to-face consultations were consistently reported across the studies. Additionally, concerns regarding increased staff workload and the suitability of remote consultations for complex healthcare needs highlight the importance of adopting a balanced approach to telehealth implementation. Overall, the evidence suggests that telehealth is most effective when used as a complement to traditional healthcare services.</w:t>
      </w:r>
    </w:p>
    <w:p w14:paraId="690BCC47" w14:textId="77777777" w:rsidR="001A07CF" w:rsidRPr="001A07CF" w:rsidRDefault="001A07CF" w:rsidP="001A07CF">
      <w:pPr>
        <w:pStyle w:val="Heading2"/>
        <w:spacing w:line="360" w:lineRule="auto"/>
        <w:jc w:val="both"/>
        <w:rPr>
          <w:rFonts w:ascii="Arial" w:hAnsi="Arial" w:cs="Arial"/>
          <w:b/>
          <w:bCs/>
          <w:i/>
          <w:iCs/>
          <w:color w:val="auto"/>
          <w:sz w:val="22"/>
          <w:szCs w:val="22"/>
        </w:rPr>
      </w:pPr>
      <w:bookmarkStart w:id="26" w:name="_Toc232931803"/>
      <w:r w:rsidRPr="001A07CF">
        <w:rPr>
          <w:rFonts w:ascii="Arial" w:hAnsi="Arial" w:cs="Arial"/>
          <w:b/>
          <w:bCs/>
          <w:i/>
          <w:iCs/>
          <w:color w:val="auto"/>
          <w:sz w:val="22"/>
          <w:szCs w:val="22"/>
        </w:rPr>
        <w:t>Recommendations for Future Research</w:t>
      </w:r>
      <w:bookmarkEnd w:id="26"/>
    </w:p>
    <w:p w14:paraId="04A8A387" w14:textId="77777777" w:rsidR="001A07CF" w:rsidRPr="001A07CF" w:rsidRDefault="001A07CF" w:rsidP="001A07CF">
      <w:pPr>
        <w:spacing w:line="360" w:lineRule="auto"/>
        <w:ind w:firstLine="720"/>
        <w:jc w:val="both"/>
        <w:rPr>
          <w:rFonts w:ascii="Arial" w:hAnsi="Arial" w:cs="Arial"/>
          <w:sz w:val="22"/>
          <w:szCs w:val="22"/>
        </w:rPr>
      </w:pPr>
      <w:r w:rsidRPr="001A07CF">
        <w:rPr>
          <w:rFonts w:ascii="Arial" w:hAnsi="Arial" w:cs="Arial"/>
          <w:sz w:val="22"/>
          <w:szCs w:val="22"/>
        </w:rPr>
        <w:t>Several gaps in the literature were identified during this review. Future research should include more large-scale quantitative studies to evaluate the long-term effectiveness of telehealth consultations on patient outcomes, healthcare quality, and service efficiency. Longitudinal studies would be particularly valuable in examining whether the benefits observed following the rapid expansion of telehealth during the COVID-19 pandemic are sustainable. Further research should also explore the experiences of underrepresented populations, including older adults, individuals with multiple long-term conditions, and socially disadvantaged groups. In addition, future studies should investigate interventions designed to reduce digital exclusion and improve engagement with telehealth services. This would strengthen the evidence base and support the development of more inclusive digital healthcare systems.</w:t>
      </w:r>
    </w:p>
    <w:p w14:paraId="54961C74" w14:textId="77777777" w:rsidR="001A07CF" w:rsidRPr="001A07CF" w:rsidRDefault="001A07CF" w:rsidP="001A07CF">
      <w:pPr>
        <w:pStyle w:val="Heading2"/>
        <w:spacing w:line="360" w:lineRule="auto"/>
        <w:jc w:val="both"/>
        <w:rPr>
          <w:rFonts w:ascii="Arial" w:hAnsi="Arial" w:cs="Arial"/>
          <w:b/>
          <w:bCs/>
          <w:i/>
          <w:iCs/>
          <w:color w:val="auto"/>
          <w:sz w:val="22"/>
          <w:szCs w:val="22"/>
        </w:rPr>
      </w:pPr>
      <w:bookmarkStart w:id="27" w:name="_Toc232931804"/>
      <w:r w:rsidRPr="001A07CF">
        <w:rPr>
          <w:rFonts w:ascii="Arial" w:hAnsi="Arial" w:cs="Arial"/>
          <w:b/>
          <w:bCs/>
          <w:i/>
          <w:iCs/>
          <w:color w:val="auto"/>
          <w:sz w:val="22"/>
          <w:szCs w:val="22"/>
        </w:rPr>
        <w:t>Recommendations for Policy and Practice</w:t>
      </w:r>
      <w:bookmarkEnd w:id="27"/>
    </w:p>
    <w:p w14:paraId="1DCE60A4" w14:textId="77777777" w:rsidR="001A07CF" w:rsidRPr="001A07CF" w:rsidRDefault="001A07CF" w:rsidP="001A07CF">
      <w:pPr>
        <w:spacing w:line="360" w:lineRule="auto"/>
        <w:ind w:firstLine="720"/>
        <w:jc w:val="both"/>
        <w:rPr>
          <w:rFonts w:ascii="Arial" w:hAnsi="Arial" w:cs="Arial"/>
          <w:sz w:val="22"/>
          <w:szCs w:val="22"/>
        </w:rPr>
      </w:pPr>
      <w:r w:rsidRPr="001A07CF">
        <w:rPr>
          <w:rFonts w:ascii="Arial" w:hAnsi="Arial" w:cs="Arial"/>
          <w:sz w:val="22"/>
          <w:szCs w:val="22"/>
        </w:rPr>
        <w:t xml:space="preserve">To maximise the benefits of telehealth, healthcare organisations and policymakers should prioritise strategies that address digital inequalities. This may include improving access to digital devices, expanding internet connectivity in underserved communities, and providing digital literacy training for patients who may struggle to use telehealth technologies effectively. </w:t>
      </w:r>
      <w:r w:rsidRPr="001A07CF">
        <w:rPr>
          <w:rFonts w:ascii="Arial" w:hAnsi="Arial" w:cs="Arial"/>
          <w:sz w:val="22"/>
          <w:szCs w:val="22"/>
        </w:rPr>
        <w:lastRenderedPageBreak/>
        <w:t>Healthcare providers should continue to offer a combination of remote and face-to-face consultations, allowing care to be tailored to individual patient needs and preferences. Additional training and support should also be provided to healthcare professionals to enhance confidence and competence in delivering remote consultations. Finally, future NHS digital health policies should focus on ensuring that telehealth services remain accessible, equitable, and patient-centred.</w:t>
      </w:r>
    </w:p>
    <w:p w14:paraId="115E2688" w14:textId="77777777" w:rsidR="001A07CF" w:rsidRPr="001A07CF" w:rsidRDefault="001A07CF" w:rsidP="001A07CF">
      <w:pPr>
        <w:spacing w:line="360" w:lineRule="auto"/>
        <w:jc w:val="both"/>
        <w:rPr>
          <w:rFonts w:ascii="Arial" w:hAnsi="Arial" w:cs="Arial"/>
          <w:sz w:val="22"/>
          <w:szCs w:val="22"/>
        </w:rPr>
      </w:pPr>
      <w:r w:rsidRPr="001A07CF">
        <w:rPr>
          <w:rFonts w:ascii="Arial" w:hAnsi="Arial" w:cs="Arial"/>
          <w:sz w:val="22"/>
          <w:szCs w:val="22"/>
        </w:rPr>
        <w:br w:type="page"/>
      </w:r>
    </w:p>
    <w:p w14:paraId="63F8F6A9" w14:textId="77777777" w:rsidR="001A07CF" w:rsidRPr="001A07CF" w:rsidRDefault="001A07CF" w:rsidP="001A07CF">
      <w:pPr>
        <w:pStyle w:val="Heading1"/>
        <w:spacing w:line="360" w:lineRule="auto"/>
        <w:jc w:val="both"/>
        <w:rPr>
          <w:rFonts w:ascii="Arial" w:hAnsi="Arial" w:cs="Arial"/>
          <w:color w:val="auto"/>
          <w:sz w:val="22"/>
          <w:szCs w:val="22"/>
        </w:rPr>
      </w:pPr>
      <w:bookmarkStart w:id="28" w:name="_Toc232931805"/>
      <w:r w:rsidRPr="001A07CF">
        <w:rPr>
          <w:rFonts w:ascii="Arial" w:hAnsi="Arial" w:cs="Arial"/>
          <w:color w:val="auto"/>
          <w:sz w:val="22"/>
          <w:szCs w:val="22"/>
        </w:rPr>
        <w:lastRenderedPageBreak/>
        <w:t>List of References</w:t>
      </w:r>
      <w:bookmarkEnd w:id="28"/>
    </w:p>
    <w:p w14:paraId="611BA7A1" w14:textId="7323D711" w:rsidR="001A07CF" w:rsidRPr="001A07CF" w:rsidRDefault="001A07CF" w:rsidP="001A07CF">
      <w:pPr>
        <w:spacing w:line="360" w:lineRule="auto"/>
        <w:ind w:left="720" w:hanging="720"/>
        <w:jc w:val="both"/>
        <w:rPr>
          <w:rFonts w:ascii="Arial" w:eastAsia="Aptos" w:hAnsi="Arial" w:cs="Arial"/>
          <w:color w:val="222222"/>
          <w:sz w:val="22"/>
          <w:szCs w:val="22"/>
          <w:shd w:val="clear" w:color="auto" w:fill="FFFFFF"/>
          <w:lang w:val="en-US"/>
        </w:rPr>
      </w:pPr>
      <w:proofErr w:type="spellStart"/>
      <w:r w:rsidRPr="001A07CF">
        <w:rPr>
          <w:rFonts w:ascii="Arial" w:eastAsia="Aptos" w:hAnsi="Arial" w:cs="Arial"/>
          <w:color w:val="222222"/>
          <w:sz w:val="22"/>
          <w:szCs w:val="22"/>
          <w:shd w:val="clear" w:color="auto" w:fill="FFFFFF"/>
          <w:lang w:val="en-US"/>
        </w:rPr>
        <w:t>Alashek</w:t>
      </w:r>
      <w:proofErr w:type="spellEnd"/>
      <w:r w:rsidRPr="001A07CF">
        <w:rPr>
          <w:rFonts w:ascii="Arial" w:eastAsia="Aptos" w:hAnsi="Arial" w:cs="Arial"/>
          <w:color w:val="222222"/>
          <w:sz w:val="22"/>
          <w:szCs w:val="22"/>
          <w:shd w:val="clear" w:color="auto" w:fill="FFFFFF"/>
          <w:lang w:val="en-US"/>
        </w:rPr>
        <w:t xml:space="preserve">, W.A. and Ali, S.A. (2024). ‘Satisfaction with telemedicine use during </w:t>
      </w:r>
      <w:r w:rsidR="00C939A3">
        <w:rPr>
          <w:rFonts w:ascii="Arial" w:eastAsia="Aptos" w:hAnsi="Arial" w:cs="Arial"/>
          <w:color w:val="222222"/>
          <w:sz w:val="22"/>
          <w:szCs w:val="22"/>
          <w:shd w:val="clear" w:color="auto" w:fill="FFFFFF"/>
          <w:lang w:val="en-US"/>
        </w:rPr>
        <w:t xml:space="preserve">the </w:t>
      </w:r>
      <w:r w:rsidRPr="001A07CF">
        <w:rPr>
          <w:rFonts w:ascii="Arial" w:eastAsia="Aptos" w:hAnsi="Arial" w:cs="Arial"/>
          <w:color w:val="222222"/>
          <w:sz w:val="22"/>
          <w:szCs w:val="22"/>
          <w:shd w:val="clear" w:color="auto" w:fill="FFFFFF"/>
          <w:lang w:val="en-US"/>
        </w:rPr>
        <w:t>COVID-19 pandemic in the UK: a systematic review.’ </w:t>
      </w:r>
      <w:r w:rsidRPr="001A07CF">
        <w:rPr>
          <w:rFonts w:ascii="Arial" w:eastAsia="Aptos" w:hAnsi="Arial" w:cs="Arial"/>
          <w:i/>
          <w:iCs/>
          <w:color w:val="222222"/>
          <w:sz w:val="22"/>
          <w:szCs w:val="22"/>
          <w:shd w:val="clear" w:color="auto" w:fill="FFFFFF"/>
          <w:lang w:val="en-US"/>
        </w:rPr>
        <w:t>Libyan Journal of Medicine</w:t>
      </w:r>
      <w:r w:rsidRPr="001A07CF">
        <w:rPr>
          <w:rFonts w:ascii="Arial" w:eastAsia="Aptos" w:hAnsi="Arial" w:cs="Arial"/>
          <w:color w:val="222222"/>
          <w:sz w:val="22"/>
          <w:szCs w:val="22"/>
          <w:shd w:val="clear" w:color="auto" w:fill="FFFFFF"/>
          <w:lang w:val="en-US"/>
        </w:rPr>
        <w:t>, </w:t>
      </w:r>
      <w:r w:rsidRPr="001A07CF">
        <w:rPr>
          <w:rFonts w:ascii="Arial" w:eastAsia="Aptos" w:hAnsi="Arial" w:cs="Arial"/>
          <w:i/>
          <w:iCs/>
          <w:color w:val="222222"/>
          <w:sz w:val="22"/>
          <w:szCs w:val="22"/>
          <w:shd w:val="clear" w:color="auto" w:fill="FFFFFF"/>
          <w:lang w:val="en-US"/>
        </w:rPr>
        <w:t>19</w:t>
      </w:r>
      <w:r w:rsidRPr="001A07CF">
        <w:rPr>
          <w:rFonts w:ascii="Arial" w:eastAsia="Aptos" w:hAnsi="Arial" w:cs="Arial"/>
          <w:color w:val="222222"/>
          <w:sz w:val="22"/>
          <w:szCs w:val="22"/>
          <w:shd w:val="clear" w:color="auto" w:fill="FFFFFF"/>
          <w:lang w:val="en-US"/>
        </w:rPr>
        <w:t xml:space="preserve">(1), p.2301829. </w:t>
      </w:r>
      <w:hyperlink r:id="rId5" w:history="1">
        <w:r w:rsidRPr="001A07CF">
          <w:rPr>
            <w:rFonts w:ascii="Arial" w:eastAsia="Aptos" w:hAnsi="Arial" w:cs="Arial"/>
            <w:color w:val="0000FF"/>
            <w:sz w:val="22"/>
            <w:szCs w:val="22"/>
            <w:u w:val="single"/>
            <w:shd w:val="clear" w:color="auto" w:fill="FFFFFF"/>
            <w:lang w:val="en-US"/>
          </w:rPr>
          <w:t>https://doi.org/10.1080/19932820.2024.2301829</w:t>
        </w:r>
      </w:hyperlink>
      <w:r w:rsidRPr="001A07CF">
        <w:rPr>
          <w:rFonts w:ascii="Arial" w:eastAsia="Aptos" w:hAnsi="Arial" w:cs="Arial"/>
          <w:color w:val="222222"/>
          <w:sz w:val="22"/>
          <w:szCs w:val="22"/>
          <w:shd w:val="clear" w:color="auto" w:fill="FFFFFF"/>
          <w:lang w:val="en-US"/>
        </w:rPr>
        <w:t xml:space="preserve"> </w:t>
      </w:r>
    </w:p>
    <w:p w14:paraId="7CFABD73" w14:textId="77777777" w:rsidR="001A07CF" w:rsidRPr="001A07CF" w:rsidRDefault="001A07CF" w:rsidP="001A07CF">
      <w:pPr>
        <w:spacing w:line="360" w:lineRule="auto"/>
        <w:ind w:left="720" w:hanging="720"/>
        <w:jc w:val="both"/>
        <w:rPr>
          <w:rFonts w:ascii="Arial" w:hAnsi="Arial" w:cs="Arial"/>
          <w:color w:val="222222"/>
          <w:sz w:val="22"/>
          <w:szCs w:val="22"/>
          <w:shd w:val="clear" w:color="auto" w:fill="FFFFFF"/>
        </w:rPr>
      </w:pPr>
      <w:r w:rsidRPr="001A07CF">
        <w:rPr>
          <w:rFonts w:ascii="Arial" w:hAnsi="Arial" w:cs="Arial"/>
          <w:color w:val="222222"/>
          <w:sz w:val="22"/>
          <w:szCs w:val="22"/>
          <w:shd w:val="clear" w:color="auto" w:fill="FFFFFF"/>
        </w:rPr>
        <w:t>Antonio, S., Joseph, D., Parsons, J. and Atherton, H., 2024. ‘Experiences of remote consultation in UK primary care for patients with mental health conditions: a systematic review.’ </w:t>
      </w:r>
      <w:r w:rsidRPr="001A07CF">
        <w:rPr>
          <w:rFonts w:ascii="Arial" w:hAnsi="Arial" w:cs="Arial"/>
          <w:i/>
          <w:iCs/>
          <w:color w:val="222222"/>
          <w:sz w:val="22"/>
          <w:szCs w:val="22"/>
          <w:shd w:val="clear" w:color="auto" w:fill="FFFFFF"/>
        </w:rPr>
        <w:t>Digital health</w:t>
      </w:r>
      <w:r w:rsidRPr="001A07CF">
        <w:rPr>
          <w:rFonts w:ascii="Arial" w:hAnsi="Arial" w:cs="Arial"/>
          <w:color w:val="222222"/>
          <w:sz w:val="22"/>
          <w:szCs w:val="22"/>
          <w:shd w:val="clear" w:color="auto" w:fill="FFFFFF"/>
        </w:rPr>
        <w:t>, </w:t>
      </w:r>
      <w:r w:rsidRPr="001A07CF">
        <w:rPr>
          <w:rFonts w:ascii="Arial" w:hAnsi="Arial" w:cs="Arial"/>
          <w:i/>
          <w:iCs/>
          <w:color w:val="222222"/>
          <w:sz w:val="22"/>
          <w:szCs w:val="22"/>
          <w:shd w:val="clear" w:color="auto" w:fill="FFFFFF"/>
        </w:rPr>
        <w:t>10</w:t>
      </w:r>
      <w:r w:rsidRPr="001A07CF">
        <w:rPr>
          <w:rFonts w:ascii="Arial" w:hAnsi="Arial" w:cs="Arial"/>
          <w:color w:val="222222"/>
          <w:sz w:val="22"/>
          <w:szCs w:val="22"/>
          <w:shd w:val="clear" w:color="auto" w:fill="FFFFFF"/>
        </w:rPr>
        <w:t xml:space="preserve">, p.20552076241233969. </w:t>
      </w:r>
      <w:hyperlink r:id="rId6" w:history="1">
        <w:r w:rsidRPr="001A07CF">
          <w:rPr>
            <w:rStyle w:val="Hyperlink"/>
            <w:rFonts w:ascii="Arial" w:hAnsi="Arial" w:cs="Arial"/>
            <w:sz w:val="22"/>
            <w:szCs w:val="22"/>
            <w:shd w:val="clear" w:color="auto" w:fill="FFFFFF"/>
          </w:rPr>
          <w:t>https://doi.org/10.1177/20552076241233969</w:t>
        </w:r>
      </w:hyperlink>
      <w:r w:rsidRPr="001A07CF">
        <w:rPr>
          <w:rFonts w:ascii="Arial" w:hAnsi="Arial" w:cs="Arial"/>
          <w:color w:val="222222"/>
          <w:sz w:val="22"/>
          <w:szCs w:val="22"/>
          <w:shd w:val="clear" w:color="auto" w:fill="FFFFFF"/>
        </w:rPr>
        <w:t xml:space="preserve"> </w:t>
      </w:r>
    </w:p>
    <w:p w14:paraId="3A42EF8C" w14:textId="77777777" w:rsidR="001A07CF" w:rsidRPr="001A07CF" w:rsidRDefault="001A07CF" w:rsidP="001A07CF">
      <w:pPr>
        <w:spacing w:line="360" w:lineRule="auto"/>
        <w:ind w:left="720" w:hanging="720"/>
        <w:jc w:val="both"/>
        <w:rPr>
          <w:rFonts w:ascii="Arial" w:eastAsia="Times New Roman" w:hAnsi="Arial" w:cs="Arial"/>
          <w:kern w:val="0"/>
          <w:sz w:val="22"/>
          <w:szCs w:val="22"/>
          <w:lang w:eastAsia="en-GB"/>
          <w14:ligatures w14:val="none"/>
        </w:rPr>
      </w:pPr>
      <w:r w:rsidRPr="001A07CF">
        <w:rPr>
          <w:rFonts w:ascii="Arial" w:eastAsia="Times New Roman" w:hAnsi="Arial" w:cs="Arial"/>
          <w:kern w:val="0"/>
          <w:sz w:val="22"/>
          <w:szCs w:val="22"/>
          <w:lang w:eastAsia="en-GB"/>
          <w14:ligatures w14:val="none"/>
        </w:rPr>
        <w:t xml:space="preserve">Aveyard, H. (2023). </w:t>
      </w:r>
      <w:proofErr w:type="spellStart"/>
      <w:r w:rsidRPr="001A07CF">
        <w:rPr>
          <w:rFonts w:ascii="Arial" w:eastAsia="Times New Roman" w:hAnsi="Arial" w:cs="Arial"/>
          <w:kern w:val="0"/>
          <w:sz w:val="22"/>
          <w:szCs w:val="22"/>
          <w:lang w:eastAsia="en-GB"/>
          <w14:ligatures w14:val="none"/>
        </w:rPr>
        <w:t>Ebook</w:t>
      </w:r>
      <w:proofErr w:type="spellEnd"/>
      <w:r w:rsidRPr="001A07CF">
        <w:rPr>
          <w:rFonts w:ascii="Arial" w:eastAsia="Times New Roman" w:hAnsi="Arial" w:cs="Arial"/>
          <w:kern w:val="0"/>
          <w:sz w:val="22"/>
          <w:szCs w:val="22"/>
          <w:lang w:eastAsia="en-GB"/>
          <w14:ligatures w14:val="none"/>
        </w:rPr>
        <w:t>: Doing a Literature Review in Health and Social Care: A Practical Guide 5e. Open University Press.</w:t>
      </w:r>
    </w:p>
    <w:p w14:paraId="34EC909F" w14:textId="77777777" w:rsidR="001A07CF" w:rsidRPr="001A07CF" w:rsidRDefault="001A07CF" w:rsidP="001A07CF">
      <w:pPr>
        <w:spacing w:line="360" w:lineRule="auto"/>
        <w:ind w:left="720" w:hanging="720"/>
        <w:jc w:val="both"/>
        <w:rPr>
          <w:rFonts w:ascii="Arial" w:eastAsia="Aptos" w:hAnsi="Arial" w:cs="Arial"/>
          <w:color w:val="222222"/>
          <w:sz w:val="22"/>
          <w:szCs w:val="22"/>
          <w:shd w:val="clear" w:color="auto" w:fill="FFFFFF"/>
          <w:lang w:val="en-US"/>
        </w:rPr>
      </w:pPr>
      <w:r w:rsidRPr="001A07CF">
        <w:rPr>
          <w:rFonts w:ascii="Arial" w:eastAsia="Aptos" w:hAnsi="Arial" w:cs="Arial"/>
          <w:color w:val="222222"/>
          <w:sz w:val="22"/>
          <w:szCs w:val="22"/>
          <w:shd w:val="clear" w:color="auto" w:fill="FFFFFF"/>
          <w:lang w:val="en-US"/>
        </w:rPr>
        <w:t xml:space="preserve">de Visser, R.O., </w:t>
      </w:r>
      <w:proofErr w:type="spellStart"/>
      <w:r w:rsidRPr="001A07CF">
        <w:rPr>
          <w:rFonts w:ascii="Arial" w:eastAsia="Aptos" w:hAnsi="Arial" w:cs="Arial"/>
          <w:color w:val="222222"/>
          <w:sz w:val="22"/>
          <w:szCs w:val="22"/>
          <w:shd w:val="clear" w:color="auto" w:fill="FFFFFF"/>
          <w:lang w:val="en-US"/>
        </w:rPr>
        <w:t>Nwamba</w:t>
      </w:r>
      <w:proofErr w:type="spellEnd"/>
      <w:r w:rsidRPr="001A07CF">
        <w:rPr>
          <w:rFonts w:ascii="Arial" w:eastAsia="Aptos" w:hAnsi="Arial" w:cs="Arial"/>
          <w:color w:val="222222"/>
          <w:sz w:val="22"/>
          <w:szCs w:val="22"/>
          <w:shd w:val="clear" w:color="auto" w:fill="FFFFFF"/>
          <w:lang w:val="en-US"/>
        </w:rPr>
        <w:t>, C., Brearley, E., Shafiei, V. and Hart, L. (2024). ‘Remote consultations in primary care: patient experiences and suggestions for improvement.’ </w:t>
      </w:r>
      <w:r w:rsidRPr="001A07CF">
        <w:rPr>
          <w:rFonts w:ascii="Arial" w:eastAsia="Aptos" w:hAnsi="Arial" w:cs="Arial"/>
          <w:i/>
          <w:iCs/>
          <w:color w:val="222222"/>
          <w:sz w:val="22"/>
          <w:szCs w:val="22"/>
          <w:shd w:val="clear" w:color="auto" w:fill="FFFFFF"/>
          <w:lang w:val="en-US"/>
        </w:rPr>
        <w:t>Journal of Health Psychology</w:t>
      </w:r>
      <w:r w:rsidRPr="001A07CF">
        <w:rPr>
          <w:rFonts w:ascii="Arial" w:eastAsia="Aptos" w:hAnsi="Arial" w:cs="Arial"/>
          <w:color w:val="222222"/>
          <w:sz w:val="22"/>
          <w:szCs w:val="22"/>
          <w:shd w:val="clear" w:color="auto" w:fill="FFFFFF"/>
          <w:lang w:val="en-US"/>
        </w:rPr>
        <w:t>, </w:t>
      </w:r>
      <w:r w:rsidRPr="001A07CF">
        <w:rPr>
          <w:rFonts w:ascii="Arial" w:eastAsia="Aptos" w:hAnsi="Arial" w:cs="Arial"/>
          <w:i/>
          <w:iCs/>
          <w:color w:val="222222"/>
          <w:sz w:val="22"/>
          <w:szCs w:val="22"/>
          <w:shd w:val="clear" w:color="auto" w:fill="FFFFFF"/>
          <w:lang w:val="en-US"/>
        </w:rPr>
        <w:t>29</w:t>
      </w:r>
      <w:r w:rsidRPr="001A07CF">
        <w:rPr>
          <w:rFonts w:ascii="Arial" w:eastAsia="Aptos" w:hAnsi="Arial" w:cs="Arial"/>
          <w:color w:val="222222"/>
          <w:sz w:val="22"/>
          <w:szCs w:val="22"/>
          <w:shd w:val="clear" w:color="auto" w:fill="FFFFFF"/>
          <w:lang w:val="en-US"/>
        </w:rPr>
        <w:t xml:space="preserve">(12), pp.1321-1335. </w:t>
      </w:r>
      <w:hyperlink r:id="rId7" w:history="1">
        <w:r w:rsidRPr="001A07CF">
          <w:rPr>
            <w:rFonts w:ascii="Arial" w:eastAsia="Aptos" w:hAnsi="Arial" w:cs="Arial"/>
            <w:color w:val="0000FF"/>
            <w:sz w:val="22"/>
            <w:szCs w:val="22"/>
            <w:u w:val="single"/>
            <w:shd w:val="clear" w:color="auto" w:fill="FFFFFF"/>
            <w:lang w:val="en-US"/>
          </w:rPr>
          <w:t>https://doi.org/10.1177/13591053241240383</w:t>
        </w:r>
      </w:hyperlink>
      <w:r w:rsidRPr="001A07CF">
        <w:rPr>
          <w:rFonts w:ascii="Arial" w:eastAsia="Aptos" w:hAnsi="Arial" w:cs="Arial"/>
          <w:color w:val="222222"/>
          <w:sz w:val="22"/>
          <w:szCs w:val="22"/>
          <w:shd w:val="clear" w:color="auto" w:fill="FFFFFF"/>
          <w:lang w:val="en-US"/>
        </w:rPr>
        <w:t xml:space="preserve"> </w:t>
      </w:r>
    </w:p>
    <w:p w14:paraId="7274F787" w14:textId="77777777" w:rsidR="001A07CF" w:rsidRPr="001A07CF" w:rsidRDefault="001A07CF" w:rsidP="001A07CF">
      <w:pPr>
        <w:spacing w:line="360" w:lineRule="auto"/>
        <w:ind w:left="720" w:hanging="720"/>
        <w:jc w:val="both"/>
        <w:rPr>
          <w:rFonts w:ascii="Arial" w:hAnsi="Arial" w:cs="Arial"/>
          <w:color w:val="222222"/>
          <w:sz w:val="22"/>
          <w:szCs w:val="22"/>
          <w:shd w:val="clear" w:color="auto" w:fill="FFFFFF"/>
        </w:rPr>
      </w:pPr>
      <w:proofErr w:type="spellStart"/>
      <w:r w:rsidRPr="001A07CF">
        <w:rPr>
          <w:rFonts w:ascii="Arial" w:hAnsi="Arial" w:cs="Arial"/>
          <w:color w:val="222222"/>
          <w:sz w:val="22"/>
          <w:szCs w:val="22"/>
          <w:shd w:val="clear" w:color="auto" w:fill="FFFFFF"/>
        </w:rPr>
        <w:t>Gobburi</w:t>
      </w:r>
      <w:proofErr w:type="spellEnd"/>
      <w:r w:rsidRPr="001A07CF">
        <w:rPr>
          <w:rFonts w:ascii="Arial" w:hAnsi="Arial" w:cs="Arial"/>
          <w:color w:val="222222"/>
          <w:sz w:val="22"/>
          <w:szCs w:val="22"/>
          <w:shd w:val="clear" w:color="auto" w:fill="FFFFFF"/>
        </w:rPr>
        <w:t xml:space="preserve">, R.K., </w:t>
      </w:r>
      <w:proofErr w:type="spellStart"/>
      <w:r w:rsidRPr="001A07CF">
        <w:rPr>
          <w:rFonts w:ascii="Arial" w:hAnsi="Arial" w:cs="Arial"/>
          <w:color w:val="222222"/>
          <w:sz w:val="22"/>
          <w:szCs w:val="22"/>
          <w:shd w:val="clear" w:color="auto" w:fill="FFFFFF"/>
        </w:rPr>
        <w:t>Olawade</w:t>
      </w:r>
      <w:proofErr w:type="spellEnd"/>
      <w:r w:rsidRPr="001A07CF">
        <w:rPr>
          <w:rFonts w:ascii="Arial" w:hAnsi="Arial" w:cs="Arial"/>
          <w:color w:val="222222"/>
          <w:sz w:val="22"/>
          <w:szCs w:val="22"/>
          <w:shd w:val="clear" w:color="auto" w:fill="FFFFFF"/>
        </w:rPr>
        <w:t xml:space="preserve">, D.B., Olatunji, G.D., Kokori, E., </w:t>
      </w:r>
      <w:proofErr w:type="spellStart"/>
      <w:r w:rsidRPr="001A07CF">
        <w:rPr>
          <w:rFonts w:ascii="Arial" w:hAnsi="Arial" w:cs="Arial"/>
          <w:color w:val="222222"/>
          <w:sz w:val="22"/>
          <w:szCs w:val="22"/>
          <w:shd w:val="clear" w:color="auto" w:fill="FFFFFF"/>
        </w:rPr>
        <w:t>Aderinto</w:t>
      </w:r>
      <w:proofErr w:type="spellEnd"/>
      <w:r w:rsidRPr="001A07CF">
        <w:rPr>
          <w:rFonts w:ascii="Arial" w:hAnsi="Arial" w:cs="Arial"/>
          <w:color w:val="222222"/>
          <w:sz w:val="22"/>
          <w:szCs w:val="22"/>
          <w:shd w:val="clear" w:color="auto" w:fill="FFFFFF"/>
        </w:rPr>
        <w:t>, N. and David-Olawade, A.C., 2025. ‘Telemedicine use in rural areas of the United Kingdom to improve access to healthcare facilities: A review of current evidence.’ </w:t>
      </w:r>
      <w:r w:rsidRPr="001A07CF">
        <w:rPr>
          <w:rFonts w:ascii="Arial" w:hAnsi="Arial" w:cs="Arial"/>
          <w:i/>
          <w:iCs/>
          <w:color w:val="222222"/>
          <w:sz w:val="22"/>
          <w:szCs w:val="22"/>
          <w:shd w:val="clear" w:color="auto" w:fill="FFFFFF"/>
        </w:rPr>
        <w:t>Informatics and Health</w:t>
      </w:r>
      <w:r w:rsidRPr="001A07CF">
        <w:rPr>
          <w:rFonts w:ascii="Arial" w:hAnsi="Arial" w:cs="Arial"/>
          <w:color w:val="222222"/>
          <w:sz w:val="22"/>
          <w:szCs w:val="22"/>
          <w:shd w:val="clear" w:color="auto" w:fill="FFFFFF"/>
        </w:rPr>
        <w:t>, </w:t>
      </w:r>
      <w:r w:rsidRPr="001A07CF">
        <w:rPr>
          <w:rFonts w:ascii="Arial" w:hAnsi="Arial" w:cs="Arial"/>
          <w:i/>
          <w:iCs/>
          <w:color w:val="222222"/>
          <w:sz w:val="22"/>
          <w:szCs w:val="22"/>
          <w:shd w:val="clear" w:color="auto" w:fill="FFFFFF"/>
        </w:rPr>
        <w:t>2</w:t>
      </w:r>
      <w:r w:rsidRPr="001A07CF">
        <w:rPr>
          <w:rFonts w:ascii="Arial" w:hAnsi="Arial" w:cs="Arial"/>
          <w:color w:val="222222"/>
          <w:sz w:val="22"/>
          <w:szCs w:val="22"/>
          <w:shd w:val="clear" w:color="auto" w:fill="FFFFFF"/>
        </w:rPr>
        <w:t xml:space="preserve">(1), pp.41-48. </w:t>
      </w:r>
      <w:hyperlink r:id="rId8" w:history="1">
        <w:r w:rsidRPr="001A07CF">
          <w:rPr>
            <w:rStyle w:val="Hyperlink"/>
            <w:rFonts w:ascii="Arial" w:hAnsi="Arial" w:cs="Arial"/>
            <w:sz w:val="22"/>
            <w:szCs w:val="22"/>
            <w:shd w:val="clear" w:color="auto" w:fill="FFFFFF"/>
          </w:rPr>
          <w:t>https://doi.org/10.1016/j.infoh.2025.01.003</w:t>
        </w:r>
      </w:hyperlink>
      <w:r w:rsidRPr="001A07CF">
        <w:rPr>
          <w:rFonts w:ascii="Arial" w:hAnsi="Arial" w:cs="Arial"/>
          <w:color w:val="222222"/>
          <w:sz w:val="22"/>
          <w:szCs w:val="22"/>
          <w:shd w:val="clear" w:color="auto" w:fill="FFFFFF"/>
        </w:rPr>
        <w:t xml:space="preserve"> </w:t>
      </w:r>
    </w:p>
    <w:p w14:paraId="0C48F919" w14:textId="7A88E30B" w:rsidR="001A07CF" w:rsidRPr="001A07CF" w:rsidRDefault="001A07CF" w:rsidP="001A07CF">
      <w:pPr>
        <w:spacing w:line="360" w:lineRule="auto"/>
        <w:ind w:left="720" w:hanging="720"/>
        <w:jc w:val="both"/>
        <w:rPr>
          <w:rFonts w:ascii="Arial" w:hAnsi="Arial" w:cs="Arial"/>
          <w:color w:val="222222"/>
          <w:sz w:val="22"/>
          <w:szCs w:val="22"/>
          <w:shd w:val="clear" w:color="auto" w:fill="FFFFFF"/>
        </w:rPr>
      </w:pPr>
      <w:r w:rsidRPr="001A07CF">
        <w:rPr>
          <w:rFonts w:ascii="Arial" w:hAnsi="Arial" w:cs="Arial"/>
          <w:color w:val="222222"/>
          <w:sz w:val="22"/>
          <w:szCs w:val="22"/>
          <w:shd w:val="clear" w:color="auto" w:fill="FFFFFF"/>
        </w:rPr>
        <w:t xml:space="preserve">Greenhalgh, T., Ladds, E., Hughes, G., Moore, L., </w:t>
      </w:r>
      <w:proofErr w:type="spellStart"/>
      <w:r w:rsidRPr="001A07CF">
        <w:rPr>
          <w:rFonts w:ascii="Arial" w:hAnsi="Arial" w:cs="Arial"/>
          <w:color w:val="222222"/>
          <w:sz w:val="22"/>
          <w:szCs w:val="22"/>
          <w:shd w:val="clear" w:color="auto" w:fill="FFFFFF"/>
        </w:rPr>
        <w:t>Wherton</w:t>
      </w:r>
      <w:proofErr w:type="spellEnd"/>
      <w:r w:rsidRPr="001A07CF">
        <w:rPr>
          <w:rFonts w:ascii="Arial" w:hAnsi="Arial" w:cs="Arial"/>
          <w:color w:val="222222"/>
          <w:sz w:val="22"/>
          <w:szCs w:val="22"/>
          <w:shd w:val="clear" w:color="auto" w:fill="FFFFFF"/>
        </w:rPr>
        <w:t xml:space="preserve">, J., Shaw, S.E., Papoutsi, C., Wieringa, S., Rosen, R., Rushforth, A. and </w:t>
      </w:r>
      <w:proofErr w:type="spellStart"/>
      <w:r w:rsidRPr="001A07CF">
        <w:rPr>
          <w:rFonts w:ascii="Arial" w:hAnsi="Arial" w:cs="Arial"/>
          <w:color w:val="222222"/>
          <w:sz w:val="22"/>
          <w:szCs w:val="22"/>
          <w:shd w:val="clear" w:color="auto" w:fill="FFFFFF"/>
        </w:rPr>
        <w:t>Rybczynska</w:t>
      </w:r>
      <w:proofErr w:type="spellEnd"/>
      <w:r w:rsidRPr="001A07CF">
        <w:rPr>
          <w:rFonts w:ascii="Arial" w:hAnsi="Arial" w:cs="Arial"/>
          <w:color w:val="222222"/>
          <w:sz w:val="22"/>
          <w:szCs w:val="22"/>
          <w:shd w:val="clear" w:color="auto" w:fill="FFFFFF"/>
        </w:rPr>
        <w:t xml:space="preserve">-Bunt, S., 2022. ‘Why do GPs rarely do video consultations? Qualitative study in UK general practice. British Journal of General Practice. </w:t>
      </w:r>
      <w:hyperlink r:id="rId9" w:history="1">
        <w:r w:rsidRPr="001A07CF">
          <w:rPr>
            <w:rStyle w:val="Hyperlink"/>
            <w:rFonts w:ascii="Arial" w:hAnsi="Arial" w:cs="Arial"/>
            <w:sz w:val="22"/>
            <w:szCs w:val="22"/>
            <w:shd w:val="clear" w:color="auto" w:fill="FFFFFF"/>
          </w:rPr>
          <w:t>https://doi.org/10.3399/BJGP.2021.0658</w:t>
        </w:r>
      </w:hyperlink>
    </w:p>
    <w:p w14:paraId="6688DBB8" w14:textId="77777777" w:rsidR="001A07CF" w:rsidRPr="001A07CF" w:rsidRDefault="001A07CF" w:rsidP="001A07CF">
      <w:pPr>
        <w:spacing w:line="360" w:lineRule="auto"/>
        <w:ind w:left="720" w:hanging="720"/>
        <w:jc w:val="both"/>
        <w:rPr>
          <w:rFonts w:ascii="Arial" w:hAnsi="Arial" w:cs="Arial"/>
          <w:color w:val="222222"/>
          <w:sz w:val="22"/>
          <w:szCs w:val="22"/>
          <w:shd w:val="clear" w:color="auto" w:fill="FFFFFF"/>
        </w:rPr>
      </w:pPr>
      <w:r w:rsidRPr="001A07CF">
        <w:rPr>
          <w:rFonts w:ascii="Arial" w:hAnsi="Arial" w:cs="Arial"/>
          <w:color w:val="222222"/>
          <w:sz w:val="22"/>
          <w:szCs w:val="22"/>
          <w:shd w:val="clear" w:color="auto" w:fill="FFFFFF"/>
        </w:rPr>
        <w:t>Islam, F., Bailey, S. and Netto, G., 2024. ‘Digitalised primary care in the UK: a qualitative study of the experiences of minoritised ethnic communities.’ </w:t>
      </w:r>
      <w:r w:rsidRPr="001A07CF">
        <w:rPr>
          <w:rFonts w:ascii="Arial" w:hAnsi="Arial" w:cs="Arial"/>
          <w:i/>
          <w:iCs/>
          <w:color w:val="222222"/>
          <w:sz w:val="22"/>
          <w:szCs w:val="22"/>
          <w:shd w:val="clear" w:color="auto" w:fill="FFFFFF"/>
        </w:rPr>
        <w:t>British Journal of General Practice</w:t>
      </w:r>
      <w:r w:rsidRPr="001A07CF">
        <w:rPr>
          <w:rFonts w:ascii="Arial" w:hAnsi="Arial" w:cs="Arial"/>
          <w:color w:val="222222"/>
          <w:sz w:val="22"/>
          <w:szCs w:val="22"/>
          <w:shd w:val="clear" w:color="auto" w:fill="FFFFFF"/>
        </w:rPr>
        <w:t xml:space="preserve">. </w:t>
      </w:r>
      <w:hyperlink r:id="rId10" w:history="1">
        <w:r w:rsidRPr="001A07CF">
          <w:rPr>
            <w:rStyle w:val="Hyperlink"/>
            <w:rFonts w:ascii="Arial" w:hAnsi="Arial" w:cs="Arial"/>
            <w:sz w:val="22"/>
            <w:szCs w:val="22"/>
            <w:shd w:val="clear" w:color="auto" w:fill="FFFFFF"/>
          </w:rPr>
          <w:t>https://doi.org/10.3399/BJGP.2024.0308</w:t>
        </w:r>
      </w:hyperlink>
      <w:r w:rsidRPr="001A07CF">
        <w:rPr>
          <w:rFonts w:ascii="Arial" w:hAnsi="Arial" w:cs="Arial"/>
          <w:color w:val="222222"/>
          <w:sz w:val="22"/>
          <w:szCs w:val="22"/>
          <w:shd w:val="clear" w:color="auto" w:fill="FFFFFF"/>
        </w:rPr>
        <w:t xml:space="preserve"> </w:t>
      </w:r>
    </w:p>
    <w:p w14:paraId="2B61FF0E" w14:textId="77777777" w:rsidR="001A07CF" w:rsidRPr="001A07CF" w:rsidRDefault="001A07CF" w:rsidP="001A07CF">
      <w:pPr>
        <w:spacing w:line="360" w:lineRule="auto"/>
        <w:ind w:left="720" w:hanging="720"/>
        <w:jc w:val="both"/>
        <w:rPr>
          <w:rFonts w:ascii="Arial" w:eastAsia="Aptos" w:hAnsi="Arial" w:cs="Arial"/>
          <w:color w:val="222222"/>
          <w:sz w:val="22"/>
          <w:szCs w:val="22"/>
          <w:shd w:val="clear" w:color="auto" w:fill="FFFFFF"/>
          <w:lang w:val="en-US"/>
        </w:rPr>
      </w:pPr>
      <w:r w:rsidRPr="001A07CF">
        <w:rPr>
          <w:rFonts w:ascii="Arial" w:eastAsia="Aptos" w:hAnsi="Arial" w:cs="Arial"/>
          <w:color w:val="222222"/>
          <w:sz w:val="22"/>
          <w:szCs w:val="22"/>
          <w:shd w:val="clear" w:color="auto" w:fill="FFFFFF"/>
          <w:lang w:val="en-US"/>
        </w:rPr>
        <w:t>Kemp, M., Rising, K.L., Laynor, G., Miao, J., Worster, B., Chang, A.M., Monick, A.J., Guth, A., Esteves Camacho, T., McIntosh, K. and Amadio, G. (2025). ‘Barriers to telehealth uptake and use: a scoping review.’ </w:t>
      </w:r>
      <w:r w:rsidRPr="001A07CF">
        <w:rPr>
          <w:rFonts w:ascii="Arial" w:eastAsia="Aptos" w:hAnsi="Arial" w:cs="Arial"/>
          <w:i/>
          <w:iCs/>
          <w:color w:val="222222"/>
          <w:sz w:val="22"/>
          <w:szCs w:val="22"/>
          <w:shd w:val="clear" w:color="auto" w:fill="FFFFFF"/>
          <w:lang w:val="en-US"/>
        </w:rPr>
        <w:t>JAMIA open</w:t>
      </w:r>
      <w:r w:rsidRPr="001A07CF">
        <w:rPr>
          <w:rFonts w:ascii="Arial" w:eastAsia="Aptos" w:hAnsi="Arial" w:cs="Arial"/>
          <w:color w:val="222222"/>
          <w:sz w:val="22"/>
          <w:szCs w:val="22"/>
          <w:shd w:val="clear" w:color="auto" w:fill="FFFFFF"/>
          <w:lang w:val="en-US"/>
        </w:rPr>
        <w:t>, </w:t>
      </w:r>
      <w:r w:rsidRPr="001A07CF">
        <w:rPr>
          <w:rFonts w:ascii="Arial" w:eastAsia="Aptos" w:hAnsi="Arial" w:cs="Arial"/>
          <w:i/>
          <w:iCs/>
          <w:color w:val="222222"/>
          <w:sz w:val="22"/>
          <w:szCs w:val="22"/>
          <w:shd w:val="clear" w:color="auto" w:fill="FFFFFF"/>
          <w:lang w:val="en-US"/>
        </w:rPr>
        <w:t>8</w:t>
      </w:r>
      <w:r w:rsidRPr="001A07CF">
        <w:rPr>
          <w:rFonts w:ascii="Arial" w:eastAsia="Aptos" w:hAnsi="Arial" w:cs="Arial"/>
          <w:color w:val="222222"/>
          <w:sz w:val="22"/>
          <w:szCs w:val="22"/>
          <w:shd w:val="clear" w:color="auto" w:fill="FFFFFF"/>
          <w:lang w:val="en-US"/>
        </w:rPr>
        <w:t xml:space="preserve">(2), p.ooaf019. </w:t>
      </w:r>
      <w:hyperlink r:id="rId11" w:history="1">
        <w:r w:rsidRPr="001A07CF">
          <w:rPr>
            <w:rFonts w:ascii="Arial" w:eastAsia="Aptos" w:hAnsi="Arial" w:cs="Arial"/>
            <w:color w:val="0000FF"/>
            <w:sz w:val="22"/>
            <w:szCs w:val="22"/>
            <w:u w:val="single"/>
            <w:shd w:val="clear" w:color="auto" w:fill="FFFFFF"/>
            <w:lang w:val="en-US"/>
          </w:rPr>
          <w:t>https://doi.org/10.1093/jamiaopen/ooaf019</w:t>
        </w:r>
      </w:hyperlink>
      <w:r w:rsidRPr="001A07CF">
        <w:rPr>
          <w:rFonts w:ascii="Arial" w:eastAsia="Aptos" w:hAnsi="Arial" w:cs="Arial"/>
          <w:color w:val="222222"/>
          <w:sz w:val="22"/>
          <w:szCs w:val="22"/>
          <w:shd w:val="clear" w:color="auto" w:fill="FFFFFF"/>
          <w:lang w:val="en-US"/>
        </w:rPr>
        <w:t xml:space="preserve"> </w:t>
      </w:r>
    </w:p>
    <w:p w14:paraId="6982946D" w14:textId="40A5556C" w:rsidR="001A07CF" w:rsidRPr="001A07CF" w:rsidRDefault="001A07CF" w:rsidP="001A07CF">
      <w:pPr>
        <w:spacing w:line="360" w:lineRule="auto"/>
        <w:ind w:left="720" w:hanging="720"/>
        <w:jc w:val="both"/>
        <w:rPr>
          <w:rFonts w:ascii="Arial" w:eastAsia="Aptos" w:hAnsi="Arial" w:cs="Arial"/>
          <w:color w:val="222222"/>
          <w:sz w:val="22"/>
          <w:szCs w:val="22"/>
          <w:shd w:val="clear" w:color="auto" w:fill="FFFFFF"/>
          <w:lang w:val="en-US"/>
        </w:rPr>
      </w:pPr>
      <w:r w:rsidRPr="001A07CF">
        <w:rPr>
          <w:rFonts w:ascii="Arial" w:eastAsia="Aptos" w:hAnsi="Arial" w:cs="Arial"/>
          <w:color w:val="222222"/>
          <w:sz w:val="22"/>
          <w:szCs w:val="22"/>
          <w:shd w:val="clear" w:color="auto" w:fill="FFFFFF"/>
          <w:lang w:val="en-US"/>
        </w:rPr>
        <w:t xml:space="preserve">Khalil, H., Jia, R., Moraes, E.B., Munn, Z., Alexander, L., Peters, M.D.J., </w:t>
      </w:r>
      <w:proofErr w:type="spellStart"/>
      <w:r w:rsidRPr="001A07CF">
        <w:rPr>
          <w:rFonts w:ascii="Arial" w:eastAsia="Aptos" w:hAnsi="Arial" w:cs="Arial"/>
          <w:color w:val="222222"/>
          <w:sz w:val="22"/>
          <w:szCs w:val="22"/>
          <w:shd w:val="clear" w:color="auto" w:fill="FFFFFF"/>
          <w:lang w:val="en-US"/>
        </w:rPr>
        <w:t>Asran</w:t>
      </w:r>
      <w:proofErr w:type="spellEnd"/>
      <w:r w:rsidRPr="001A07CF">
        <w:rPr>
          <w:rFonts w:ascii="Arial" w:eastAsia="Aptos" w:hAnsi="Arial" w:cs="Arial"/>
          <w:color w:val="222222"/>
          <w:sz w:val="22"/>
          <w:szCs w:val="22"/>
          <w:shd w:val="clear" w:color="auto" w:fill="FFFFFF"/>
          <w:lang w:val="en-US"/>
        </w:rPr>
        <w:t xml:space="preserve">, A., Godfrey, C.M., </w:t>
      </w:r>
      <w:proofErr w:type="spellStart"/>
      <w:r w:rsidRPr="001A07CF">
        <w:rPr>
          <w:rFonts w:ascii="Arial" w:eastAsia="Aptos" w:hAnsi="Arial" w:cs="Arial"/>
          <w:color w:val="222222"/>
          <w:sz w:val="22"/>
          <w:szCs w:val="22"/>
          <w:shd w:val="clear" w:color="auto" w:fill="FFFFFF"/>
          <w:lang w:val="en-US"/>
        </w:rPr>
        <w:t>Tricco</w:t>
      </w:r>
      <w:proofErr w:type="spellEnd"/>
      <w:r w:rsidRPr="001A07CF">
        <w:rPr>
          <w:rFonts w:ascii="Arial" w:eastAsia="Aptos" w:hAnsi="Arial" w:cs="Arial"/>
          <w:color w:val="222222"/>
          <w:sz w:val="22"/>
          <w:szCs w:val="22"/>
          <w:shd w:val="clear" w:color="auto" w:fill="FFFFFF"/>
          <w:lang w:val="en-US"/>
        </w:rPr>
        <w:t>, A.C., Pollock, D. and Evans, C. (2025). ‘Scoping reviews and their role in identifying research priorities.’ </w:t>
      </w:r>
      <w:r w:rsidRPr="001A07CF">
        <w:rPr>
          <w:rFonts w:ascii="Arial" w:eastAsia="Aptos" w:hAnsi="Arial" w:cs="Arial"/>
          <w:i/>
          <w:iCs/>
          <w:color w:val="222222"/>
          <w:sz w:val="22"/>
          <w:szCs w:val="22"/>
          <w:shd w:val="clear" w:color="auto" w:fill="FFFFFF"/>
          <w:lang w:val="en-US"/>
        </w:rPr>
        <w:t xml:space="preserve">Journal of </w:t>
      </w:r>
      <w:r w:rsidR="00C939A3">
        <w:rPr>
          <w:rFonts w:ascii="Arial" w:eastAsia="Aptos" w:hAnsi="Arial" w:cs="Arial"/>
          <w:i/>
          <w:iCs/>
          <w:color w:val="222222"/>
          <w:sz w:val="22"/>
          <w:szCs w:val="22"/>
          <w:shd w:val="clear" w:color="auto" w:fill="FFFFFF"/>
          <w:lang w:val="en-US"/>
        </w:rPr>
        <w:t>Clinical Epidemiology</w:t>
      </w:r>
      <w:r w:rsidRPr="001A07CF">
        <w:rPr>
          <w:rFonts w:ascii="Arial" w:eastAsia="Aptos" w:hAnsi="Arial" w:cs="Arial"/>
          <w:color w:val="222222"/>
          <w:sz w:val="22"/>
          <w:szCs w:val="22"/>
          <w:shd w:val="clear" w:color="auto" w:fill="FFFFFF"/>
          <w:lang w:val="en-US"/>
        </w:rPr>
        <w:t>, </w:t>
      </w:r>
      <w:r w:rsidRPr="001A07CF">
        <w:rPr>
          <w:rFonts w:ascii="Arial" w:eastAsia="Aptos" w:hAnsi="Arial" w:cs="Arial"/>
          <w:i/>
          <w:iCs/>
          <w:color w:val="222222"/>
          <w:sz w:val="22"/>
          <w:szCs w:val="22"/>
          <w:shd w:val="clear" w:color="auto" w:fill="FFFFFF"/>
          <w:lang w:val="en-US"/>
        </w:rPr>
        <w:t>181</w:t>
      </w:r>
      <w:r w:rsidRPr="001A07CF">
        <w:rPr>
          <w:rFonts w:ascii="Arial" w:eastAsia="Aptos" w:hAnsi="Arial" w:cs="Arial"/>
          <w:color w:val="222222"/>
          <w:sz w:val="22"/>
          <w:szCs w:val="22"/>
          <w:shd w:val="clear" w:color="auto" w:fill="FFFFFF"/>
          <w:lang w:val="en-US"/>
        </w:rPr>
        <w:t xml:space="preserve">, p.111712. </w:t>
      </w:r>
      <w:hyperlink r:id="rId12" w:history="1">
        <w:r w:rsidRPr="001A07CF">
          <w:rPr>
            <w:rFonts w:ascii="Arial" w:eastAsia="Aptos" w:hAnsi="Arial" w:cs="Arial"/>
            <w:color w:val="0000FF"/>
            <w:sz w:val="22"/>
            <w:szCs w:val="22"/>
            <w:u w:val="single"/>
            <w:shd w:val="clear" w:color="auto" w:fill="FFFFFF"/>
            <w:lang w:val="en-US"/>
          </w:rPr>
          <w:t>https://doi.org/10.1016/j.jclinepi.2025.111712</w:t>
        </w:r>
      </w:hyperlink>
      <w:r w:rsidRPr="001A07CF">
        <w:rPr>
          <w:rFonts w:ascii="Arial" w:eastAsia="Aptos" w:hAnsi="Arial" w:cs="Arial"/>
          <w:color w:val="222222"/>
          <w:sz w:val="22"/>
          <w:szCs w:val="22"/>
          <w:shd w:val="clear" w:color="auto" w:fill="FFFFFF"/>
          <w:lang w:val="en-US"/>
        </w:rPr>
        <w:t xml:space="preserve"> </w:t>
      </w:r>
    </w:p>
    <w:p w14:paraId="5184F95B" w14:textId="77777777" w:rsidR="001A07CF" w:rsidRPr="001A07CF" w:rsidRDefault="001A07CF" w:rsidP="001A07CF">
      <w:pPr>
        <w:spacing w:line="360" w:lineRule="auto"/>
        <w:ind w:left="720" w:hanging="720"/>
        <w:jc w:val="both"/>
        <w:rPr>
          <w:rFonts w:ascii="Arial" w:hAnsi="Arial" w:cs="Arial"/>
          <w:color w:val="222222"/>
          <w:sz w:val="22"/>
          <w:szCs w:val="22"/>
          <w:shd w:val="clear" w:color="auto" w:fill="FFFFFF"/>
        </w:rPr>
      </w:pPr>
      <w:r w:rsidRPr="001A07CF">
        <w:rPr>
          <w:rFonts w:ascii="Arial" w:hAnsi="Arial" w:cs="Arial"/>
          <w:color w:val="222222"/>
          <w:sz w:val="22"/>
          <w:szCs w:val="22"/>
          <w:shd w:val="clear" w:color="auto" w:fill="FFFFFF"/>
        </w:rPr>
        <w:lastRenderedPageBreak/>
        <w:t xml:space="preserve">Murphy, M., Scott, L.J., Salisbury, C., Turner, A., Scott, A., Denholm, R., Lewis, R., Iyer, G., Macleod, J. and Horwood, J., 2021. ‘Implementation of remote consulting in UK primary care following the COVID-19 pandemic: a mixed-methods longitudinal study.’ </w:t>
      </w:r>
      <w:r w:rsidRPr="001A07CF">
        <w:rPr>
          <w:rFonts w:ascii="Arial" w:hAnsi="Arial" w:cs="Arial"/>
          <w:i/>
          <w:iCs/>
          <w:color w:val="222222"/>
          <w:sz w:val="22"/>
          <w:szCs w:val="22"/>
          <w:shd w:val="clear" w:color="auto" w:fill="FFFFFF"/>
        </w:rPr>
        <w:t>British Journal of General Practice</w:t>
      </w:r>
      <w:r w:rsidRPr="001A07CF">
        <w:rPr>
          <w:rFonts w:ascii="Arial" w:hAnsi="Arial" w:cs="Arial"/>
          <w:color w:val="222222"/>
          <w:sz w:val="22"/>
          <w:szCs w:val="22"/>
          <w:shd w:val="clear" w:color="auto" w:fill="FFFFFF"/>
        </w:rPr>
        <w:t xml:space="preserve">. </w:t>
      </w:r>
      <w:hyperlink r:id="rId13" w:history="1">
        <w:r w:rsidRPr="001A07CF">
          <w:rPr>
            <w:rStyle w:val="Hyperlink"/>
            <w:rFonts w:ascii="Arial" w:hAnsi="Arial" w:cs="Arial"/>
            <w:sz w:val="22"/>
            <w:szCs w:val="22"/>
            <w:shd w:val="clear" w:color="auto" w:fill="FFFFFF"/>
          </w:rPr>
          <w:t>https://doi.org/10.3399/BJGP.2020.0948</w:t>
        </w:r>
      </w:hyperlink>
      <w:r w:rsidRPr="001A07CF">
        <w:rPr>
          <w:rFonts w:ascii="Arial" w:hAnsi="Arial" w:cs="Arial"/>
          <w:color w:val="222222"/>
          <w:sz w:val="22"/>
          <w:szCs w:val="22"/>
          <w:shd w:val="clear" w:color="auto" w:fill="FFFFFF"/>
        </w:rPr>
        <w:t xml:space="preserve"> </w:t>
      </w:r>
    </w:p>
    <w:p w14:paraId="755EF724" w14:textId="77777777" w:rsidR="001A07CF" w:rsidRPr="001A07CF" w:rsidRDefault="001A07CF" w:rsidP="001A07CF">
      <w:pPr>
        <w:spacing w:line="360" w:lineRule="auto"/>
        <w:ind w:left="720" w:hanging="720"/>
        <w:jc w:val="both"/>
        <w:rPr>
          <w:rFonts w:ascii="Arial" w:hAnsi="Arial" w:cs="Arial"/>
          <w:color w:val="222222"/>
          <w:sz w:val="22"/>
          <w:szCs w:val="22"/>
          <w:shd w:val="clear" w:color="auto" w:fill="FFFFFF"/>
        </w:rPr>
      </w:pPr>
      <w:r w:rsidRPr="001A07CF">
        <w:rPr>
          <w:rFonts w:ascii="Arial" w:hAnsi="Arial" w:cs="Arial"/>
          <w:color w:val="222222"/>
          <w:sz w:val="22"/>
          <w:szCs w:val="22"/>
          <w:shd w:val="clear" w:color="auto" w:fill="FFFFFF"/>
        </w:rPr>
        <w:t xml:space="preserve">NHS England (2026). Digital and technology. Available at: </w:t>
      </w:r>
      <w:hyperlink r:id="rId14" w:history="1">
        <w:r w:rsidRPr="001A07CF">
          <w:rPr>
            <w:rStyle w:val="Hyperlink"/>
            <w:rFonts w:ascii="Arial" w:hAnsi="Arial" w:cs="Arial"/>
            <w:sz w:val="22"/>
            <w:szCs w:val="22"/>
            <w:shd w:val="clear" w:color="auto" w:fill="FFFFFF"/>
          </w:rPr>
          <w:t>https://www.england.nhs.uk/mat-transformation/matrons-handbook/digital-and-technology/</w:t>
        </w:r>
      </w:hyperlink>
      <w:r w:rsidRPr="001A07CF">
        <w:rPr>
          <w:rFonts w:ascii="Arial" w:hAnsi="Arial" w:cs="Arial"/>
          <w:color w:val="222222"/>
          <w:sz w:val="22"/>
          <w:szCs w:val="22"/>
          <w:shd w:val="clear" w:color="auto" w:fill="FFFFFF"/>
        </w:rPr>
        <w:t xml:space="preserve"> (Accessed 20 June 2026)</w:t>
      </w:r>
    </w:p>
    <w:p w14:paraId="573C0D2C" w14:textId="77777777" w:rsidR="001A07CF" w:rsidRPr="001A07CF" w:rsidRDefault="001A07CF" w:rsidP="001A07CF">
      <w:pPr>
        <w:spacing w:line="360" w:lineRule="auto"/>
        <w:ind w:left="720" w:hanging="720"/>
        <w:jc w:val="both"/>
        <w:rPr>
          <w:rFonts w:ascii="Arial" w:hAnsi="Arial" w:cs="Arial"/>
          <w:color w:val="222222"/>
          <w:sz w:val="22"/>
          <w:szCs w:val="22"/>
          <w:shd w:val="clear" w:color="auto" w:fill="FFFFFF"/>
        </w:rPr>
      </w:pPr>
      <w:r w:rsidRPr="001A07CF">
        <w:rPr>
          <w:rFonts w:ascii="Arial" w:hAnsi="Arial" w:cs="Arial"/>
          <w:color w:val="222222"/>
          <w:sz w:val="22"/>
          <w:szCs w:val="22"/>
          <w:shd w:val="clear" w:color="auto" w:fill="FFFFFF"/>
        </w:rPr>
        <w:t xml:space="preserve">NHS England (2023). Telemedicine: A key solution to rural healthcare challenges. Available at: </w:t>
      </w:r>
      <w:hyperlink r:id="rId15" w:history="1">
        <w:r w:rsidRPr="001A07CF">
          <w:rPr>
            <w:rStyle w:val="Hyperlink"/>
            <w:rFonts w:ascii="Arial" w:hAnsi="Arial" w:cs="Arial"/>
            <w:sz w:val="22"/>
            <w:szCs w:val="22"/>
            <w:shd w:val="clear" w:color="auto" w:fill="FFFFFF"/>
          </w:rPr>
          <w:t>https://digital-transformation.hee.nhs.uk/blogs/telemedicine-a-key-solution-to-rural-healthcare-challenges</w:t>
        </w:r>
      </w:hyperlink>
      <w:r w:rsidRPr="001A07CF">
        <w:rPr>
          <w:rFonts w:ascii="Arial" w:hAnsi="Arial" w:cs="Arial"/>
          <w:color w:val="222222"/>
          <w:sz w:val="22"/>
          <w:szCs w:val="22"/>
          <w:shd w:val="clear" w:color="auto" w:fill="FFFFFF"/>
        </w:rPr>
        <w:t xml:space="preserve"> (Accessed 20 June 2026)</w:t>
      </w:r>
    </w:p>
    <w:p w14:paraId="35D23CCF" w14:textId="77777777" w:rsidR="001A07CF" w:rsidRPr="001A07CF" w:rsidRDefault="001A07CF" w:rsidP="001A07CF">
      <w:pPr>
        <w:spacing w:line="360" w:lineRule="auto"/>
        <w:ind w:left="720" w:hanging="720"/>
        <w:jc w:val="both"/>
        <w:rPr>
          <w:rFonts w:ascii="Arial" w:hAnsi="Arial" w:cs="Arial"/>
          <w:color w:val="222222"/>
          <w:sz w:val="22"/>
          <w:szCs w:val="22"/>
          <w:shd w:val="clear" w:color="auto" w:fill="FFFFFF"/>
        </w:rPr>
      </w:pPr>
      <w:r w:rsidRPr="001A07CF">
        <w:rPr>
          <w:rFonts w:ascii="Arial" w:hAnsi="Arial" w:cs="Arial"/>
          <w:color w:val="222222"/>
          <w:sz w:val="22"/>
          <w:szCs w:val="22"/>
          <w:shd w:val="clear" w:color="auto" w:fill="FFFFFF"/>
        </w:rPr>
        <w:t>Odeh, A., Abdelfattah, E. and Salameh, W., 2024. ‘Privacy-preserving data sharing in telehealth services.’ </w:t>
      </w:r>
      <w:r w:rsidRPr="001A07CF">
        <w:rPr>
          <w:rFonts w:ascii="Arial" w:hAnsi="Arial" w:cs="Arial"/>
          <w:i/>
          <w:iCs/>
          <w:color w:val="222222"/>
          <w:sz w:val="22"/>
          <w:szCs w:val="22"/>
          <w:shd w:val="clear" w:color="auto" w:fill="FFFFFF"/>
        </w:rPr>
        <w:t>Applied Sciences</w:t>
      </w:r>
      <w:r w:rsidRPr="001A07CF">
        <w:rPr>
          <w:rFonts w:ascii="Arial" w:hAnsi="Arial" w:cs="Arial"/>
          <w:color w:val="222222"/>
          <w:sz w:val="22"/>
          <w:szCs w:val="22"/>
          <w:shd w:val="clear" w:color="auto" w:fill="FFFFFF"/>
        </w:rPr>
        <w:t>, </w:t>
      </w:r>
      <w:r w:rsidRPr="001A07CF">
        <w:rPr>
          <w:rFonts w:ascii="Arial" w:hAnsi="Arial" w:cs="Arial"/>
          <w:i/>
          <w:iCs/>
          <w:color w:val="222222"/>
          <w:sz w:val="22"/>
          <w:szCs w:val="22"/>
          <w:shd w:val="clear" w:color="auto" w:fill="FFFFFF"/>
        </w:rPr>
        <w:t>14</w:t>
      </w:r>
      <w:r w:rsidRPr="001A07CF">
        <w:rPr>
          <w:rFonts w:ascii="Arial" w:hAnsi="Arial" w:cs="Arial"/>
          <w:color w:val="222222"/>
          <w:sz w:val="22"/>
          <w:szCs w:val="22"/>
          <w:shd w:val="clear" w:color="auto" w:fill="FFFFFF"/>
        </w:rPr>
        <w:t xml:space="preserve">(23), p.10808. </w:t>
      </w:r>
      <w:hyperlink r:id="rId16" w:history="1">
        <w:r w:rsidRPr="001A07CF">
          <w:rPr>
            <w:rStyle w:val="Hyperlink"/>
            <w:rFonts w:ascii="Arial" w:hAnsi="Arial" w:cs="Arial"/>
            <w:sz w:val="22"/>
            <w:szCs w:val="22"/>
            <w:shd w:val="clear" w:color="auto" w:fill="FFFFFF"/>
          </w:rPr>
          <w:t>https://doi.org/10.3390/app142310808</w:t>
        </w:r>
      </w:hyperlink>
      <w:r w:rsidRPr="001A07CF">
        <w:rPr>
          <w:rFonts w:ascii="Arial" w:hAnsi="Arial" w:cs="Arial"/>
          <w:color w:val="222222"/>
          <w:sz w:val="22"/>
          <w:szCs w:val="22"/>
          <w:shd w:val="clear" w:color="auto" w:fill="FFFFFF"/>
        </w:rPr>
        <w:t xml:space="preserve"> </w:t>
      </w:r>
    </w:p>
    <w:p w14:paraId="5D739349" w14:textId="231EFA08" w:rsidR="001A07CF" w:rsidRPr="001A07CF" w:rsidRDefault="001A07CF" w:rsidP="001A07CF">
      <w:pPr>
        <w:spacing w:line="360" w:lineRule="auto"/>
        <w:ind w:left="720" w:hanging="720"/>
        <w:jc w:val="both"/>
        <w:rPr>
          <w:rFonts w:ascii="Arial" w:eastAsia="Aptos" w:hAnsi="Arial" w:cs="Arial"/>
          <w:sz w:val="22"/>
          <w:szCs w:val="22"/>
        </w:rPr>
      </w:pPr>
      <w:r w:rsidRPr="001A07CF">
        <w:rPr>
          <w:rFonts w:ascii="Arial" w:eastAsia="Aptos" w:hAnsi="Arial" w:cs="Arial"/>
          <w:color w:val="222222"/>
          <w:sz w:val="22"/>
          <w:szCs w:val="22"/>
          <w:shd w:val="clear" w:color="auto" w:fill="FFFFFF"/>
          <w:lang w:val="en-US"/>
        </w:rPr>
        <w:t xml:space="preserve">Sharma, A., Pruthi, M. and Sageena, G. (2022). ‘Adoption of telehealth technologies: an approach to improving </w:t>
      </w:r>
      <w:r w:rsidR="00C939A3">
        <w:rPr>
          <w:rFonts w:ascii="Arial" w:eastAsia="Aptos" w:hAnsi="Arial" w:cs="Arial"/>
          <w:color w:val="222222"/>
          <w:sz w:val="22"/>
          <w:szCs w:val="22"/>
          <w:shd w:val="clear" w:color="auto" w:fill="FFFFFF"/>
          <w:lang w:val="en-US"/>
        </w:rPr>
        <w:t xml:space="preserve">the </w:t>
      </w:r>
      <w:r w:rsidRPr="001A07CF">
        <w:rPr>
          <w:rFonts w:ascii="Arial" w:eastAsia="Aptos" w:hAnsi="Arial" w:cs="Arial"/>
          <w:color w:val="222222"/>
          <w:sz w:val="22"/>
          <w:szCs w:val="22"/>
          <w:shd w:val="clear" w:color="auto" w:fill="FFFFFF"/>
          <w:lang w:val="en-US"/>
        </w:rPr>
        <w:t>healthcare system.’ </w:t>
      </w:r>
      <w:r w:rsidRPr="001A07CF">
        <w:rPr>
          <w:rFonts w:ascii="Arial" w:eastAsia="Aptos" w:hAnsi="Arial" w:cs="Arial"/>
          <w:i/>
          <w:iCs/>
          <w:color w:val="222222"/>
          <w:sz w:val="22"/>
          <w:szCs w:val="22"/>
          <w:shd w:val="clear" w:color="auto" w:fill="FFFFFF"/>
          <w:lang w:val="en-US"/>
        </w:rPr>
        <w:t>Translational medicine communications</w:t>
      </w:r>
      <w:r w:rsidRPr="001A07CF">
        <w:rPr>
          <w:rFonts w:ascii="Arial" w:eastAsia="Aptos" w:hAnsi="Arial" w:cs="Arial"/>
          <w:color w:val="222222"/>
          <w:sz w:val="22"/>
          <w:szCs w:val="22"/>
          <w:shd w:val="clear" w:color="auto" w:fill="FFFFFF"/>
          <w:lang w:val="en-US"/>
        </w:rPr>
        <w:t>, </w:t>
      </w:r>
      <w:r w:rsidRPr="001A07CF">
        <w:rPr>
          <w:rFonts w:ascii="Arial" w:eastAsia="Aptos" w:hAnsi="Arial" w:cs="Arial"/>
          <w:i/>
          <w:iCs/>
          <w:color w:val="222222"/>
          <w:sz w:val="22"/>
          <w:szCs w:val="22"/>
          <w:shd w:val="clear" w:color="auto" w:fill="FFFFFF"/>
          <w:lang w:val="en-US"/>
        </w:rPr>
        <w:t>7</w:t>
      </w:r>
      <w:r w:rsidRPr="001A07CF">
        <w:rPr>
          <w:rFonts w:ascii="Arial" w:eastAsia="Aptos" w:hAnsi="Arial" w:cs="Arial"/>
          <w:color w:val="222222"/>
          <w:sz w:val="22"/>
          <w:szCs w:val="22"/>
          <w:shd w:val="clear" w:color="auto" w:fill="FFFFFF"/>
          <w:lang w:val="en-US"/>
        </w:rPr>
        <w:t xml:space="preserve">(1), p.20. </w:t>
      </w:r>
      <w:hyperlink r:id="rId17" w:history="1">
        <w:r w:rsidRPr="001A07CF">
          <w:rPr>
            <w:rFonts w:ascii="Arial" w:eastAsia="Aptos" w:hAnsi="Arial" w:cs="Arial"/>
            <w:color w:val="0000FF"/>
            <w:sz w:val="22"/>
            <w:szCs w:val="22"/>
            <w:u w:val="single"/>
            <w:shd w:val="clear" w:color="auto" w:fill="FFFFFF"/>
            <w:lang w:val="en-US"/>
          </w:rPr>
          <w:t>https://doi.org/10.1186/s41231-022-00125-5</w:t>
        </w:r>
      </w:hyperlink>
    </w:p>
    <w:p w14:paraId="35E6394D" w14:textId="77777777" w:rsidR="001A07CF" w:rsidRPr="001A07CF" w:rsidRDefault="001A07CF" w:rsidP="001A07CF">
      <w:pPr>
        <w:spacing w:line="360" w:lineRule="auto"/>
        <w:ind w:left="720" w:hanging="720"/>
        <w:jc w:val="both"/>
        <w:rPr>
          <w:rFonts w:ascii="Arial" w:eastAsia="Aptos" w:hAnsi="Arial" w:cs="Arial"/>
          <w:sz w:val="22"/>
          <w:szCs w:val="22"/>
          <w:lang w:val="en-US"/>
        </w:rPr>
      </w:pPr>
      <w:r w:rsidRPr="001A07CF">
        <w:rPr>
          <w:rFonts w:ascii="Arial" w:hAnsi="Arial" w:cs="Arial"/>
          <w:color w:val="222222"/>
          <w:sz w:val="22"/>
          <w:szCs w:val="22"/>
          <w:shd w:val="clear" w:color="auto" w:fill="FFFFFF"/>
        </w:rPr>
        <w:t>Soliman, M., Abdelziz, O., Radwan, A., Shehata, M.S., Ronquillo, C. and Shearer, K., 2026. ‘Secondary use of health data: applications, models, algorithms, and ethical considerations.’ </w:t>
      </w:r>
      <w:r w:rsidRPr="001A07CF">
        <w:rPr>
          <w:rFonts w:ascii="Arial" w:hAnsi="Arial" w:cs="Arial"/>
          <w:i/>
          <w:iCs/>
          <w:color w:val="222222"/>
          <w:sz w:val="22"/>
          <w:szCs w:val="22"/>
          <w:shd w:val="clear" w:color="auto" w:fill="FFFFFF"/>
        </w:rPr>
        <w:t>AI and Ethics</w:t>
      </w:r>
      <w:r w:rsidRPr="001A07CF">
        <w:rPr>
          <w:rFonts w:ascii="Arial" w:hAnsi="Arial" w:cs="Arial"/>
          <w:color w:val="222222"/>
          <w:sz w:val="22"/>
          <w:szCs w:val="22"/>
          <w:shd w:val="clear" w:color="auto" w:fill="FFFFFF"/>
        </w:rPr>
        <w:t>, </w:t>
      </w:r>
      <w:r w:rsidRPr="001A07CF">
        <w:rPr>
          <w:rFonts w:ascii="Arial" w:hAnsi="Arial" w:cs="Arial"/>
          <w:i/>
          <w:iCs/>
          <w:color w:val="222222"/>
          <w:sz w:val="22"/>
          <w:szCs w:val="22"/>
          <w:shd w:val="clear" w:color="auto" w:fill="FFFFFF"/>
        </w:rPr>
        <w:t>6</w:t>
      </w:r>
      <w:r w:rsidRPr="001A07CF">
        <w:rPr>
          <w:rFonts w:ascii="Arial" w:hAnsi="Arial" w:cs="Arial"/>
          <w:color w:val="222222"/>
          <w:sz w:val="22"/>
          <w:szCs w:val="22"/>
          <w:shd w:val="clear" w:color="auto" w:fill="FFFFFF"/>
        </w:rPr>
        <w:t xml:space="preserve">(2), p.165. </w:t>
      </w:r>
      <w:hyperlink r:id="rId18" w:history="1">
        <w:r w:rsidRPr="001A07CF">
          <w:rPr>
            <w:rStyle w:val="Hyperlink"/>
            <w:rFonts w:ascii="Arial" w:hAnsi="Arial" w:cs="Arial"/>
            <w:sz w:val="22"/>
            <w:szCs w:val="22"/>
            <w:shd w:val="clear" w:color="auto" w:fill="FFFFFF"/>
          </w:rPr>
          <w:t>https://doi.org/10.1007/s43681-026-01017-2</w:t>
        </w:r>
      </w:hyperlink>
      <w:r w:rsidRPr="001A07CF">
        <w:rPr>
          <w:rFonts w:ascii="Arial" w:hAnsi="Arial" w:cs="Arial"/>
          <w:color w:val="222222"/>
          <w:sz w:val="22"/>
          <w:szCs w:val="22"/>
          <w:shd w:val="clear" w:color="auto" w:fill="FFFFFF"/>
        </w:rPr>
        <w:t xml:space="preserve"> </w:t>
      </w:r>
    </w:p>
    <w:p w14:paraId="5C311A62" w14:textId="77777777" w:rsidR="001A07CF" w:rsidRPr="001A07CF" w:rsidRDefault="001A07CF" w:rsidP="001A07CF">
      <w:pPr>
        <w:spacing w:line="360" w:lineRule="auto"/>
        <w:ind w:left="720" w:hanging="720"/>
        <w:jc w:val="both"/>
        <w:rPr>
          <w:rFonts w:ascii="Arial" w:eastAsia="Aptos" w:hAnsi="Arial" w:cs="Arial"/>
          <w:color w:val="222222"/>
          <w:sz w:val="22"/>
          <w:szCs w:val="22"/>
          <w:shd w:val="clear" w:color="auto" w:fill="FFFFFF"/>
          <w:lang w:val="en-US"/>
        </w:rPr>
      </w:pPr>
      <w:r w:rsidRPr="001A07CF">
        <w:rPr>
          <w:rFonts w:ascii="Arial" w:eastAsia="Aptos" w:hAnsi="Arial" w:cs="Arial"/>
          <w:color w:val="222222"/>
          <w:sz w:val="22"/>
          <w:szCs w:val="22"/>
          <w:shd w:val="clear" w:color="auto" w:fill="FFFFFF"/>
          <w:lang w:val="en-US"/>
        </w:rPr>
        <w:t xml:space="preserve">Tukur, M., Saad, G., </w:t>
      </w:r>
      <w:proofErr w:type="spellStart"/>
      <w:r w:rsidRPr="001A07CF">
        <w:rPr>
          <w:rFonts w:ascii="Arial" w:eastAsia="Aptos" w:hAnsi="Arial" w:cs="Arial"/>
          <w:color w:val="222222"/>
          <w:sz w:val="22"/>
          <w:szCs w:val="22"/>
          <w:shd w:val="clear" w:color="auto" w:fill="FFFFFF"/>
          <w:lang w:val="en-US"/>
        </w:rPr>
        <w:t>AlShagathrh</w:t>
      </w:r>
      <w:proofErr w:type="spellEnd"/>
      <w:r w:rsidRPr="001A07CF">
        <w:rPr>
          <w:rFonts w:ascii="Arial" w:eastAsia="Aptos" w:hAnsi="Arial" w:cs="Arial"/>
          <w:color w:val="222222"/>
          <w:sz w:val="22"/>
          <w:szCs w:val="22"/>
          <w:shd w:val="clear" w:color="auto" w:fill="FFFFFF"/>
          <w:lang w:val="en-US"/>
        </w:rPr>
        <w:t xml:space="preserve">, F.M., </w:t>
      </w:r>
      <w:proofErr w:type="spellStart"/>
      <w:r w:rsidRPr="001A07CF">
        <w:rPr>
          <w:rFonts w:ascii="Arial" w:eastAsia="Aptos" w:hAnsi="Arial" w:cs="Arial"/>
          <w:color w:val="222222"/>
          <w:sz w:val="22"/>
          <w:szCs w:val="22"/>
          <w:shd w:val="clear" w:color="auto" w:fill="FFFFFF"/>
          <w:lang w:val="en-US"/>
        </w:rPr>
        <w:t>Househ</w:t>
      </w:r>
      <w:proofErr w:type="spellEnd"/>
      <w:r w:rsidRPr="001A07CF">
        <w:rPr>
          <w:rFonts w:ascii="Arial" w:eastAsia="Aptos" w:hAnsi="Arial" w:cs="Arial"/>
          <w:color w:val="222222"/>
          <w:sz w:val="22"/>
          <w:szCs w:val="22"/>
          <w:shd w:val="clear" w:color="auto" w:fill="FFFFFF"/>
          <w:lang w:val="en-US"/>
        </w:rPr>
        <w:t>, M. and Agus, M., 2023. ‘Telehealth interventions during COVID-19 pandemic: a scoping review of applications, challenges, privacy and security issues.’ </w:t>
      </w:r>
      <w:r w:rsidRPr="001A07CF">
        <w:rPr>
          <w:rFonts w:ascii="Arial" w:eastAsia="Aptos" w:hAnsi="Arial" w:cs="Arial"/>
          <w:i/>
          <w:iCs/>
          <w:color w:val="222222"/>
          <w:sz w:val="22"/>
          <w:szCs w:val="22"/>
          <w:shd w:val="clear" w:color="auto" w:fill="FFFFFF"/>
          <w:lang w:val="en-US"/>
        </w:rPr>
        <w:t>BMJ Health &amp; Care Informatics</w:t>
      </w:r>
      <w:r w:rsidRPr="001A07CF">
        <w:rPr>
          <w:rFonts w:ascii="Arial" w:eastAsia="Aptos" w:hAnsi="Arial" w:cs="Arial"/>
          <w:color w:val="222222"/>
          <w:sz w:val="22"/>
          <w:szCs w:val="22"/>
          <w:shd w:val="clear" w:color="auto" w:fill="FFFFFF"/>
          <w:lang w:val="en-US"/>
        </w:rPr>
        <w:t>, </w:t>
      </w:r>
      <w:r w:rsidRPr="001A07CF">
        <w:rPr>
          <w:rFonts w:ascii="Arial" w:eastAsia="Aptos" w:hAnsi="Arial" w:cs="Arial"/>
          <w:i/>
          <w:iCs/>
          <w:color w:val="222222"/>
          <w:sz w:val="22"/>
          <w:szCs w:val="22"/>
          <w:shd w:val="clear" w:color="auto" w:fill="FFFFFF"/>
          <w:lang w:val="en-US"/>
        </w:rPr>
        <w:t>30</w:t>
      </w:r>
      <w:r w:rsidRPr="001A07CF">
        <w:rPr>
          <w:rFonts w:ascii="Arial" w:eastAsia="Aptos" w:hAnsi="Arial" w:cs="Arial"/>
          <w:color w:val="222222"/>
          <w:sz w:val="22"/>
          <w:szCs w:val="22"/>
          <w:shd w:val="clear" w:color="auto" w:fill="FFFFFF"/>
          <w:lang w:val="en-US"/>
        </w:rPr>
        <w:t xml:space="preserve">(1), p.e100676. </w:t>
      </w:r>
      <w:hyperlink r:id="rId19" w:history="1">
        <w:r w:rsidRPr="001A07CF">
          <w:rPr>
            <w:rFonts w:ascii="Arial" w:eastAsia="Aptos" w:hAnsi="Arial" w:cs="Arial"/>
            <w:color w:val="0000FF"/>
            <w:sz w:val="22"/>
            <w:szCs w:val="22"/>
            <w:u w:val="single"/>
            <w:shd w:val="clear" w:color="auto" w:fill="FFFFFF"/>
            <w:lang w:val="en-US"/>
          </w:rPr>
          <w:t>https://doi.org/10.1136/bmjhci-2022-100676</w:t>
        </w:r>
      </w:hyperlink>
      <w:r w:rsidRPr="001A07CF">
        <w:rPr>
          <w:rFonts w:ascii="Arial" w:eastAsia="Aptos" w:hAnsi="Arial" w:cs="Arial"/>
          <w:color w:val="222222"/>
          <w:sz w:val="22"/>
          <w:szCs w:val="22"/>
          <w:shd w:val="clear" w:color="auto" w:fill="FFFFFF"/>
          <w:lang w:val="en-US"/>
        </w:rPr>
        <w:t xml:space="preserve"> </w:t>
      </w:r>
    </w:p>
    <w:p w14:paraId="62CE1284" w14:textId="77777777" w:rsidR="001A07CF" w:rsidRPr="001A07CF" w:rsidRDefault="001A07CF" w:rsidP="001A07CF">
      <w:pPr>
        <w:spacing w:line="360" w:lineRule="auto"/>
        <w:ind w:left="720" w:hanging="720"/>
        <w:jc w:val="both"/>
        <w:rPr>
          <w:rFonts w:ascii="Arial" w:hAnsi="Arial" w:cs="Arial"/>
          <w:color w:val="222222"/>
          <w:sz w:val="22"/>
          <w:szCs w:val="22"/>
          <w:shd w:val="clear" w:color="auto" w:fill="FFFFFF"/>
        </w:rPr>
      </w:pPr>
      <w:r w:rsidRPr="001A07CF">
        <w:rPr>
          <w:rFonts w:ascii="Arial" w:hAnsi="Arial" w:cs="Arial"/>
          <w:color w:val="222222"/>
          <w:sz w:val="22"/>
          <w:szCs w:val="22"/>
          <w:shd w:val="clear" w:color="auto" w:fill="FFFFFF"/>
        </w:rPr>
        <w:t>Turner, A., Morris, R., Rakhra, D., Stevenson, F., McDonagh, L., Hamilton, F., Atherton, H., Farr, M., Blake, S., Banks, J. and Lasseter, G., 2021. ‘Unintended consequences of online consultations: a qualitative study in UK primary care.’ </w:t>
      </w:r>
      <w:r w:rsidRPr="001A07CF">
        <w:rPr>
          <w:rFonts w:ascii="Arial" w:hAnsi="Arial" w:cs="Arial"/>
          <w:i/>
          <w:iCs/>
          <w:color w:val="222222"/>
          <w:sz w:val="22"/>
          <w:szCs w:val="22"/>
          <w:shd w:val="clear" w:color="auto" w:fill="FFFFFF"/>
        </w:rPr>
        <w:t>British Journal of General Practice</w:t>
      </w:r>
      <w:r w:rsidRPr="001A07CF">
        <w:rPr>
          <w:rFonts w:ascii="Arial" w:hAnsi="Arial" w:cs="Arial"/>
          <w:color w:val="222222"/>
          <w:sz w:val="22"/>
          <w:szCs w:val="22"/>
          <w:shd w:val="clear" w:color="auto" w:fill="FFFFFF"/>
        </w:rPr>
        <w:t xml:space="preserve">. </w:t>
      </w:r>
      <w:hyperlink r:id="rId20" w:history="1">
        <w:r w:rsidRPr="001A07CF">
          <w:rPr>
            <w:rStyle w:val="Hyperlink"/>
            <w:rFonts w:ascii="Arial" w:hAnsi="Arial" w:cs="Arial"/>
            <w:sz w:val="22"/>
            <w:szCs w:val="22"/>
            <w:shd w:val="clear" w:color="auto" w:fill="FFFFFF"/>
          </w:rPr>
          <w:t>https://doi.org/10.3399/BJGP.2021.0426</w:t>
        </w:r>
      </w:hyperlink>
      <w:r w:rsidRPr="001A07CF">
        <w:rPr>
          <w:rFonts w:ascii="Arial" w:hAnsi="Arial" w:cs="Arial"/>
          <w:color w:val="222222"/>
          <w:sz w:val="22"/>
          <w:szCs w:val="22"/>
          <w:shd w:val="clear" w:color="auto" w:fill="FFFFFF"/>
        </w:rPr>
        <w:t xml:space="preserve"> </w:t>
      </w:r>
    </w:p>
    <w:p w14:paraId="16A947E5" w14:textId="77777777" w:rsidR="001A07CF" w:rsidRPr="001A07CF" w:rsidRDefault="001A07CF" w:rsidP="001A07CF">
      <w:pPr>
        <w:spacing w:line="360" w:lineRule="auto"/>
        <w:ind w:left="720" w:hanging="720"/>
        <w:jc w:val="both"/>
        <w:rPr>
          <w:rFonts w:ascii="Arial" w:hAnsi="Arial" w:cs="Arial"/>
          <w:sz w:val="22"/>
          <w:szCs w:val="22"/>
          <w:lang w:val="en-US"/>
        </w:rPr>
      </w:pPr>
      <w:r w:rsidRPr="001A07CF">
        <w:rPr>
          <w:rFonts w:ascii="Arial" w:hAnsi="Arial" w:cs="Arial"/>
          <w:sz w:val="22"/>
          <w:szCs w:val="22"/>
          <w:lang w:val="en-US"/>
        </w:rPr>
        <w:t xml:space="preserve">World Health </w:t>
      </w:r>
      <w:proofErr w:type="spellStart"/>
      <w:r w:rsidRPr="001A07CF">
        <w:rPr>
          <w:rFonts w:ascii="Arial" w:hAnsi="Arial" w:cs="Arial"/>
          <w:sz w:val="22"/>
          <w:szCs w:val="22"/>
          <w:lang w:val="en-US"/>
        </w:rPr>
        <w:t>Organisation</w:t>
      </w:r>
      <w:proofErr w:type="spellEnd"/>
      <w:r w:rsidRPr="001A07CF">
        <w:rPr>
          <w:rFonts w:ascii="Arial" w:hAnsi="Arial" w:cs="Arial"/>
          <w:sz w:val="22"/>
          <w:szCs w:val="22"/>
          <w:lang w:val="en-US"/>
        </w:rPr>
        <w:t xml:space="preserve"> (2021). Global strategy on digital health 2020-2025. Available at: </w:t>
      </w:r>
      <w:hyperlink r:id="rId21" w:history="1">
        <w:r w:rsidRPr="001A07CF">
          <w:rPr>
            <w:rStyle w:val="Hyperlink"/>
            <w:rFonts w:ascii="Arial" w:hAnsi="Arial" w:cs="Arial"/>
            <w:sz w:val="22"/>
            <w:szCs w:val="22"/>
            <w:lang w:val="en-US"/>
          </w:rPr>
          <w:t>https://www.who.int/publications/i/item/9789240020924</w:t>
        </w:r>
      </w:hyperlink>
      <w:r w:rsidRPr="001A07CF">
        <w:rPr>
          <w:rFonts w:ascii="Arial" w:hAnsi="Arial" w:cs="Arial"/>
          <w:sz w:val="22"/>
          <w:szCs w:val="22"/>
          <w:lang w:val="en-US"/>
        </w:rPr>
        <w:t xml:space="preserve"> (Accessed 20 June 2026)</w:t>
      </w:r>
    </w:p>
    <w:p w14:paraId="7737CBEB" w14:textId="77777777" w:rsidR="001A07CF" w:rsidRPr="001A07CF" w:rsidRDefault="001A07CF" w:rsidP="001A07CF">
      <w:pPr>
        <w:spacing w:line="360" w:lineRule="auto"/>
        <w:ind w:left="720" w:hanging="720"/>
        <w:jc w:val="both"/>
        <w:rPr>
          <w:rFonts w:ascii="Arial" w:hAnsi="Arial" w:cs="Arial"/>
          <w:sz w:val="22"/>
          <w:szCs w:val="22"/>
        </w:rPr>
      </w:pPr>
    </w:p>
    <w:p w14:paraId="508CB84B" w14:textId="77777777" w:rsidR="00CE54AB" w:rsidRPr="001A07CF" w:rsidRDefault="00CE54AB">
      <w:pPr>
        <w:rPr>
          <w:rFonts w:ascii="Arial" w:hAnsi="Arial" w:cs="Arial"/>
          <w:sz w:val="22"/>
          <w:szCs w:val="22"/>
        </w:rPr>
      </w:pPr>
    </w:p>
    <w:sectPr w:rsidR="00CE54AB" w:rsidRPr="001A07CF" w:rsidSect="001A07CF">
      <w:headerReference w:type="default" r:id="rId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4214490"/>
      <w:docPartObj>
        <w:docPartGallery w:val="Page Numbers (Top of Page)"/>
        <w:docPartUnique/>
      </w:docPartObj>
    </w:sdtPr>
    <w:sdtEndPr>
      <w:rPr>
        <w:noProof/>
      </w:rPr>
    </w:sdtEndPr>
    <w:sdtContent>
      <w:p w14:paraId="3296EB43" w14:textId="77777777" w:rsidR="001A07CF" w:rsidRDefault="001A07CF">
        <w:pPr>
          <w:pStyle w:val="Header"/>
          <w:jc w:val="right"/>
        </w:pPr>
        <w:r>
          <w:t xml:space="preserve">Telehealth in Primary Care     </w:t>
        </w:r>
        <w:r>
          <w:fldChar w:fldCharType="begin"/>
        </w:r>
        <w:r>
          <w:instrText xml:space="preserve"> PAGE   \* MERGEFORMAT </w:instrText>
        </w:r>
        <w:r>
          <w:fldChar w:fldCharType="separate"/>
        </w:r>
        <w:r>
          <w:rPr>
            <w:noProof/>
          </w:rPr>
          <w:t>2</w:t>
        </w:r>
        <w:r>
          <w:rPr>
            <w:noProof/>
          </w:rPr>
          <w:fldChar w:fldCharType="end"/>
        </w:r>
      </w:p>
    </w:sdtContent>
  </w:sdt>
  <w:p w14:paraId="62CC2A9A" w14:textId="77777777" w:rsidR="001A07CF" w:rsidRDefault="001A07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41B37"/>
    <w:multiLevelType w:val="hybridMultilevel"/>
    <w:tmpl w:val="CD02613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219F1454"/>
    <w:multiLevelType w:val="hybridMultilevel"/>
    <w:tmpl w:val="1CCC3EC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31BC3A9A"/>
    <w:multiLevelType w:val="hybridMultilevel"/>
    <w:tmpl w:val="C4A0AC7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35FA052E"/>
    <w:multiLevelType w:val="hybridMultilevel"/>
    <w:tmpl w:val="B2BC633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71981AA7"/>
    <w:multiLevelType w:val="hybridMultilevel"/>
    <w:tmpl w:val="6E94A55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567153637">
    <w:abstractNumId w:val="4"/>
  </w:num>
  <w:num w:numId="2" w16cid:durableId="1612274343">
    <w:abstractNumId w:val="0"/>
  </w:num>
  <w:num w:numId="3" w16cid:durableId="1723089411">
    <w:abstractNumId w:val="2"/>
  </w:num>
  <w:num w:numId="4" w16cid:durableId="1756897542">
    <w:abstractNumId w:val="1"/>
  </w:num>
  <w:num w:numId="5" w16cid:durableId="17771665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7CF"/>
    <w:rsid w:val="0014295F"/>
    <w:rsid w:val="001459F9"/>
    <w:rsid w:val="001A07CF"/>
    <w:rsid w:val="00215AC5"/>
    <w:rsid w:val="00285963"/>
    <w:rsid w:val="003B4319"/>
    <w:rsid w:val="00423834"/>
    <w:rsid w:val="005B63B0"/>
    <w:rsid w:val="005E5C9F"/>
    <w:rsid w:val="00651B69"/>
    <w:rsid w:val="0067183B"/>
    <w:rsid w:val="00693263"/>
    <w:rsid w:val="006E3F8A"/>
    <w:rsid w:val="006E72C4"/>
    <w:rsid w:val="00723414"/>
    <w:rsid w:val="007F00FE"/>
    <w:rsid w:val="00832C99"/>
    <w:rsid w:val="00944414"/>
    <w:rsid w:val="00AB5345"/>
    <w:rsid w:val="00B50ED9"/>
    <w:rsid w:val="00BF3B76"/>
    <w:rsid w:val="00C939A3"/>
    <w:rsid w:val="00CD6E84"/>
    <w:rsid w:val="00CE54AB"/>
    <w:rsid w:val="00D16ECD"/>
    <w:rsid w:val="00DE5EEE"/>
    <w:rsid w:val="00ED3E89"/>
    <w:rsid w:val="00F77B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3DCC7"/>
  <w15:chartTrackingRefBased/>
  <w15:docId w15:val="{2185C48E-372E-4841-82F6-E8B24811E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7CF"/>
    <w:pPr>
      <w:spacing w:line="480" w:lineRule="auto"/>
    </w:pPr>
    <w:rPr>
      <w:rFonts w:ascii="Times New Roman" w:hAnsi="Times New Roman"/>
    </w:rPr>
  </w:style>
  <w:style w:type="paragraph" w:styleId="Heading1">
    <w:name w:val="heading 1"/>
    <w:basedOn w:val="Normal"/>
    <w:next w:val="Normal"/>
    <w:link w:val="Heading1Char"/>
    <w:uiPriority w:val="9"/>
    <w:qFormat/>
    <w:rsid w:val="001A07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A07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A07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07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A07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A07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07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07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07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07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A07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A07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07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A07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A07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07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07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07CF"/>
    <w:rPr>
      <w:rFonts w:eastAsiaTheme="majorEastAsia" w:cstheme="majorBidi"/>
      <w:color w:val="272727" w:themeColor="text1" w:themeTint="D8"/>
    </w:rPr>
  </w:style>
  <w:style w:type="paragraph" w:styleId="Title">
    <w:name w:val="Title"/>
    <w:basedOn w:val="Normal"/>
    <w:next w:val="Normal"/>
    <w:link w:val="TitleChar"/>
    <w:uiPriority w:val="10"/>
    <w:qFormat/>
    <w:rsid w:val="001A07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07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07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07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07CF"/>
    <w:pPr>
      <w:spacing w:before="160"/>
      <w:jc w:val="center"/>
    </w:pPr>
    <w:rPr>
      <w:i/>
      <w:iCs/>
      <w:color w:val="404040" w:themeColor="text1" w:themeTint="BF"/>
    </w:rPr>
  </w:style>
  <w:style w:type="character" w:customStyle="1" w:styleId="QuoteChar">
    <w:name w:val="Quote Char"/>
    <w:basedOn w:val="DefaultParagraphFont"/>
    <w:link w:val="Quote"/>
    <w:uiPriority w:val="29"/>
    <w:rsid w:val="001A07CF"/>
    <w:rPr>
      <w:i/>
      <w:iCs/>
      <w:color w:val="404040" w:themeColor="text1" w:themeTint="BF"/>
    </w:rPr>
  </w:style>
  <w:style w:type="paragraph" w:styleId="ListParagraph">
    <w:name w:val="List Paragraph"/>
    <w:basedOn w:val="Normal"/>
    <w:uiPriority w:val="34"/>
    <w:qFormat/>
    <w:rsid w:val="001A07CF"/>
    <w:pPr>
      <w:ind w:left="720"/>
      <w:contextualSpacing/>
    </w:pPr>
  </w:style>
  <w:style w:type="character" w:styleId="IntenseEmphasis">
    <w:name w:val="Intense Emphasis"/>
    <w:basedOn w:val="DefaultParagraphFont"/>
    <w:uiPriority w:val="21"/>
    <w:qFormat/>
    <w:rsid w:val="001A07CF"/>
    <w:rPr>
      <w:i/>
      <w:iCs/>
      <w:color w:val="0F4761" w:themeColor="accent1" w:themeShade="BF"/>
    </w:rPr>
  </w:style>
  <w:style w:type="paragraph" w:styleId="IntenseQuote">
    <w:name w:val="Intense Quote"/>
    <w:basedOn w:val="Normal"/>
    <w:next w:val="Normal"/>
    <w:link w:val="IntenseQuoteChar"/>
    <w:uiPriority w:val="30"/>
    <w:qFormat/>
    <w:rsid w:val="001A07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A07CF"/>
    <w:rPr>
      <w:i/>
      <w:iCs/>
      <w:color w:val="0F4761" w:themeColor="accent1" w:themeShade="BF"/>
    </w:rPr>
  </w:style>
  <w:style w:type="character" w:styleId="IntenseReference">
    <w:name w:val="Intense Reference"/>
    <w:basedOn w:val="DefaultParagraphFont"/>
    <w:uiPriority w:val="32"/>
    <w:qFormat/>
    <w:rsid w:val="001A07CF"/>
    <w:rPr>
      <w:b/>
      <w:bCs/>
      <w:smallCaps/>
      <w:color w:val="0F4761" w:themeColor="accent1" w:themeShade="BF"/>
      <w:spacing w:val="5"/>
    </w:rPr>
  </w:style>
  <w:style w:type="table" w:styleId="TableGrid">
    <w:name w:val="Table Grid"/>
    <w:basedOn w:val="TableNormal"/>
    <w:uiPriority w:val="39"/>
    <w:rsid w:val="001A07CF"/>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A07CF"/>
    <w:rPr>
      <w:color w:val="467886" w:themeColor="hyperlink"/>
      <w:u w:val="single"/>
    </w:rPr>
  </w:style>
  <w:style w:type="paragraph" w:styleId="Header">
    <w:name w:val="header"/>
    <w:basedOn w:val="Normal"/>
    <w:link w:val="HeaderChar"/>
    <w:uiPriority w:val="99"/>
    <w:unhideWhenUsed/>
    <w:rsid w:val="001A07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7CF"/>
    <w:rPr>
      <w:rFonts w:ascii="Times New Roman" w:hAnsi="Times New Roman"/>
    </w:rPr>
  </w:style>
  <w:style w:type="paragraph" w:styleId="TOCHeading">
    <w:name w:val="TOC Heading"/>
    <w:basedOn w:val="Heading1"/>
    <w:next w:val="Normal"/>
    <w:uiPriority w:val="39"/>
    <w:unhideWhenUsed/>
    <w:qFormat/>
    <w:rsid w:val="001A07CF"/>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1A07CF"/>
    <w:pPr>
      <w:spacing w:after="100"/>
      <w:ind w:left="240"/>
    </w:pPr>
  </w:style>
  <w:style w:type="paragraph" w:styleId="TOC1">
    <w:name w:val="toc 1"/>
    <w:basedOn w:val="Normal"/>
    <w:next w:val="Normal"/>
    <w:autoRedefine/>
    <w:uiPriority w:val="39"/>
    <w:unhideWhenUsed/>
    <w:rsid w:val="001A07CF"/>
    <w:pPr>
      <w:spacing w:after="100"/>
    </w:pPr>
  </w:style>
  <w:style w:type="paragraph" w:styleId="TOC3">
    <w:name w:val="toc 3"/>
    <w:basedOn w:val="Normal"/>
    <w:next w:val="Normal"/>
    <w:autoRedefine/>
    <w:uiPriority w:val="39"/>
    <w:unhideWhenUsed/>
    <w:rsid w:val="001A07C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nfoh.2025.01.003" TargetMode="External"/><Relationship Id="rId13" Type="http://schemas.openxmlformats.org/officeDocument/2006/relationships/hyperlink" Target="https://doi.org/10.3399/BJGP.2020.0948" TargetMode="External"/><Relationship Id="rId18" Type="http://schemas.openxmlformats.org/officeDocument/2006/relationships/hyperlink" Target="https://doi.org/10.1007/s43681-026-01017-2" TargetMode="External"/><Relationship Id="rId3" Type="http://schemas.openxmlformats.org/officeDocument/2006/relationships/settings" Target="settings.xml"/><Relationship Id="rId21" Type="http://schemas.openxmlformats.org/officeDocument/2006/relationships/hyperlink" Target="https://www.who.int/publications/i/item/9789240020924" TargetMode="External"/><Relationship Id="rId7" Type="http://schemas.openxmlformats.org/officeDocument/2006/relationships/hyperlink" Target="https://doi.org/10.1177/13591053241240383" TargetMode="External"/><Relationship Id="rId12" Type="http://schemas.openxmlformats.org/officeDocument/2006/relationships/hyperlink" Target="https://doi.org/10.1016/j.jclinepi.2025.111712" TargetMode="External"/><Relationship Id="rId17" Type="http://schemas.openxmlformats.org/officeDocument/2006/relationships/hyperlink" Target="https://doi.org/10.1186/s41231-022-00125-5" TargetMode="External"/><Relationship Id="rId2" Type="http://schemas.openxmlformats.org/officeDocument/2006/relationships/styles" Target="styles.xml"/><Relationship Id="rId16" Type="http://schemas.openxmlformats.org/officeDocument/2006/relationships/hyperlink" Target="https://doi.org/10.3390/app142310808" TargetMode="External"/><Relationship Id="rId20" Type="http://schemas.openxmlformats.org/officeDocument/2006/relationships/hyperlink" Target="https://doi.org/10.3399/BJGP.2021.0426" TargetMode="External"/><Relationship Id="rId1" Type="http://schemas.openxmlformats.org/officeDocument/2006/relationships/numbering" Target="numbering.xml"/><Relationship Id="rId6" Type="http://schemas.openxmlformats.org/officeDocument/2006/relationships/hyperlink" Target="https://doi.org/10.1177/20552076241233969" TargetMode="External"/><Relationship Id="rId11" Type="http://schemas.openxmlformats.org/officeDocument/2006/relationships/hyperlink" Target="https://doi.org/10.1093/jamiaopen/ooaf019" TargetMode="External"/><Relationship Id="rId24" Type="http://schemas.openxmlformats.org/officeDocument/2006/relationships/theme" Target="theme/theme1.xml"/><Relationship Id="rId5" Type="http://schemas.openxmlformats.org/officeDocument/2006/relationships/hyperlink" Target="https://doi.org/10.1080/19932820.2024.2301829" TargetMode="External"/><Relationship Id="rId15" Type="http://schemas.openxmlformats.org/officeDocument/2006/relationships/hyperlink" Target="https://digital-transformation.hee.nhs.uk/blogs/telemedicine-a-key-solution-to-rural-healthcare-challenges" TargetMode="External"/><Relationship Id="rId23" Type="http://schemas.openxmlformats.org/officeDocument/2006/relationships/fontTable" Target="fontTable.xml"/><Relationship Id="rId10" Type="http://schemas.openxmlformats.org/officeDocument/2006/relationships/hyperlink" Target="https://doi.org/10.3399/BJGP.2024.0308" TargetMode="External"/><Relationship Id="rId19" Type="http://schemas.openxmlformats.org/officeDocument/2006/relationships/hyperlink" Target="https://doi.org/10.1136/bmjhci-2022-100676" TargetMode="External"/><Relationship Id="rId4" Type="http://schemas.openxmlformats.org/officeDocument/2006/relationships/webSettings" Target="webSettings.xml"/><Relationship Id="rId9" Type="http://schemas.openxmlformats.org/officeDocument/2006/relationships/hyperlink" Target="https://doi.org/10.3399/BJGP.2021.0658" TargetMode="External"/><Relationship Id="rId14" Type="http://schemas.openxmlformats.org/officeDocument/2006/relationships/hyperlink" Target="https://www.england.nhs.uk/mat-transformation/matrons-handbook/digital-and-technology/"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TotalTime>
  <Pages>17</Pages>
  <Words>5322</Words>
  <Characters>30341</Characters>
  <Application>Microsoft Office Word</Application>
  <DocSecurity>0</DocSecurity>
  <Lines>252</Lines>
  <Paragraphs>71</Paragraphs>
  <ScaleCrop>false</ScaleCrop>
  <Company/>
  <LinksUpToDate>false</LinksUpToDate>
  <CharactersWithSpaces>35592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Gazala Haroon (2411422)</dc:creator>
  <cp:keywords/>
  <dc:description/>
  <cp:lastModifiedBy>Gazala Haroon (2411422)</cp:lastModifiedBy>
  <cp:revision>24</cp:revision>
  <dcterms:created xsi:type="dcterms:W3CDTF">2026-07-16T11:22:00Z</dcterms:created>
  <dcterms:modified xsi:type="dcterms:W3CDTF">2026-07-16T12:18:00Z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5d78ecda-3e4e-4749-8ef6-c7bebf54272b</vt:lpwstr>
  </property>
</Properties>
</file>