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Commentary:</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Einhard, </w:t>
      </w:r>
      <w:r w:rsidDel="00000000" w:rsidR="00000000" w:rsidRPr="00000000">
        <w:rPr>
          <w:rFonts w:ascii="Times New Roman" w:cs="Times New Roman" w:eastAsia="Times New Roman" w:hAnsi="Times New Roman"/>
          <w:i w:val="1"/>
          <w:rtl w:val="0"/>
        </w:rPr>
        <w:t xml:space="preserve">The Life of Charlemagne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translated by Samuel Epes Turner (New York: Harper &amp; Brothers, 1880)</w:t>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Extract taken from </w:t>
      </w:r>
      <w:r w:rsidDel="00000000" w:rsidR="00000000" w:rsidRPr="00000000">
        <w:rPr>
          <w:rFonts w:ascii="Times New Roman" w:cs="Times New Roman" w:eastAsia="Times New Roman" w:hAnsi="Times New Roman"/>
          <w:b w:val="1"/>
          <w:rtl w:val="0"/>
        </w:rPr>
        <w:t xml:space="preserve">20. Conspiracies against Charlemagne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line="32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t>
      </w:r>
      <w:r w:rsidDel="00000000" w:rsidR="00000000" w:rsidRPr="00000000">
        <w:rPr>
          <w:rFonts w:ascii="Times New Roman" w:cs="Times New Roman" w:eastAsia="Times New Roman" w:hAnsi="Times New Roman"/>
          <w:i w:val="1"/>
          <w:rtl w:val="0"/>
        </w:rPr>
        <w:t xml:space="preserve">By one of his </w:t>
      </w:r>
      <w:r w:rsidDel="00000000" w:rsidR="00000000" w:rsidRPr="00000000">
        <w:rPr>
          <w:rFonts w:ascii="Times New Roman" w:cs="Times New Roman" w:eastAsia="Times New Roman" w:hAnsi="Times New Roman"/>
          <w:i w:val="1"/>
          <w:rtl w:val="0"/>
        </w:rPr>
        <w:t xml:space="preserve">concubines</w:t>
      </w:r>
      <w:r w:rsidDel="00000000" w:rsidR="00000000" w:rsidRPr="00000000">
        <w:rPr>
          <w:rFonts w:ascii="Times New Roman" w:cs="Times New Roman" w:eastAsia="Times New Roman" w:hAnsi="Times New Roman"/>
          <w:i w:val="1"/>
          <w:rtl w:val="0"/>
        </w:rPr>
        <w:t xml:space="preserve"> he had a son, handsome in face, but hunchbacked, named Pepin, whom I omitted to mention in the list of his children. When Charles was at war with the Huns, and was wintering in Bavaria [792], this Pepin </w:t>
      </w:r>
      <w:r w:rsidDel="00000000" w:rsidR="00000000" w:rsidRPr="00000000">
        <w:rPr>
          <w:rFonts w:ascii="Times New Roman" w:cs="Times New Roman" w:eastAsia="Times New Roman" w:hAnsi="Times New Roman"/>
          <w:i w:val="1"/>
          <w:rtl w:val="0"/>
        </w:rPr>
        <w:t xml:space="preserve">shammed</w:t>
      </w:r>
      <w:r w:rsidDel="00000000" w:rsidR="00000000" w:rsidRPr="00000000">
        <w:rPr>
          <w:rFonts w:ascii="Times New Roman" w:cs="Times New Roman" w:eastAsia="Times New Roman" w:hAnsi="Times New Roman"/>
          <w:i w:val="1"/>
          <w:rtl w:val="0"/>
        </w:rPr>
        <w:t xml:space="preserve"> sickness, and plotted against his father in company with some of the leading Franks, who seduced him with vain promises </w:t>
      </w:r>
      <w:r w:rsidDel="00000000" w:rsidR="00000000" w:rsidRPr="00000000">
        <w:rPr>
          <w:rFonts w:ascii="Times New Roman" w:cs="Times New Roman" w:eastAsia="Times New Roman" w:hAnsi="Times New Roman"/>
          <w:i w:val="1"/>
          <w:rtl w:val="0"/>
        </w:rPr>
        <w:t xml:space="preserve">of the royal</w:t>
      </w:r>
      <w:r w:rsidDel="00000000" w:rsidR="00000000" w:rsidRPr="00000000">
        <w:rPr>
          <w:rFonts w:ascii="Times New Roman" w:cs="Times New Roman" w:eastAsia="Times New Roman" w:hAnsi="Times New Roman"/>
          <w:i w:val="1"/>
          <w:rtl w:val="0"/>
        </w:rPr>
        <w:t xml:space="preserve"> authority. When his deceit was discovered, and the conspirators were punished, his head was shaved, and </w:t>
      </w:r>
      <w:r w:rsidDel="00000000" w:rsidR="00000000" w:rsidRPr="00000000">
        <w:rPr>
          <w:rFonts w:ascii="Times New Roman" w:cs="Times New Roman" w:eastAsia="Times New Roman" w:hAnsi="Times New Roman"/>
          <w:i w:val="1"/>
          <w:rtl w:val="0"/>
        </w:rPr>
        <w:t xml:space="preserve">he was suffered</w:t>
      </w:r>
      <w:r w:rsidDel="00000000" w:rsidR="00000000" w:rsidRPr="00000000">
        <w:rPr>
          <w:rFonts w:ascii="Times New Roman" w:cs="Times New Roman" w:eastAsia="Times New Roman" w:hAnsi="Times New Roman"/>
          <w:i w:val="1"/>
          <w:rtl w:val="0"/>
        </w:rPr>
        <w:t xml:space="preserve">, in accordance with his wishes, to devote himself to a religious life in the monastery of Prüm. A formidable conspiracy against Charles had previously been set on foot in Germany, but all the traitors were banished, some of them without mutilation, others after their eyes had been put out. Three of them only lost their lives; they drew their swords and resisted arrest, and, after killing several men, were cut down, because they could not be otherwise overpowered. It is supposed that the cruelty of Queen Fastrada was the primary cause of these plots, and they were both due to Charles' apparent acquiescence in his wife's cruel conduct, and deviation from the usual kindness and gentleness of his disposition. All the rest of his life he was regarded by everyone with the utmost love and affection, so much so that not the least accusation of unjust rigour was ever made against him.” </w:t>
      </w:r>
    </w:p>
    <w:p w:rsidR="00000000" w:rsidDel="00000000" w:rsidP="00000000" w:rsidRDefault="00000000" w:rsidRPr="00000000" w14:paraId="00000009">
      <w:pPr>
        <w:spacing w:line="32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0A">
      <w:pPr>
        <w:spacing w:line="32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Traditionally, Vita Karoli Magni is considered to be the first known biography regarding the life and death of a European leader. Many have described this work as “deservedly famous as the outstanding example of secular biography in the Middle Ages.”</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 This biography in particular refers to the life of Charles the Great (Charlemagne), most famously known as t</w:t>
      </w:r>
      <w:r w:rsidDel="00000000" w:rsidR="00000000" w:rsidRPr="00000000">
        <w:rPr>
          <w:rFonts w:ascii="Times New Roman" w:cs="Times New Roman" w:eastAsia="Times New Roman" w:hAnsi="Times New Roman"/>
          <w:rtl w:val="0"/>
        </w:rPr>
        <w:t xml:space="preserve">he first recognized emperor to rule from western Europe after the fall of the Western Roman empire and was responsible for the spread of christianity throughout europe.</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Fonts w:ascii="Times New Roman" w:cs="Times New Roman" w:eastAsia="Times New Roman" w:hAnsi="Times New Roman"/>
          <w:rtl w:val="0"/>
        </w:rPr>
        <w:t xml:space="preserve"> This biography not only details Charlemagne’s life as a leader but it also gives a solid insight into his personal life. This includes that of his children, one of particular interest is his bastard son, Pepin the Hunchback. The extract in question refers to the plot against Charlemagne in the year 792. This extract reveals not only the existence of a bastard son, but also reveals Charlemagne’s true nature. In general, most examples of early biographies are typically problematic, this was poignantly demonstrated by historian, Nancy F Partner. She commented that “the histories written during much earlier centuries are fiercely biassed, unconscionably invented, and often inelegant as well; they are not expendable at all but continue to be read for a variety of historical purposes and in a variety of scholarly moods.”</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rtl w:val="0"/>
        </w:rPr>
        <w:t xml:space="preserve"> This is key to the assessment of this biography, works such as these do continue to demonstrate their unreliability, however, they have still been used as evidence throughout history. </w:t>
      </w:r>
    </w:p>
    <w:p w:rsidR="00000000" w:rsidDel="00000000" w:rsidP="00000000" w:rsidRDefault="00000000" w:rsidRPr="00000000" w14:paraId="0000000C">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hd w:fill="ffffff" w:val="clea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put this extract into context, the writer of this biography held a very important position with Charlemagne.  This biography gives a strong view into the personal life of Charlemagne, Einhard was educated in the monastery of Fulda after 779.</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In the monastery, he was known for his exceptional work, and was an intelligent academic. Einhard was then employed by Charlemagne into his court, and there he remained at this position for twenty years. Einhard worked as an important political counsellor to Charlemagne, he was given the responsibility of many of Charlemagne's abbeys and also became a close friend.</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Therefore, Einhard had intimate knowledge of his court and was able to write about his life. Einhard had a reasonable level of education and therefore it can be argued with some degree of accuracy that this biography is the best form of information that we have regarding the life of Charlemagne. </w:t>
      </w:r>
    </w:p>
    <w:p w:rsidR="00000000" w:rsidDel="00000000" w:rsidP="00000000" w:rsidRDefault="00000000" w:rsidRPr="00000000" w14:paraId="0000000E">
      <w:pPr>
        <w:shd w:fill="ffffff" w:val="clea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the content of the chosen extract of Charlemagne’s biography, the event in which Charlemagne was betrayed by his bastard son is described. Within this description, Einhard refers to Pepin as “handsome in face, but hunchbacked,” the way in which Einhard describes Pepin is indicative of the attitude towards those with disability. Typically, during the Middle Ages, the attitude towards disability, specifically, issues with the back, were believed to have been punished for sinful actions. Einhard affirms this attitude by adding that he purposely omitted Pepin from Charlemagne’s list of offspring. With this in mind, it is clear from this extract that the attitude towards Pepin was not favourable, it is no wonder that he was so easily persuaded to rebel against his father.</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tl w:val="0"/>
        </w:rPr>
      </w:r>
    </w:p>
    <w:p w:rsidR="00000000" w:rsidDel="00000000" w:rsidP="00000000" w:rsidRDefault="00000000" w:rsidRPr="00000000" w14:paraId="00000010">
      <w:pPr>
        <w:shd w:fill="ffffff" w:val="clea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Additionally, the extract reveals with utmost clarity, the admiration that Einhard had for Charlemagne. Einhard describes his subject as being</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rtl w:val="0"/>
        </w:rPr>
        <w:t xml:space="preserve">“regarded by everyone with the utmost love and affection.” This is typical of a biography from the Middle Ages. The reason being that the writers of these biographies were often in service to their subjects, and therefore would not write negatively about their subject matter. It is said that histories written in the Middle Ages were often incredibly biassed. It is known that many biographies written in the Middle Ages often spoke about their subject in a very positive light, the biographies would often only discuss the good deeds of their person and would embellish the story in order to bolster their life. Therefore, it is with this in mind, it can be argued that “histories are sometimes written by and sometimes for individuals, they are products of a community's life and views. This is true in an obvious way because the individual is shaped through socialisation within a community, but it is true in a number of other ways as well.”</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 As well as this, historians such as Roger Collins has argued that this work was “ill-informed” and “misleading.”</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tl w:val="0"/>
        </w:rPr>
      </w:r>
    </w:p>
    <w:p w:rsidR="00000000" w:rsidDel="00000000" w:rsidP="00000000" w:rsidRDefault="00000000" w:rsidRPr="00000000" w14:paraId="00000012">
      <w:pPr>
        <w:shd w:fill="ffffff" w:val="clea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hd w:fill="ffffff" w:val="clea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summary</w:t>
      </w:r>
      <w:r w:rsidDel="00000000" w:rsidR="00000000" w:rsidRPr="00000000">
        <w:rPr>
          <w:rFonts w:ascii="Times New Roman" w:cs="Times New Roman" w:eastAsia="Times New Roman" w:hAnsi="Times New Roman"/>
          <w:rtl w:val="0"/>
        </w:rPr>
        <w:t xml:space="preserve">, despite this assertion, it should be remembered that many commend this work highly. It is argued that Einhard’s biography is largely accurate and mostly trustworthy. It has been claimed by Thomas Hodgkin, that "almost all our real, vivifying knowledge of Charles the Great is derived from Einhard, and that the Vita Karoli Magni is one of the most precious literary bequests of the early Middle Ages."</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Fonts w:ascii="Times New Roman" w:cs="Times New Roman" w:eastAsia="Times New Roman" w:hAnsi="Times New Roman"/>
          <w:rtl w:val="0"/>
        </w:rPr>
        <w:t xml:space="preserve"> The debate surrounding this matter is vast, the overarching theme seems to praise Einhard’s work and claim it to be the most important primary source to be produced from the Middle Ages. Whilst this may be accurate, one cannot take away from the fact that the author of this piece has been seen to have great admiration for Charlemagne, this suggests that this could skew the readers opinion of Charlemagne. The biography is subjective, and whilst this does reveal the relationship between Einhard and Charlemagne, it cannot possibly give a totally accurate account of Charlemagne’s life objectively. Despite many historians commending this work, one would argue that the closeness between Einhard and Charlemage somewhat limits the source. Their relationship could have compromised this source in that it is a very real possibility that Einhard exaggerated parts of Charlemagne's life in order to make him appear more favourable. Overall, one would argue that while this source is a valuable piece of information regarding the life and relationship between Einhard and Charlemagne, it does fail to be objectively truthful. </w:t>
      </w:r>
      <w:r w:rsidDel="00000000" w:rsidR="00000000" w:rsidRPr="00000000">
        <w:rPr>
          <w:rtl w:val="0"/>
        </w:rPr>
      </w:r>
    </w:p>
    <w:p w:rsidR="00000000" w:rsidDel="00000000" w:rsidP="00000000" w:rsidRDefault="00000000" w:rsidRPr="00000000" w14:paraId="00000014">
      <w:pPr>
        <w:spacing w:line="3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spacing w:line="3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line="3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line="3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line="3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spacing w:line="3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line="3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Bibliography:</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Primary:</w:t>
      </w:r>
    </w:p>
    <w:p w:rsidR="00000000" w:rsidDel="00000000" w:rsidP="00000000" w:rsidRDefault="00000000" w:rsidRPr="00000000" w14:paraId="0000001E">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Einhard, Notker the Stammerer, The Two Lives of Charlemagne, (Penguin Books Ltd, 2013)</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Secondary:</w:t>
      </w:r>
    </w:p>
    <w:p w:rsidR="00000000" w:rsidDel="00000000" w:rsidP="00000000" w:rsidRDefault="00000000" w:rsidRPr="00000000" w14:paraId="00000021">
      <w:pPr>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Becher, Matthias , Charlemagne, (Yale University Press, 2003)</w:t>
      </w:r>
    </w:p>
    <w:p w:rsidR="00000000" w:rsidDel="00000000" w:rsidP="00000000" w:rsidRDefault="00000000" w:rsidRPr="00000000" w14:paraId="00000023">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Binns, J. W. , Vita Karoli Magni: The Life of Charlemagne by Einhard, Evelyn Scherabon Firchow and Collins, Roger , Charlemagne, (University of Toronto Press, 1998) pp.1-34</w:t>
      </w:r>
    </w:p>
    <w:p w:rsidR="00000000" w:rsidDel="00000000" w:rsidP="00000000" w:rsidRDefault="00000000" w:rsidRPr="00000000" w14:paraId="00000024">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Dutton, Paul Edward , Charlemagne's Courtier: The Complete Einhard, (University of Toronto Press, 1998) </w:t>
      </w:r>
    </w:p>
    <w:p w:rsidR="00000000" w:rsidDel="00000000" w:rsidP="00000000" w:rsidRDefault="00000000" w:rsidRPr="00000000" w14:paraId="00000025">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Hodgkin, Thomas , Charles the Great, (Macmillan, 1897)</w:t>
      </w:r>
    </w:p>
    <w:p w:rsidR="00000000" w:rsidDel="00000000" w:rsidP="00000000" w:rsidRDefault="00000000" w:rsidRPr="00000000" w14:paraId="00000026">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Partner, Nancy F. , Serious Entertainments : The Writing of History in Twelfth-Century England, (University of Chicago Press, 1994) p.2</w:t>
      </w:r>
    </w:p>
    <w:p w:rsidR="00000000" w:rsidDel="00000000" w:rsidP="00000000" w:rsidRDefault="00000000" w:rsidRPr="00000000" w14:paraId="00000027">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Shopkow, Leah , History and Community: Norman Historical Writing in the Eleventh and Twelfth Centuries, (The Catholic University of America Press, Washington D.C, 1997) p.5</w:t>
      </w:r>
    </w:p>
    <w:p w:rsidR="00000000" w:rsidDel="00000000" w:rsidP="00000000" w:rsidRDefault="00000000" w:rsidRPr="00000000" w14:paraId="00000028">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Winston, Richard , Charlemagne, (New World City, 2015)</w:t>
      </w:r>
    </w:p>
    <w:p w:rsidR="00000000" w:rsidDel="00000000" w:rsidP="00000000" w:rsidRDefault="00000000" w:rsidRPr="00000000" w14:paraId="00000029">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Zeydel, Edwin H. , The Modern Language Review, Vol. 69, No. 4 (Modern Humanities Research Association, 1974), p. 838</w:t>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2F">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Nancy F. Partner, Serious Entertainments : The Writing of History in Twelfth-Century England, (University of Chicago Press, 1994) p.2</w:t>
      </w:r>
    </w:p>
  </w:footnote>
  <w:footnote w:id="8">
    <w:p w:rsidR="00000000" w:rsidDel="00000000" w:rsidP="00000000" w:rsidRDefault="00000000" w:rsidRPr="00000000" w14:paraId="0000003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Thomas Hodgkin, Charles the Great, (Macmillan, 1897) </w:t>
      </w:r>
    </w:p>
  </w:footnote>
  <w:footnote w:id="6">
    <w:p w:rsidR="00000000" w:rsidDel="00000000" w:rsidP="00000000" w:rsidRDefault="00000000" w:rsidRPr="00000000" w14:paraId="0000003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Leah Shopkow, History and Community: Norman Historical Writing in the Eleventh and Twelfth Centuries, (The Catholic University of America Press, Washington D.C, 1997) p.5</w:t>
      </w:r>
    </w:p>
  </w:footnote>
  <w:footnote w:id="0">
    <w:p w:rsidR="00000000" w:rsidDel="00000000" w:rsidP="00000000" w:rsidRDefault="00000000" w:rsidRPr="00000000" w14:paraId="0000003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J. W. Binns, </w:t>
      </w:r>
      <w:r w:rsidDel="00000000" w:rsidR="00000000" w:rsidRPr="00000000">
        <w:rPr>
          <w:rFonts w:ascii="Times New Roman" w:cs="Times New Roman" w:eastAsia="Times New Roman" w:hAnsi="Times New Roman"/>
          <w:sz w:val="18"/>
          <w:szCs w:val="18"/>
          <w:rtl w:val="0"/>
        </w:rPr>
        <w:t xml:space="preserve">Vita Karoli Magni: The Life of Charlemagne by Einhard, Evelyn Scherabon Firchow and Edwin H. Zeydel, </w:t>
      </w:r>
      <w:r w:rsidDel="00000000" w:rsidR="00000000" w:rsidRPr="00000000">
        <w:rPr>
          <w:rFonts w:ascii="Times New Roman" w:cs="Times New Roman" w:eastAsia="Times New Roman" w:hAnsi="Times New Roman"/>
          <w:i w:val="1"/>
          <w:sz w:val="18"/>
          <w:szCs w:val="18"/>
          <w:rtl w:val="0"/>
        </w:rPr>
        <w:t xml:space="preserve">The Modern Language Review</w:t>
      </w:r>
      <w:r w:rsidDel="00000000" w:rsidR="00000000" w:rsidRPr="00000000">
        <w:rPr>
          <w:rFonts w:ascii="Times New Roman" w:cs="Times New Roman" w:eastAsia="Times New Roman" w:hAnsi="Times New Roman"/>
          <w:sz w:val="18"/>
          <w:szCs w:val="18"/>
          <w:rtl w:val="0"/>
        </w:rPr>
        <w:t xml:space="preserve">, Vol. 69, No. 4 (Modern Humanities Research Association, 1974), p. 838</w:t>
      </w:r>
    </w:p>
  </w:footnote>
  <w:footnote w:id="7">
    <w:p w:rsidR="00000000" w:rsidDel="00000000" w:rsidP="00000000" w:rsidRDefault="00000000" w:rsidRPr="00000000" w14:paraId="0000003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Roger Collins, Charlemagne, (</w:t>
      </w:r>
      <w:r w:rsidDel="00000000" w:rsidR="00000000" w:rsidRPr="00000000">
        <w:rPr>
          <w:rFonts w:ascii="Times New Roman" w:cs="Times New Roman" w:eastAsia="Times New Roman" w:hAnsi="Times New Roman"/>
          <w:sz w:val="18"/>
          <w:szCs w:val="18"/>
          <w:highlight w:val="white"/>
          <w:rtl w:val="0"/>
        </w:rPr>
        <w:t xml:space="preserve">University of Toronto Press, 1998) pp.1-34</w:t>
      </w:r>
      <w:r w:rsidDel="00000000" w:rsidR="00000000" w:rsidRPr="00000000">
        <w:rPr>
          <w:rtl w:val="0"/>
        </w:rPr>
      </w:r>
    </w:p>
  </w:footnote>
  <w:footnote w:id="3">
    <w:p w:rsidR="00000000" w:rsidDel="00000000" w:rsidP="00000000" w:rsidRDefault="00000000" w:rsidRPr="00000000" w14:paraId="0000003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Paul Edward Dutton, </w:t>
      </w:r>
      <w:r w:rsidDel="00000000" w:rsidR="00000000" w:rsidRPr="00000000">
        <w:rPr>
          <w:rFonts w:ascii="Times New Roman" w:cs="Times New Roman" w:eastAsia="Times New Roman" w:hAnsi="Times New Roman"/>
          <w:i w:val="1"/>
          <w:sz w:val="18"/>
          <w:szCs w:val="18"/>
          <w:rtl w:val="0"/>
        </w:rPr>
        <w:t xml:space="preserve">Charlemagne's Courtier: The Complete Einhard, </w:t>
      </w:r>
      <w:r w:rsidDel="00000000" w:rsidR="00000000" w:rsidRPr="00000000">
        <w:rPr>
          <w:rFonts w:ascii="Times New Roman" w:cs="Times New Roman" w:eastAsia="Times New Roman" w:hAnsi="Times New Roman"/>
          <w:sz w:val="18"/>
          <w:szCs w:val="18"/>
          <w:rtl w:val="0"/>
        </w:rPr>
        <w:t xml:space="preserve">(University of Toronto Press, 1998) </w:t>
      </w:r>
    </w:p>
  </w:footnote>
  <w:footnote w:id="4">
    <w:p w:rsidR="00000000" w:rsidDel="00000000" w:rsidP="00000000" w:rsidRDefault="00000000" w:rsidRPr="00000000" w14:paraId="00000035">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Einhard, Notker the Stammerer, </w:t>
      </w:r>
      <w:r w:rsidDel="00000000" w:rsidR="00000000" w:rsidRPr="00000000">
        <w:rPr>
          <w:rFonts w:ascii="Times New Roman" w:cs="Times New Roman" w:eastAsia="Times New Roman" w:hAnsi="Times New Roman"/>
          <w:i w:val="1"/>
          <w:sz w:val="18"/>
          <w:szCs w:val="18"/>
          <w:rtl w:val="0"/>
        </w:rPr>
        <w:t xml:space="preserve">The Two Lives of Charlemagne, </w:t>
      </w:r>
      <w:r w:rsidDel="00000000" w:rsidR="00000000" w:rsidRPr="00000000">
        <w:rPr>
          <w:rFonts w:ascii="Times New Roman" w:cs="Times New Roman" w:eastAsia="Times New Roman" w:hAnsi="Times New Roman"/>
          <w:sz w:val="18"/>
          <w:szCs w:val="18"/>
          <w:rtl w:val="0"/>
        </w:rPr>
        <w:t xml:space="preserve">(Penguin Books Ltd, 2013)</w:t>
      </w:r>
    </w:p>
  </w:footnote>
  <w:footnote w:id="1">
    <w:p w:rsidR="00000000" w:rsidDel="00000000" w:rsidP="00000000" w:rsidRDefault="00000000" w:rsidRPr="00000000" w14:paraId="0000003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Matthias Becher, </w:t>
      </w:r>
      <w:r w:rsidDel="00000000" w:rsidR="00000000" w:rsidRPr="00000000">
        <w:rPr>
          <w:rFonts w:ascii="Times New Roman" w:cs="Times New Roman" w:eastAsia="Times New Roman" w:hAnsi="Times New Roman"/>
          <w:i w:val="1"/>
          <w:sz w:val="18"/>
          <w:szCs w:val="18"/>
          <w:rtl w:val="0"/>
        </w:rPr>
        <w:t xml:space="preserve">Charlemagne, </w:t>
      </w:r>
      <w:r w:rsidDel="00000000" w:rsidR="00000000" w:rsidRPr="00000000">
        <w:rPr>
          <w:rFonts w:ascii="Times New Roman" w:cs="Times New Roman" w:eastAsia="Times New Roman" w:hAnsi="Times New Roman"/>
          <w:sz w:val="18"/>
          <w:szCs w:val="18"/>
          <w:rtl w:val="0"/>
        </w:rPr>
        <w:t xml:space="preserve">(Yale University Press, 2003)</w:t>
      </w:r>
    </w:p>
  </w:footnote>
  <w:footnote w:id="5">
    <w:p w:rsidR="00000000" w:rsidDel="00000000" w:rsidP="00000000" w:rsidRDefault="00000000" w:rsidRPr="00000000" w14:paraId="0000003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Richard Winston, </w:t>
      </w:r>
      <w:r w:rsidDel="00000000" w:rsidR="00000000" w:rsidRPr="00000000">
        <w:rPr>
          <w:rFonts w:ascii="Times New Roman" w:cs="Times New Roman" w:eastAsia="Times New Roman" w:hAnsi="Times New Roman"/>
          <w:i w:val="1"/>
          <w:sz w:val="18"/>
          <w:szCs w:val="18"/>
          <w:rtl w:val="0"/>
        </w:rPr>
        <w:t xml:space="preserve">Charlemagne, </w:t>
      </w:r>
      <w:r w:rsidDel="00000000" w:rsidR="00000000" w:rsidRPr="00000000">
        <w:rPr>
          <w:rFonts w:ascii="Times New Roman" w:cs="Times New Roman" w:eastAsia="Times New Roman" w:hAnsi="Times New Roman"/>
          <w:sz w:val="18"/>
          <w:szCs w:val="18"/>
          <w:rtl w:val="0"/>
        </w:rPr>
        <w:t xml:space="preserve">(New World City, 2015)</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Student Number:</w:t>
    </w:r>
    <w:r w:rsidDel="00000000" w:rsidR="00000000" w:rsidRPr="00000000">
      <w:rPr>
        <w:rFonts w:ascii="Times New Roman" w:cs="Times New Roman" w:eastAsia="Times New Roman" w:hAnsi="Times New Roman"/>
        <w:rtl w:val="0"/>
      </w:rPr>
      <w:t xml:space="preserve"> 2217199</w:t>
    </w:r>
  </w:p>
  <w:p w:rsidR="00000000" w:rsidDel="00000000" w:rsidP="00000000" w:rsidRDefault="00000000" w:rsidRPr="00000000" w14:paraId="0000002C">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Module:</w:t>
    </w:r>
    <w:r w:rsidDel="00000000" w:rsidR="00000000" w:rsidRPr="00000000">
      <w:rPr>
        <w:rFonts w:ascii="Times New Roman" w:cs="Times New Roman" w:eastAsia="Times New Roman" w:hAnsi="Times New Roman"/>
        <w:rtl w:val="0"/>
      </w:rPr>
      <w:t xml:space="preserve"> History and Historians</w:t>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Tutor:</w:t>
    </w:r>
    <w:r w:rsidDel="00000000" w:rsidR="00000000" w:rsidRPr="00000000">
      <w:rPr>
        <w:rFonts w:ascii="Times New Roman" w:cs="Times New Roman" w:eastAsia="Times New Roman" w:hAnsi="Times New Roman"/>
        <w:rtl w:val="0"/>
      </w:rPr>
      <w:t xml:space="preserve"> Harriett Webster</w:t>
    </w:r>
  </w:p>
  <w:p w:rsidR="00000000" w:rsidDel="00000000" w:rsidP="00000000" w:rsidRDefault="00000000" w:rsidRPr="00000000" w14:paraId="0000002E">
    <w:pPr>
      <w:rPr/>
    </w:pPr>
    <w:r w:rsidDel="00000000" w:rsidR="00000000" w:rsidRPr="00000000">
      <w:rPr>
        <w:rFonts w:ascii="Times New Roman" w:cs="Times New Roman" w:eastAsia="Times New Roman" w:hAnsi="Times New Roman"/>
        <w:u w:val="single"/>
        <w:rtl w:val="0"/>
      </w:rPr>
      <w:t xml:space="preserve">Word Count:</w:t>
    </w:r>
    <w:r w:rsidDel="00000000" w:rsidR="00000000" w:rsidRPr="00000000">
      <w:rPr>
        <w:rFonts w:ascii="Times New Roman" w:cs="Times New Roman" w:eastAsia="Times New Roman" w:hAnsi="Times New Roman"/>
        <w:rtl w:val="0"/>
      </w:rPr>
      <w:t xml:space="preserve"> 964 (not including the extract)</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