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Metadata/LabelInfo.xml" ContentType="application/vnd.ms-office.classificationlabel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>
      <w:pPr>
        <w:pStyle w:val="Title"/>
        <w:jc w:val="center"/>
      </w:pPr>
      <w:r>
        <w:t>Medicalisation: Classroom Activity &amp; Debate Guide</w:t>
      </w:r>
    </w:p>
    <w:p>
      <w:pPr>
        <w:pStyle w:val="Heading1"/>
      </w:pPr>
      <w:r>
        <w:t>Classroom Activity: “Is This a Medical Problem?”</w:t>
      </w:r>
    </w:p>
    <w:p>
      <w:pPr>
        <w:pStyle w:val="Heading2"/>
      </w:pPr>
      <w:r>
        <w:t>Objective:</w:t>
      </w:r>
    </w:p>
    <w:p>
      <w:pPr/>
      <w:r>
        <w:t>To critically examine how and why certain personal or social issues are reframed as medical problems, and to explore the implications for individuals and society.</w:t>
      </w:r>
    </w:p>
    <w:p>
      <w:pPr>
        <w:pStyle w:val="Heading2"/>
      </w:pPr>
      <w:r>
        <w:t>Instructions:</w:t>
      </w:r>
    </w:p>
    <w:p>
      <w:pPr>
        <w:pStyle w:val="ListBullet"/>
      </w:pPr>
      <w:r>
        <w:t>Divide students into small groups.</w:t>
      </w:r>
    </w:p>
    <w:p>
      <w:pPr>
        <w:pStyle w:val="ListBullet"/>
      </w:pPr>
      <w:r>
        <w:t>Assign each group one of the following topics:</w:t>
      </w:r>
    </w:p>
    <w:p>
      <w:pPr>
        <w:pStyle w:val="ListBullet"/>
      </w:pPr>
      <w:r>
        <w:t>Each group should discuss:</w:t>
      </w:r>
    </w:p>
    <w:p>
      <w:pPr>
        <w:pStyle w:val="ListBullet"/>
      </w:pPr>
      <w:r>
        <w:t>Groups present their findings to the class.</w:t>
      </w:r>
    </w:p>
    <w:p>
      <w:pPr>
        <w:pStyle w:val="Heading2"/>
      </w:pPr>
      <w:r>
        <w:t>Topics:</w:t>
      </w:r>
    </w:p>
    <w:p>
      <w:pPr>
        <w:pStyle w:val="ListBullet2"/>
      </w:pPr>
      <w:r>
        <w:t>ADHD in adults</w:t>
      </w:r>
    </w:p>
    <w:p>
      <w:pPr>
        <w:pStyle w:val="ListBullet2"/>
      </w:pPr>
      <w:r>
        <w:t>Social anxiety</w:t>
      </w:r>
    </w:p>
    <w:p>
      <w:pPr>
        <w:pStyle w:val="ListBullet2"/>
      </w:pPr>
      <w:r>
        <w:t>Obesity</w:t>
      </w:r>
    </w:p>
    <w:p>
      <w:pPr>
        <w:pStyle w:val="ListBullet2"/>
      </w:pPr>
      <w:r>
        <w:t>Gender dysphoria</w:t>
      </w:r>
    </w:p>
    <w:p>
      <w:pPr>
        <w:pStyle w:val="ListBullet2"/>
      </w:pPr>
      <w:r>
        <w:t>Burnout</w:t>
      </w:r>
    </w:p>
    <w:p>
      <w:pPr>
        <w:pStyle w:val="ListBullet2"/>
      </w:pPr>
      <w:r>
        <w:t>Tech addiction</w:t>
      </w:r>
    </w:p>
    <w:p>
      <w:pPr>
        <w:pStyle w:val="ListBullet2"/>
      </w:pPr>
      <w:r>
        <w:t>Grief</w:t>
      </w:r>
    </w:p>
    <w:p>
      <w:pPr>
        <w:pStyle w:val="ListBullet2"/>
      </w:pPr>
      <w:r>
        <w:t>Loneliness</w:t>
      </w:r>
    </w:p>
    <w:p>
      <w:pPr>
        <w:pStyle w:val="ListBullet2"/>
      </w:pPr>
      <w:r>
        <w:t>Menopause</w:t>
      </w:r>
    </w:p>
    <w:p>
      <w:pPr>
        <w:pStyle w:val="ListBullet2"/>
      </w:pPr>
      <w:r>
        <w:t>Children’s behaviour in schools</w:t>
      </w:r>
    </w:p>
    <w:p>
      <w:pPr>
        <w:pStyle w:val="Heading2"/>
      </w:pPr>
      <w:r>
        <w:t>Discussion Points:</w:t>
      </w:r>
    </w:p>
    <w:p>
      <w:pPr>
        <w:pStyle w:val="ListBullet2"/>
      </w:pPr>
      <w:r>
        <w:t>Is this issue best understood as a medical condition, a social issue, or both?</w:t>
      </w:r>
    </w:p>
    <w:p>
      <w:pPr>
        <w:pStyle w:val="ListBullet2"/>
      </w:pPr>
      <w:r>
        <w:t>Who benefits from its medicalisation?</w:t>
      </w:r>
    </w:p>
    <w:p>
      <w:pPr>
        <w:pStyle w:val="ListBullet2"/>
      </w:pPr>
      <w:r>
        <w:t>What are the risks of medicalising this issue?</w:t>
      </w:r>
    </w:p>
    <w:p>
      <w:pPr>
        <w:pStyle w:val="ListBullet2"/>
      </w:pPr>
      <w:r>
        <w:t>How does medicalisation affect personal responsibility, stigma, and access to support?</w:t>
      </w:r>
    </w:p>
    <w:p>
      <w:pPr>
        <w:pStyle w:val="Heading1"/>
      </w:pPr>
      <w:r>
        <w:t>Suggested Answers &amp; Discussion Points</w:t>
      </w:r>
    </w:p>
    <w:p>
      <w:pPr>
        <w:pStyle w:val="Heading2"/>
      </w:pPr>
      <w:r>
        <w:t>ADHD in Adults</w:t>
      </w:r>
    </w:p>
    <w:p>
      <w:pPr>
        <w:pStyle w:val="ListBullet"/>
      </w:pPr>
      <w:r>
        <w:t>Medical framing helps access support and medication.</w:t>
      </w:r>
    </w:p>
    <w:p>
      <w:pPr>
        <w:pStyle w:val="ListBullet"/>
      </w:pPr>
      <w:r>
        <w:t>Risk of overdiagnosis; pathologising normal attention variability.</w:t>
      </w:r>
    </w:p>
    <w:p>
      <w:pPr>
        <w:pStyle w:val="ListBullet"/>
      </w:pPr>
      <w:r>
        <w:t>Social framing highlights workplace or educational pressures.</w:t>
      </w:r>
    </w:p>
    <w:p>
      <w:pPr>
        <w:pStyle w:val="Heading2"/>
      </w:pPr>
      <w:r>
        <w:t>Social Anxiety</w:t>
      </w:r>
    </w:p>
    <w:p>
      <w:pPr>
        <w:pStyle w:val="ListBullet"/>
      </w:pPr>
      <w:r>
        <w:t>Medical framing validates distress and provides treatment.</w:t>
      </w:r>
    </w:p>
    <w:p>
      <w:pPr>
        <w:pStyle w:val="ListBullet"/>
      </w:pPr>
      <w:r>
        <w:t>May discourage social skill development or resilience.</w:t>
      </w:r>
    </w:p>
    <w:p>
      <w:pPr>
        <w:pStyle w:val="ListBullet"/>
      </w:pPr>
      <w:r>
        <w:t>Social framing addresses cultural expectations around extroversion.</w:t>
      </w:r>
    </w:p>
    <w:p>
      <w:pPr>
        <w:pStyle w:val="Heading2"/>
      </w:pPr>
      <w:r>
        <w:t>Obesity</w:t>
      </w:r>
    </w:p>
    <w:p>
      <w:pPr>
        <w:pStyle w:val="ListBullet"/>
      </w:pPr>
      <w:r>
        <w:t>Medical framing enables public health interventions.</w:t>
      </w:r>
    </w:p>
    <w:p>
      <w:pPr>
        <w:pStyle w:val="ListBullet"/>
      </w:pPr>
      <w:r>
        <w:t>Can stigmatise individuals and ignore socioeconomic factors.</w:t>
      </w:r>
    </w:p>
    <w:p>
      <w:pPr>
        <w:pStyle w:val="ListBullet"/>
      </w:pPr>
      <w:r>
        <w:t>Social framing focuses on food deserts, poverty, and lifestyle inequality.</w:t>
      </w:r>
    </w:p>
    <w:p>
      <w:pPr>
        <w:pStyle w:val="Heading2"/>
      </w:pPr>
      <w:r>
        <w:t>Gender Dysphoria</w:t>
      </w:r>
    </w:p>
    <w:p>
      <w:pPr>
        <w:pStyle w:val="ListBullet"/>
      </w:pPr>
      <w:r>
        <w:t>Medical framing supports access to gender-affirming care.</w:t>
      </w:r>
    </w:p>
    <w:p>
      <w:pPr>
        <w:pStyle w:val="ListBullet"/>
      </w:pPr>
      <w:r>
        <w:t>Politicised debates around identity and diagnosis.</w:t>
      </w:r>
    </w:p>
    <w:p>
      <w:pPr>
        <w:pStyle w:val="ListBullet"/>
      </w:pPr>
      <w:r>
        <w:t>Social framing emphasises rights, inclusion, and cultural understanding.</w:t>
      </w:r>
    </w:p>
    <w:p>
      <w:pPr>
        <w:pStyle w:val="Heading2"/>
      </w:pPr>
      <w:r>
        <w:t>Burnout</w:t>
      </w:r>
    </w:p>
    <w:p>
      <w:pPr>
        <w:pStyle w:val="ListBullet"/>
      </w:pPr>
      <w:r>
        <w:t>Medical framing recognises mental health impacts of work.</w:t>
      </w:r>
    </w:p>
    <w:p>
      <w:pPr>
        <w:pStyle w:val="ListBullet"/>
      </w:pPr>
      <w:r>
        <w:t>May shift blame from employers to individuals.</w:t>
      </w:r>
    </w:p>
    <w:p>
      <w:pPr>
        <w:pStyle w:val="ListBullet"/>
      </w:pPr>
      <w:r>
        <w:t>Social framing encourages systemic change in workplace culture.</w:t>
      </w:r>
    </w:p>
    <w:p>
      <w:pPr>
        <w:pStyle w:val="Heading2"/>
      </w:pPr>
      <w:r>
        <w:t>Tech Addiction</w:t>
      </w:r>
    </w:p>
    <w:p>
      <w:pPr>
        <w:pStyle w:val="ListBullet"/>
      </w:pPr>
      <w:r>
        <w:t>Medical framing justifies treatment and research.</w:t>
      </w:r>
    </w:p>
    <w:p>
      <w:pPr>
        <w:pStyle w:val="ListBullet"/>
      </w:pPr>
      <w:r>
        <w:t>Normal behaviour may be pathologised.</w:t>
      </w:r>
    </w:p>
    <w:p>
      <w:pPr>
        <w:pStyle w:val="ListBullet"/>
      </w:pPr>
      <w:r>
        <w:t>Social framing leads to better tech design and regulation.</w:t>
      </w:r>
    </w:p>
    <w:p>
      <w:pPr>
        <w:pStyle w:val="Heading2"/>
      </w:pPr>
      <w:r>
        <w:t>Grief</w:t>
      </w:r>
    </w:p>
    <w:p>
      <w:pPr>
        <w:pStyle w:val="ListBullet"/>
      </w:pPr>
      <w:r>
        <w:t>Medical framing offers support for prolonged suffering.</w:t>
      </w:r>
    </w:p>
    <w:p>
      <w:pPr>
        <w:pStyle w:val="ListBullet"/>
      </w:pPr>
      <w:r>
        <w:t>Risks pathologising a universal human experience.</w:t>
      </w:r>
    </w:p>
    <w:p>
      <w:pPr>
        <w:pStyle w:val="ListBullet"/>
      </w:pPr>
      <w:r>
        <w:t>Social framing encourages community and cultural rituals.</w:t>
      </w:r>
    </w:p>
    <w:p>
      <w:pPr>
        <w:pStyle w:val="Heading2"/>
      </w:pPr>
      <w:r>
        <w:t>Loneliness</w:t>
      </w:r>
    </w:p>
    <w:p>
      <w:pPr>
        <w:pStyle w:val="ListBullet"/>
      </w:pPr>
      <w:r>
        <w:t>Medical framing highlights health risks and interventions.</w:t>
      </w:r>
    </w:p>
    <w:p>
      <w:pPr>
        <w:pStyle w:val="ListBullet"/>
      </w:pPr>
      <w:r>
        <w:t>May overlook structural causes like housing and urban design.</w:t>
      </w:r>
    </w:p>
    <w:p>
      <w:pPr>
        <w:pStyle w:val="ListBullet"/>
      </w:pPr>
      <w:r>
        <w:t>Social framing promotes community-building and policy change.</w:t>
      </w:r>
    </w:p>
    <w:p>
      <w:pPr>
        <w:pStyle w:val="Heading2"/>
      </w:pPr>
      <w:r>
        <w:t>Menopause</w:t>
      </w:r>
    </w:p>
    <w:p>
      <w:pPr>
        <w:pStyle w:val="ListBullet"/>
      </w:pPr>
      <w:r>
        <w:t>Medical framing provides symptom relief and support.</w:t>
      </w:r>
    </w:p>
    <w:p>
      <w:pPr>
        <w:pStyle w:val="ListBullet"/>
      </w:pPr>
      <w:r>
        <w:t>Can reinforce ageism or gendered expectations.</w:t>
      </w:r>
    </w:p>
    <w:p>
      <w:pPr>
        <w:pStyle w:val="ListBullet"/>
      </w:pPr>
      <w:r>
        <w:t>Social framing normalises life transitions and empowers women.</w:t>
      </w:r>
    </w:p>
    <w:p>
      <w:pPr>
        <w:pStyle w:val="Heading2"/>
      </w:pPr>
      <w:r>
        <w:t>Children’s Behaviour in Schools</w:t>
      </w:r>
    </w:p>
    <w:p>
      <w:pPr>
        <w:pStyle w:val="ListBullet"/>
      </w:pPr>
      <w:r>
        <w:t>Medical framing enables tailored support and diagnosis.</w:t>
      </w:r>
    </w:p>
    <w:p>
      <w:pPr>
        <w:pStyle w:val="ListBullet"/>
      </w:pPr>
      <w:r>
        <w:t>May suppress individuality or creativity.</w:t>
      </w:r>
    </w:p>
    <w:p>
      <w:pPr>
        <w:pStyle w:val="ListBullet"/>
      </w:pPr>
      <w:r>
        <w:t>Social framing encourages inclusive education and flexible pedagogy.</w:t>
      </w:r>
    </w:p>
    <w:p>
      <w:pPr>
        <w:pStyle w:val="Heading1"/>
      </w:pPr>
      <w:r>
        <w:t>Debate Prompt</w:t>
      </w:r>
    </w:p>
    <w:p>
      <w:pPr/>
      <w:r>
        <w:t>Motion: “This House believes that medicalising personal and social problems does more harm than good.”</w:t>
      </w:r>
    </w:p>
    <w:p>
      <w:pPr>
        <w:pStyle w:val="Heading2"/>
      </w:pPr>
      <w:r>
        <w:t>Proposition Arguments:</w:t>
      </w:r>
    </w:p>
    <w:p>
      <w:pPr>
        <w:pStyle w:val="ListBullet"/>
      </w:pPr>
      <w:r>
        <w:t>Encourages dependency on medical systems.</w:t>
      </w:r>
    </w:p>
    <w:p>
      <w:pPr>
        <w:pStyle w:val="ListBullet"/>
      </w:pPr>
      <w:r>
        <w:t>Shifts focus from systemic issues to individual pathology.</w:t>
      </w:r>
    </w:p>
    <w:p>
      <w:pPr>
        <w:pStyle w:val="ListBullet"/>
      </w:pPr>
      <w:r>
        <w:t>Disempowers communities and erodes personal responsibility.</w:t>
      </w:r>
    </w:p>
    <w:p>
      <w:pPr>
        <w:pStyle w:val="Heading2"/>
      </w:pPr>
      <w:r>
        <w:t>Opposition Arguments:</w:t>
      </w:r>
    </w:p>
    <w:p>
      <w:pPr>
        <w:pStyle w:val="ListBullet"/>
      </w:pPr>
      <w:r>
        <w:t>Validates suffering and provides access to care.</w:t>
      </w:r>
    </w:p>
    <w:p>
      <w:pPr>
        <w:pStyle w:val="ListBullet"/>
      </w:pPr>
      <w:r>
        <w:t>Reduces stigma by framing issues as treatable.</w:t>
      </w:r>
    </w:p>
    <w:p>
      <w:pPr>
        <w:pStyle w:val="ListBullet"/>
      </w:pPr>
      <w:r>
        <w:t>Enables research, funding, and policy development.</w:t>
      </w:r>
    </w:p>
    <w:sectPr w:rsidR="00DA6C1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2E51AB"/>
    <w:rsid w:val="0036562D"/>
    <w:rsid w:val="004976E0"/>
    <w:rsid w:val="005A534A"/>
    <w:rsid w:val="00827C87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B84C5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Kartik Fnu</cp:lastModifiedBy>
  <cp:revision>4</cp:revision>
  <dcterms:created xsi:type="dcterms:W3CDTF">2025-06-25T20:44:00Z</dcterms:created>
  <dcterms:modified xsi:type="dcterms:W3CDTF">2025-07-01T01:11:00Z</dcterms:modified>
</cp:coreProperties>
</file>