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47ED9" w14:textId="77777777" w:rsidR="003D5CC8" w:rsidRDefault="0052131F">
      <w:r w:rsidRPr="0052131F">
        <w:t>Does Peter Singer’s account of speciesism provide an accurate account of our society’s moral relationship towards animals?</w:t>
      </w:r>
    </w:p>
    <w:p w14:paraId="1293159D" w14:textId="77777777" w:rsidR="0052131F" w:rsidRDefault="0052131F">
      <w:r>
        <w:t>Before beginning this Essay I would like to add what could be called a disclaimer. The question is about society, and the distinction of an individual from the society they’re apart of is a tricky one, however I would like to state that wester society, regardless of the increasing number of people and organisations promoting sustainable and ethical products is still largely involved as seeing Nonhuman animals as a means to ends. The majority of us eat meat and use products that are created and acquired by using animals or their environment as fuel for the product.</w:t>
      </w:r>
    </w:p>
    <w:p w14:paraId="2FB0E627" w14:textId="77777777" w:rsidR="0052131F" w:rsidRDefault="0052131F" w:rsidP="0052131F">
      <w:r>
        <w:t xml:space="preserve"> Peter Singer gives a quick glimpse of the Moral Outlook of society in regards to animals (I think it would not be right to say that society holds these values universally.) in his opening segment of the chapter “All Animal are Equal” which focuses on liberation movements and the different peoples they effected.</w:t>
      </w:r>
    </w:p>
    <w:p w14:paraId="307A2FE6" w14:textId="0FB6AC09" w:rsidR="0052131F" w:rsidRDefault="0052131F" w:rsidP="0052131F">
      <w:r>
        <w:t xml:space="preserve"> He does this to highlight and state how all these movements are anthropocentric and how it is held that discrimination of sex is the last "universally" </w:t>
      </w:r>
      <w:r w:rsidR="004268A5">
        <w:rPr>
          <w:rStyle w:val="FootnoteReference"/>
        </w:rPr>
        <w:footnoteReference w:id="1"/>
      </w:r>
      <w:r>
        <w:t>accepted form of discrimination. This is an opinion that Singer wishes to address and reform. He wishes to remind us that it is after moral deliberation and a re-thinking of our "most fundamental attitudes"</w:t>
      </w:r>
      <w:r w:rsidR="004268A5">
        <w:rPr>
          <w:rStyle w:val="FootnoteReference"/>
        </w:rPr>
        <w:footnoteReference w:id="2"/>
      </w:r>
      <w:r>
        <w:t xml:space="preserve"> that social praxis or as how Singer refers to it a "Mental Switch"</w:t>
      </w:r>
      <w:r w:rsidR="004268A5">
        <w:rPr>
          <w:rStyle w:val="FootnoteReference"/>
        </w:rPr>
        <w:footnoteReference w:id="3"/>
      </w:r>
      <w:r>
        <w:t xml:space="preserve"> is possible and if we were to participate in this type of thought we would realise that there are still instances in which we show "Oppressor"</w:t>
      </w:r>
      <w:r w:rsidR="004268A5">
        <w:rPr>
          <w:rStyle w:val="FootnoteReference"/>
        </w:rPr>
        <w:footnoteReference w:id="4"/>
      </w:r>
      <w:r>
        <w:t xml:space="preserve"> attitude and that there are groups of beings that suffer ultimately for our personal gain. These beings as Singer refers to them “</w:t>
      </w:r>
      <w:proofErr w:type="spellStart"/>
      <w:r>
        <w:t>NonHuman</w:t>
      </w:r>
      <w:proofErr w:type="spellEnd"/>
      <w:r>
        <w:t xml:space="preserve"> Animals”</w:t>
      </w:r>
      <w:r w:rsidR="004268A5">
        <w:rPr>
          <w:rStyle w:val="FootnoteReference"/>
        </w:rPr>
        <w:footnoteReference w:id="5"/>
      </w:r>
      <w:r>
        <w:t xml:space="preserve">. Animal, being insufficient as it shows the lingering sentiment of an in Singer's view arbitrary dichotomy in which Humans wish to promote their difference, not likeness to </w:t>
      </w:r>
      <w:proofErr w:type="spellStart"/>
      <w:r>
        <w:t>NonHuman</w:t>
      </w:r>
      <w:proofErr w:type="spellEnd"/>
      <w:r>
        <w:t xml:space="preserve"> animals, in other words Speciesism.</w:t>
      </w:r>
    </w:p>
    <w:p w14:paraId="5A8C5A34" w14:textId="77777777" w:rsidR="0052131F" w:rsidRDefault="0052131F" w:rsidP="0052131F">
      <w:r>
        <w:t>After his introduction Singer's first task is rebutting the most commonly held critiques of a viewpoint akin to his own. He gives mention to how animal liberation movements are sometimes viewed as nothing more than parodies of already existing Movement's, however he quickly points out that one of the most influential works on discrimination the Vindication of the Rights of Women, on reception had been met by mockery and unenlightened attitudes of what were prominent contemporary philosophers of the times. He raises this point I think one, to help us realise how historically our reaction to liberation movements has been in poor taste and two, to give indication to how Singer wishes to justify his position, his justification will come from showing the unwarranted justifications held by arguments against liberation movements. In doing this he will show not only Society's moral relationship towards animals, but also towards other Humans, and how it is how we justify our treatment of other Humans that will allow Singer to justify his treatment towards Nonhumans.</w:t>
      </w:r>
    </w:p>
    <w:p w14:paraId="556D59F3" w14:textId="46331CD7" w:rsidR="0052131F" w:rsidRDefault="0052131F" w:rsidP="0052131F">
      <w:r>
        <w:t>The first kind of argument that Singer seeks to correct is a piece done by Thomas Taylor, in response to The Vindication of women’s Rights, which follows the form of slippery slope argument in which Taylor argues that the arguments used within the Vindication can be taken a stage further and used to promote the rights of "brutes"</w:t>
      </w:r>
      <w:r w:rsidR="004268A5">
        <w:rPr>
          <w:rStyle w:val="FootnoteReference"/>
        </w:rPr>
        <w:footnoteReference w:id="6"/>
      </w:r>
      <w:r>
        <w:t xml:space="preserve"> or animals, and that it follows from this that if the arguments can be used to promote rights for animals, then the arguments must be "absurd"</w:t>
      </w:r>
      <w:r w:rsidR="004268A5">
        <w:rPr>
          <w:rStyle w:val="FootnoteReference"/>
        </w:rPr>
        <w:footnoteReference w:id="7"/>
      </w:r>
      <w:r>
        <w:t>.</w:t>
      </w:r>
    </w:p>
    <w:p w14:paraId="5F20B00B" w14:textId="77777777" w:rsidR="0052131F" w:rsidRDefault="0052131F" w:rsidP="0052131F">
      <w:r>
        <w:lastRenderedPageBreak/>
        <w:t>Singer I believe think’s Thomas in misguided in his view as arguing for rights does not exactly mean the same rights.</w:t>
      </w:r>
      <w:r w:rsidR="002A68ED">
        <w:t xml:space="preserve"> </w:t>
      </w:r>
      <w:r>
        <w:t xml:space="preserve">One way you could argue that the rights of men and women cannot be extended to Nonhuman animals according to Singer is to appeal to the rationality of men and women in comparison to Nonhuman animals, Women deserve the right to vote as they </w:t>
      </w:r>
      <w:r w:rsidRPr="0052131F">
        <w:t>can understand and rationalise the concept of voting and its wider implications, whereas</w:t>
      </w:r>
      <w:r>
        <w:t xml:space="preserve"> Non</w:t>
      </w:r>
      <w:r w:rsidRPr="0052131F">
        <w:t>human animals do you have such faculties. This argument works well if you wish to promote the rights of women</w:t>
      </w:r>
      <w:r>
        <w:t>, yet people can still argue for the noticeable difference between a women and a pig for instance. Yet there are noticeable difference between a man and a women, and for singer this means we must consider the idea of people have rights equal to their being</w:t>
      </w:r>
      <w:r w:rsidR="002A68ED">
        <w:t xml:space="preserve"> “equality of consideration” as Singer calls it where difference may mean different treatment.</w:t>
      </w:r>
    </w:p>
    <w:p w14:paraId="040E7E00" w14:textId="77777777" w:rsidR="002A68ED" w:rsidRDefault="002A68ED" w:rsidP="0052131F">
      <w:r>
        <w:t>Singer goes on to challenge the ideas of a Hierarchal society, in which people are the products of their skin colour and disposition and so should be treated in a certain way because of this. He is doing this to show that when looked at humanity as a whole even despite the commonalities between the certain races is vastly diverse, and that we cannot wholly know the way in which someone or something is based upon the facts of their being. And that equality as an idea is not based upon and actual fact of people being equal, it’s about how to treat things with equal regards.</w:t>
      </w:r>
    </w:p>
    <w:p w14:paraId="3B047DF9" w14:textId="77777777" w:rsidR="002A68ED" w:rsidRDefault="002A68ED" w:rsidP="0052131F">
      <w:r>
        <w:t xml:space="preserve">The point of the information he gives about hierarchy is to show us why it is wrong to treat animals the way we do as we based it upon </w:t>
      </w:r>
      <w:r w:rsidR="005723B4">
        <w:t>a stance of us being able to distinguish the differences between us and them and then therefore that these differences make us more applicable to having rights. A stance similar to Racism, which has been shown time and again that it is abruptly wrong.</w:t>
      </w:r>
    </w:p>
    <w:p w14:paraId="3661873C" w14:textId="419A33FD" w:rsidR="005723B4" w:rsidRDefault="005723B4" w:rsidP="005723B4">
      <w:r>
        <w:t>The first three pages of this Essay are a build up to the crux upon which Singer’s argument will stand he has tried to get us to look at our treatment of others in new ways, but has not given an ample enough reason to why Nonhuman animals deserve rights “It is an implication of this principle of equality that our concern for others ought not to depend on what they are like, or what abilities they possess”</w:t>
      </w:r>
      <w:r w:rsidR="004268A5">
        <w:rPr>
          <w:rStyle w:val="FootnoteReference"/>
        </w:rPr>
        <w:footnoteReference w:id="8"/>
      </w:r>
      <w:r>
        <w:t xml:space="preserve"> sums up amply what we have learnt so far yet it is important to remember the almost paradoxical stance singer holds, as it is of abilities and so on that will affect our individual treatment, in a more positive way.</w:t>
      </w:r>
    </w:p>
    <w:p w14:paraId="568DD11A" w14:textId="70601D4F" w:rsidR="005723B4" w:rsidRDefault="005723B4" w:rsidP="005723B4">
      <w:r>
        <w:t>Singer’s main reasoning behind the idea of us being more ethically involved with Nonhuman animals is because of their ability to suffer as “The capacity for suffering and enjoying things is a prerequisite for having interests at all”</w:t>
      </w:r>
      <w:r w:rsidR="004268A5">
        <w:rPr>
          <w:rStyle w:val="FootnoteReference"/>
        </w:rPr>
        <w:footnoteReference w:id="9"/>
      </w:r>
      <w:r>
        <w:t xml:space="preserve"> which is I’m not sure is something I agree with, however for now I will explore singer’</w:t>
      </w:r>
      <w:r w:rsidR="00C90423">
        <w:t xml:space="preserve">s reasoning some more. It is also important to say that here is where Singer starts to show how our society is deeply </w:t>
      </w:r>
      <w:proofErr w:type="spellStart"/>
      <w:r w:rsidR="00C90423">
        <w:t>Speciesist</w:t>
      </w:r>
      <w:proofErr w:type="spellEnd"/>
      <w:r w:rsidR="00C90423">
        <w:t xml:space="preserve"> as he starts to show the nature of our involvement with Nonhuman animals which is seemingly means to an ends that disregards </w:t>
      </w:r>
      <w:r w:rsidR="00D72E21">
        <w:t>animal’s</w:t>
      </w:r>
      <w:r w:rsidR="00C90423">
        <w:t xml:space="preserve"> feelings in regards to dying and being tortured. </w:t>
      </w:r>
    </w:p>
    <w:p w14:paraId="199BB727" w14:textId="4F1AED75" w:rsidR="00D72E21" w:rsidRDefault="00C90423" w:rsidP="005723B4">
      <w:r>
        <w:t xml:space="preserve">The </w:t>
      </w:r>
      <w:proofErr w:type="gramStart"/>
      <w:r>
        <w:t>vast majority</w:t>
      </w:r>
      <w:proofErr w:type="gramEnd"/>
      <w:r>
        <w:t xml:space="preserve"> of us eat meat which is a quick way of saying, my survival is more important than the animal which provided this meal survival. Singer says that there alternate ways to feeding oneself, like a vegetarian diet, but most of us prefer the taste of meat. Which means that vast majority of us would be happy for animals to keep dying to keep letting us survive, Singer would say we are akin to racists in this behaviour as it’s purely humanistic and shows no regards for the interests of these animals. One way in which we display Speciesism. </w:t>
      </w:r>
      <w:r w:rsidR="00D72E21">
        <w:t>He also comments on animal experimentation in the aims of creating new medicines, as we do so to enhance the life of our species by incurring death and illness upon another, to Singer this is Speciesism.</w:t>
      </w:r>
    </w:p>
    <w:p w14:paraId="05CE0B71" w14:textId="30C22A2B" w:rsidR="00D72E21" w:rsidRDefault="00D72E21" w:rsidP="00D227D2">
      <w:r>
        <w:lastRenderedPageBreak/>
        <w:t xml:space="preserve">The last way in which </w:t>
      </w:r>
      <w:r w:rsidR="00D227D2">
        <w:t xml:space="preserve">Singer shows how our Society portrays it’s </w:t>
      </w:r>
      <w:proofErr w:type="spellStart"/>
      <w:r w:rsidR="00D227D2">
        <w:t>speciesm</w:t>
      </w:r>
      <w:proofErr w:type="spellEnd"/>
      <w:r w:rsidR="00D227D2">
        <w:t xml:space="preserve"> is through it’s attempts to defend its attitude on these topics. He looks at the attitudes of other philosophers of the time to show how the most favour a stance in which human’s gain rights on the grounds of just being human, which in turn is troublesome for Nonhumans. Singer’s mentions a William </w:t>
      </w:r>
      <w:proofErr w:type="spellStart"/>
      <w:r w:rsidR="00D227D2">
        <w:t>Frankena’s</w:t>
      </w:r>
      <w:proofErr w:type="spellEnd"/>
      <w:r w:rsidR="00D227D2">
        <w:t xml:space="preserve"> work, which announces “that </w:t>
      </w:r>
      <w:r w:rsidR="00D227D2">
        <w:t>all men are to be treated as equals, not because they are equal, in any respect, but simply</w:t>
      </w:r>
      <w:r w:rsidR="00D227D2">
        <w:t xml:space="preserve"> </w:t>
      </w:r>
      <w:r w:rsidR="00D227D2">
        <w:t>because they are human</w:t>
      </w:r>
      <w:r w:rsidR="00D227D2">
        <w:t>”</w:t>
      </w:r>
      <w:r w:rsidR="004268A5">
        <w:rPr>
          <w:rStyle w:val="FootnoteReference"/>
        </w:rPr>
        <w:footnoteReference w:id="10"/>
      </w:r>
      <w:r w:rsidR="00D227D2">
        <w:t>. Singer will go on in the chapter to show how this view is wrongly held, on accounts of Nonhuman animals being</w:t>
      </w:r>
      <w:r w:rsidR="003F42AF">
        <w:t xml:space="preserve"> that we condone each other to all sorts of atrocities, forgetting the seemingly intrinsic value of a human.</w:t>
      </w:r>
    </w:p>
    <w:p w14:paraId="393FA49F" w14:textId="599B475E" w:rsidR="003F42AF" w:rsidRDefault="003F42AF" w:rsidP="00D227D2"/>
    <w:p w14:paraId="39DEBBAE" w14:textId="77777777" w:rsidR="0029320C" w:rsidRDefault="003F42AF" w:rsidP="00D227D2">
      <w:r>
        <w:t xml:space="preserve">Singer does go on to show another way of which society displays a showing of speciesism, yet I think he has already shown an ample amount of way in which our society displays the kind of behaviour in question. It is to my belief however that Singer’s own reasoning for ending this behaviour, that being the display of suffering from animals and the reasonings behind why the is appropriate enough of a display to condone our behaviours is </w:t>
      </w:r>
      <w:proofErr w:type="gramStart"/>
      <w:r>
        <w:t>in itself still</w:t>
      </w:r>
      <w:proofErr w:type="gramEnd"/>
      <w:r>
        <w:t xml:space="preserve"> suspect of speciesism and I wish to display my reasoning.</w:t>
      </w:r>
    </w:p>
    <w:p w14:paraId="3FEAF75D" w14:textId="263B6540" w:rsidR="003F42AF" w:rsidRDefault="0029320C" w:rsidP="00D227D2">
      <w:r>
        <w:t>The fol</w:t>
      </w:r>
      <w:r w:rsidR="00985F0E">
        <w:t>lowing passage ma help make the idea clearer “The fact that the horse does not really share in the social use to which his action is put. Someone else uses the horse to secure a result which is advantageous by making it advantageous to the horse to perform the act-he gets food, etc. But the horse, presumably, does not get any new interest. He remains interested in food, not the service he is rendering. He is not a partner in a shared activity.”</w:t>
      </w:r>
      <w:r w:rsidR="004268A5">
        <w:rPr>
          <w:rStyle w:val="FootnoteReference"/>
        </w:rPr>
        <w:footnoteReference w:id="11"/>
      </w:r>
      <w:r w:rsidR="003F42AF">
        <w:t xml:space="preserve"> </w:t>
      </w:r>
      <w:r w:rsidR="00985F0E">
        <w:t xml:space="preserve"> This extract to me means that there is a separation in understanding, the person will not be able to understand what it is to be a horse and what a horse wants on the grounds of them being a person and visa versa. This is important because I believe that attributing our moral consideration upon animals, </w:t>
      </w:r>
      <w:proofErr w:type="gramStart"/>
      <w:r w:rsidR="00985F0E">
        <w:t>on the ground that</w:t>
      </w:r>
      <w:proofErr w:type="gramEnd"/>
      <w:r w:rsidR="00985F0E">
        <w:t xml:space="preserve"> they can suffer is still speciesism, as it still looks to understand other by a shared experience.</w:t>
      </w:r>
    </w:p>
    <w:p w14:paraId="02EAA290" w14:textId="28687EB9" w:rsidR="00985F0E" w:rsidRDefault="00985F0E" w:rsidP="00D227D2">
      <w:r>
        <w:t>Suffering could be said to be just another type of intelligence, more emotional and I would invite the reader to join me in a thought, if we were as a society to be visit by a Nonhuman Being from a place we knew nothing of, on what ground would we decide if they have rights? Or would the question be, how would it be just of them to decide if we have rights?</w:t>
      </w:r>
    </w:p>
    <w:p w14:paraId="4BD2566C" w14:textId="43FAAADB" w:rsidR="00985F0E" w:rsidRDefault="00985F0E" w:rsidP="00D227D2">
      <w:r>
        <w:t>Say we captured one, and on Singer’s account if it suffers it can have rights</w:t>
      </w:r>
      <w:r w:rsidR="00795414">
        <w:t>. Then first we use instruments to which we assume would cause it pain but imagine it showed no such signs of pain, would we then try cause it physiological pain? Would we try an extensive list of things which could cause this being to suffer just to see if it does so that we can decide if it should have rights or not?</w:t>
      </w:r>
    </w:p>
    <w:p w14:paraId="02796E27" w14:textId="17150169" w:rsidR="00795414" w:rsidRDefault="00795414" w:rsidP="00D227D2">
      <w:r>
        <w:t xml:space="preserve">I say </w:t>
      </w:r>
      <w:r w:rsidR="00373B4E">
        <w:t>no,</w:t>
      </w:r>
      <w:r>
        <w:t xml:space="preserve"> and I say that we can understand suffering through our own way of being, through a Human ontology.  And therefore, it would be speciesism to place Suffering as the attribute in which allows you to have rights. </w:t>
      </w:r>
    </w:p>
    <w:p w14:paraId="5AE8D8AC" w14:textId="60EA8ECF" w:rsidR="00795414" w:rsidRDefault="00795414" w:rsidP="00D227D2">
      <w:r>
        <w:t xml:space="preserve">Other things exist in the world, our wanting to know about them </w:t>
      </w:r>
      <w:proofErr w:type="gramStart"/>
      <w:r>
        <w:t>in itself involves</w:t>
      </w:r>
      <w:proofErr w:type="gramEnd"/>
      <w:r>
        <w:t xml:space="preserve"> them in a risk of losing their independence of us and every time we explore a new species we encroach upon their way of being. Each time we interact with a wild animal for instance in a scientific setting we humanise them ever so slightly over time and they start to alter their behaviour in our presence.</w:t>
      </w:r>
    </w:p>
    <w:p w14:paraId="75B975BB" w14:textId="7CDC9F17" w:rsidR="00795414" w:rsidRDefault="00795414" w:rsidP="00D227D2">
      <w:r>
        <w:t xml:space="preserve">This is one of the last ways I think we are still in the midst of a major speciesism, if we take for instance now how new waves of animal liberation are coming through, we only know about the </w:t>
      </w:r>
      <w:r>
        <w:lastRenderedPageBreak/>
        <w:t xml:space="preserve">suffering of these animals because we caused it, and we caused it because for instance we base our giving rights upon an attribute something alive possess, not the fact that it is alive </w:t>
      </w:r>
      <w:r w:rsidR="00373B4E">
        <w:t>only after you cause suffering can you see it.</w:t>
      </w:r>
    </w:p>
    <w:p w14:paraId="36D03CE7" w14:textId="69E68975" w:rsidR="00373B4E" w:rsidRDefault="00373B4E" w:rsidP="00D227D2">
      <w:r>
        <w:t xml:space="preserve">A monkey for instance isn’t smart because it can do a bunch of command’s on a tablet it’s trainer taught it, some monkeys show remarkable memory in these types of games, yet we can only see it when it’s intelligence has been humanised, where as in the wild these skills would be actuated in knowing which thing the monkey can eat amongst the thousands of plants in its home forest just because we can’t see it doesn’t mean </w:t>
      </w:r>
      <w:proofErr w:type="spellStart"/>
      <w:r>
        <w:t>its</w:t>
      </w:r>
      <w:proofErr w:type="spellEnd"/>
      <w:r>
        <w:t xml:space="preserve"> there.</w:t>
      </w:r>
    </w:p>
    <w:p w14:paraId="6B402615" w14:textId="24B5423F" w:rsidR="00373B4E" w:rsidRDefault="00373B4E" w:rsidP="00D227D2">
      <w:r>
        <w:t>Something alive may be able to suffer but it’s being alive , should be enough,  it exists within the world, therefore my actions indirectly effect it’s ability to be and this is why we have rights, because we are in the world with other things, and we wish to behave in a sense as we like but as do other things and because of this we should be respectful of their way of being, human and Nonhuman.</w:t>
      </w:r>
    </w:p>
    <w:p w14:paraId="2702B5FE" w14:textId="40E9082F" w:rsidR="004268A5" w:rsidRDefault="00373B4E" w:rsidP="00D227D2">
      <w:r>
        <w:t>So to end my Essay I would say that Singer’s account does accurately describe society’s outlook upon animals, not as a whole but as a majority, however Singer’s own account shows the same behaviour in looking to shove the distinction by finding a similarity between all, one the Humans named and express in a variety of forms, one that require showing unpleasing and hurtful to cause, rather than basing rights upon something ability to be in the world an able to be around others.</w:t>
      </w:r>
    </w:p>
    <w:p w14:paraId="46EBDC33" w14:textId="616B644C" w:rsidR="004268A5" w:rsidRDefault="004268A5" w:rsidP="00D227D2"/>
    <w:p w14:paraId="6FF3944B" w14:textId="6E8CF588" w:rsidR="004268A5" w:rsidRDefault="004268A5" w:rsidP="00D227D2"/>
    <w:p w14:paraId="30B45F03" w14:textId="12ADD2A1" w:rsidR="004268A5" w:rsidRDefault="004268A5" w:rsidP="00D227D2"/>
    <w:p w14:paraId="31762A7A" w14:textId="1D4868CF" w:rsidR="004268A5" w:rsidRDefault="004268A5" w:rsidP="00D227D2"/>
    <w:p w14:paraId="7DE9828B" w14:textId="02421B4A" w:rsidR="004268A5" w:rsidRDefault="004268A5" w:rsidP="00D227D2"/>
    <w:p w14:paraId="3D1DA50C" w14:textId="35519BEC" w:rsidR="004268A5" w:rsidRDefault="004268A5" w:rsidP="00D227D2"/>
    <w:p w14:paraId="16D7800F" w14:textId="64587253" w:rsidR="004268A5" w:rsidRDefault="004268A5" w:rsidP="00D227D2"/>
    <w:p w14:paraId="3026C0CE" w14:textId="59BF72D4" w:rsidR="004268A5" w:rsidRDefault="004268A5" w:rsidP="00D227D2"/>
    <w:p w14:paraId="20A5209C" w14:textId="79E0C23B" w:rsidR="004268A5" w:rsidRDefault="004268A5" w:rsidP="00D227D2"/>
    <w:p w14:paraId="3E884F2A" w14:textId="0E51D04F" w:rsidR="004268A5" w:rsidRDefault="004268A5" w:rsidP="00D227D2"/>
    <w:p w14:paraId="73B11633" w14:textId="6BADA8DF" w:rsidR="004268A5" w:rsidRDefault="004268A5" w:rsidP="00D227D2"/>
    <w:p w14:paraId="00346714" w14:textId="75632BAD" w:rsidR="004268A5" w:rsidRDefault="004268A5" w:rsidP="00D227D2"/>
    <w:p w14:paraId="788F7BA4" w14:textId="33872B1B" w:rsidR="004268A5" w:rsidRDefault="004268A5" w:rsidP="00D227D2"/>
    <w:p w14:paraId="638D6D45" w14:textId="43A5CE54" w:rsidR="004268A5" w:rsidRDefault="004268A5" w:rsidP="00D227D2"/>
    <w:p w14:paraId="4AE93353" w14:textId="6F62C394" w:rsidR="004268A5" w:rsidRDefault="004268A5" w:rsidP="00D227D2"/>
    <w:p w14:paraId="3AF5E918" w14:textId="06FC1FF4" w:rsidR="004268A5" w:rsidRDefault="004268A5" w:rsidP="00D227D2"/>
    <w:p w14:paraId="11628C24" w14:textId="0CA6F2E9" w:rsidR="004268A5" w:rsidRDefault="004268A5" w:rsidP="00D227D2"/>
    <w:p w14:paraId="7BC1801A" w14:textId="495C4CC5" w:rsidR="004268A5" w:rsidRDefault="004268A5" w:rsidP="00D227D2"/>
    <w:p w14:paraId="74FA0DFC" w14:textId="37F77662" w:rsidR="004268A5" w:rsidRDefault="004268A5" w:rsidP="00D227D2"/>
    <w:p w14:paraId="2B854E91" w14:textId="3423D6A9" w:rsidR="004268A5" w:rsidRDefault="004268A5" w:rsidP="00D227D2"/>
    <w:p w14:paraId="5DEEDDE5" w14:textId="2FC3857D" w:rsidR="004268A5" w:rsidRDefault="004268A5" w:rsidP="00D227D2"/>
    <w:p w14:paraId="7AE4EA71" w14:textId="3B02EFAE" w:rsidR="004268A5" w:rsidRDefault="004268A5" w:rsidP="00D227D2"/>
    <w:p w14:paraId="7AB1BF26" w14:textId="0FFF05F3" w:rsidR="004268A5" w:rsidRDefault="004268A5" w:rsidP="00D227D2"/>
    <w:p w14:paraId="4593F98B" w14:textId="58D92129" w:rsidR="004268A5" w:rsidRDefault="004268A5" w:rsidP="00D227D2"/>
    <w:p w14:paraId="1CDA0FAB" w14:textId="7497CA91" w:rsidR="004268A5" w:rsidRDefault="004268A5" w:rsidP="00D227D2"/>
    <w:p w14:paraId="7E430665" w14:textId="6C595C48" w:rsidR="004268A5" w:rsidRDefault="004268A5" w:rsidP="00D227D2"/>
    <w:p w14:paraId="3B361F48" w14:textId="265AE101" w:rsidR="004268A5" w:rsidRDefault="004268A5" w:rsidP="00D227D2"/>
    <w:p w14:paraId="63D6157D" w14:textId="77777777" w:rsidR="004268A5" w:rsidRDefault="004268A5" w:rsidP="00D227D2">
      <w:r>
        <w:t>Bibliography</w:t>
      </w:r>
    </w:p>
    <w:p w14:paraId="36016072" w14:textId="1879EF96" w:rsidR="004268A5" w:rsidRDefault="004268A5" w:rsidP="00D227D2">
      <w:r>
        <w:t xml:space="preserve"> </w:t>
      </w:r>
      <w:hyperlink r:id="rId7" w:history="1">
        <w:r w:rsidRPr="006F5995">
          <w:rPr>
            <w:rStyle w:val="Hyperlink"/>
          </w:rPr>
          <w:t>http://spot.colorado.edu/~heathwoo/phil1200,Spr07/singer.pdf</w:t>
        </w:r>
      </w:hyperlink>
    </w:p>
    <w:p w14:paraId="5B60ECFA" w14:textId="1107493B" w:rsidR="004268A5" w:rsidRDefault="004268A5" w:rsidP="00D227D2">
      <w:r>
        <w:t>Democracy and Education, John Dewey, This edition 2011 Simon &amp; Brown.</w:t>
      </w:r>
    </w:p>
    <w:sectPr w:rsidR="004268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C2DC6" w14:textId="77777777" w:rsidR="00FC387B" w:rsidRDefault="00FC387B" w:rsidP="004268A5">
      <w:pPr>
        <w:spacing w:after="0" w:line="240" w:lineRule="auto"/>
      </w:pPr>
      <w:r>
        <w:separator/>
      </w:r>
    </w:p>
  </w:endnote>
  <w:endnote w:type="continuationSeparator" w:id="0">
    <w:p w14:paraId="59B31831" w14:textId="77777777" w:rsidR="00FC387B" w:rsidRDefault="00FC387B" w:rsidP="00426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30847" w14:textId="77777777" w:rsidR="00FC387B" w:rsidRDefault="00FC387B" w:rsidP="004268A5">
      <w:pPr>
        <w:spacing w:after="0" w:line="240" w:lineRule="auto"/>
      </w:pPr>
      <w:r>
        <w:separator/>
      </w:r>
    </w:p>
  </w:footnote>
  <w:footnote w:type="continuationSeparator" w:id="0">
    <w:p w14:paraId="72625760" w14:textId="77777777" w:rsidR="00FC387B" w:rsidRDefault="00FC387B" w:rsidP="004268A5">
      <w:pPr>
        <w:spacing w:after="0" w:line="240" w:lineRule="auto"/>
      </w:pPr>
      <w:r>
        <w:continuationSeparator/>
      </w:r>
    </w:p>
  </w:footnote>
  <w:footnote w:id="1">
    <w:p w14:paraId="12ABDDAC" w14:textId="5CF11091" w:rsidR="004268A5" w:rsidRDefault="004268A5">
      <w:pPr>
        <w:pStyle w:val="FootnoteText"/>
      </w:pPr>
      <w:r>
        <w:rPr>
          <w:rStyle w:val="FootnoteReference"/>
        </w:rPr>
        <w:footnoteRef/>
      </w:r>
      <w:r>
        <w:t xml:space="preserve"> Animal Liberation</w:t>
      </w:r>
    </w:p>
  </w:footnote>
  <w:footnote w:id="2">
    <w:p w14:paraId="5FB127B1" w14:textId="052F1E44" w:rsidR="004268A5" w:rsidRDefault="004268A5">
      <w:pPr>
        <w:pStyle w:val="FootnoteText"/>
      </w:pPr>
      <w:r>
        <w:rPr>
          <w:rStyle w:val="FootnoteReference"/>
        </w:rPr>
        <w:footnoteRef/>
      </w:r>
      <w:r>
        <w:t xml:space="preserve"> Animal </w:t>
      </w:r>
      <w:proofErr w:type="spellStart"/>
      <w:r>
        <w:t>LIberation</w:t>
      </w:r>
      <w:proofErr w:type="spellEnd"/>
    </w:p>
  </w:footnote>
  <w:footnote w:id="3">
    <w:p w14:paraId="7EA360BF" w14:textId="519B0671" w:rsidR="004268A5" w:rsidRDefault="004268A5">
      <w:pPr>
        <w:pStyle w:val="FootnoteText"/>
      </w:pPr>
      <w:r>
        <w:rPr>
          <w:rStyle w:val="FootnoteReference"/>
        </w:rPr>
        <w:footnoteRef/>
      </w:r>
      <w:r>
        <w:t xml:space="preserve"> Animal Liberation</w:t>
      </w:r>
    </w:p>
  </w:footnote>
  <w:footnote w:id="4">
    <w:p w14:paraId="13FCA86C" w14:textId="22F0ECBC" w:rsidR="004268A5" w:rsidRDefault="004268A5">
      <w:pPr>
        <w:pStyle w:val="FootnoteText"/>
      </w:pPr>
      <w:r>
        <w:rPr>
          <w:rStyle w:val="FootnoteReference"/>
        </w:rPr>
        <w:footnoteRef/>
      </w:r>
      <w:r>
        <w:t xml:space="preserve"> Ibid.</w:t>
      </w:r>
    </w:p>
  </w:footnote>
  <w:footnote w:id="5">
    <w:p w14:paraId="6DF29089" w14:textId="448B3192" w:rsidR="004268A5" w:rsidRDefault="004268A5">
      <w:pPr>
        <w:pStyle w:val="FootnoteText"/>
      </w:pPr>
      <w:r>
        <w:rPr>
          <w:rStyle w:val="FootnoteReference"/>
        </w:rPr>
        <w:footnoteRef/>
      </w:r>
      <w:r>
        <w:t xml:space="preserve"> Ibid</w:t>
      </w:r>
    </w:p>
  </w:footnote>
  <w:footnote w:id="6">
    <w:p w14:paraId="418E1808" w14:textId="6390D473" w:rsidR="004268A5" w:rsidRDefault="004268A5">
      <w:pPr>
        <w:pStyle w:val="FootnoteText"/>
      </w:pPr>
      <w:r>
        <w:rPr>
          <w:rStyle w:val="FootnoteReference"/>
        </w:rPr>
        <w:footnoteRef/>
      </w:r>
      <w:r>
        <w:t xml:space="preserve"> ibid</w:t>
      </w:r>
    </w:p>
  </w:footnote>
  <w:footnote w:id="7">
    <w:p w14:paraId="31E62E83" w14:textId="19ADF4EF" w:rsidR="004268A5" w:rsidRDefault="004268A5">
      <w:pPr>
        <w:pStyle w:val="FootnoteText"/>
      </w:pPr>
      <w:r>
        <w:rPr>
          <w:rStyle w:val="FootnoteReference"/>
        </w:rPr>
        <w:footnoteRef/>
      </w:r>
      <w:r>
        <w:t xml:space="preserve"> Ibid</w:t>
      </w:r>
    </w:p>
  </w:footnote>
  <w:footnote w:id="8">
    <w:p w14:paraId="53C94F78" w14:textId="07129EBB" w:rsidR="004268A5" w:rsidRDefault="004268A5">
      <w:pPr>
        <w:pStyle w:val="FootnoteText"/>
      </w:pPr>
      <w:r>
        <w:rPr>
          <w:rStyle w:val="FootnoteReference"/>
        </w:rPr>
        <w:footnoteRef/>
      </w:r>
      <w:r>
        <w:t xml:space="preserve"> Ibid</w:t>
      </w:r>
    </w:p>
  </w:footnote>
  <w:footnote w:id="9">
    <w:p w14:paraId="32515470" w14:textId="22B26465" w:rsidR="004268A5" w:rsidRDefault="004268A5">
      <w:pPr>
        <w:pStyle w:val="FootnoteText"/>
      </w:pPr>
      <w:r>
        <w:rPr>
          <w:rStyle w:val="FootnoteReference"/>
        </w:rPr>
        <w:footnoteRef/>
      </w:r>
      <w:r>
        <w:t xml:space="preserve"> Ibid</w:t>
      </w:r>
    </w:p>
  </w:footnote>
  <w:footnote w:id="10">
    <w:p w14:paraId="23D8854C" w14:textId="3D66A7AD" w:rsidR="004268A5" w:rsidRDefault="004268A5">
      <w:pPr>
        <w:pStyle w:val="FootnoteText"/>
      </w:pPr>
      <w:r>
        <w:rPr>
          <w:rStyle w:val="FootnoteReference"/>
        </w:rPr>
        <w:footnoteRef/>
      </w:r>
      <w:r>
        <w:t xml:space="preserve"> Ibid</w:t>
      </w:r>
    </w:p>
  </w:footnote>
  <w:footnote w:id="11">
    <w:p w14:paraId="4FA81414" w14:textId="36D8ABDA" w:rsidR="004268A5" w:rsidRDefault="004268A5">
      <w:pPr>
        <w:pStyle w:val="FootnoteText"/>
      </w:pPr>
      <w:r>
        <w:rPr>
          <w:rStyle w:val="FootnoteReference"/>
        </w:rPr>
        <w:footnoteRef/>
      </w:r>
      <w:r>
        <w:t xml:space="preserve"> Education &amp; Democracy, John </w:t>
      </w:r>
      <w:r>
        <w:t>Dewey.</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31F"/>
    <w:rsid w:val="0029320C"/>
    <w:rsid w:val="002A68ED"/>
    <w:rsid w:val="00373B4E"/>
    <w:rsid w:val="003D5CC8"/>
    <w:rsid w:val="003F42AF"/>
    <w:rsid w:val="004268A5"/>
    <w:rsid w:val="0052131F"/>
    <w:rsid w:val="005723B4"/>
    <w:rsid w:val="00795414"/>
    <w:rsid w:val="00985F0E"/>
    <w:rsid w:val="00A4143E"/>
    <w:rsid w:val="00B114D3"/>
    <w:rsid w:val="00C90423"/>
    <w:rsid w:val="00D227D2"/>
    <w:rsid w:val="00D72E21"/>
    <w:rsid w:val="00FC3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51CC"/>
  <w15:chartTrackingRefBased/>
  <w15:docId w15:val="{1E7E907B-4FEB-4658-9212-26A20ABB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8A5"/>
    <w:rPr>
      <w:color w:val="0563C1" w:themeColor="hyperlink"/>
      <w:u w:val="single"/>
    </w:rPr>
  </w:style>
  <w:style w:type="character" w:styleId="UnresolvedMention">
    <w:name w:val="Unresolved Mention"/>
    <w:basedOn w:val="DefaultParagraphFont"/>
    <w:uiPriority w:val="99"/>
    <w:semiHidden/>
    <w:unhideWhenUsed/>
    <w:rsid w:val="004268A5"/>
    <w:rPr>
      <w:color w:val="808080"/>
      <w:shd w:val="clear" w:color="auto" w:fill="E6E6E6"/>
    </w:rPr>
  </w:style>
  <w:style w:type="paragraph" w:styleId="FootnoteText">
    <w:name w:val="footnote text"/>
    <w:basedOn w:val="Normal"/>
    <w:link w:val="FootnoteTextChar"/>
    <w:uiPriority w:val="99"/>
    <w:semiHidden/>
    <w:unhideWhenUsed/>
    <w:rsid w:val="004268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68A5"/>
    <w:rPr>
      <w:sz w:val="20"/>
      <w:szCs w:val="20"/>
    </w:rPr>
  </w:style>
  <w:style w:type="character" w:styleId="FootnoteReference">
    <w:name w:val="footnote reference"/>
    <w:basedOn w:val="DefaultParagraphFont"/>
    <w:uiPriority w:val="99"/>
    <w:semiHidden/>
    <w:unhideWhenUsed/>
    <w:rsid w:val="004268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5372">
      <w:bodyDiv w:val="1"/>
      <w:marLeft w:val="0"/>
      <w:marRight w:val="0"/>
      <w:marTop w:val="0"/>
      <w:marBottom w:val="0"/>
      <w:divBdr>
        <w:top w:val="none" w:sz="0" w:space="0" w:color="auto"/>
        <w:left w:val="none" w:sz="0" w:space="0" w:color="auto"/>
        <w:bottom w:val="none" w:sz="0" w:space="0" w:color="auto"/>
        <w:right w:val="none" w:sz="0" w:space="0" w:color="auto"/>
      </w:divBdr>
    </w:div>
    <w:div w:id="27028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t.colorado.edu/~heathwoo/phil1200,Spr07/singer.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b:Tag>
    <b:SourceType>Book</b:SourceType>
    <b:Guid>{11D27DC4-9151-437E-B483-9C4BC47EF9AB}</b:Guid>
    <b:Author>
      <b:Author>
        <b:NameList>
          <b:Person>
            <b:Last>Singer</b:Last>
            <b:First>Peter</b:First>
          </b:Person>
        </b:NameList>
      </b:Author>
    </b:Author>
    <b:Title>Animal Liberation</b:Title>
    <b:RefOrder>1</b:RefOrder>
  </b:Source>
</b:Sources>
</file>

<file path=customXml/itemProps1.xml><?xml version="1.0" encoding="utf-8"?>
<ds:datastoreItem xmlns:ds="http://schemas.openxmlformats.org/officeDocument/2006/customXml" ds:itemID="{C1F03099-6F2C-4CF6-A082-25DB6BB78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 Jamieson (1501527)</dc:creator>
  <cp:keywords/>
  <dc:description/>
  <cp:lastModifiedBy>Scot Jamieson (1501527)</cp:lastModifiedBy>
  <cp:revision>2</cp:revision>
  <dcterms:created xsi:type="dcterms:W3CDTF">2018-04-04T21:07:00Z</dcterms:created>
  <dcterms:modified xsi:type="dcterms:W3CDTF">2018-04-04T21:07:00Z</dcterms:modified>
</cp:coreProperties>
</file>