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9AB184" w14:textId="77777777" w:rsidR="006E4897" w:rsidRDefault="006E4897">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bookmarkStart w:id="0" w:name="_heading=h.69x0x6gfavnl" w:colFirst="0" w:colLast="0"/>
      <w:bookmarkEnd w:id="0"/>
    </w:p>
    <w:p w14:paraId="2B98E08F" w14:textId="77777777" w:rsidR="006E4897" w:rsidRDefault="006E4897">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22EB8BFE" w14:textId="77777777" w:rsidR="006E4897" w:rsidRDefault="006E4897">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41665209"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BA (HONS) LEADERSHIP AND MANAGEMENT SKILLS FOR THE WORKPLACE</w:t>
      </w:r>
    </w:p>
    <w:p w14:paraId="0D65F70B" w14:textId="77777777" w:rsidR="006E4897" w:rsidRDefault="006E4897">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1BC31752"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UNDERSTANDING AND ENGAGING STAKEHOLDERS</w:t>
      </w:r>
    </w:p>
    <w:p w14:paraId="266272B7"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 xml:space="preserve">LCLM5001 </w:t>
      </w:r>
    </w:p>
    <w:p w14:paraId="6754AC81" w14:textId="77777777" w:rsidR="006E4897" w:rsidRDefault="006E4897" w:rsidP="00D13DFC">
      <w:pPr>
        <w:pBdr>
          <w:top w:val="nil"/>
          <w:left w:val="nil"/>
          <w:bottom w:val="nil"/>
          <w:right w:val="nil"/>
          <w:between w:val="nil"/>
        </w:pBdr>
        <w:spacing w:line="360" w:lineRule="auto"/>
        <w:rPr>
          <w:rFonts w:ascii="Times New Roman" w:eastAsia="Times New Roman" w:hAnsi="Times New Roman" w:cs="Times New Roman"/>
          <w:b/>
          <w:color w:val="000000"/>
          <w:sz w:val="32"/>
          <w:szCs w:val="32"/>
        </w:rPr>
      </w:pPr>
    </w:p>
    <w:p w14:paraId="366AB378"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ASSIGNMENT TITLE: UNDERSTANDING THE IMPORTANCE OF STAKEHOLDER ENGAGEMENT IN THE SUCCESSFUL COMMENCEMENT AND COMPLETION OF VODAFONE’S WEARABLE HEALTH DEVICE PROJECT</w:t>
      </w:r>
    </w:p>
    <w:p w14:paraId="3673DDEF" w14:textId="77777777" w:rsidR="006E4897" w:rsidRDefault="006E4897">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1615DD6A"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STUDENT NAME:</w:t>
      </w:r>
      <w:r w:rsidR="00C40A50">
        <w:rPr>
          <w:rFonts w:ascii="Times New Roman" w:eastAsia="Times New Roman" w:hAnsi="Times New Roman" w:cs="Times New Roman"/>
          <w:b/>
          <w:color w:val="000000"/>
          <w:sz w:val="32"/>
          <w:szCs w:val="32"/>
        </w:rPr>
        <w:t xml:space="preserve"> Nicoleta Busu</w:t>
      </w:r>
    </w:p>
    <w:p w14:paraId="648CC1B2" w14:textId="5394E397" w:rsidR="006E4897" w:rsidRDefault="0007408C" w:rsidP="009D5DAF">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STUDENT ID:</w:t>
      </w:r>
      <w:r w:rsidR="00C40A50">
        <w:rPr>
          <w:rFonts w:ascii="Times New Roman" w:eastAsia="Times New Roman" w:hAnsi="Times New Roman" w:cs="Times New Roman"/>
          <w:b/>
          <w:color w:val="000000"/>
          <w:sz w:val="32"/>
          <w:szCs w:val="32"/>
        </w:rPr>
        <w:t xml:space="preserve"> 2025237</w:t>
      </w:r>
      <w:bookmarkStart w:id="1" w:name="_heading=h.kk0v48f79epg" w:colFirst="0" w:colLast="0"/>
      <w:bookmarkEnd w:id="1"/>
      <w:r>
        <w:br w:type="page"/>
      </w:r>
    </w:p>
    <w:p w14:paraId="06EFC5E6" w14:textId="77777777" w:rsidR="006E4897" w:rsidRDefault="0007408C">
      <w:pPr>
        <w:pStyle w:val="Titlu1"/>
        <w:spacing w:before="0" w:after="0" w:line="360" w:lineRule="auto"/>
        <w:jc w:val="center"/>
        <w:rPr>
          <w:rFonts w:ascii="Times New Roman" w:eastAsia="Times New Roman" w:hAnsi="Times New Roman" w:cs="Times New Roman"/>
          <w:b/>
          <w:sz w:val="28"/>
          <w:szCs w:val="28"/>
        </w:rPr>
      </w:pPr>
      <w:bookmarkStart w:id="2" w:name="_heading=h.4nbks9qd3up5" w:colFirst="0" w:colLast="0"/>
      <w:bookmarkEnd w:id="2"/>
      <w:r>
        <w:rPr>
          <w:rFonts w:ascii="Times New Roman" w:eastAsia="Times New Roman" w:hAnsi="Times New Roman" w:cs="Times New Roman"/>
          <w:b/>
          <w:sz w:val="28"/>
          <w:szCs w:val="28"/>
        </w:rPr>
        <w:t>Executive Summary</w:t>
      </w:r>
    </w:p>
    <w:p w14:paraId="3787C22D"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report assesses the essence of stakeholder involvement in the initiation and completion of the wearable health device project in Vodafone. Vodafone, a multinational telecommunications and digital technology company, is diversifying into the health technology industry by launching an advanced wearable gadget that can monitor heart rate, blood oxygen, and sleeping patterns. The project is part of the overall plan to use IoT, 5G, and AI for digital health, preventative and better health, which Vodafone is pursuing. Among the external and internal stakeholders, which the report highlights, are the R&amp;D teams, marketing, executives, regulators, healthcare providers, investors, customers, and NGOs. The engagement strategies were informed by models like the Power/Interest Grid developed by Mendelow, Stakeholder Theory developed by Freeman, the Salience Model developed by Mitchell, and the model of collaboration, which relies on 4Cs. These guaranteed transparency, accountability, and alignment within the six-month launch. The results show that proactive involvement leads towards innovation, quick time-to-market, regulator goodwill, investor conviction, and adoption, besides enhancing the reputation of Vodafone ESG. It is recommended to use digital platforms, feedback loops and KPI-based impact assessment. Finally, the innovation, competitive advantage, and long-term value creation are based on stakeholder engagement.</w:t>
      </w:r>
    </w:p>
    <w:p w14:paraId="6E3105F9"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br w:type="page"/>
      </w:r>
    </w:p>
    <w:p w14:paraId="69BF0230" w14:textId="77777777" w:rsidR="006E4897" w:rsidRDefault="006E489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5FC3D875"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TABLE OF CONTENTS</w:t>
      </w:r>
    </w:p>
    <w:p w14:paraId="7753E55B" w14:textId="77777777" w:rsidR="006E4897" w:rsidRDefault="006E4897">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p>
    <w:sdt>
      <w:sdtPr>
        <w:id w:val="883420345"/>
        <w:docPartObj>
          <w:docPartGallery w:val="Table of Contents"/>
          <w:docPartUnique/>
        </w:docPartObj>
      </w:sdtPr>
      <w:sdtEndPr/>
      <w:sdtContent>
        <w:p w14:paraId="6892C0A1" w14:textId="77777777" w:rsidR="006E4897" w:rsidRDefault="0007408C">
          <w:pPr>
            <w:widowControl w:val="0"/>
            <w:tabs>
              <w:tab w:val="right" w:leader="do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heading=h.4nbks9qd3up5">
            <w:r>
              <w:rPr>
                <w:rFonts w:ascii="Times New Roman" w:eastAsia="Times New Roman" w:hAnsi="Times New Roman" w:cs="Times New Roman"/>
                <w:b/>
                <w:color w:val="000000"/>
                <w:sz w:val="24"/>
                <w:szCs w:val="24"/>
              </w:rPr>
              <w:t>Executive Summary</w:t>
            </w:r>
            <w:r>
              <w:rPr>
                <w:rFonts w:ascii="Times New Roman" w:eastAsia="Times New Roman" w:hAnsi="Times New Roman" w:cs="Times New Roman"/>
                <w:b/>
                <w:color w:val="000000"/>
                <w:sz w:val="24"/>
                <w:szCs w:val="24"/>
              </w:rPr>
              <w:tab/>
              <w:t>2</w:t>
            </w:r>
          </w:hyperlink>
        </w:p>
        <w:p w14:paraId="60F4C1F8" w14:textId="77777777" w:rsidR="006E4897" w:rsidRDefault="0007408C">
          <w:pPr>
            <w:widowControl w:val="0"/>
            <w:tabs>
              <w:tab w:val="right" w:leader="dot" w:pos="12000"/>
            </w:tabs>
            <w:spacing w:before="60" w:line="240" w:lineRule="auto"/>
            <w:rPr>
              <w:b/>
              <w:color w:val="000000"/>
            </w:rPr>
          </w:pPr>
          <w:hyperlink w:anchor="_heading=h.d9zfe09bw2fd">
            <w:r>
              <w:rPr>
                <w:rFonts w:ascii="Times New Roman" w:eastAsia="Times New Roman" w:hAnsi="Times New Roman" w:cs="Times New Roman"/>
                <w:b/>
                <w:color w:val="000000"/>
                <w:sz w:val="24"/>
                <w:szCs w:val="24"/>
              </w:rPr>
              <w:t>1.0 Introduction to the Company</w:t>
            </w:r>
            <w:r>
              <w:rPr>
                <w:rFonts w:ascii="Times New Roman" w:eastAsia="Times New Roman" w:hAnsi="Times New Roman" w:cs="Times New Roman"/>
                <w:b/>
                <w:color w:val="000000"/>
                <w:sz w:val="24"/>
                <w:szCs w:val="24"/>
              </w:rPr>
              <w:tab/>
              <w:t>6</w:t>
            </w:r>
          </w:hyperlink>
        </w:p>
        <w:p w14:paraId="28C22CFF" w14:textId="77777777" w:rsidR="006E4897" w:rsidRDefault="0007408C">
          <w:pPr>
            <w:widowControl w:val="0"/>
            <w:tabs>
              <w:tab w:val="right" w:leader="dot" w:pos="12000"/>
            </w:tabs>
            <w:spacing w:before="60" w:line="240" w:lineRule="auto"/>
            <w:rPr>
              <w:b/>
              <w:color w:val="000000"/>
            </w:rPr>
          </w:pPr>
          <w:hyperlink w:anchor="_heading=h.fjpck0o0gpjh">
            <w:r>
              <w:rPr>
                <w:rFonts w:ascii="Times New Roman" w:eastAsia="Times New Roman" w:hAnsi="Times New Roman" w:cs="Times New Roman"/>
                <w:b/>
                <w:color w:val="000000"/>
                <w:sz w:val="24"/>
                <w:szCs w:val="24"/>
              </w:rPr>
              <w:t>2.0 Project Outline</w:t>
            </w:r>
            <w:r>
              <w:rPr>
                <w:rFonts w:ascii="Times New Roman" w:eastAsia="Times New Roman" w:hAnsi="Times New Roman" w:cs="Times New Roman"/>
                <w:b/>
                <w:color w:val="000000"/>
                <w:sz w:val="24"/>
                <w:szCs w:val="24"/>
              </w:rPr>
              <w:tab/>
              <w:t>6</w:t>
            </w:r>
          </w:hyperlink>
        </w:p>
        <w:p w14:paraId="3C450DAD" w14:textId="77777777" w:rsidR="006E4897" w:rsidRDefault="0007408C">
          <w:pPr>
            <w:widowControl w:val="0"/>
            <w:tabs>
              <w:tab w:val="right" w:leader="dot" w:pos="12000"/>
            </w:tabs>
            <w:spacing w:before="60" w:line="240" w:lineRule="auto"/>
            <w:ind w:left="360"/>
            <w:rPr>
              <w:color w:val="000000"/>
            </w:rPr>
          </w:pPr>
          <w:hyperlink w:anchor="_heading=h.llz3gc3e516a">
            <w:r>
              <w:rPr>
                <w:rFonts w:ascii="Times New Roman" w:eastAsia="Times New Roman" w:hAnsi="Times New Roman" w:cs="Times New Roman"/>
                <w:color w:val="000000"/>
                <w:sz w:val="24"/>
                <w:szCs w:val="24"/>
              </w:rPr>
              <w:t>2.1 Description of the Device</w:t>
            </w:r>
            <w:r>
              <w:rPr>
                <w:rFonts w:ascii="Times New Roman" w:eastAsia="Times New Roman" w:hAnsi="Times New Roman" w:cs="Times New Roman"/>
                <w:color w:val="000000"/>
                <w:sz w:val="24"/>
                <w:szCs w:val="24"/>
              </w:rPr>
              <w:tab/>
              <w:t>6</w:t>
            </w:r>
          </w:hyperlink>
        </w:p>
        <w:p w14:paraId="402A73EC" w14:textId="77777777" w:rsidR="006E4897" w:rsidRDefault="0007408C">
          <w:pPr>
            <w:widowControl w:val="0"/>
            <w:tabs>
              <w:tab w:val="right" w:leader="dot" w:pos="12000"/>
            </w:tabs>
            <w:spacing w:before="60" w:line="240" w:lineRule="auto"/>
            <w:ind w:left="360"/>
            <w:rPr>
              <w:color w:val="000000"/>
            </w:rPr>
          </w:pPr>
          <w:hyperlink w:anchor="_heading=h.uu6awelkkmzv">
            <w:r>
              <w:rPr>
                <w:rFonts w:ascii="Times New Roman" w:eastAsia="Times New Roman" w:hAnsi="Times New Roman" w:cs="Times New Roman"/>
                <w:color w:val="000000"/>
                <w:sz w:val="24"/>
                <w:szCs w:val="24"/>
              </w:rPr>
              <w:t>2.2 Six-Month Launch Timeline</w:t>
            </w:r>
            <w:r>
              <w:rPr>
                <w:rFonts w:ascii="Times New Roman" w:eastAsia="Times New Roman" w:hAnsi="Times New Roman" w:cs="Times New Roman"/>
                <w:color w:val="000000"/>
                <w:sz w:val="24"/>
                <w:szCs w:val="24"/>
              </w:rPr>
              <w:tab/>
              <w:t>6</w:t>
            </w:r>
          </w:hyperlink>
        </w:p>
        <w:p w14:paraId="37AE08EA" w14:textId="77777777" w:rsidR="006E4897" w:rsidRDefault="0007408C">
          <w:pPr>
            <w:widowControl w:val="0"/>
            <w:tabs>
              <w:tab w:val="right" w:leader="dot" w:pos="12000"/>
            </w:tabs>
            <w:spacing w:before="60" w:line="240" w:lineRule="auto"/>
            <w:ind w:left="360"/>
            <w:rPr>
              <w:color w:val="000000"/>
            </w:rPr>
          </w:pPr>
          <w:hyperlink w:anchor="_heading=h.gajfd7z7ew9">
            <w:r>
              <w:rPr>
                <w:rFonts w:ascii="Times New Roman" w:eastAsia="Times New Roman" w:hAnsi="Times New Roman" w:cs="Times New Roman"/>
                <w:color w:val="000000"/>
                <w:sz w:val="24"/>
                <w:szCs w:val="24"/>
              </w:rPr>
              <w:t>2.3 Strategic Alignment</w:t>
            </w:r>
            <w:r>
              <w:rPr>
                <w:rFonts w:ascii="Times New Roman" w:eastAsia="Times New Roman" w:hAnsi="Times New Roman" w:cs="Times New Roman"/>
                <w:color w:val="000000"/>
                <w:sz w:val="24"/>
                <w:szCs w:val="24"/>
              </w:rPr>
              <w:tab/>
              <w:t>7</w:t>
            </w:r>
          </w:hyperlink>
        </w:p>
        <w:p w14:paraId="2A98CD3B" w14:textId="77777777" w:rsidR="006E4897" w:rsidRDefault="0007408C">
          <w:pPr>
            <w:widowControl w:val="0"/>
            <w:tabs>
              <w:tab w:val="right" w:leader="dot" w:pos="12000"/>
            </w:tabs>
            <w:spacing w:before="60" w:line="240" w:lineRule="auto"/>
            <w:rPr>
              <w:b/>
              <w:color w:val="000000"/>
            </w:rPr>
          </w:pPr>
          <w:hyperlink w:anchor="_heading=h.yiyq3dz57pqh">
            <w:r>
              <w:rPr>
                <w:rFonts w:ascii="Times New Roman" w:eastAsia="Times New Roman" w:hAnsi="Times New Roman" w:cs="Times New Roman"/>
                <w:b/>
                <w:color w:val="000000"/>
                <w:sz w:val="24"/>
                <w:szCs w:val="24"/>
              </w:rPr>
              <w:t>3.0 Company Appraisal: Situational Analysis</w:t>
            </w:r>
            <w:r>
              <w:rPr>
                <w:rFonts w:ascii="Times New Roman" w:eastAsia="Times New Roman" w:hAnsi="Times New Roman" w:cs="Times New Roman"/>
                <w:b/>
                <w:color w:val="000000"/>
                <w:sz w:val="24"/>
                <w:szCs w:val="24"/>
              </w:rPr>
              <w:tab/>
              <w:t>8</w:t>
            </w:r>
          </w:hyperlink>
        </w:p>
        <w:p w14:paraId="43060A34" w14:textId="77777777" w:rsidR="006E4897" w:rsidRDefault="0007408C">
          <w:pPr>
            <w:widowControl w:val="0"/>
            <w:tabs>
              <w:tab w:val="right" w:leader="dot" w:pos="12000"/>
            </w:tabs>
            <w:spacing w:before="60" w:line="240" w:lineRule="auto"/>
            <w:ind w:left="360"/>
            <w:rPr>
              <w:color w:val="000000"/>
            </w:rPr>
          </w:pPr>
          <w:hyperlink w:anchor="_heading=h.mrrxtvvif1n">
            <w:r>
              <w:rPr>
                <w:rFonts w:ascii="Times New Roman" w:eastAsia="Times New Roman" w:hAnsi="Times New Roman" w:cs="Times New Roman"/>
                <w:color w:val="000000"/>
                <w:sz w:val="24"/>
                <w:szCs w:val="24"/>
              </w:rPr>
              <w:t>3.1 SWOT Analysis</w:t>
            </w:r>
            <w:r>
              <w:rPr>
                <w:rFonts w:ascii="Times New Roman" w:eastAsia="Times New Roman" w:hAnsi="Times New Roman" w:cs="Times New Roman"/>
                <w:color w:val="000000"/>
                <w:sz w:val="24"/>
                <w:szCs w:val="24"/>
              </w:rPr>
              <w:tab/>
              <w:t>8</w:t>
            </w:r>
          </w:hyperlink>
        </w:p>
        <w:p w14:paraId="59C24874" w14:textId="77777777" w:rsidR="006E4897" w:rsidRDefault="0007408C">
          <w:pPr>
            <w:widowControl w:val="0"/>
            <w:tabs>
              <w:tab w:val="right" w:leader="dot" w:pos="12000"/>
            </w:tabs>
            <w:spacing w:before="60" w:line="240" w:lineRule="auto"/>
            <w:ind w:left="360"/>
            <w:rPr>
              <w:color w:val="000000"/>
            </w:rPr>
          </w:pPr>
          <w:hyperlink w:anchor="_heading=h.ynd4sxjum69t">
            <w:r>
              <w:rPr>
                <w:rFonts w:ascii="Times New Roman" w:eastAsia="Times New Roman" w:hAnsi="Times New Roman" w:cs="Times New Roman"/>
                <w:color w:val="000000"/>
                <w:sz w:val="24"/>
                <w:szCs w:val="24"/>
              </w:rPr>
              <w:t>3.2 PESTLE Analysis</w:t>
            </w:r>
            <w:r>
              <w:rPr>
                <w:rFonts w:ascii="Times New Roman" w:eastAsia="Times New Roman" w:hAnsi="Times New Roman" w:cs="Times New Roman"/>
                <w:color w:val="000000"/>
                <w:sz w:val="24"/>
                <w:szCs w:val="24"/>
              </w:rPr>
              <w:tab/>
              <w:t>8</w:t>
            </w:r>
          </w:hyperlink>
        </w:p>
        <w:p w14:paraId="0D6262A2" w14:textId="77777777" w:rsidR="006E4897" w:rsidRDefault="0007408C">
          <w:pPr>
            <w:widowControl w:val="0"/>
            <w:tabs>
              <w:tab w:val="right" w:leader="dot" w:pos="12000"/>
            </w:tabs>
            <w:spacing w:before="60" w:line="240" w:lineRule="auto"/>
            <w:ind w:left="360"/>
            <w:rPr>
              <w:color w:val="000000"/>
            </w:rPr>
          </w:pPr>
          <w:hyperlink w:anchor="_heading=h.sfllg55bomwu">
            <w:r>
              <w:rPr>
                <w:rFonts w:ascii="Times New Roman" w:eastAsia="Times New Roman" w:hAnsi="Times New Roman" w:cs="Times New Roman"/>
                <w:color w:val="000000"/>
                <w:sz w:val="24"/>
                <w:szCs w:val="24"/>
              </w:rPr>
              <w:t>3.3 SMART Objectives</w:t>
            </w:r>
            <w:r>
              <w:rPr>
                <w:rFonts w:ascii="Times New Roman" w:eastAsia="Times New Roman" w:hAnsi="Times New Roman" w:cs="Times New Roman"/>
                <w:color w:val="000000"/>
                <w:sz w:val="24"/>
                <w:szCs w:val="24"/>
              </w:rPr>
              <w:tab/>
              <w:t>10</w:t>
            </w:r>
          </w:hyperlink>
        </w:p>
        <w:p w14:paraId="126EA830" w14:textId="77777777" w:rsidR="006E4897" w:rsidRDefault="0007408C">
          <w:pPr>
            <w:widowControl w:val="0"/>
            <w:tabs>
              <w:tab w:val="right" w:leader="dot" w:pos="12000"/>
            </w:tabs>
            <w:spacing w:before="60" w:line="240" w:lineRule="auto"/>
            <w:rPr>
              <w:b/>
              <w:color w:val="000000"/>
            </w:rPr>
          </w:pPr>
          <w:hyperlink w:anchor="_heading=h.yxj4eyoxafxr">
            <w:r>
              <w:rPr>
                <w:rFonts w:ascii="Times New Roman" w:eastAsia="Times New Roman" w:hAnsi="Times New Roman" w:cs="Times New Roman"/>
                <w:b/>
                <w:color w:val="000000"/>
                <w:sz w:val="24"/>
                <w:szCs w:val="24"/>
              </w:rPr>
              <w:t>4.0 Stakeholder Identification</w:t>
            </w:r>
            <w:r>
              <w:rPr>
                <w:rFonts w:ascii="Times New Roman" w:eastAsia="Times New Roman" w:hAnsi="Times New Roman" w:cs="Times New Roman"/>
                <w:b/>
                <w:color w:val="000000"/>
                <w:sz w:val="24"/>
                <w:szCs w:val="24"/>
              </w:rPr>
              <w:tab/>
              <w:t>11</w:t>
            </w:r>
          </w:hyperlink>
        </w:p>
        <w:p w14:paraId="3A36E9EB" w14:textId="77777777" w:rsidR="006E4897" w:rsidRDefault="0007408C">
          <w:pPr>
            <w:widowControl w:val="0"/>
            <w:tabs>
              <w:tab w:val="right" w:leader="dot" w:pos="12000"/>
            </w:tabs>
            <w:spacing w:before="60" w:line="240" w:lineRule="auto"/>
            <w:ind w:left="360"/>
            <w:rPr>
              <w:color w:val="000000"/>
            </w:rPr>
          </w:pPr>
          <w:hyperlink w:anchor="_heading=h.agzzjlnfjrxr">
            <w:r>
              <w:rPr>
                <w:rFonts w:ascii="Times New Roman" w:eastAsia="Times New Roman" w:hAnsi="Times New Roman" w:cs="Times New Roman"/>
                <w:color w:val="000000"/>
                <w:sz w:val="24"/>
                <w:szCs w:val="24"/>
              </w:rPr>
              <w:t>4.1 Internal Stakeholders</w:t>
            </w:r>
            <w:r>
              <w:rPr>
                <w:rFonts w:ascii="Times New Roman" w:eastAsia="Times New Roman" w:hAnsi="Times New Roman" w:cs="Times New Roman"/>
                <w:color w:val="000000"/>
                <w:sz w:val="24"/>
                <w:szCs w:val="24"/>
              </w:rPr>
              <w:tab/>
              <w:t>11</w:t>
            </w:r>
          </w:hyperlink>
        </w:p>
        <w:p w14:paraId="67B8A3DA" w14:textId="77777777" w:rsidR="006E4897" w:rsidRDefault="0007408C">
          <w:pPr>
            <w:widowControl w:val="0"/>
            <w:tabs>
              <w:tab w:val="right" w:leader="dot" w:pos="12000"/>
            </w:tabs>
            <w:spacing w:before="60" w:line="240" w:lineRule="auto"/>
            <w:ind w:left="720"/>
            <w:rPr>
              <w:color w:val="000000"/>
            </w:rPr>
          </w:pPr>
          <w:hyperlink w:anchor="_heading=h.qyk15yd0vky">
            <w:r>
              <w:rPr>
                <w:color w:val="000000"/>
              </w:rPr>
              <w:t>4.1.1 Internal Stakeholders' Roles and Responsibilities</w:t>
            </w:r>
            <w:r>
              <w:rPr>
                <w:color w:val="000000"/>
              </w:rPr>
              <w:tab/>
              <w:t>11</w:t>
            </w:r>
          </w:hyperlink>
        </w:p>
        <w:p w14:paraId="3172C6FA" w14:textId="77777777" w:rsidR="006E4897" w:rsidRDefault="0007408C">
          <w:pPr>
            <w:widowControl w:val="0"/>
            <w:tabs>
              <w:tab w:val="right" w:leader="dot" w:pos="12000"/>
            </w:tabs>
            <w:spacing w:before="60" w:line="240" w:lineRule="auto"/>
            <w:ind w:left="360"/>
            <w:rPr>
              <w:color w:val="000000"/>
            </w:rPr>
          </w:pPr>
          <w:hyperlink w:anchor="_heading=h.emgxurbfg5n8">
            <w:r>
              <w:rPr>
                <w:rFonts w:ascii="Times New Roman" w:eastAsia="Times New Roman" w:hAnsi="Times New Roman" w:cs="Times New Roman"/>
                <w:color w:val="000000"/>
                <w:sz w:val="24"/>
                <w:szCs w:val="24"/>
              </w:rPr>
              <w:t>4.2 External Stakeholders</w:t>
            </w:r>
            <w:r>
              <w:rPr>
                <w:rFonts w:ascii="Times New Roman" w:eastAsia="Times New Roman" w:hAnsi="Times New Roman" w:cs="Times New Roman"/>
                <w:color w:val="000000"/>
                <w:sz w:val="24"/>
                <w:szCs w:val="24"/>
              </w:rPr>
              <w:tab/>
              <w:t>12</w:t>
            </w:r>
          </w:hyperlink>
        </w:p>
        <w:p w14:paraId="1B482410" w14:textId="77777777" w:rsidR="006E4897" w:rsidRDefault="0007408C">
          <w:pPr>
            <w:widowControl w:val="0"/>
            <w:tabs>
              <w:tab w:val="right" w:leader="dot" w:pos="12000"/>
            </w:tabs>
            <w:spacing w:before="60" w:line="240" w:lineRule="auto"/>
            <w:ind w:left="720"/>
            <w:rPr>
              <w:color w:val="000000"/>
            </w:rPr>
          </w:pPr>
          <w:hyperlink w:anchor="_heading=h.i1mdlhx8uzl5">
            <w:r>
              <w:rPr>
                <w:rFonts w:ascii="Times New Roman" w:eastAsia="Times New Roman" w:hAnsi="Times New Roman" w:cs="Times New Roman"/>
                <w:color w:val="000000"/>
                <w:sz w:val="24"/>
                <w:szCs w:val="24"/>
              </w:rPr>
              <w:t>4.2.1 External Stakeholders' Roles &amp; Responsibilities</w:t>
            </w:r>
            <w:r>
              <w:rPr>
                <w:rFonts w:ascii="Times New Roman" w:eastAsia="Times New Roman" w:hAnsi="Times New Roman" w:cs="Times New Roman"/>
                <w:color w:val="000000"/>
                <w:sz w:val="24"/>
                <w:szCs w:val="24"/>
              </w:rPr>
              <w:tab/>
              <w:t>12</w:t>
            </w:r>
          </w:hyperlink>
        </w:p>
        <w:p w14:paraId="399C38FA" w14:textId="77777777" w:rsidR="006E4897" w:rsidRDefault="0007408C">
          <w:pPr>
            <w:widowControl w:val="0"/>
            <w:tabs>
              <w:tab w:val="right" w:leader="dot" w:pos="12000"/>
            </w:tabs>
            <w:spacing w:before="60" w:line="240" w:lineRule="auto"/>
            <w:ind w:left="360"/>
            <w:rPr>
              <w:color w:val="000000"/>
            </w:rPr>
          </w:pPr>
          <w:hyperlink w:anchor="_heading=h.qk73r87bo4zm">
            <w:r>
              <w:rPr>
                <w:rFonts w:ascii="Times New Roman" w:eastAsia="Times New Roman" w:hAnsi="Times New Roman" w:cs="Times New Roman"/>
                <w:color w:val="000000"/>
                <w:sz w:val="24"/>
                <w:szCs w:val="24"/>
              </w:rPr>
              <w:t>4.4 Benefits and Challenges—Theoretical Lens</w:t>
            </w:r>
            <w:r>
              <w:rPr>
                <w:rFonts w:ascii="Times New Roman" w:eastAsia="Times New Roman" w:hAnsi="Times New Roman" w:cs="Times New Roman"/>
                <w:color w:val="000000"/>
                <w:sz w:val="24"/>
                <w:szCs w:val="24"/>
              </w:rPr>
              <w:tab/>
              <w:t>13</w:t>
            </w:r>
          </w:hyperlink>
        </w:p>
        <w:p w14:paraId="3942AD61" w14:textId="77777777" w:rsidR="006E4897" w:rsidRDefault="0007408C">
          <w:pPr>
            <w:widowControl w:val="0"/>
            <w:tabs>
              <w:tab w:val="right" w:leader="dot" w:pos="12000"/>
            </w:tabs>
            <w:spacing w:before="60" w:line="240" w:lineRule="auto"/>
            <w:ind w:left="360"/>
            <w:rPr>
              <w:color w:val="000000"/>
            </w:rPr>
          </w:pPr>
          <w:hyperlink w:anchor="_heading=h.mpn2f6w29iyo">
            <w:r>
              <w:rPr>
                <w:rFonts w:ascii="Times New Roman" w:eastAsia="Times New Roman" w:hAnsi="Times New Roman" w:cs="Times New Roman"/>
                <w:b/>
                <w:color w:val="000000"/>
                <w:sz w:val="24"/>
                <w:szCs w:val="24"/>
              </w:rPr>
              <w:t>4.5 Frameworks, Models &amp; Theories for Stakeholder Engagement</w:t>
            </w:r>
            <w:r>
              <w:rPr>
                <w:rFonts w:ascii="Times New Roman" w:eastAsia="Times New Roman" w:hAnsi="Times New Roman" w:cs="Times New Roman"/>
                <w:b/>
                <w:color w:val="000000"/>
                <w:sz w:val="24"/>
                <w:szCs w:val="24"/>
              </w:rPr>
              <w:tab/>
              <w:t>14</w:t>
            </w:r>
          </w:hyperlink>
        </w:p>
        <w:p w14:paraId="4E0244EB" w14:textId="77777777" w:rsidR="006E4897" w:rsidRDefault="0007408C">
          <w:pPr>
            <w:widowControl w:val="0"/>
            <w:tabs>
              <w:tab w:val="right" w:leader="dot" w:pos="12000"/>
            </w:tabs>
            <w:spacing w:before="60" w:line="240" w:lineRule="auto"/>
            <w:ind w:left="720"/>
            <w:rPr>
              <w:color w:val="000000"/>
            </w:rPr>
          </w:pPr>
          <w:hyperlink w:anchor="_heading=h.ejpi4fqdvzep">
            <w:r>
              <w:rPr>
                <w:rFonts w:ascii="Times New Roman" w:eastAsia="Times New Roman" w:hAnsi="Times New Roman" w:cs="Times New Roman"/>
                <w:color w:val="000000"/>
                <w:sz w:val="24"/>
                <w:szCs w:val="24"/>
              </w:rPr>
              <w:t>4.5.1 Stakeholder Matrix</w:t>
            </w:r>
            <w:r>
              <w:rPr>
                <w:rFonts w:ascii="Times New Roman" w:eastAsia="Times New Roman" w:hAnsi="Times New Roman" w:cs="Times New Roman"/>
                <w:color w:val="000000"/>
                <w:sz w:val="24"/>
                <w:szCs w:val="24"/>
              </w:rPr>
              <w:tab/>
              <w:t>14</w:t>
            </w:r>
          </w:hyperlink>
        </w:p>
        <w:p w14:paraId="481ACDAD" w14:textId="77777777" w:rsidR="006E4897" w:rsidRDefault="0007408C">
          <w:pPr>
            <w:widowControl w:val="0"/>
            <w:tabs>
              <w:tab w:val="right" w:leader="dot" w:pos="12000"/>
            </w:tabs>
            <w:spacing w:before="60" w:line="240" w:lineRule="auto"/>
            <w:ind w:left="360"/>
            <w:rPr>
              <w:color w:val="000000"/>
            </w:rPr>
          </w:pPr>
          <w:hyperlink w:anchor="_heading=h.wqljr1yolqdd">
            <w:r>
              <w:rPr>
                <w:rFonts w:ascii="Times New Roman" w:eastAsia="Times New Roman" w:hAnsi="Times New Roman" w:cs="Times New Roman"/>
                <w:b/>
                <w:color w:val="000000"/>
                <w:sz w:val="24"/>
                <w:szCs w:val="24"/>
              </w:rPr>
              <w:t>4.6 Engagement Plan</w:t>
            </w:r>
            <w:r>
              <w:rPr>
                <w:rFonts w:ascii="Times New Roman" w:eastAsia="Times New Roman" w:hAnsi="Times New Roman" w:cs="Times New Roman"/>
                <w:b/>
                <w:color w:val="000000"/>
                <w:sz w:val="24"/>
                <w:szCs w:val="24"/>
              </w:rPr>
              <w:tab/>
              <w:t>15</w:t>
            </w:r>
          </w:hyperlink>
        </w:p>
        <w:p w14:paraId="47514BAD" w14:textId="77777777" w:rsidR="006E4897" w:rsidRDefault="0007408C">
          <w:pPr>
            <w:widowControl w:val="0"/>
            <w:tabs>
              <w:tab w:val="right" w:leader="dot" w:pos="12000"/>
            </w:tabs>
            <w:spacing w:before="60" w:line="240" w:lineRule="auto"/>
            <w:ind w:left="360"/>
            <w:rPr>
              <w:color w:val="000000"/>
            </w:rPr>
          </w:pPr>
          <w:hyperlink w:anchor="_heading=h.sllpqixrbho4">
            <w:r>
              <w:rPr>
                <w:rFonts w:ascii="Times New Roman" w:eastAsia="Times New Roman" w:hAnsi="Times New Roman" w:cs="Times New Roman"/>
                <w:b/>
                <w:color w:val="000000"/>
                <w:sz w:val="24"/>
                <w:szCs w:val="24"/>
              </w:rPr>
              <w:t>4.7 Communication Plan</w:t>
            </w:r>
            <w:r>
              <w:rPr>
                <w:rFonts w:ascii="Times New Roman" w:eastAsia="Times New Roman" w:hAnsi="Times New Roman" w:cs="Times New Roman"/>
                <w:b/>
                <w:color w:val="000000"/>
                <w:sz w:val="24"/>
                <w:szCs w:val="24"/>
              </w:rPr>
              <w:tab/>
              <w:t>15</w:t>
            </w:r>
          </w:hyperlink>
        </w:p>
        <w:p w14:paraId="14D0FFEC" w14:textId="77777777" w:rsidR="006E4897" w:rsidRDefault="0007408C">
          <w:pPr>
            <w:widowControl w:val="0"/>
            <w:tabs>
              <w:tab w:val="right" w:leader="dot" w:pos="12000"/>
            </w:tabs>
            <w:spacing w:before="60" w:line="240" w:lineRule="auto"/>
            <w:ind w:left="360"/>
            <w:rPr>
              <w:color w:val="000000"/>
            </w:rPr>
          </w:pPr>
          <w:hyperlink w:anchor="_heading=h.6rrgrutkciw8">
            <w:r>
              <w:rPr>
                <w:rFonts w:ascii="Times New Roman" w:eastAsia="Times New Roman" w:hAnsi="Times New Roman" w:cs="Times New Roman"/>
                <w:b/>
                <w:color w:val="000000"/>
                <w:sz w:val="24"/>
                <w:szCs w:val="24"/>
              </w:rPr>
              <w:t>4.8 RACI Matrix</w:t>
            </w:r>
            <w:r>
              <w:rPr>
                <w:rFonts w:ascii="Times New Roman" w:eastAsia="Times New Roman" w:hAnsi="Times New Roman" w:cs="Times New Roman"/>
                <w:b/>
                <w:color w:val="000000"/>
                <w:sz w:val="24"/>
                <w:szCs w:val="24"/>
              </w:rPr>
              <w:tab/>
              <w:t>16</w:t>
            </w:r>
          </w:hyperlink>
        </w:p>
        <w:p w14:paraId="30F6AC92" w14:textId="77777777" w:rsidR="006E4897" w:rsidRDefault="0007408C">
          <w:pPr>
            <w:widowControl w:val="0"/>
            <w:tabs>
              <w:tab w:val="right" w:leader="dot" w:pos="12000"/>
            </w:tabs>
            <w:spacing w:before="60" w:line="240" w:lineRule="auto"/>
            <w:rPr>
              <w:b/>
              <w:color w:val="000000"/>
            </w:rPr>
          </w:pPr>
          <w:hyperlink w:anchor="_heading=h.stw78kuvm6q5">
            <w:r>
              <w:rPr>
                <w:rFonts w:ascii="Times New Roman" w:eastAsia="Times New Roman" w:hAnsi="Times New Roman" w:cs="Times New Roman"/>
                <w:b/>
                <w:color w:val="000000"/>
                <w:sz w:val="24"/>
                <w:szCs w:val="24"/>
              </w:rPr>
              <w:t>5.0 Stakeholder Engagement Process &amp; Conflict Management</w:t>
            </w:r>
            <w:r>
              <w:rPr>
                <w:rFonts w:ascii="Times New Roman" w:eastAsia="Times New Roman" w:hAnsi="Times New Roman" w:cs="Times New Roman"/>
                <w:b/>
                <w:color w:val="000000"/>
                <w:sz w:val="24"/>
                <w:szCs w:val="24"/>
              </w:rPr>
              <w:tab/>
              <w:t>17</w:t>
            </w:r>
          </w:hyperlink>
        </w:p>
        <w:p w14:paraId="02471A7C" w14:textId="77777777" w:rsidR="006E4897" w:rsidRDefault="0007408C">
          <w:pPr>
            <w:widowControl w:val="0"/>
            <w:tabs>
              <w:tab w:val="right" w:leader="dot" w:pos="12000"/>
            </w:tabs>
            <w:spacing w:before="60" w:line="240" w:lineRule="auto"/>
            <w:ind w:left="360"/>
            <w:rPr>
              <w:color w:val="000000"/>
            </w:rPr>
          </w:pPr>
          <w:hyperlink w:anchor="_heading=h.rb8b553vnfra">
            <w:r>
              <w:rPr>
                <w:rFonts w:ascii="Times New Roman" w:eastAsia="Times New Roman" w:hAnsi="Times New Roman" w:cs="Times New Roman"/>
                <w:color w:val="000000"/>
                <w:sz w:val="24"/>
                <w:szCs w:val="24"/>
              </w:rPr>
              <w:t>5.1 Establishing Communication Protocols</w:t>
            </w:r>
            <w:r>
              <w:rPr>
                <w:rFonts w:ascii="Times New Roman" w:eastAsia="Times New Roman" w:hAnsi="Times New Roman" w:cs="Times New Roman"/>
                <w:color w:val="000000"/>
                <w:sz w:val="24"/>
                <w:szCs w:val="24"/>
              </w:rPr>
              <w:tab/>
              <w:t>17</w:t>
            </w:r>
          </w:hyperlink>
        </w:p>
        <w:p w14:paraId="7CCFB86C" w14:textId="77777777" w:rsidR="006E4897" w:rsidRDefault="0007408C">
          <w:pPr>
            <w:widowControl w:val="0"/>
            <w:tabs>
              <w:tab w:val="right" w:leader="dot" w:pos="12000"/>
            </w:tabs>
            <w:spacing w:before="60" w:line="240" w:lineRule="auto"/>
            <w:ind w:left="360"/>
            <w:rPr>
              <w:color w:val="000000"/>
            </w:rPr>
          </w:pPr>
          <w:hyperlink w:anchor="_heading=h.34anbt3ko726">
            <w:r>
              <w:rPr>
                <w:rFonts w:ascii="Times New Roman" w:eastAsia="Times New Roman" w:hAnsi="Times New Roman" w:cs="Times New Roman"/>
                <w:color w:val="000000"/>
                <w:sz w:val="24"/>
                <w:szCs w:val="24"/>
              </w:rPr>
              <w:t>5.2 Aligning Expectations</w:t>
            </w:r>
            <w:r>
              <w:rPr>
                <w:rFonts w:ascii="Times New Roman" w:eastAsia="Times New Roman" w:hAnsi="Times New Roman" w:cs="Times New Roman"/>
                <w:color w:val="000000"/>
                <w:sz w:val="24"/>
                <w:szCs w:val="24"/>
              </w:rPr>
              <w:tab/>
              <w:t>17</w:t>
            </w:r>
          </w:hyperlink>
        </w:p>
        <w:p w14:paraId="47E2FBFA" w14:textId="77777777" w:rsidR="006E4897" w:rsidRDefault="0007408C">
          <w:pPr>
            <w:widowControl w:val="0"/>
            <w:tabs>
              <w:tab w:val="right" w:leader="dot" w:pos="12000"/>
            </w:tabs>
            <w:spacing w:before="60" w:line="240" w:lineRule="auto"/>
            <w:ind w:left="360"/>
            <w:rPr>
              <w:color w:val="000000"/>
            </w:rPr>
          </w:pPr>
          <w:hyperlink w:anchor="_heading=h.jm9pv6swico">
            <w:r>
              <w:rPr>
                <w:rFonts w:ascii="Times New Roman" w:eastAsia="Times New Roman" w:hAnsi="Times New Roman" w:cs="Times New Roman"/>
                <w:color w:val="000000"/>
                <w:sz w:val="24"/>
                <w:szCs w:val="24"/>
              </w:rPr>
              <w:t>5.3 Ensuring Regulatory Compliance</w:t>
            </w:r>
            <w:r>
              <w:rPr>
                <w:rFonts w:ascii="Times New Roman" w:eastAsia="Times New Roman" w:hAnsi="Times New Roman" w:cs="Times New Roman"/>
                <w:color w:val="000000"/>
                <w:sz w:val="24"/>
                <w:szCs w:val="24"/>
              </w:rPr>
              <w:tab/>
              <w:t>17</w:t>
            </w:r>
          </w:hyperlink>
        </w:p>
        <w:p w14:paraId="69E97012" w14:textId="77777777" w:rsidR="006E4897" w:rsidRDefault="0007408C">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heading=h.ie1suyz6orbe">
            <w:r>
              <w:rPr>
                <w:rFonts w:ascii="Times New Roman" w:eastAsia="Times New Roman" w:hAnsi="Times New Roman" w:cs="Times New Roman"/>
                <w:color w:val="000000"/>
                <w:sz w:val="24"/>
                <w:szCs w:val="24"/>
              </w:rPr>
              <w:t>5.4 Applying 4’C Model</w:t>
            </w:r>
            <w:r>
              <w:rPr>
                <w:rFonts w:ascii="Times New Roman" w:eastAsia="Times New Roman" w:hAnsi="Times New Roman" w:cs="Times New Roman"/>
                <w:color w:val="000000"/>
                <w:sz w:val="24"/>
                <w:szCs w:val="24"/>
              </w:rPr>
              <w:tab/>
              <w:t>18</w:t>
            </w:r>
          </w:hyperlink>
        </w:p>
        <w:p w14:paraId="3B7D62F7" w14:textId="77777777" w:rsidR="006E4897" w:rsidRDefault="0007408C">
          <w:pPr>
            <w:widowControl w:val="0"/>
            <w:tabs>
              <w:tab w:val="right" w:leader="dot" w:pos="12000"/>
            </w:tabs>
            <w:spacing w:before="60" w:line="240" w:lineRule="auto"/>
            <w:rPr>
              <w:b/>
              <w:color w:val="000000"/>
            </w:rPr>
          </w:pPr>
          <w:hyperlink w:anchor="_heading=h.bgcazt309az">
            <w:r>
              <w:rPr>
                <w:rFonts w:ascii="Times New Roman" w:eastAsia="Times New Roman" w:hAnsi="Times New Roman" w:cs="Times New Roman"/>
                <w:b/>
                <w:color w:val="000000"/>
                <w:sz w:val="24"/>
                <w:szCs w:val="24"/>
              </w:rPr>
              <w:t>6.0 Evaluation of Stakeholder Engagement Impact</w:t>
            </w:r>
            <w:r>
              <w:rPr>
                <w:rFonts w:ascii="Times New Roman" w:eastAsia="Times New Roman" w:hAnsi="Times New Roman" w:cs="Times New Roman"/>
                <w:b/>
                <w:color w:val="000000"/>
                <w:sz w:val="24"/>
                <w:szCs w:val="24"/>
              </w:rPr>
              <w:tab/>
              <w:t>21</w:t>
            </w:r>
          </w:hyperlink>
        </w:p>
        <w:p w14:paraId="544A844E" w14:textId="77777777" w:rsidR="006E4897" w:rsidRDefault="0007408C">
          <w:pPr>
            <w:widowControl w:val="0"/>
            <w:tabs>
              <w:tab w:val="right" w:leader="dot" w:pos="12000"/>
            </w:tabs>
            <w:spacing w:before="60" w:line="240" w:lineRule="auto"/>
            <w:ind w:left="360"/>
            <w:rPr>
              <w:color w:val="000000"/>
            </w:rPr>
          </w:pPr>
          <w:hyperlink w:anchor="_heading=h.3025djjqmzcg">
            <w:r>
              <w:rPr>
                <w:rFonts w:ascii="Times New Roman" w:eastAsia="Times New Roman" w:hAnsi="Times New Roman" w:cs="Times New Roman"/>
                <w:color w:val="000000"/>
                <w:sz w:val="24"/>
                <w:szCs w:val="24"/>
              </w:rPr>
              <w:t>6.1 Business Performance Benefits</w:t>
            </w:r>
            <w:r>
              <w:rPr>
                <w:rFonts w:ascii="Times New Roman" w:eastAsia="Times New Roman" w:hAnsi="Times New Roman" w:cs="Times New Roman"/>
                <w:color w:val="000000"/>
                <w:sz w:val="24"/>
                <w:szCs w:val="24"/>
              </w:rPr>
              <w:tab/>
              <w:t>21</w:t>
            </w:r>
          </w:hyperlink>
        </w:p>
        <w:p w14:paraId="49C297BA" w14:textId="77777777" w:rsidR="006E4897" w:rsidRDefault="0007408C">
          <w:pPr>
            <w:widowControl w:val="0"/>
            <w:tabs>
              <w:tab w:val="right" w:leader="dot" w:pos="12000"/>
            </w:tabs>
            <w:spacing w:before="60" w:line="240" w:lineRule="auto"/>
            <w:ind w:left="360"/>
            <w:rPr>
              <w:color w:val="000000"/>
            </w:rPr>
          </w:pPr>
          <w:hyperlink w:anchor="_heading=h.yj8hjy7d3u9v">
            <w:r>
              <w:rPr>
                <w:rFonts w:ascii="Times New Roman" w:eastAsia="Times New Roman" w:hAnsi="Times New Roman" w:cs="Times New Roman"/>
                <w:color w:val="000000"/>
                <w:sz w:val="24"/>
                <w:szCs w:val="24"/>
              </w:rPr>
              <w:t>6.2 Challenges if Engagement Fails</w:t>
            </w:r>
            <w:r>
              <w:rPr>
                <w:rFonts w:ascii="Times New Roman" w:eastAsia="Times New Roman" w:hAnsi="Times New Roman" w:cs="Times New Roman"/>
                <w:color w:val="000000"/>
                <w:sz w:val="24"/>
                <w:szCs w:val="24"/>
              </w:rPr>
              <w:tab/>
              <w:t>21</w:t>
            </w:r>
          </w:hyperlink>
        </w:p>
        <w:p w14:paraId="494389EB" w14:textId="77777777" w:rsidR="006E4897" w:rsidRDefault="0007408C">
          <w:pPr>
            <w:widowControl w:val="0"/>
            <w:tabs>
              <w:tab w:val="right" w:leader="dot" w:pos="12000"/>
            </w:tabs>
            <w:spacing w:before="60" w:line="240" w:lineRule="auto"/>
            <w:ind w:left="360"/>
            <w:rPr>
              <w:color w:val="000000"/>
            </w:rPr>
          </w:pPr>
          <w:hyperlink w:anchor="_heading=h.cu82todg89ki">
            <w:r>
              <w:rPr>
                <w:rFonts w:ascii="Times New Roman" w:eastAsia="Times New Roman" w:hAnsi="Times New Roman" w:cs="Times New Roman"/>
                <w:color w:val="000000"/>
                <w:sz w:val="24"/>
                <w:szCs w:val="24"/>
              </w:rPr>
              <w:t>6.3 Recommendations for Future Stakeholder Engagement</w:t>
            </w:r>
            <w:r>
              <w:rPr>
                <w:rFonts w:ascii="Times New Roman" w:eastAsia="Times New Roman" w:hAnsi="Times New Roman" w:cs="Times New Roman"/>
                <w:color w:val="000000"/>
                <w:sz w:val="24"/>
                <w:szCs w:val="24"/>
              </w:rPr>
              <w:tab/>
              <w:t>22</w:t>
            </w:r>
          </w:hyperlink>
        </w:p>
        <w:p w14:paraId="3F0EE3EC" w14:textId="77777777" w:rsidR="006E4897" w:rsidRDefault="0007408C">
          <w:pPr>
            <w:widowControl w:val="0"/>
            <w:tabs>
              <w:tab w:val="right" w:leader="dot" w:pos="12000"/>
            </w:tabs>
            <w:spacing w:before="60" w:line="240" w:lineRule="auto"/>
            <w:rPr>
              <w:b/>
              <w:color w:val="000000"/>
            </w:rPr>
          </w:pPr>
          <w:hyperlink w:anchor="_heading=h.44ethtbi3vjw">
            <w:r>
              <w:rPr>
                <w:rFonts w:ascii="Times New Roman" w:eastAsia="Times New Roman" w:hAnsi="Times New Roman" w:cs="Times New Roman"/>
                <w:b/>
                <w:color w:val="000000"/>
                <w:sz w:val="24"/>
                <w:szCs w:val="24"/>
              </w:rPr>
              <w:t>7.0 Conclusion</w:t>
            </w:r>
            <w:r>
              <w:rPr>
                <w:rFonts w:ascii="Times New Roman" w:eastAsia="Times New Roman" w:hAnsi="Times New Roman" w:cs="Times New Roman"/>
                <w:b/>
                <w:color w:val="000000"/>
                <w:sz w:val="24"/>
                <w:szCs w:val="24"/>
              </w:rPr>
              <w:tab/>
              <w:t>23</w:t>
            </w:r>
          </w:hyperlink>
        </w:p>
        <w:p w14:paraId="394AAFA0" w14:textId="77777777" w:rsidR="006E4897" w:rsidRDefault="0007408C">
          <w:pPr>
            <w:widowControl w:val="0"/>
            <w:tabs>
              <w:tab w:val="right" w:leader="dot" w:pos="12000"/>
            </w:tabs>
            <w:spacing w:before="60" w:line="240" w:lineRule="auto"/>
            <w:rPr>
              <w:b/>
              <w:color w:val="000000"/>
            </w:rPr>
          </w:pPr>
          <w:hyperlink w:anchor="_heading=h.qbuglbco2h6d">
            <w:r>
              <w:rPr>
                <w:rFonts w:ascii="Times New Roman" w:eastAsia="Times New Roman" w:hAnsi="Times New Roman" w:cs="Times New Roman"/>
                <w:b/>
                <w:color w:val="000000"/>
                <w:sz w:val="24"/>
                <w:szCs w:val="24"/>
              </w:rPr>
              <w:t>8.0 Reference List</w:t>
            </w:r>
            <w:r>
              <w:rPr>
                <w:rFonts w:ascii="Times New Roman" w:eastAsia="Times New Roman" w:hAnsi="Times New Roman" w:cs="Times New Roman"/>
                <w:b/>
                <w:color w:val="000000"/>
                <w:sz w:val="24"/>
                <w:szCs w:val="24"/>
              </w:rPr>
              <w:tab/>
              <w:t>24</w:t>
            </w:r>
          </w:hyperlink>
          <w:r>
            <w:fldChar w:fldCharType="end"/>
          </w:r>
        </w:p>
      </w:sdtContent>
    </w:sdt>
    <w:p w14:paraId="01404D45" w14:textId="77777777" w:rsidR="006E4897" w:rsidRDefault="006E4897">
      <w:pPr>
        <w:pBdr>
          <w:top w:val="nil"/>
          <w:left w:val="nil"/>
          <w:bottom w:val="nil"/>
          <w:right w:val="nil"/>
          <w:between w:val="nil"/>
        </w:pBdr>
        <w:spacing w:line="360" w:lineRule="auto"/>
        <w:rPr>
          <w:rFonts w:ascii="Times New Roman" w:eastAsia="Times New Roman" w:hAnsi="Times New Roman" w:cs="Times New Roman"/>
          <w:b/>
          <w:color w:val="000000"/>
          <w:sz w:val="24"/>
          <w:szCs w:val="24"/>
        </w:rPr>
      </w:pPr>
    </w:p>
    <w:p w14:paraId="1AE0EFC3" w14:textId="77777777" w:rsidR="006E4897" w:rsidRDefault="0007408C">
      <w:pPr>
        <w:pBdr>
          <w:top w:val="nil"/>
          <w:left w:val="nil"/>
          <w:bottom w:val="nil"/>
          <w:right w:val="nil"/>
          <w:between w:val="nil"/>
        </w:pBdr>
        <w:spacing w:line="360" w:lineRule="auto"/>
        <w:rPr>
          <w:rFonts w:ascii="Times New Roman" w:eastAsia="Times New Roman" w:hAnsi="Times New Roman" w:cs="Times New Roman"/>
          <w:b/>
          <w:color w:val="000000"/>
          <w:sz w:val="28"/>
          <w:szCs w:val="28"/>
        </w:rPr>
      </w:pPr>
      <w:r>
        <w:br w:type="page"/>
      </w:r>
    </w:p>
    <w:p w14:paraId="425ADF50"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8"/>
          <w:szCs w:val="28"/>
        </w:rPr>
        <w:t>LIST OF FIGURES</w:t>
      </w:r>
    </w:p>
    <w:sdt>
      <w:sdtPr>
        <w:id w:val="631732561"/>
        <w:docPartObj>
          <w:docPartGallery w:val="Table of Contents"/>
          <w:docPartUnique/>
        </w:docPartObj>
      </w:sdtPr>
      <w:sdtEndPr/>
      <w:sdtContent>
        <w:p w14:paraId="3335CC61" w14:textId="77777777" w:rsidR="006E4897" w:rsidRDefault="0007408C">
          <w:pPr>
            <w:widowControl w:val="0"/>
            <w:tabs>
              <w:tab w:val="right" w:leader="dot" w:pos="12000"/>
            </w:tabs>
            <w:spacing w:before="6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g1dacjr6nk8">
            <w:r>
              <w:rPr>
                <w:rFonts w:ascii="Times New Roman" w:eastAsia="Times New Roman" w:hAnsi="Times New Roman" w:cs="Times New Roman"/>
                <w:color w:val="000000"/>
                <w:sz w:val="24"/>
                <w:szCs w:val="24"/>
              </w:rPr>
              <w:t>Fig 1: Stakeholder Matrix</w:t>
            </w:r>
            <w:r>
              <w:rPr>
                <w:rFonts w:ascii="Times New Roman" w:eastAsia="Times New Roman" w:hAnsi="Times New Roman" w:cs="Times New Roman"/>
                <w:color w:val="000000"/>
                <w:sz w:val="24"/>
                <w:szCs w:val="24"/>
              </w:rPr>
              <w:tab/>
              <w:t>14</w:t>
            </w:r>
          </w:hyperlink>
        </w:p>
        <w:p w14:paraId="31EE6BF9" w14:textId="77777777" w:rsidR="006E4897" w:rsidRDefault="0007408C">
          <w:pPr>
            <w:widowControl w:val="0"/>
            <w:tabs>
              <w:tab w:val="right" w:leader="dot" w:pos="12000"/>
            </w:tabs>
            <w:spacing w:before="60" w:line="360" w:lineRule="auto"/>
            <w:rPr>
              <w:rFonts w:ascii="Times New Roman" w:eastAsia="Times New Roman" w:hAnsi="Times New Roman" w:cs="Times New Roman"/>
              <w:color w:val="000000"/>
              <w:sz w:val="24"/>
              <w:szCs w:val="24"/>
            </w:rPr>
          </w:pPr>
          <w:hyperlink w:anchor="_heading=h.ne97n2hotu0j">
            <w:r>
              <w:rPr>
                <w:rFonts w:ascii="Times New Roman" w:eastAsia="Times New Roman" w:hAnsi="Times New Roman" w:cs="Times New Roman"/>
                <w:color w:val="000000"/>
                <w:sz w:val="24"/>
                <w:szCs w:val="24"/>
              </w:rPr>
              <w:t>Fig 2: 4C Framework</w:t>
            </w:r>
            <w:r>
              <w:rPr>
                <w:rFonts w:ascii="Times New Roman" w:eastAsia="Times New Roman" w:hAnsi="Times New Roman" w:cs="Times New Roman"/>
                <w:color w:val="000000"/>
                <w:sz w:val="24"/>
                <w:szCs w:val="24"/>
              </w:rPr>
              <w:tab/>
              <w:t>18</w:t>
            </w:r>
          </w:hyperlink>
        </w:p>
        <w:p w14:paraId="22B0F4EB" w14:textId="77777777" w:rsidR="006E4897" w:rsidRDefault="0007408C">
          <w:pPr>
            <w:widowControl w:val="0"/>
            <w:tabs>
              <w:tab w:val="right" w:leader="dot" w:pos="12000"/>
            </w:tabs>
            <w:spacing w:before="60" w:line="360" w:lineRule="auto"/>
            <w:rPr>
              <w:rFonts w:ascii="Times New Roman" w:eastAsia="Times New Roman" w:hAnsi="Times New Roman" w:cs="Times New Roman"/>
              <w:color w:val="000000"/>
              <w:sz w:val="24"/>
              <w:szCs w:val="24"/>
            </w:rPr>
          </w:pPr>
          <w:hyperlink w:anchor="_heading=h.yq2dtxfq2m7j">
            <w:r>
              <w:rPr>
                <w:rFonts w:ascii="Times New Roman" w:eastAsia="Times New Roman" w:hAnsi="Times New Roman" w:cs="Times New Roman"/>
                <w:color w:val="000000"/>
                <w:sz w:val="24"/>
                <w:szCs w:val="24"/>
              </w:rPr>
              <w:t xml:space="preserve">Fig </w:t>
            </w:r>
          </w:hyperlink>
          <w:hyperlink w:anchor="_heading=h.yq2dtxfq2m7j">
            <w:r>
              <w:rPr>
                <w:rFonts w:ascii="Times New Roman" w:eastAsia="Times New Roman" w:hAnsi="Times New Roman" w:cs="Times New Roman"/>
                <w:sz w:val="24"/>
                <w:szCs w:val="24"/>
              </w:rPr>
              <w:t>3</w:t>
            </w:r>
          </w:hyperlink>
          <w:hyperlink w:anchor="_heading=h.yq2dtxfq2m7j">
            <w:r>
              <w:rPr>
                <w:rFonts w:ascii="Times New Roman" w:eastAsia="Times New Roman" w:hAnsi="Times New Roman" w:cs="Times New Roman"/>
                <w:color w:val="000000"/>
                <w:sz w:val="24"/>
                <w:szCs w:val="24"/>
              </w:rPr>
              <w:t>: Communication</w:t>
            </w:r>
            <w:r>
              <w:rPr>
                <w:rFonts w:ascii="Times New Roman" w:eastAsia="Times New Roman" w:hAnsi="Times New Roman" w:cs="Times New Roman"/>
                <w:color w:val="000000"/>
                <w:sz w:val="24"/>
                <w:szCs w:val="24"/>
              </w:rPr>
              <w:tab/>
              <w:t>18</w:t>
            </w:r>
          </w:hyperlink>
        </w:p>
        <w:p w14:paraId="79B09D74" w14:textId="77777777" w:rsidR="006E4897" w:rsidRDefault="0007408C">
          <w:pPr>
            <w:widowControl w:val="0"/>
            <w:tabs>
              <w:tab w:val="right" w:leader="dot" w:pos="12000"/>
            </w:tabs>
            <w:spacing w:before="60" w:line="360" w:lineRule="auto"/>
            <w:rPr>
              <w:rFonts w:ascii="Times New Roman" w:eastAsia="Times New Roman" w:hAnsi="Times New Roman" w:cs="Times New Roman"/>
              <w:b/>
              <w:color w:val="000000"/>
              <w:sz w:val="24"/>
              <w:szCs w:val="24"/>
            </w:rPr>
          </w:pPr>
          <w:hyperlink w:anchor="_heading=h.y7liz7128hpt">
            <w:r>
              <w:rPr>
                <w:rFonts w:ascii="Times New Roman" w:eastAsia="Times New Roman" w:hAnsi="Times New Roman" w:cs="Times New Roman"/>
                <w:color w:val="000000"/>
                <w:sz w:val="24"/>
                <w:szCs w:val="24"/>
              </w:rPr>
              <w:t xml:space="preserve">Fig </w:t>
            </w:r>
          </w:hyperlink>
          <w:hyperlink w:anchor="_heading=h.y7liz7128hpt">
            <w:r>
              <w:rPr>
                <w:rFonts w:ascii="Times New Roman" w:eastAsia="Times New Roman" w:hAnsi="Times New Roman" w:cs="Times New Roman"/>
                <w:sz w:val="24"/>
                <w:szCs w:val="24"/>
              </w:rPr>
              <w:t>4</w:t>
            </w:r>
          </w:hyperlink>
          <w:hyperlink w:anchor="_heading=h.y7liz7128hpt">
            <w:r>
              <w:rPr>
                <w:rFonts w:ascii="Times New Roman" w:eastAsia="Times New Roman" w:hAnsi="Times New Roman" w:cs="Times New Roman"/>
                <w:color w:val="000000"/>
                <w:sz w:val="24"/>
                <w:szCs w:val="24"/>
              </w:rPr>
              <w:t>: Coordination</w:t>
            </w:r>
            <w:r>
              <w:rPr>
                <w:rFonts w:ascii="Times New Roman" w:eastAsia="Times New Roman" w:hAnsi="Times New Roman" w:cs="Times New Roman"/>
                <w:color w:val="000000"/>
                <w:sz w:val="24"/>
                <w:szCs w:val="24"/>
              </w:rPr>
              <w:tab/>
              <w:t>19</w:t>
            </w:r>
          </w:hyperlink>
          <w:r>
            <w:fldChar w:fldCharType="end"/>
          </w:r>
        </w:p>
      </w:sdtContent>
    </w:sdt>
    <w:p w14:paraId="0795734A" w14:textId="77777777" w:rsidR="006E4897" w:rsidRDefault="006E489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B749303"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r>
        <w:br w:type="page"/>
      </w:r>
    </w:p>
    <w:p w14:paraId="12388540"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LIST OF TABLES</w:t>
      </w:r>
    </w:p>
    <w:sdt>
      <w:sdtPr>
        <w:id w:val="1176498401"/>
        <w:docPartObj>
          <w:docPartGallery w:val="Table of Contents"/>
          <w:docPartUnique/>
        </w:docPartObj>
      </w:sdtPr>
      <w:sdtEndPr/>
      <w:sdtContent>
        <w:p w14:paraId="1D5CB3B5" w14:textId="77777777" w:rsidR="006E4897" w:rsidRDefault="0007408C">
          <w:pPr>
            <w:widowControl w:val="0"/>
            <w:tabs>
              <w:tab w:val="right" w:leader="dot" w:pos="12000"/>
            </w:tabs>
            <w:spacing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42x625xnib6c">
            <w:r>
              <w:rPr>
                <w:rFonts w:ascii="Times New Roman" w:eastAsia="Times New Roman" w:hAnsi="Times New Roman" w:cs="Times New Roman"/>
                <w:color w:val="000000"/>
                <w:sz w:val="24"/>
                <w:szCs w:val="24"/>
              </w:rPr>
              <w:t>Table 1: Six-Month Launch Timeline</w:t>
            </w:r>
            <w:r>
              <w:rPr>
                <w:rFonts w:ascii="Times New Roman" w:eastAsia="Times New Roman" w:hAnsi="Times New Roman" w:cs="Times New Roman"/>
                <w:color w:val="000000"/>
                <w:sz w:val="24"/>
                <w:szCs w:val="24"/>
              </w:rPr>
              <w:tab/>
              <w:t>7</w:t>
            </w:r>
          </w:hyperlink>
        </w:p>
        <w:p w14:paraId="0866D6DD" w14:textId="77777777" w:rsidR="006E4897" w:rsidRDefault="0007408C">
          <w:pPr>
            <w:widowControl w:val="0"/>
            <w:tabs>
              <w:tab w:val="right" w:leader="dot" w:pos="12000"/>
            </w:tabs>
            <w:spacing w:line="360" w:lineRule="auto"/>
            <w:rPr>
              <w:rFonts w:ascii="Times New Roman" w:eastAsia="Times New Roman" w:hAnsi="Times New Roman" w:cs="Times New Roman"/>
              <w:color w:val="000000"/>
              <w:sz w:val="24"/>
              <w:szCs w:val="24"/>
            </w:rPr>
          </w:pPr>
          <w:hyperlink w:anchor="_heading=h.2c3ptqi82uxe">
            <w:r>
              <w:rPr>
                <w:rFonts w:ascii="Times New Roman" w:eastAsia="Times New Roman" w:hAnsi="Times New Roman" w:cs="Times New Roman"/>
                <w:color w:val="000000"/>
                <w:sz w:val="24"/>
                <w:szCs w:val="24"/>
              </w:rPr>
              <w:t>Table 2: SWOT Analysis</w:t>
            </w:r>
            <w:r>
              <w:rPr>
                <w:rFonts w:ascii="Times New Roman" w:eastAsia="Times New Roman" w:hAnsi="Times New Roman" w:cs="Times New Roman"/>
                <w:color w:val="000000"/>
                <w:sz w:val="24"/>
                <w:szCs w:val="24"/>
              </w:rPr>
              <w:tab/>
              <w:t>8</w:t>
            </w:r>
          </w:hyperlink>
        </w:p>
        <w:p w14:paraId="6C4D80EC" w14:textId="77777777" w:rsidR="006E4897" w:rsidRDefault="0007408C">
          <w:pPr>
            <w:widowControl w:val="0"/>
            <w:tabs>
              <w:tab w:val="right" w:leader="dot" w:pos="12000"/>
            </w:tabs>
            <w:spacing w:line="360" w:lineRule="auto"/>
            <w:rPr>
              <w:rFonts w:ascii="Times New Roman" w:eastAsia="Times New Roman" w:hAnsi="Times New Roman" w:cs="Times New Roman"/>
              <w:color w:val="000000"/>
              <w:sz w:val="24"/>
              <w:szCs w:val="24"/>
            </w:rPr>
          </w:pPr>
          <w:hyperlink w:anchor="_heading=h.up6k4fokxng8">
            <w:r>
              <w:rPr>
                <w:rFonts w:ascii="Times New Roman" w:eastAsia="Times New Roman" w:hAnsi="Times New Roman" w:cs="Times New Roman"/>
                <w:color w:val="000000"/>
                <w:sz w:val="24"/>
                <w:szCs w:val="24"/>
              </w:rPr>
              <w:t>Table 3: PESTLE Analysis</w:t>
            </w:r>
            <w:r>
              <w:rPr>
                <w:rFonts w:ascii="Times New Roman" w:eastAsia="Times New Roman" w:hAnsi="Times New Roman" w:cs="Times New Roman"/>
                <w:color w:val="000000"/>
                <w:sz w:val="24"/>
                <w:szCs w:val="24"/>
              </w:rPr>
              <w:tab/>
              <w:t>10</w:t>
            </w:r>
          </w:hyperlink>
        </w:p>
        <w:p w14:paraId="7457D71E" w14:textId="77777777" w:rsidR="006E4897" w:rsidRDefault="0007408C">
          <w:pPr>
            <w:widowControl w:val="0"/>
            <w:tabs>
              <w:tab w:val="right" w:leader="dot" w:pos="12000"/>
            </w:tabs>
            <w:spacing w:line="360" w:lineRule="auto"/>
            <w:rPr>
              <w:rFonts w:ascii="Times New Roman" w:eastAsia="Times New Roman" w:hAnsi="Times New Roman" w:cs="Times New Roman"/>
              <w:color w:val="000000"/>
              <w:sz w:val="24"/>
              <w:szCs w:val="24"/>
            </w:rPr>
          </w:pPr>
          <w:hyperlink w:anchor="_heading=h.l5m6d6ylld24">
            <w:r>
              <w:rPr>
                <w:rFonts w:ascii="Times New Roman" w:eastAsia="Times New Roman" w:hAnsi="Times New Roman" w:cs="Times New Roman"/>
                <w:color w:val="000000"/>
                <w:sz w:val="24"/>
                <w:szCs w:val="24"/>
              </w:rPr>
              <w:t>Table 4: SMART Objectives</w:t>
            </w:r>
            <w:r>
              <w:rPr>
                <w:rFonts w:ascii="Times New Roman" w:eastAsia="Times New Roman" w:hAnsi="Times New Roman" w:cs="Times New Roman"/>
                <w:color w:val="000000"/>
                <w:sz w:val="24"/>
                <w:szCs w:val="24"/>
              </w:rPr>
              <w:tab/>
              <w:t>10</w:t>
            </w:r>
          </w:hyperlink>
        </w:p>
        <w:p w14:paraId="68E47DA0" w14:textId="77777777" w:rsidR="006E4897" w:rsidRDefault="0007408C">
          <w:pPr>
            <w:widowControl w:val="0"/>
            <w:tabs>
              <w:tab w:val="right" w:leader="dot" w:pos="12000"/>
            </w:tabs>
            <w:spacing w:line="360" w:lineRule="auto"/>
            <w:rPr>
              <w:rFonts w:ascii="Times New Roman" w:eastAsia="Times New Roman" w:hAnsi="Times New Roman" w:cs="Times New Roman"/>
              <w:color w:val="000000"/>
              <w:sz w:val="24"/>
              <w:szCs w:val="24"/>
            </w:rPr>
          </w:pPr>
          <w:hyperlink w:anchor="_heading=h.vbgmfeqm4duz">
            <w:r>
              <w:rPr>
                <w:rFonts w:ascii="Times New Roman" w:eastAsia="Times New Roman" w:hAnsi="Times New Roman" w:cs="Times New Roman"/>
                <w:color w:val="000000"/>
                <w:sz w:val="24"/>
                <w:szCs w:val="24"/>
              </w:rPr>
              <w:t>Table 5:  Internal Stakeholders</w:t>
            </w:r>
            <w:r>
              <w:rPr>
                <w:rFonts w:ascii="Times New Roman" w:eastAsia="Times New Roman" w:hAnsi="Times New Roman" w:cs="Times New Roman"/>
                <w:color w:val="000000"/>
                <w:sz w:val="24"/>
                <w:szCs w:val="24"/>
              </w:rPr>
              <w:tab/>
              <w:t>11</w:t>
            </w:r>
          </w:hyperlink>
        </w:p>
        <w:p w14:paraId="20B45A57" w14:textId="77777777" w:rsidR="006E4897" w:rsidRDefault="0007408C">
          <w:pPr>
            <w:widowControl w:val="0"/>
            <w:tabs>
              <w:tab w:val="right" w:leader="dot" w:pos="12000"/>
            </w:tabs>
            <w:spacing w:line="360" w:lineRule="auto"/>
            <w:rPr>
              <w:rFonts w:ascii="Times New Roman" w:eastAsia="Times New Roman" w:hAnsi="Times New Roman" w:cs="Times New Roman"/>
              <w:color w:val="000000"/>
              <w:sz w:val="24"/>
              <w:szCs w:val="24"/>
            </w:rPr>
          </w:pPr>
          <w:hyperlink w:anchor="_heading=h.mrz2pzfxi7uv">
            <w:r>
              <w:rPr>
                <w:rFonts w:ascii="Times New Roman" w:eastAsia="Times New Roman" w:hAnsi="Times New Roman" w:cs="Times New Roman"/>
                <w:color w:val="000000"/>
                <w:sz w:val="24"/>
                <w:szCs w:val="24"/>
              </w:rPr>
              <w:t>Table 6:  External Stakeholders</w:t>
            </w:r>
            <w:r>
              <w:rPr>
                <w:rFonts w:ascii="Times New Roman" w:eastAsia="Times New Roman" w:hAnsi="Times New Roman" w:cs="Times New Roman"/>
                <w:color w:val="000000"/>
                <w:sz w:val="24"/>
                <w:szCs w:val="24"/>
              </w:rPr>
              <w:tab/>
              <w:t>12</w:t>
            </w:r>
          </w:hyperlink>
        </w:p>
        <w:p w14:paraId="41FA6EB5" w14:textId="77777777" w:rsidR="006E4897" w:rsidRDefault="0007408C">
          <w:pPr>
            <w:widowControl w:val="0"/>
            <w:tabs>
              <w:tab w:val="right" w:leader="dot" w:pos="12000"/>
            </w:tabs>
            <w:spacing w:line="360" w:lineRule="auto"/>
            <w:rPr>
              <w:rFonts w:ascii="Times New Roman" w:eastAsia="Times New Roman" w:hAnsi="Times New Roman" w:cs="Times New Roman"/>
              <w:color w:val="000000"/>
              <w:sz w:val="24"/>
              <w:szCs w:val="24"/>
            </w:rPr>
          </w:pPr>
          <w:hyperlink w:anchor="_heading=h.euyrl7hbii3a">
            <w:r>
              <w:rPr>
                <w:rFonts w:ascii="Times New Roman" w:eastAsia="Times New Roman" w:hAnsi="Times New Roman" w:cs="Times New Roman"/>
                <w:color w:val="000000"/>
                <w:sz w:val="24"/>
                <w:szCs w:val="24"/>
              </w:rPr>
              <w:t>Table 7:  Engagement Plan</w:t>
            </w:r>
            <w:r>
              <w:rPr>
                <w:rFonts w:ascii="Times New Roman" w:eastAsia="Times New Roman" w:hAnsi="Times New Roman" w:cs="Times New Roman"/>
                <w:color w:val="000000"/>
                <w:sz w:val="24"/>
                <w:szCs w:val="24"/>
              </w:rPr>
              <w:tab/>
              <w:t>15</w:t>
            </w:r>
          </w:hyperlink>
        </w:p>
        <w:p w14:paraId="3F75EAF3" w14:textId="77777777" w:rsidR="006E4897" w:rsidRDefault="0007408C">
          <w:pPr>
            <w:widowControl w:val="0"/>
            <w:tabs>
              <w:tab w:val="right" w:leader="dot" w:pos="12000"/>
            </w:tabs>
            <w:spacing w:line="360" w:lineRule="auto"/>
            <w:rPr>
              <w:rFonts w:ascii="Times New Roman" w:eastAsia="Times New Roman" w:hAnsi="Times New Roman" w:cs="Times New Roman"/>
              <w:b/>
              <w:color w:val="000000"/>
              <w:sz w:val="24"/>
              <w:szCs w:val="24"/>
            </w:rPr>
          </w:pPr>
          <w:hyperlink w:anchor="_heading=h.4bi0485wgqzz">
            <w:r>
              <w:rPr>
                <w:rFonts w:ascii="Times New Roman" w:eastAsia="Times New Roman" w:hAnsi="Times New Roman" w:cs="Times New Roman"/>
                <w:color w:val="000000"/>
                <w:sz w:val="24"/>
                <w:szCs w:val="24"/>
              </w:rPr>
              <w:t>Table 8:  RACI Matrix</w:t>
            </w:r>
            <w:r>
              <w:rPr>
                <w:rFonts w:ascii="Times New Roman" w:eastAsia="Times New Roman" w:hAnsi="Times New Roman" w:cs="Times New Roman"/>
                <w:color w:val="000000"/>
                <w:sz w:val="24"/>
                <w:szCs w:val="24"/>
              </w:rPr>
              <w:tab/>
              <w:t>16</w:t>
            </w:r>
          </w:hyperlink>
          <w:r>
            <w:fldChar w:fldCharType="end"/>
          </w:r>
        </w:p>
      </w:sdtContent>
    </w:sdt>
    <w:p w14:paraId="29C333E9" w14:textId="77777777" w:rsidR="006E4897" w:rsidRDefault="006E4897">
      <w:pPr>
        <w:pBdr>
          <w:top w:val="nil"/>
          <w:left w:val="nil"/>
          <w:bottom w:val="nil"/>
          <w:right w:val="nil"/>
          <w:between w:val="nil"/>
        </w:pBdr>
        <w:spacing w:line="360" w:lineRule="auto"/>
        <w:rPr>
          <w:rFonts w:ascii="Times New Roman" w:eastAsia="Times New Roman" w:hAnsi="Times New Roman" w:cs="Times New Roman"/>
          <w:color w:val="000000"/>
          <w:sz w:val="24"/>
          <w:szCs w:val="24"/>
        </w:rPr>
      </w:pPr>
    </w:p>
    <w:p w14:paraId="40AB3DFF"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r>
        <w:br w:type="page"/>
      </w:r>
    </w:p>
    <w:p w14:paraId="04763D00" w14:textId="77777777" w:rsidR="006E4897" w:rsidRDefault="006E4897">
      <w:pPr>
        <w:pBdr>
          <w:top w:val="nil"/>
          <w:left w:val="nil"/>
          <w:bottom w:val="nil"/>
          <w:right w:val="nil"/>
          <w:between w:val="nil"/>
        </w:pBdr>
        <w:spacing w:line="360" w:lineRule="auto"/>
        <w:rPr>
          <w:rFonts w:ascii="Times New Roman" w:eastAsia="Times New Roman" w:hAnsi="Times New Roman" w:cs="Times New Roman"/>
          <w:b/>
          <w:color w:val="000000"/>
          <w:sz w:val="28"/>
          <w:szCs w:val="28"/>
        </w:rPr>
      </w:pPr>
    </w:p>
    <w:p w14:paraId="470EE8EA" w14:textId="77777777" w:rsidR="006E4897" w:rsidRDefault="0007408C">
      <w:pPr>
        <w:pStyle w:val="Titlu1"/>
        <w:spacing w:before="0" w:after="0" w:line="360" w:lineRule="auto"/>
        <w:jc w:val="both"/>
        <w:rPr>
          <w:rFonts w:ascii="Times New Roman" w:eastAsia="Times New Roman" w:hAnsi="Times New Roman" w:cs="Times New Roman"/>
          <w:b/>
          <w:sz w:val="28"/>
          <w:szCs w:val="28"/>
        </w:rPr>
      </w:pPr>
      <w:bookmarkStart w:id="3" w:name="_heading=h.d9zfe09bw2fd" w:colFirst="0" w:colLast="0"/>
      <w:bookmarkEnd w:id="3"/>
      <w:r>
        <w:rPr>
          <w:rFonts w:ascii="Times New Roman" w:eastAsia="Times New Roman" w:hAnsi="Times New Roman" w:cs="Times New Roman"/>
          <w:b/>
          <w:sz w:val="28"/>
          <w:szCs w:val="28"/>
        </w:rPr>
        <w:t>1.0 Introduction to the Company</w:t>
      </w:r>
    </w:p>
    <w:p w14:paraId="220A3087"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Vodafone Group Plc is one of the most dominant telecommunication and digital technology providers in Europe and Africa, where it serves over 340 million mobile subscribers, 22 million users of its broadband, and 15 million television subscribers in 15 countries and partners in more than 40 others. The company runs the largest managed Internet of Things (IoT) platform to connect over 205 million devices in the world, as well as pursues financial inclusion, with services reaching 77 million users. Vodafone, with a workforce of approximately 92,000 employees and contractors, has a key role to play in the economic development and digital transformation. It has three priorities—customers, simplicity, and growth—which are reinforced by investment in 5G, cloud technology, AI, and IoT. Vodafone has recorded €37.4 billion in revenue (of which €30.8 billion is service revenue) in FY25 (Vodafone, 2025). In addition to core connectivity, it is expanding into high-growth sectors, including digital services and cybersecurity and technologies in healthcare. Vodafone is developing itself as a healthcare facilitator with the help of the IoT, enabling wearable devices to monitor health indicators (heart rate, oxygen levels, and sleep) and improve digital well-being.</w:t>
      </w:r>
    </w:p>
    <w:p w14:paraId="7BF46482" w14:textId="77777777" w:rsidR="006E4897" w:rsidRDefault="0007408C">
      <w:pPr>
        <w:pStyle w:val="Titlu1"/>
        <w:spacing w:before="0" w:after="0" w:line="360" w:lineRule="auto"/>
        <w:jc w:val="both"/>
        <w:rPr>
          <w:rFonts w:ascii="Times New Roman" w:eastAsia="Times New Roman" w:hAnsi="Times New Roman" w:cs="Times New Roman"/>
          <w:b/>
          <w:sz w:val="28"/>
          <w:szCs w:val="28"/>
        </w:rPr>
      </w:pPr>
      <w:bookmarkStart w:id="4" w:name="_heading=h.fjpck0o0gpjh" w:colFirst="0" w:colLast="0"/>
      <w:bookmarkEnd w:id="4"/>
      <w:r>
        <w:rPr>
          <w:rFonts w:ascii="Times New Roman" w:eastAsia="Times New Roman" w:hAnsi="Times New Roman" w:cs="Times New Roman"/>
          <w:b/>
          <w:sz w:val="28"/>
          <w:szCs w:val="28"/>
        </w:rPr>
        <w:t>2.0 Project Outline</w:t>
      </w:r>
    </w:p>
    <w:p w14:paraId="69C0DBA4" w14:textId="77777777" w:rsidR="006E4897" w:rsidRDefault="0007408C">
      <w:pPr>
        <w:pStyle w:val="Titlu2"/>
        <w:spacing w:before="0" w:after="0" w:line="360" w:lineRule="auto"/>
        <w:jc w:val="both"/>
        <w:rPr>
          <w:rFonts w:ascii="Times New Roman" w:eastAsia="Times New Roman" w:hAnsi="Times New Roman" w:cs="Times New Roman"/>
          <w:b/>
          <w:sz w:val="26"/>
          <w:szCs w:val="26"/>
        </w:rPr>
      </w:pPr>
      <w:bookmarkStart w:id="5" w:name="_heading=h.llz3gc3e516a" w:colFirst="0" w:colLast="0"/>
      <w:bookmarkEnd w:id="5"/>
      <w:r>
        <w:rPr>
          <w:rFonts w:ascii="Times New Roman" w:eastAsia="Times New Roman" w:hAnsi="Times New Roman" w:cs="Times New Roman"/>
          <w:b/>
          <w:sz w:val="26"/>
          <w:szCs w:val="26"/>
        </w:rPr>
        <w:t>2.1 Description of the Device</w:t>
      </w:r>
    </w:p>
    <w:p w14:paraId="26B70B8E"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Vodafone is creating the next-generation wearable health device, which tracks the heart rate, blood oxygen saturation (SpO2), and sleep patterns (Devi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2023). The device works together with smartphones and healthcare applications, providing real-time monitoring, personalised health insights as well as secure data sharing. Its design is aimed at individual consumers, who would like to monitor their personal well-being, and healthcare providers, who could utili</w:t>
      </w:r>
      <w:r>
        <w:rPr>
          <w:rFonts w:ascii="Times New Roman" w:eastAsia="Times New Roman" w:hAnsi="Times New Roman" w:cs="Times New Roman"/>
          <w:sz w:val="24"/>
          <w:szCs w:val="24"/>
        </w:rPr>
        <w:t>s</w:t>
      </w:r>
      <w:r>
        <w:rPr>
          <w:rFonts w:ascii="Times New Roman" w:eastAsia="Times New Roman" w:hAnsi="Times New Roman" w:cs="Times New Roman"/>
          <w:color w:val="000000"/>
          <w:sz w:val="24"/>
          <w:szCs w:val="24"/>
        </w:rPr>
        <w:t xml:space="preserve">e aggregated data to monitor remote patients and preventive healthcare (Thakkar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2022).</w:t>
      </w:r>
    </w:p>
    <w:p w14:paraId="57430C6B" w14:textId="77777777" w:rsidR="006E4897" w:rsidRDefault="0007408C">
      <w:pPr>
        <w:pStyle w:val="Titlu2"/>
        <w:spacing w:before="0" w:after="0" w:line="360" w:lineRule="auto"/>
        <w:jc w:val="both"/>
        <w:rPr>
          <w:rFonts w:ascii="Times New Roman" w:eastAsia="Times New Roman" w:hAnsi="Times New Roman" w:cs="Times New Roman"/>
          <w:b/>
          <w:sz w:val="26"/>
          <w:szCs w:val="26"/>
        </w:rPr>
      </w:pPr>
      <w:bookmarkStart w:id="6" w:name="_heading=h.uu6awelkkmzv" w:colFirst="0" w:colLast="0"/>
      <w:bookmarkEnd w:id="6"/>
      <w:r>
        <w:rPr>
          <w:rFonts w:ascii="Times New Roman" w:eastAsia="Times New Roman" w:hAnsi="Times New Roman" w:cs="Times New Roman"/>
          <w:b/>
          <w:sz w:val="26"/>
          <w:szCs w:val="26"/>
        </w:rPr>
        <w:t>2.2 Six-Month Launch Timeline</w:t>
      </w:r>
    </w:p>
    <w:p w14:paraId="424049CD"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project follows an accelerated six-month development and launch plan. This tight schedule requires effective coordination across Vodafone’s R&amp;D, supply chain, marketing, sales, and regulatory affairs teams (Zehrung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w:t>
      </w:r>
    </w:p>
    <w:tbl>
      <w:tblPr>
        <w:tblStyle w:val="a7"/>
        <w:tblW w:w="9269" w:type="dxa"/>
        <w:tblBorders>
          <w:top w:val="nil"/>
          <w:left w:val="nil"/>
          <w:bottom w:val="nil"/>
          <w:right w:val="nil"/>
          <w:insideH w:val="nil"/>
          <w:insideV w:val="nil"/>
        </w:tblBorders>
        <w:tblLayout w:type="fixed"/>
        <w:tblLook w:val="0600" w:firstRow="0" w:lastRow="0" w:firstColumn="0" w:lastColumn="0" w:noHBand="1" w:noVBand="1"/>
      </w:tblPr>
      <w:tblGrid>
        <w:gridCol w:w="1484"/>
        <w:gridCol w:w="2466"/>
        <w:gridCol w:w="5319"/>
      </w:tblGrid>
      <w:tr w:rsidR="006E4897" w14:paraId="26BF3DE6" w14:textId="77777777">
        <w:trPr>
          <w:cantSplit/>
          <w:trHeight w:val="360"/>
          <w:tblHeader/>
        </w:trPr>
        <w:tc>
          <w:tcPr>
            <w:tcW w:w="1484"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375C0AA6"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Month</w:t>
            </w:r>
          </w:p>
        </w:tc>
        <w:tc>
          <w:tcPr>
            <w:tcW w:w="2466"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61115F97"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Key Activities</w:t>
            </w:r>
          </w:p>
        </w:tc>
        <w:tc>
          <w:tcPr>
            <w:tcW w:w="5319"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728D0329"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Details</w:t>
            </w:r>
          </w:p>
        </w:tc>
      </w:tr>
      <w:tr w:rsidR="006E4897" w14:paraId="3DA2EF2B" w14:textId="77777777">
        <w:trPr>
          <w:cantSplit/>
          <w:trHeight w:val="960"/>
          <w:tblHeader/>
        </w:trPr>
        <w:tc>
          <w:tcPr>
            <w:tcW w:w="1484"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11B659BA"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1–2</w:t>
            </w:r>
          </w:p>
        </w:tc>
        <w:tc>
          <w:tcPr>
            <w:tcW w:w="2466"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1B9CFEC0"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Product Design &amp; Testing</w:t>
            </w:r>
          </w:p>
        </w:tc>
        <w:tc>
          <w:tcPr>
            <w:tcW w:w="5319"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70E5DED8"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Finalise wearable device design and complete internal technical testing to ensure functionality and reliability.</w:t>
            </w:r>
          </w:p>
        </w:tc>
      </w:tr>
      <w:tr w:rsidR="006E4897" w14:paraId="267AE038" w14:textId="77777777">
        <w:trPr>
          <w:cantSplit/>
          <w:trHeight w:val="660"/>
          <w:tblHeader/>
        </w:trPr>
        <w:tc>
          <w:tcPr>
            <w:tcW w:w="1484"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2EBE1146"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2–3</w:t>
            </w:r>
          </w:p>
        </w:tc>
        <w:tc>
          <w:tcPr>
            <w:tcW w:w="2466"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4CA97D4D"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Regulatory Compliance</w:t>
            </w:r>
          </w:p>
        </w:tc>
        <w:tc>
          <w:tcPr>
            <w:tcW w:w="5319"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1D38C8C5"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Secure approval under UK and EU medical device and consumer safety regulations.</w:t>
            </w:r>
          </w:p>
        </w:tc>
      </w:tr>
      <w:tr w:rsidR="006E4897" w14:paraId="6128349E" w14:textId="77777777">
        <w:trPr>
          <w:cantSplit/>
          <w:trHeight w:val="960"/>
          <w:tblHeader/>
        </w:trPr>
        <w:tc>
          <w:tcPr>
            <w:tcW w:w="1484"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52F89617"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3–4</w:t>
            </w:r>
          </w:p>
        </w:tc>
        <w:tc>
          <w:tcPr>
            <w:tcW w:w="2466"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25A2D0B7"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Marketing Development</w:t>
            </w:r>
          </w:p>
        </w:tc>
        <w:tc>
          <w:tcPr>
            <w:tcW w:w="5319"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722DC695"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Design and initiate awareness campaigns, including digital advertising, partnerships, and pre-launch promotions.</w:t>
            </w:r>
          </w:p>
        </w:tc>
      </w:tr>
      <w:tr w:rsidR="006E4897" w14:paraId="5508B491" w14:textId="77777777">
        <w:trPr>
          <w:cantSplit/>
          <w:trHeight w:val="960"/>
          <w:tblHeader/>
        </w:trPr>
        <w:tc>
          <w:tcPr>
            <w:tcW w:w="1484"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5E778037"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4–5</w:t>
            </w:r>
          </w:p>
        </w:tc>
        <w:tc>
          <w:tcPr>
            <w:tcW w:w="2466"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297EB09F"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Pilot Testing &amp; Feedback</w:t>
            </w:r>
          </w:p>
        </w:tc>
        <w:tc>
          <w:tcPr>
            <w:tcW w:w="5319"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7C4A9A27"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Conduct pilot testing with selected users; collect insights to refine device features and improve user experience.</w:t>
            </w:r>
          </w:p>
        </w:tc>
      </w:tr>
      <w:tr w:rsidR="006E4897" w14:paraId="7078EEE0" w14:textId="77777777">
        <w:trPr>
          <w:cantSplit/>
          <w:trHeight w:val="960"/>
          <w:tblHeader/>
        </w:trPr>
        <w:tc>
          <w:tcPr>
            <w:tcW w:w="1484"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4A03F5D1"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6</w:t>
            </w:r>
          </w:p>
        </w:tc>
        <w:tc>
          <w:tcPr>
            <w:tcW w:w="2466"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14FA3649"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Final Launch</w:t>
            </w:r>
          </w:p>
        </w:tc>
        <w:tc>
          <w:tcPr>
            <w:tcW w:w="5319"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5E013C73"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Coordinate distribution, retail partnerships, and official product launch to the consumer market.</w:t>
            </w:r>
          </w:p>
        </w:tc>
      </w:tr>
    </w:tbl>
    <w:p w14:paraId="6A71052D" w14:textId="77777777" w:rsidR="006E4897" w:rsidRDefault="0007408C">
      <w:pPr>
        <w:pStyle w:val="Titlu3"/>
        <w:spacing w:before="0" w:after="0" w:line="360" w:lineRule="auto"/>
        <w:jc w:val="center"/>
        <w:rPr>
          <w:rFonts w:ascii="Times New Roman" w:eastAsia="Times New Roman" w:hAnsi="Times New Roman" w:cs="Times New Roman"/>
          <w:b/>
          <w:color w:val="000000"/>
          <w:sz w:val="24"/>
          <w:szCs w:val="24"/>
        </w:rPr>
      </w:pPr>
      <w:bookmarkStart w:id="7" w:name="_heading=h.42x625xnib6c" w:colFirst="0" w:colLast="0"/>
      <w:bookmarkEnd w:id="7"/>
      <w:r>
        <w:t xml:space="preserve"> </w:t>
      </w:r>
      <w:r>
        <w:rPr>
          <w:rFonts w:ascii="Times New Roman" w:eastAsia="Times New Roman" w:hAnsi="Times New Roman" w:cs="Times New Roman"/>
          <w:b/>
          <w:color w:val="000000"/>
          <w:sz w:val="24"/>
          <w:szCs w:val="24"/>
        </w:rPr>
        <w:t>Table 1: Six-Month Launch Timeline</w:t>
      </w:r>
    </w:p>
    <w:p w14:paraId="0CE08EA7"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Self-Generated)</w:t>
      </w:r>
    </w:p>
    <w:p w14:paraId="1DCD6773" w14:textId="77777777" w:rsidR="006E4897" w:rsidRDefault="0007408C">
      <w:pPr>
        <w:pStyle w:val="Titlu2"/>
        <w:spacing w:before="0" w:after="0" w:line="360" w:lineRule="auto"/>
        <w:jc w:val="both"/>
        <w:rPr>
          <w:rFonts w:ascii="Times New Roman" w:eastAsia="Times New Roman" w:hAnsi="Times New Roman" w:cs="Times New Roman"/>
          <w:b/>
          <w:sz w:val="26"/>
          <w:szCs w:val="26"/>
        </w:rPr>
      </w:pPr>
      <w:bookmarkStart w:id="8" w:name="_heading=h.gajfd7z7ew9" w:colFirst="0" w:colLast="0"/>
      <w:bookmarkEnd w:id="8"/>
      <w:r>
        <w:rPr>
          <w:rFonts w:ascii="Times New Roman" w:eastAsia="Times New Roman" w:hAnsi="Times New Roman" w:cs="Times New Roman"/>
          <w:b/>
          <w:sz w:val="26"/>
          <w:szCs w:val="26"/>
        </w:rPr>
        <w:t>2.3 Strategic Alignment</w:t>
      </w:r>
    </w:p>
    <w:p w14:paraId="6C0664E4"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project directly supports Vodafone’s broader strategy of expanding into digital services and IoT-enabled healthcare solutions. With over 205 million IoT connections worldwide and revenues of €37.4 billion in FY25, Vodafone is well-positioned to leverage its scale, partnerships, and technology platforms (Vodafone, 2025). The wearable device not only taps into the growing global health-tech market but also enhances Vodafone’s reputation as a digital health enabler. By aligning innovation with consumer health demands and preventive care, the project contributes to Vodafone’s long-term objectives of growth, customer engagement, and social impact (Umair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2021).</w:t>
      </w:r>
    </w:p>
    <w:p w14:paraId="4C596EEC" w14:textId="77777777" w:rsidR="006E4897" w:rsidRDefault="006E489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1E012363" w14:textId="77777777" w:rsidR="006E4897" w:rsidRDefault="0007408C">
      <w:pPr>
        <w:pStyle w:val="Titlu1"/>
        <w:spacing w:before="0" w:after="0" w:line="360" w:lineRule="auto"/>
        <w:jc w:val="both"/>
        <w:rPr>
          <w:rFonts w:ascii="Times New Roman" w:eastAsia="Times New Roman" w:hAnsi="Times New Roman" w:cs="Times New Roman"/>
          <w:b/>
          <w:sz w:val="28"/>
          <w:szCs w:val="28"/>
        </w:rPr>
      </w:pPr>
      <w:bookmarkStart w:id="9" w:name="_heading=h.cbe1agg4l3xg" w:colFirst="0" w:colLast="0"/>
      <w:bookmarkEnd w:id="9"/>
      <w:r>
        <w:br w:type="page"/>
      </w:r>
    </w:p>
    <w:p w14:paraId="2CB743AA" w14:textId="77777777" w:rsidR="006E4897" w:rsidRDefault="0007408C">
      <w:pPr>
        <w:pStyle w:val="Titlu1"/>
        <w:spacing w:before="0" w:after="0" w:line="360" w:lineRule="auto"/>
        <w:jc w:val="both"/>
        <w:rPr>
          <w:rFonts w:ascii="Times New Roman" w:eastAsia="Times New Roman" w:hAnsi="Times New Roman" w:cs="Times New Roman"/>
          <w:b/>
          <w:sz w:val="28"/>
          <w:szCs w:val="28"/>
        </w:rPr>
      </w:pPr>
      <w:bookmarkStart w:id="10" w:name="_heading=h.yiyq3dz57pqh" w:colFirst="0" w:colLast="0"/>
      <w:bookmarkEnd w:id="10"/>
      <w:r>
        <w:rPr>
          <w:rFonts w:ascii="Times New Roman" w:eastAsia="Times New Roman" w:hAnsi="Times New Roman" w:cs="Times New Roman"/>
          <w:b/>
          <w:sz w:val="28"/>
          <w:szCs w:val="28"/>
        </w:rPr>
        <w:t>3.0 Company Appraisal: Situational Analysis</w:t>
      </w:r>
    </w:p>
    <w:p w14:paraId="0DAB9B2A" w14:textId="77777777" w:rsidR="006E4897" w:rsidRDefault="0007408C">
      <w:pPr>
        <w:pStyle w:val="Titlu2"/>
        <w:spacing w:before="0" w:after="0" w:line="360" w:lineRule="auto"/>
        <w:jc w:val="both"/>
        <w:rPr>
          <w:rFonts w:ascii="Times New Roman" w:eastAsia="Times New Roman" w:hAnsi="Times New Roman" w:cs="Times New Roman"/>
          <w:b/>
          <w:sz w:val="26"/>
          <w:szCs w:val="26"/>
        </w:rPr>
      </w:pPr>
      <w:bookmarkStart w:id="11" w:name="_heading=h.mrrxtvvif1n" w:colFirst="0" w:colLast="0"/>
      <w:bookmarkEnd w:id="11"/>
      <w:r>
        <w:rPr>
          <w:rFonts w:ascii="Times New Roman" w:eastAsia="Times New Roman" w:hAnsi="Times New Roman" w:cs="Times New Roman"/>
          <w:b/>
          <w:sz w:val="26"/>
          <w:szCs w:val="26"/>
        </w:rPr>
        <w:t>3.1 SWOT Analysis</w:t>
      </w:r>
    </w:p>
    <w:tbl>
      <w:tblPr>
        <w:tblStyle w:val="a8"/>
        <w:tblW w:w="9000" w:type="dxa"/>
        <w:tblInd w:w="20" w:type="dxa"/>
        <w:tblBorders>
          <w:top w:val="nil"/>
          <w:left w:val="nil"/>
          <w:bottom w:val="nil"/>
          <w:right w:val="nil"/>
          <w:insideH w:val="nil"/>
          <w:insideV w:val="nil"/>
        </w:tblBorders>
        <w:tblLayout w:type="fixed"/>
        <w:tblLook w:val="0600" w:firstRow="0" w:lastRow="0" w:firstColumn="0" w:lastColumn="0" w:noHBand="1" w:noVBand="1"/>
      </w:tblPr>
      <w:tblGrid>
        <w:gridCol w:w="4770"/>
        <w:gridCol w:w="4230"/>
      </w:tblGrid>
      <w:tr w:rsidR="006E4897" w14:paraId="58818ED1" w14:textId="77777777">
        <w:trPr>
          <w:cantSplit/>
          <w:trHeight w:val="360"/>
          <w:tblHeader/>
        </w:trPr>
        <w:tc>
          <w:tcPr>
            <w:tcW w:w="4770"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0B6C5BE6"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Strengths</w:t>
            </w:r>
          </w:p>
        </w:tc>
        <w:tc>
          <w:tcPr>
            <w:tcW w:w="4230"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570E3E86"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Weaknesses</w:t>
            </w:r>
          </w:p>
        </w:tc>
      </w:tr>
      <w:tr w:rsidR="006E4897" w14:paraId="1A623C4C" w14:textId="77777777">
        <w:trPr>
          <w:cantSplit/>
          <w:trHeight w:val="1845"/>
          <w:tblHeader/>
        </w:trPr>
        <w:tc>
          <w:tcPr>
            <w:tcW w:w="4770" w:type="dxa"/>
            <w:vMerge w:val="restart"/>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7D50D697" w14:textId="77777777" w:rsidR="006E4897" w:rsidRDefault="0007408C">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Vodafone serves over 340 million mobile customers across 15 countries, giving it strong visibility and consumer trust (Vodafone, 2025). </w:t>
            </w:r>
          </w:p>
          <w:p w14:paraId="214569ED" w14:textId="77777777" w:rsidR="006E4897" w:rsidRDefault="0007408C">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Vodafone operates the world’s largest managed IoT platform with 205 million connections (Casas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2021).</w:t>
            </w:r>
          </w:p>
        </w:tc>
        <w:tc>
          <w:tcPr>
            <w:tcW w:w="4230" w:type="dxa"/>
            <w:vMerge w:val="restart"/>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7EFD615E" w14:textId="77777777" w:rsidR="006E4897" w:rsidRDefault="0007408C">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company reported an operating loss of €411 million in FY25, reflecting challenges in managing costs and restructuring (Vodafone, 2025).</w:t>
            </w:r>
          </w:p>
          <w:p w14:paraId="598D3CCC" w14:textId="77777777" w:rsidR="006E4897" w:rsidRDefault="0007408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Healthcare wearables must meet strict UK/EU medical device and data protection standards, potentially delaying launch (Kadu and Singh, 2021).</w:t>
            </w:r>
          </w:p>
        </w:tc>
      </w:tr>
      <w:tr w:rsidR="006E4897" w14:paraId="5661571B" w14:textId="77777777">
        <w:trPr>
          <w:cantSplit/>
          <w:trHeight w:val="1245"/>
          <w:tblHeader/>
        </w:trPr>
        <w:tc>
          <w:tcPr>
            <w:tcW w:w="4770" w:type="dxa"/>
            <w:vMerge/>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45AFEF73" w14:textId="77777777" w:rsidR="006E4897" w:rsidRDefault="006E4897">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c>
          <w:tcPr>
            <w:tcW w:w="4230" w:type="dxa"/>
            <w:vMerge/>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0981DF54" w14:textId="77777777" w:rsidR="006E4897" w:rsidRDefault="006E4897">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r>
      <w:tr w:rsidR="006E4897" w14:paraId="24D277F0" w14:textId="77777777">
        <w:trPr>
          <w:cantSplit/>
          <w:trHeight w:val="600"/>
          <w:tblHeader/>
        </w:trPr>
        <w:tc>
          <w:tcPr>
            <w:tcW w:w="4770" w:type="dxa"/>
            <w:vMerge/>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6F578C7C" w14:textId="77777777" w:rsidR="006E4897" w:rsidRDefault="006E4897">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c>
          <w:tcPr>
            <w:tcW w:w="4230" w:type="dxa"/>
            <w:vMerge/>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0CB55D8C" w14:textId="77777777" w:rsidR="006E4897" w:rsidRDefault="006E4897">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r>
      <w:tr w:rsidR="006E4897" w14:paraId="79C941E6" w14:textId="77777777">
        <w:trPr>
          <w:cantSplit/>
          <w:trHeight w:val="360"/>
          <w:tblHeader/>
        </w:trPr>
        <w:tc>
          <w:tcPr>
            <w:tcW w:w="4770"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394FEEE1"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Opportunities</w:t>
            </w:r>
          </w:p>
        </w:tc>
        <w:tc>
          <w:tcPr>
            <w:tcW w:w="4230"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4A8C0C86"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Threats</w:t>
            </w:r>
          </w:p>
        </w:tc>
      </w:tr>
      <w:tr w:rsidR="006E4897" w14:paraId="5831E018" w14:textId="77777777">
        <w:trPr>
          <w:cantSplit/>
          <w:trHeight w:val="1545"/>
          <w:tblHeader/>
        </w:trPr>
        <w:tc>
          <w:tcPr>
            <w:tcW w:w="4770" w:type="dxa"/>
            <w:vMerge w:val="restart"/>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38F210DD" w14:textId="77777777" w:rsidR="006E4897" w:rsidRDefault="0007408C">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Rising consumer demand for digital health monitoring offers Vodafone an entry into a high-growth sector valued at billions globally (Manyazewal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2021).</w:t>
            </w:r>
          </w:p>
          <w:p w14:paraId="397DAEF3" w14:textId="77777777" w:rsidR="006E4897" w:rsidRDefault="0007408C">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Integration of wearables with Vodafone’s 5G network enhances real-time data transfer, differentiating its offering from competitors.</w:t>
            </w:r>
          </w:p>
        </w:tc>
        <w:tc>
          <w:tcPr>
            <w:tcW w:w="4230" w:type="dxa"/>
            <w:vMerge w:val="restart"/>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25AD70C1" w14:textId="77777777" w:rsidR="006E4897" w:rsidRDefault="0007408C">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Established players like Apple, Fitbit, and Samsung dominate the wearable market, posing barriers to entry.</w:t>
            </w:r>
          </w:p>
          <w:p w14:paraId="09CB52BD" w14:textId="77777777" w:rsidR="006E4897" w:rsidRDefault="0007408C">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Health data is highly sensitive, and breaches could damage Vodafone’s reputation and trigger regulatory fines (Charalambous, 2021).</w:t>
            </w:r>
          </w:p>
        </w:tc>
      </w:tr>
      <w:tr w:rsidR="006E4897" w14:paraId="69195F79" w14:textId="77777777">
        <w:trPr>
          <w:cantSplit/>
          <w:trHeight w:val="1245"/>
          <w:tblHeader/>
        </w:trPr>
        <w:tc>
          <w:tcPr>
            <w:tcW w:w="4770" w:type="dxa"/>
            <w:vMerge/>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0C6EE4D8" w14:textId="77777777" w:rsidR="006E4897" w:rsidRDefault="006E4897">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c>
          <w:tcPr>
            <w:tcW w:w="4230" w:type="dxa"/>
            <w:vMerge/>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154DEA12" w14:textId="77777777" w:rsidR="006E4897" w:rsidRDefault="006E4897">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r>
      <w:tr w:rsidR="006E4897" w14:paraId="303FAC90" w14:textId="77777777">
        <w:trPr>
          <w:cantSplit/>
          <w:trHeight w:val="1391"/>
          <w:tblHeader/>
        </w:trPr>
        <w:tc>
          <w:tcPr>
            <w:tcW w:w="4770" w:type="dxa"/>
            <w:vMerge/>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0D7081DF" w14:textId="77777777" w:rsidR="006E4897" w:rsidRDefault="006E4897">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c>
          <w:tcPr>
            <w:tcW w:w="4230" w:type="dxa"/>
            <w:vMerge/>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3033047B" w14:textId="77777777" w:rsidR="006E4897" w:rsidRDefault="006E4897">
            <w:pPr>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r>
    </w:tbl>
    <w:p w14:paraId="15CBEDE7" w14:textId="77777777" w:rsidR="006E4897" w:rsidRDefault="0007408C">
      <w:pPr>
        <w:pStyle w:val="Titlu3"/>
        <w:spacing w:before="0" w:after="0" w:line="360" w:lineRule="auto"/>
        <w:jc w:val="center"/>
        <w:rPr>
          <w:rFonts w:ascii="Times New Roman" w:eastAsia="Times New Roman" w:hAnsi="Times New Roman" w:cs="Times New Roman"/>
          <w:b/>
          <w:color w:val="000000"/>
          <w:sz w:val="24"/>
          <w:szCs w:val="24"/>
        </w:rPr>
      </w:pPr>
      <w:bookmarkStart w:id="12" w:name="_heading=h.2c3ptqi82uxe" w:colFirst="0" w:colLast="0"/>
      <w:bookmarkEnd w:id="12"/>
      <w:r>
        <w:rPr>
          <w:rFonts w:ascii="Times New Roman" w:eastAsia="Times New Roman" w:hAnsi="Times New Roman" w:cs="Times New Roman"/>
          <w:b/>
          <w:color w:val="000000"/>
          <w:sz w:val="24"/>
          <w:szCs w:val="24"/>
        </w:rPr>
        <w:t>Table 2: SWOT Analysis</w:t>
      </w:r>
    </w:p>
    <w:p w14:paraId="1A95AC74" w14:textId="5E6CAB75" w:rsidR="00D13DFC" w:rsidRDefault="00D13DFC" w:rsidP="00D13DFC">
      <w:pPr>
        <w:pStyle w:val="Titlu2"/>
        <w:spacing w:before="0" w:after="0"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sz w:val="24"/>
          <w:szCs w:val="24"/>
        </w:rPr>
        <w:t xml:space="preserve">                                                       </w:t>
      </w:r>
      <w:r w:rsidR="0007408C">
        <w:rPr>
          <w:rFonts w:ascii="Times New Roman" w:eastAsia="Times New Roman" w:hAnsi="Times New Roman" w:cs="Times New Roman"/>
          <w:sz w:val="24"/>
          <w:szCs w:val="24"/>
        </w:rPr>
        <w:t>(Source:Self-Generated)</w:t>
      </w:r>
      <w:bookmarkStart w:id="13" w:name="_heading=h.ynd4sxjum69t" w:colFirst="0" w:colLast="0"/>
      <w:bookmarkEnd w:id="13"/>
      <w:r>
        <w:rPr>
          <w:rFonts w:ascii="Times New Roman" w:eastAsia="Times New Roman" w:hAnsi="Times New Roman" w:cs="Times New Roman"/>
          <w:sz w:val="24"/>
          <w:szCs w:val="24"/>
        </w:rPr>
        <w:br/>
      </w: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r>
      <w:r>
        <w:rPr>
          <w:rFonts w:ascii="Times New Roman" w:eastAsia="Times New Roman" w:hAnsi="Times New Roman" w:cs="Times New Roman"/>
          <w:b/>
          <w:sz w:val="26"/>
          <w:szCs w:val="26"/>
        </w:rPr>
        <w:t xml:space="preserve">  3.2 PESTLE Analysis</w:t>
      </w:r>
    </w:p>
    <w:p w14:paraId="7EA7DF06" w14:textId="7B0590DD" w:rsidR="006E4897" w:rsidRPr="00D13DFC" w:rsidRDefault="006E4897" w:rsidP="00D13DFC">
      <w:pPr>
        <w:pBdr>
          <w:top w:val="nil"/>
          <w:left w:val="nil"/>
          <w:bottom w:val="nil"/>
          <w:right w:val="nil"/>
          <w:between w:val="nil"/>
        </w:pBdr>
        <w:spacing w:line="360" w:lineRule="auto"/>
        <w:rPr>
          <w:rFonts w:ascii="Times New Roman" w:eastAsia="Times New Roman" w:hAnsi="Times New Roman" w:cs="Times New Roman"/>
          <w:b/>
          <w:color w:val="000000"/>
          <w:sz w:val="24"/>
          <w:szCs w:val="24"/>
        </w:rPr>
      </w:pPr>
    </w:p>
    <w:tbl>
      <w:tblPr>
        <w:tblStyle w:val="a9"/>
        <w:tblW w:w="9375" w:type="dxa"/>
        <w:tblInd w:w="20" w:type="dxa"/>
        <w:tblBorders>
          <w:top w:val="nil"/>
          <w:left w:val="nil"/>
          <w:bottom w:val="nil"/>
          <w:right w:val="nil"/>
          <w:insideH w:val="nil"/>
          <w:insideV w:val="nil"/>
        </w:tblBorders>
        <w:tblLayout w:type="fixed"/>
        <w:tblLook w:val="0600" w:firstRow="0" w:lastRow="0" w:firstColumn="0" w:lastColumn="0" w:noHBand="1" w:noVBand="1"/>
      </w:tblPr>
      <w:tblGrid>
        <w:gridCol w:w="1530"/>
        <w:gridCol w:w="7845"/>
      </w:tblGrid>
      <w:tr w:rsidR="006E4897" w14:paraId="7C93706E" w14:textId="77777777">
        <w:trPr>
          <w:cantSplit/>
          <w:trHeight w:val="360"/>
          <w:tblHeader/>
        </w:trPr>
        <w:tc>
          <w:tcPr>
            <w:tcW w:w="1530"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0923F081"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Factor</w:t>
            </w:r>
          </w:p>
        </w:tc>
        <w:tc>
          <w:tcPr>
            <w:tcW w:w="7845"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42CE39FD"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Analysis</w:t>
            </w:r>
          </w:p>
        </w:tc>
      </w:tr>
      <w:tr w:rsidR="006E4897" w14:paraId="1390B0B7" w14:textId="77777777">
        <w:trPr>
          <w:cantSplit/>
          <w:trHeight w:val="1245"/>
          <w:tblHeader/>
        </w:trPr>
        <w:tc>
          <w:tcPr>
            <w:tcW w:w="153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3F4D1DC7"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Political</w:t>
            </w:r>
          </w:p>
        </w:tc>
        <w:tc>
          <w:tcPr>
            <w:tcW w:w="784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0C7C31D7" w14:textId="77777777" w:rsidR="006E4897" w:rsidRDefault="0007408C">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The UK promotes digital health innovation, but wearable devices require approval from the MHRA. Vodafone must navigate complex post-Brexit compliance while aligning with NHS digital transformation initiatives. Political support for healthcare digitisation offers opportunities, yet delays in regulatory approvals could impact the planned six-month launch schedule for the new health wearable (Acharya and Rani, 2021).</w:t>
            </w:r>
          </w:p>
        </w:tc>
      </w:tr>
      <w:tr w:rsidR="006E4897" w14:paraId="0CB75939" w14:textId="77777777">
        <w:trPr>
          <w:cantSplit/>
          <w:trHeight w:val="690"/>
          <w:tblHeader/>
        </w:trPr>
        <w:tc>
          <w:tcPr>
            <w:tcW w:w="1530"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30D82B62"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Economic</w:t>
            </w:r>
          </w:p>
        </w:tc>
        <w:tc>
          <w:tcPr>
            <w:tcW w:w="784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70050C57" w14:textId="77777777" w:rsidR="006E4897" w:rsidRDefault="0007408C">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The digital health market is expanding rapidly, with strong growth in consumer demand. Vodafone generated €37.4 billion in FY25 revenues, diversifying into IoT and digital services. Inflation and cost-of-living pressures may limit consumer spending, but increasing healthcare expenditure positions Vodafone well to capture long-term economic opportunities in the wearables sector (Vodafone, 2025).</w:t>
            </w:r>
          </w:p>
        </w:tc>
      </w:tr>
      <w:tr w:rsidR="006E4897" w14:paraId="3F1AB878" w14:textId="77777777">
        <w:trPr>
          <w:cantSplit/>
          <w:trHeight w:val="1500"/>
          <w:tblHeader/>
        </w:trPr>
        <w:tc>
          <w:tcPr>
            <w:tcW w:w="153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70E69DAC"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Social</w:t>
            </w:r>
          </w:p>
        </w:tc>
        <w:tc>
          <w:tcPr>
            <w:tcW w:w="784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5A3BB1A4" w14:textId="77777777" w:rsidR="006E4897" w:rsidRDefault="0007408C">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An ageing UK population and rising health awareness drive demand for preventive healthcare solutions. Consumers want tools for tracking well-being, from heart rate to sleep. Vodafone’s customer base of 340 million mobile users provides a strong platform to market the wearable, appealing to both older patients and younger, health-conscious consumers (Vodafone, 2025).</w:t>
            </w:r>
          </w:p>
        </w:tc>
      </w:tr>
      <w:tr w:rsidR="006E4897" w14:paraId="47C7527E" w14:textId="77777777">
        <w:trPr>
          <w:cantSplit/>
          <w:trHeight w:val="1590"/>
          <w:tblHeader/>
        </w:trPr>
        <w:tc>
          <w:tcPr>
            <w:tcW w:w="1530"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7F23AFE7"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Technological</w:t>
            </w:r>
          </w:p>
        </w:tc>
        <w:tc>
          <w:tcPr>
            <w:tcW w:w="784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172028BB" w14:textId="77777777" w:rsidR="006E4897" w:rsidRDefault="0007408C">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Vodafone manages 205 million IoT connections globally and partners with Microsoft and Google, enabling AI, 5G, and cloud integration (Vodafone, 2025). These technologies enhance real-time monitoring and predictive insights for health applications. However, rapid innovation in wearables requires continuous R&amp;D investment to remain competitive against established brands like Apple and Fitbit (Suhail and Pillai, 2022).</w:t>
            </w:r>
          </w:p>
        </w:tc>
      </w:tr>
      <w:tr w:rsidR="006E4897" w14:paraId="2DADF8E2" w14:textId="77777777">
        <w:trPr>
          <w:cantSplit/>
          <w:trHeight w:val="1845"/>
          <w:tblHeader/>
        </w:trPr>
        <w:tc>
          <w:tcPr>
            <w:tcW w:w="153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44B48D55"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Legal</w:t>
            </w:r>
          </w:p>
        </w:tc>
        <w:tc>
          <w:tcPr>
            <w:tcW w:w="784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5D9EBC63" w14:textId="77777777" w:rsidR="006E4897" w:rsidRDefault="0007408C">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 xml:space="preserve">Vodafone must comply with GDPR and UK/EU medical device regulations, ensuring safe handling of sensitive health data. Failure to meet privacy or compliance requirements risks fines and reputational damage. Establishing strong cybersecurity, data governance, and transparent consent mechanisms is essential for building trust and enabling successful adoption of its wearable health device (Zobaed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2021).</w:t>
            </w:r>
          </w:p>
        </w:tc>
      </w:tr>
      <w:tr w:rsidR="006E4897" w14:paraId="5975DEB7" w14:textId="77777777">
        <w:trPr>
          <w:cantSplit/>
          <w:trHeight w:val="1020"/>
          <w:tblHeader/>
        </w:trPr>
        <w:tc>
          <w:tcPr>
            <w:tcW w:w="1530"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0631C48E"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Environmental</w:t>
            </w:r>
          </w:p>
        </w:tc>
        <w:tc>
          <w:tcPr>
            <w:tcW w:w="784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3E4E35E1" w14:textId="77777777" w:rsidR="006E4897" w:rsidRDefault="0007408C">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 xml:space="preserve">Vodafone sources 100% of its electricity from renewable sources, supporting sustainability goals (Vodafone, 2025). However, e-waste from wearables remains a challenge. Incorporating recyclable materials, refurbished trade-in schemes, and circular economy practices will reduce environmental impact, aligning the project with Vodafone’s broader ESG commitments and consumer demand for eco-friendly technology solutions (Mukati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2023).</w:t>
            </w:r>
          </w:p>
        </w:tc>
      </w:tr>
    </w:tbl>
    <w:p w14:paraId="19EDF47D" w14:textId="77777777" w:rsidR="006E4897" w:rsidRDefault="0007408C">
      <w:pPr>
        <w:pStyle w:val="Titlu3"/>
        <w:spacing w:before="0" w:after="0" w:line="360" w:lineRule="auto"/>
        <w:jc w:val="center"/>
        <w:rPr>
          <w:rFonts w:ascii="Times New Roman" w:eastAsia="Times New Roman" w:hAnsi="Times New Roman" w:cs="Times New Roman"/>
          <w:b/>
          <w:color w:val="000000"/>
          <w:sz w:val="24"/>
          <w:szCs w:val="24"/>
        </w:rPr>
      </w:pPr>
      <w:bookmarkStart w:id="14" w:name="_heading=h.up6k4fokxng8" w:colFirst="0" w:colLast="0"/>
      <w:bookmarkEnd w:id="14"/>
      <w:r>
        <w:rPr>
          <w:rFonts w:ascii="Times New Roman" w:eastAsia="Times New Roman" w:hAnsi="Times New Roman" w:cs="Times New Roman"/>
          <w:b/>
          <w:color w:val="000000"/>
          <w:sz w:val="24"/>
          <w:szCs w:val="24"/>
        </w:rPr>
        <w:t>Table 3: PESTLE Analysis</w:t>
      </w:r>
    </w:p>
    <w:p w14:paraId="58C9295D"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(Source: Self-Generated)</w:t>
      </w:r>
    </w:p>
    <w:p w14:paraId="3844B957" w14:textId="77777777" w:rsidR="006E4897" w:rsidRDefault="0007408C">
      <w:pPr>
        <w:pStyle w:val="Titlu2"/>
        <w:spacing w:before="0" w:after="0" w:line="360" w:lineRule="auto"/>
        <w:jc w:val="both"/>
        <w:rPr>
          <w:rFonts w:ascii="Times New Roman" w:eastAsia="Times New Roman" w:hAnsi="Times New Roman" w:cs="Times New Roman"/>
          <w:b/>
          <w:sz w:val="26"/>
          <w:szCs w:val="26"/>
        </w:rPr>
      </w:pPr>
      <w:bookmarkStart w:id="15" w:name="_heading=h.sfllg55bomwu" w:colFirst="0" w:colLast="0"/>
      <w:bookmarkEnd w:id="15"/>
      <w:r>
        <w:rPr>
          <w:rFonts w:ascii="Times New Roman" w:eastAsia="Times New Roman" w:hAnsi="Times New Roman" w:cs="Times New Roman"/>
          <w:b/>
          <w:sz w:val="26"/>
          <w:szCs w:val="26"/>
        </w:rPr>
        <w:t>3.3 SMART Objectives</w:t>
      </w:r>
    </w:p>
    <w:tbl>
      <w:tblPr>
        <w:tblStyle w:val="aa"/>
        <w:tblW w:w="9360" w:type="dxa"/>
        <w:tblInd w:w="20" w:type="dxa"/>
        <w:tblBorders>
          <w:top w:val="nil"/>
          <w:left w:val="nil"/>
          <w:bottom w:val="nil"/>
          <w:right w:val="nil"/>
          <w:insideH w:val="nil"/>
          <w:insideV w:val="nil"/>
        </w:tblBorders>
        <w:tblLayout w:type="fixed"/>
        <w:tblLook w:val="0600" w:firstRow="0" w:lastRow="0" w:firstColumn="0" w:lastColumn="0" w:noHBand="1" w:noVBand="1"/>
      </w:tblPr>
      <w:tblGrid>
        <w:gridCol w:w="1560"/>
        <w:gridCol w:w="1560"/>
        <w:gridCol w:w="1560"/>
        <w:gridCol w:w="1560"/>
        <w:gridCol w:w="1560"/>
        <w:gridCol w:w="1560"/>
      </w:tblGrid>
      <w:tr w:rsidR="006E4897" w14:paraId="0737788A" w14:textId="77777777">
        <w:trPr>
          <w:cantSplit/>
          <w:trHeight w:val="360"/>
          <w:tblHeader/>
        </w:trPr>
        <w:tc>
          <w:tcPr>
            <w:tcW w:w="1560"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3F870F4E"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Objective</w:t>
            </w:r>
          </w:p>
        </w:tc>
        <w:tc>
          <w:tcPr>
            <w:tcW w:w="1560"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3B62EEDD"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Specific</w:t>
            </w:r>
          </w:p>
        </w:tc>
        <w:tc>
          <w:tcPr>
            <w:tcW w:w="1560"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5D7271B8"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Measurable</w:t>
            </w:r>
          </w:p>
        </w:tc>
        <w:tc>
          <w:tcPr>
            <w:tcW w:w="1560"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0A818D18"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Achievable</w:t>
            </w:r>
          </w:p>
        </w:tc>
        <w:tc>
          <w:tcPr>
            <w:tcW w:w="1560"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270E7EC1"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Relevant</w:t>
            </w:r>
          </w:p>
        </w:tc>
        <w:tc>
          <w:tcPr>
            <w:tcW w:w="1560"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72216BF5"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Time-Bound</w:t>
            </w:r>
          </w:p>
        </w:tc>
      </w:tr>
      <w:tr w:rsidR="006E4897" w14:paraId="0F31FD4F" w14:textId="77777777">
        <w:trPr>
          <w:cantSplit/>
          <w:trHeight w:val="645"/>
          <w:tblHeader/>
        </w:trPr>
        <w:tc>
          <w:tcPr>
            <w:tcW w:w="1560" w:type="dxa"/>
            <w:tcBorders>
              <w:top w:val="single" w:sz="4" w:space="0" w:color="000000"/>
              <w:left w:val="single" w:sz="4" w:space="0" w:color="000000"/>
              <w:bottom w:val="single" w:sz="4" w:space="0" w:color="980000"/>
              <w:right w:val="single" w:sz="4" w:space="0" w:color="000000"/>
            </w:tcBorders>
            <w:shd w:val="clear" w:color="auto" w:fill="F6F8F9"/>
            <w:tcMar>
              <w:top w:w="40" w:type="dxa"/>
              <w:left w:w="120" w:type="dxa"/>
              <w:bottom w:w="40" w:type="dxa"/>
              <w:right w:w="120" w:type="dxa"/>
            </w:tcMar>
            <w:vAlign w:val="center"/>
          </w:tcPr>
          <w:p w14:paraId="7617F436"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Launch a wearable health device successfully</w:t>
            </w:r>
          </w:p>
        </w:tc>
        <w:tc>
          <w:tcPr>
            <w:tcW w:w="1560" w:type="dxa"/>
            <w:tcBorders>
              <w:top w:val="single" w:sz="4" w:space="0" w:color="000000"/>
              <w:left w:val="single" w:sz="4" w:space="0" w:color="000000"/>
              <w:bottom w:val="single" w:sz="4" w:space="0" w:color="980000"/>
              <w:right w:val="single" w:sz="4" w:space="0" w:color="000000"/>
            </w:tcBorders>
            <w:shd w:val="clear" w:color="auto" w:fill="F6F8F9"/>
            <w:tcMar>
              <w:top w:w="40" w:type="dxa"/>
              <w:left w:w="120" w:type="dxa"/>
              <w:bottom w:w="40" w:type="dxa"/>
              <w:right w:w="120" w:type="dxa"/>
            </w:tcMar>
            <w:vAlign w:val="center"/>
          </w:tcPr>
          <w:p w14:paraId="1000B0A9"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Develop and release a wearable tracking heart rate, SpO2, and sleep.</w:t>
            </w:r>
          </w:p>
        </w:tc>
        <w:tc>
          <w:tcPr>
            <w:tcW w:w="1560" w:type="dxa"/>
            <w:tcBorders>
              <w:top w:val="single" w:sz="4" w:space="0" w:color="000000"/>
              <w:left w:val="single" w:sz="4" w:space="0" w:color="000000"/>
              <w:bottom w:val="single" w:sz="4" w:space="0" w:color="980000"/>
              <w:right w:val="single" w:sz="4" w:space="0" w:color="000000"/>
            </w:tcBorders>
            <w:shd w:val="clear" w:color="auto" w:fill="F6F8F9"/>
            <w:tcMar>
              <w:top w:w="40" w:type="dxa"/>
              <w:left w:w="120" w:type="dxa"/>
              <w:bottom w:w="40" w:type="dxa"/>
              <w:right w:w="120" w:type="dxa"/>
            </w:tcMar>
            <w:vAlign w:val="center"/>
          </w:tcPr>
          <w:p w14:paraId="0585EC3C"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Launch within 6 months and secure regulatory approval (MHRA &amp; EU).</w:t>
            </w:r>
          </w:p>
        </w:tc>
        <w:tc>
          <w:tcPr>
            <w:tcW w:w="1560" w:type="dxa"/>
            <w:tcBorders>
              <w:top w:val="single" w:sz="4" w:space="0" w:color="000000"/>
              <w:left w:val="single" w:sz="4" w:space="0" w:color="000000"/>
              <w:bottom w:val="single" w:sz="4" w:space="0" w:color="980000"/>
              <w:right w:val="single" w:sz="4" w:space="0" w:color="000000"/>
            </w:tcBorders>
            <w:shd w:val="clear" w:color="auto" w:fill="F6F8F9"/>
            <w:tcMar>
              <w:top w:w="40" w:type="dxa"/>
              <w:left w:w="120" w:type="dxa"/>
              <w:bottom w:w="40" w:type="dxa"/>
              <w:right w:w="120" w:type="dxa"/>
            </w:tcMar>
            <w:vAlign w:val="center"/>
          </w:tcPr>
          <w:p w14:paraId="7DC46D0B"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Supported by Vodafone’s R&amp;D and IoT expertise (205m global IoT connections).</w:t>
            </w:r>
          </w:p>
        </w:tc>
        <w:tc>
          <w:tcPr>
            <w:tcW w:w="1560" w:type="dxa"/>
            <w:tcBorders>
              <w:top w:val="single" w:sz="4" w:space="0" w:color="000000"/>
              <w:left w:val="single" w:sz="4" w:space="0" w:color="000000"/>
              <w:bottom w:val="single" w:sz="4" w:space="0" w:color="980000"/>
              <w:right w:val="single" w:sz="4" w:space="0" w:color="000000"/>
            </w:tcBorders>
            <w:shd w:val="clear" w:color="auto" w:fill="F6F8F9"/>
            <w:tcMar>
              <w:top w:w="40" w:type="dxa"/>
              <w:left w:w="120" w:type="dxa"/>
              <w:bottom w:w="40" w:type="dxa"/>
              <w:right w:w="120" w:type="dxa"/>
            </w:tcMar>
            <w:vAlign w:val="center"/>
          </w:tcPr>
          <w:p w14:paraId="7398487D"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Expands Vodafone into health-tech, aligned with IoT growth strategy.</w:t>
            </w:r>
          </w:p>
        </w:tc>
        <w:tc>
          <w:tcPr>
            <w:tcW w:w="1560" w:type="dxa"/>
            <w:tcBorders>
              <w:top w:val="single" w:sz="4" w:space="0" w:color="000000"/>
              <w:left w:val="single" w:sz="4" w:space="0" w:color="000000"/>
              <w:bottom w:val="single" w:sz="4" w:space="0" w:color="980000"/>
              <w:right w:val="single" w:sz="4" w:space="0" w:color="000000"/>
            </w:tcBorders>
            <w:shd w:val="clear" w:color="auto" w:fill="F6F8F9"/>
            <w:tcMar>
              <w:top w:w="40" w:type="dxa"/>
              <w:left w:w="120" w:type="dxa"/>
              <w:bottom w:w="40" w:type="dxa"/>
              <w:right w:w="120" w:type="dxa"/>
            </w:tcMar>
            <w:vAlign w:val="center"/>
          </w:tcPr>
          <w:p w14:paraId="3421C93D"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Deadline set for launch in 6 months.</w:t>
            </w:r>
          </w:p>
        </w:tc>
      </w:tr>
    </w:tbl>
    <w:p w14:paraId="0BCF7281" w14:textId="77777777" w:rsidR="006E4897" w:rsidRDefault="0007408C">
      <w:pPr>
        <w:pStyle w:val="Titlu3"/>
        <w:spacing w:before="0" w:after="0" w:line="360" w:lineRule="auto"/>
        <w:jc w:val="center"/>
        <w:rPr>
          <w:rFonts w:ascii="Times New Roman" w:eastAsia="Times New Roman" w:hAnsi="Times New Roman" w:cs="Times New Roman"/>
          <w:b/>
          <w:color w:val="000000"/>
          <w:sz w:val="24"/>
          <w:szCs w:val="24"/>
        </w:rPr>
      </w:pPr>
      <w:bookmarkStart w:id="16" w:name="_heading=h.l5m6d6ylld24" w:colFirst="0" w:colLast="0"/>
      <w:bookmarkEnd w:id="16"/>
      <w:r>
        <w:rPr>
          <w:rFonts w:ascii="Times New Roman" w:eastAsia="Times New Roman" w:hAnsi="Times New Roman" w:cs="Times New Roman"/>
          <w:b/>
          <w:color w:val="000000"/>
          <w:sz w:val="24"/>
          <w:szCs w:val="24"/>
        </w:rPr>
        <w:t>Table 4: SMART Objectives</w:t>
      </w:r>
    </w:p>
    <w:p w14:paraId="3068782F"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(Source: Self-Generated)</w:t>
      </w:r>
    </w:p>
    <w:p w14:paraId="32D77B31" w14:textId="77777777" w:rsidR="006E4897" w:rsidRDefault="006E489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0F9DD1A8" w14:textId="77777777" w:rsidR="006E4897" w:rsidRDefault="0007408C">
      <w:pPr>
        <w:pStyle w:val="Titlu1"/>
        <w:spacing w:before="0" w:after="0" w:line="360" w:lineRule="auto"/>
        <w:jc w:val="both"/>
        <w:rPr>
          <w:rFonts w:ascii="Times New Roman" w:eastAsia="Times New Roman" w:hAnsi="Times New Roman" w:cs="Times New Roman"/>
          <w:b/>
          <w:sz w:val="28"/>
          <w:szCs w:val="28"/>
        </w:rPr>
      </w:pPr>
      <w:bookmarkStart w:id="17" w:name="_heading=h.rnsxgkdzcjnb" w:colFirst="0" w:colLast="0"/>
      <w:bookmarkEnd w:id="17"/>
      <w:r>
        <w:br w:type="page"/>
      </w:r>
    </w:p>
    <w:p w14:paraId="3480DF1E" w14:textId="77777777" w:rsidR="006E4897" w:rsidRDefault="0007408C">
      <w:pPr>
        <w:pStyle w:val="Titlu1"/>
        <w:spacing w:before="0" w:after="0" w:line="360" w:lineRule="auto"/>
        <w:jc w:val="both"/>
        <w:rPr>
          <w:rFonts w:ascii="Times New Roman" w:eastAsia="Times New Roman" w:hAnsi="Times New Roman" w:cs="Times New Roman"/>
          <w:b/>
          <w:sz w:val="28"/>
          <w:szCs w:val="28"/>
        </w:rPr>
      </w:pPr>
      <w:bookmarkStart w:id="18" w:name="_heading=h.yxj4eyoxafxr" w:colFirst="0" w:colLast="0"/>
      <w:bookmarkEnd w:id="18"/>
      <w:r>
        <w:rPr>
          <w:rFonts w:ascii="Times New Roman" w:eastAsia="Times New Roman" w:hAnsi="Times New Roman" w:cs="Times New Roman"/>
          <w:b/>
          <w:sz w:val="28"/>
          <w:szCs w:val="28"/>
        </w:rPr>
        <w:t>4.0 Stakeholder Identification</w:t>
      </w:r>
    </w:p>
    <w:p w14:paraId="4EFC4782"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success of Vodafone’s wearable health device depends on engaging both internal and external stakeholders. Each plays a distinct role in ensuring timely delivery, regulatory compliance, and consumer adoption. Below are the key stakeholders, their functions, and their importance to the project (Suhail and Pillai, 2022).</w:t>
      </w:r>
    </w:p>
    <w:p w14:paraId="3F501640" w14:textId="77777777" w:rsidR="006E4897" w:rsidRDefault="0007408C">
      <w:pPr>
        <w:pStyle w:val="Titlu2"/>
        <w:spacing w:before="0" w:after="0" w:line="360" w:lineRule="auto"/>
        <w:jc w:val="both"/>
        <w:rPr>
          <w:rFonts w:ascii="Times New Roman" w:eastAsia="Times New Roman" w:hAnsi="Times New Roman" w:cs="Times New Roman"/>
          <w:b/>
          <w:sz w:val="26"/>
          <w:szCs w:val="26"/>
        </w:rPr>
      </w:pPr>
      <w:bookmarkStart w:id="19" w:name="_heading=h.agzzjlnfjrxr" w:colFirst="0" w:colLast="0"/>
      <w:bookmarkEnd w:id="19"/>
      <w:r>
        <w:rPr>
          <w:rFonts w:ascii="Times New Roman" w:eastAsia="Times New Roman" w:hAnsi="Times New Roman" w:cs="Times New Roman"/>
          <w:b/>
          <w:sz w:val="26"/>
          <w:szCs w:val="26"/>
        </w:rPr>
        <w:t>4.1 Internal Stakeholders</w:t>
      </w:r>
    </w:p>
    <w:tbl>
      <w:tblPr>
        <w:tblStyle w:val="ab"/>
        <w:tblW w:w="9345" w:type="dxa"/>
        <w:tblInd w:w="20" w:type="dxa"/>
        <w:tblBorders>
          <w:top w:val="nil"/>
          <w:left w:val="nil"/>
          <w:bottom w:val="nil"/>
          <w:right w:val="nil"/>
          <w:insideH w:val="nil"/>
          <w:insideV w:val="nil"/>
        </w:tblBorders>
        <w:tblLayout w:type="fixed"/>
        <w:tblLook w:val="0600" w:firstRow="0" w:lastRow="0" w:firstColumn="0" w:lastColumn="0" w:noHBand="1" w:noVBand="1"/>
      </w:tblPr>
      <w:tblGrid>
        <w:gridCol w:w="2175"/>
        <w:gridCol w:w="5610"/>
        <w:gridCol w:w="1560"/>
      </w:tblGrid>
      <w:tr w:rsidR="006E4897" w14:paraId="4BF71E3D" w14:textId="77777777">
        <w:trPr>
          <w:cantSplit/>
          <w:trHeight w:val="360"/>
          <w:tblHeader/>
        </w:trPr>
        <w:tc>
          <w:tcPr>
            <w:tcW w:w="2175"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7E726EC9"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Stakeholder</w:t>
            </w:r>
          </w:p>
        </w:tc>
        <w:tc>
          <w:tcPr>
            <w:tcW w:w="5610"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0711178C"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Role in Project</w:t>
            </w:r>
          </w:p>
        </w:tc>
        <w:tc>
          <w:tcPr>
            <w:tcW w:w="1560"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35C1195F"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Importance</w:t>
            </w:r>
          </w:p>
        </w:tc>
      </w:tr>
      <w:tr w:rsidR="006E4897" w14:paraId="17DCAF9A" w14:textId="77777777">
        <w:trPr>
          <w:cantSplit/>
          <w:trHeight w:val="915"/>
          <w:tblHeader/>
        </w:trPr>
        <w:tc>
          <w:tcPr>
            <w:tcW w:w="217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624FE3FF"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Product Development Team</w:t>
            </w:r>
          </w:p>
        </w:tc>
        <w:tc>
          <w:tcPr>
            <w:tcW w:w="561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2DEAA5AC"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Designs and engineers the wearable, ensuring usability, accuracy, and functionality.</w:t>
            </w:r>
          </w:p>
        </w:tc>
        <w:tc>
          <w:tcPr>
            <w:tcW w:w="156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1DE290E0"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High </w:t>
            </w:r>
          </w:p>
        </w:tc>
      </w:tr>
      <w:tr w:rsidR="006E4897" w14:paraId="11D9E169" w14:textId="77777777">
        <w:trPr>
          <w:cantSplit/>
          <w:trHeight w:val="915"/>
          <w:tblHeader/>
        </w:trPr>
        <w:tc>
          <w:tcPr>
            <w:tcW w:w="217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084972B4"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R&amp;D Department</w:t>
            </w:r>
          </w:p>
        </w:tc>
        <w:tc>
          <w:tcPr>
            <w:tcW w:w="5610"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04C20902"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Conducts research on health-tracking technology, ensuring innovation and competitive features.</w:t>
            </w:r>
          </w:p>
        </w:tc>
        <w:tc>
          <w:tcPr>
            <w:tcW w:w="1560"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22E04C3F"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High</w:t>
            </w:r>
          </w:p>
        </w:tc>
      </w:tr>
      <w:tr w:rsidR="006E4897" w14:paraId="2CB2C75A" w14:textId="77777777">
        <w:trPr>
          <w:cantSplit/>
          <w:trHeight w:val="645"/>
          <w:tblHeader/>
        </w:trPr>
        <w:tc>
          <w:tcPr>
            <w:tcW w:w="217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6EA9286C"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Marketing Team</w:t>
            </w:r>
          </w:p>
        </w:tc>
        <w:tc>
          <w:tcPr>
            <w:tcW w:w="561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6A80A8AC"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Develops branding, campaigns, and customer engagement strategies for launch.</w:t>
            </w:r>
          </w:p>
        </w:tc>
        <w:tc>
          <w:tcPr>
            <w:tcW w:w="156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64D3CED6"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High </w:t>
            </w:r>
          </w:p>
        </w:tc>
      </w:tr>
      <w:tr w:rsidR="006E4897" w14:paraId="7DA813C0" w14:textId="77777777">
        <w:trPr>
          <w:cantSplit/>
          <w:trHeight w:val="645"/>
          <w:tblHeader/>
        </w:trPr>
        <w:tc>
          <w:tcPr>
            <w:tcW w:w="217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619698D7"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Sales Department</w:t>
            </w:r>
          </w:p>
        </w:tc>
        <w:tc>
          <w:tcPr>
            <w:tcW w:w="5610"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69726571"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Responsible for distribution strategy, retail partnerships, and revenue generation.</w:t>
            </w:r>
          </w:p>
        </w:tc>
        <w:tc>
          <w:tcPr>
            <w:tcW w:w="1560"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64AA8B1F"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Medium</w:t>
            </w:r>
          </w:p>
        </w:tc>
      </w:tr>
      <w:tr w:rsidR="006E4897" w14:paraId="77D0C374" w14:textId="77777777">
        <w:trPr>
          <w:cantSplit/>
          <w:trHeight w:val="915"/>
          <w:tblHeader/>
        </w:trPr>
        <w:tc>
          <w:tcPr>
            <w:tcW w:w="217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340AB7BE"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IT &amp; Cybersecurity</w:t>
            </w:r>
          </w:p>
        </w:tc>
        <w:tc>
          <w:tcPr>
            <w:tcW w:w="561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1A37CBC4"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Protects sensitive health data, ensures GDPR compliance, and manages digital platforms.</w:t>
            </w:r>
          </w:p>
        </w:tc>
        <w:tc>
          <w:tcPr>
            <w:tcW w:w="156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6990EC93"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High </w:t>
            </w:r>
          </w:p>
        </w:tc>
      </w:tr>
      <w:tr w:rsidR="006E4897" w14:paraId="2C15AE81" w14:textId="77777777">
        <w:trPr>
          <w:cantSplit/>
          <w:trHeight w:val="915"/>
          <w:tblHeader/>
        </w:trPr>
        <w:tc>
          <w:tcPr>
            <w:tcW w:w="217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1EE7233E"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Executive Board</w:t>
            </w:r>
          </w:p>
        </w:tc>
        <w:tc>
          <w:tcPr>
            <w:tcW w:w="5610"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243FBCCB"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Provides strategic oversight, approves budgets, and manages investor expectations.</w:t>
            </w:r>
          </w:p>
        </w:tc>
        <w:tc>
          <w:tcPr>
            <w:tcW w:w="1560"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3C3A8539"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High</w:t>
            </w:r>
          </w:p>
        </w:tc>
      </w:tr>
    </w:tbl>
    <w:p w14:paraId="56D459B0" w14:textId="77777777" w:rsidR="006E4897" w:rsidRDefault="0007408C">
      <w:pPr>
        <w:pStyle w:val="Titlu3"/>
        <w:spacing w:before="0" w:after="0" w:line="360" w:lineRule="auto"/>
        <w:jc w:val="center"/>
        <w:rPr>
          <w:rFonts w:ascii="Times New Roman" w:eastAsia="Times New Roman" w:hAnsi="Times New Roman" w:cs="Times New Roman"/>
          <w:b/>
          <w:color w:val="000000"/>
          <w:sz w:val="24"/>
          <w:szCs w:val="24"/>
        </w:rPr>
      </w:pPr>
      <w:bookmarkStart w:id="20" w:name="_heading=h.vbgmfeqm4duz" w:colFirst="0" w:colLast="0"/>
      <w:bookmarkEnd w:id="20"/>
      <w:r>
        <w:rPr>
          <w:rFonts w:ascii="Times New Roman" w:eastAsia="Times New Roman" w:hAnsi="Times New Roman" w:cs="Times New Roman"/>
          <w:b/>
          <w:color w:val="000000"/>
          <w:sz w:val="24"/>
          <w:szCs w:val="24"/>
        </w:rPr>
        <w:t>Table 5:  Internal Stakeholders</w:t>
      </w:r>
    </w:p>
    <w:p w14:paraId="2B819213"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(Source: Self-Generated)</w:t>
      </w:r>
    </w:p>
    <w:p w14:paraId="24CDB447" w14:textId="77777777" w:rsidR="006E4897" w:rsidRDefault="0007408C">
      <w:pPr>
        <w:pStyle w:val="Titlu3"/>
        <w:spacing w:before="0" w:after="0" w:line="360" w:lineRule="auto"/>
        <w:jc w:val="both"/>
        <w:rPr>
          <w:rFonts w:ascii="Times New Roman" w:eastAsia="Times New Roman" w:hAnsi="Times New Roman" w:cs="Times New Roman"/>
          <w:b/>
          <w:color w:val="000000"/>
          <w:sz w:val="24"/>
          <w:szCs w:val="24"/>
        </w:rPr>
      </w:pPr>
      <w:bookmarkStart w:id="21" w:name="_heading=h.qyk15yd0vky" w:colFirst="0" w:colLast="0"/>
      <w:bookmarkEnd w:id="21"/>
      <w:r>
        <w:rPr>
          <w:rFonts w:ascii="Times New Roman" w:eastAsia="Times New Roman" w:hAnsi="Times New Roman" w:cs="Times New Roman"/>
          <w:b/>
          <w:color w:val="000000"/>
          <w:sz w:val="24"/>
          <w:szCs w:val="24"/>
        </w:rPr>
        <w:t>4.1.1 Internal Stakeholders' Roles and Responsibilities</w:t>
      </w:r>
    </w:p>
    <w:p w14:paraId="0289C550" w14:textId="77777777" w:rsidR="006E4897" w:rsidRDefault="0007408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 xml:space="preserve">The design, prototyping, and testing of the wearable device by Vodafone are headed by the Research and Development (R&amp;D) team, which is concerned with the innovative feature and accurate tracking of the health </w:t>
      </w:r>
      <w:r>
        <w:rPr>
          <w:rFonts w:ascii="Times New Roman" w:eastAsia="Times New Roman" w:hAnsi="Times New Roman" w:cs="Times New Roman"/>
          <w:sz w:val="24"/>
          <w:szCs w:val="24"/>
        </w:rPr>
        <w:t xml:space="preserve">(Umair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Their power is their technological development, and it is difficult to have a balance between speed to market, safety, and regulatory compliance.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The marketing team creates awareness of the brand, increasing visibility and trust, especially when it comes to sensitive health information, but the established brands such as Apple and Fitbit also present a threat </w:t>
      </w:r>
      <w:r>
        <w:rPr>
          <w:rFonts w:ascii="Times New Roman" w:eastAsia="Times New Roman" w:hAnsi="Times New Roman" w:cs="Times New Roman"/>
          <w:sz w:val="24"/>
          <w:szCs w:val="24"/>
        </w:rPr>
        <w:t xml:space="preserve">(Casas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 Sales department deals with distribution, retail relationship and revenue modeling, using the global outlets of Vodafone to reach out to consumers, but pricing strategies should be in line with the consumer buying power.</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The Executive Board offers the strategic direction, allocation of budget, and alignment with the corporate vision of Vodafone </w:t>
      </w:r>
      <w:r>
        <w:rPr>
          <w:rFonts w:ascii="Times New Roman" w:eastAsia="Times New Roman" w:hAnsi="Times New Roman" w:cs="Times New Roman"/>
          <w:sz w:val="24"/>
          <w:szCs w:val="24"/>
        </w:rPr>
        <w:t>(Kadu and Singh, 2021)</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Their participation provides legitimacy and resources, which allow an easy execution of the project.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All these stakeholders, together, guarantee technological innovation, market presence, and strategic direction and deal with compliance, competition, pricing, and consumer adoption risks </w:t>
      </w:r>
      <w:r>
        <w:rPr>
          <w:rFonts w:ascii="Times New Roman" w:eastAsia="Times New Roman" w:hAnsi="Times New Roman" w:cs="Times New Roman"/>
          <w:sz w:val="24"/>
          <w:szCs w:val="24"/>
        </w:rPr>
        <w:t xml:space="preserve">(Manyazewal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r>
        <w:rPr>
          <w:rFonts w:ascii="Times New Roman" w:eastAsia="Times New Roman" w:hAnsi="Times New Roman" w:cs="Times New Roman"/>
          <w:color w:val="111111"/>
          <w:sz w:val="24"/>
          <w:szCs w:val="24"/>
        </w:rPr>
        <w:t>.</w:t>
      </w:r>
    </w:p>
    <w:p w14:paraId="7A634668" w14:textId="77777777" w:rsidR="006E4897" w:rsidRDefault="0007408C">
      <w:pPr>
        <w:pStyle w:val="Titlu2"/>
        <w:spacing w:before="0" w:after="0" w:line="360" w:lineRule="auto"/>
        <w:jc w:val="both"/>
        <w:rPr>
          <w:rFonts w:ascii="Times New Roman" w:eastAsia="Times New Roman" w:hAnsi="Times New Roman" w:cs="Times New Roman"/>
          <w:b/>
          <w:sz w:val="26"/>
          <w:szCs w:val="26"/>
        </w:rPr>
      </w:pPr>
      <w:bookmarkStart w:id="22" w:name="_heading=h.emgxurbfg5n8" w:colFirst="0" w:colLast="0"/>
      <w:bookmarkEnd w:id="22"/>
      <w:r>
        <w:rPr>
          <w:rFonts w:ascii="Times New Roman" w:eastAsia="Times New Roman" w:hAnsi="Times New Roman" w:cs="Times New Roman"/>
          <w:b/>
          <w:sz w:val="26"/>
          <w:szCs w:val="26"/>
        </w:rPr>
        <w:t>4.2 External Stakeholders</w:t>
      </w:r>
    </w:p>
    <w:tbl>
      <w:tblPr>
        <w:tblStyle w:val="ac"/>
        <w:tblW w:w="9345" w:type="dxa"/>
        <w:tblInd w:w="20" w:type="dxa"/>
        <w:tblBorders>
          <w:top w:val="nil"/>
          <w:left w:val="nil"/>
          <w:bottom w:val="nil"/>
          <w:right w:val="nil"/>
          <w:insideH w:val="nil"/>
          <w:insideV w:val="nil"/>
        </w:tblBorders>
        <w:tblLayout w:type="fixed"/>
        <w:tblLook w:val="0600" w:firstRow="0" w:lastRow="0" w:firstColumn="0" w:lastColumn="0" w:noHBand="1" w:noVBand="1"/>
      </w:tblPr>
      <w:tblGrid>
        <w:gridCol w:w="2475"/>
        <w:gridCol w:w="5115"/>
        <w:gridCol w:w="1755"/>
      </w:tblGrid>
      <w:tr w:rsidR="006E4897" w14:paraId="4E4301C8" w14:textId="77777777">
        <w:trPr>
          <w:cantSplit/>
          <w:trHeight w:val="360"/>
          <w:tblHeader/>
        </w:trPr>
        <w:tc>
          <w:tcPr>
            <w:tcW w:w="2475"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4D90F466"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Stakeholder</w:t>
            </w:r>
          </w:p>
        </w:tc>
        <w:tc>
          <w:tcPr>
            <w:tcW w:w="5115"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4CFCDE1F"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Role in Project</w:t>
            </w:r>
          </w:p>
        </w:tc>
        <w:tc>
          <w:tcPr>
            <w:tcW w:w="1755"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1BE228C6"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Importance</w:t>
            </w:r>
          </w:p>
        </w:tc>
      </w:tr>
      <w:tr w:rsidR="006E4897" w14:paraId="6E39146F" w14:textId="77777777">
        <w:trPr>
          <w:cantSplit/>
          <w:trHeight w:val="645"/>
          <w:tblHeader/>
        </w:trPr>
        <w:tc>
          <w:tcPr>
            <w:tcW w:w="247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7BA824ED"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Customers</w:t>
            </w:r>
          </w:p>
        </w:tc>
        <w:tc>
          <w:tcPr>
            <w:tcW w:w="511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7C9D9F0A"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End-users who adopt and provide feedback on the wearable.</w:t>
            </w:r>
          </w:p>
        </w:tc>
        <w:tc>
          <w:tcPr>
            <w:tcW w:w="175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45EB4814"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High</w:t>
            </w:r>
          </w:p>
        </w:tc>
      </w:tr>
      <w:tr w:rsidR="006E4897" w14:paraId="73491FF0" w14:textId="77777777">
        <w:trPr>
          <w:cantSplit/>
          <w:trHeight w:val="645"/>
          <w:tblHeader/>
        </w:trPr>
        <w:tc>
          <w:tcPr>
            <w:tcW w:w="247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1ED1D91E"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Healthcare Providers</w:t>
            </w:r>
          </w:p>
        </w:tc>
        <w:tc>
          <w:tcPr>
            <w:tcW w:w="511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738311DC"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Potential partners for patient monitoring and medical validation.</w:t>
            </w:r>
          </w:p>
        </w:tc>
        <w:tc>
          <w:tcPr>
            <w:tcW w:w="175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06512D72"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 xml:space="preserve">High </w:t>
            </w:r>
          </w:p>
        </w:tc>
      </w:tr>
      <w:tr w:rsidR="006E4897" w14:paraId="0DD5D63F" w14:textId="77777777">
        <w:trPr>
          <w:cantSplit/>
          <w:trHeight w:val="645"/>
          <w:tblHeader/>
        </w:trPr>
        <w:tc>
          <w:tcPr>
            <w:tcW w:w="247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575B3CDD"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Suppliers</w:t>
            </w:r>
          </w:p>
        </w:tc>
        <w:tc>
          <w:tcPr>
            <w:tcW w:w="511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623ABBBB"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Provide hardware, sensors, and software components.</w:t>
            </w:r>
          </w:p>
        </w:tc>
        <w:tc>
          <w:tcPr>
            <w:tcW w:w="175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0240DFC9"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Medium</w:t>
            </w:r>
          </w:p>
        </w:tc>
      </w:tr>
      <w:tr w:rsidR="006E4897" w14:paraId="4CE71A81" w14:textId="77777777">
        <w:trPr>
          <w:cantSplit/>
          <w:trHeight w:val="645"/>
          <w:tblHeader/>
        </w:trPr>
        <w:tc>
          <w:tcPr>
            <w:tcW w:w="247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5F88F984"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Regulators (MHRA &amp; EU bodies)</w:t>
            </w:r>
          </w:p>
        </w:tc>
        <w:tc>
          <w:tcPr>
            <w:tcW w:w="511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24D92A80"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Approve compliance with medical device and consumer safety standards.</w:t>
            </w:r>
          </w:p>
        </w:tc>
        <w:tc>
          <w:tcPr>
            <w:tcW w:w="175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3A403968"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High</w:t>
            </w:r>
          </w:p>
        </w:tc>
      </w:tr>
      <w:tr w:rsidR="006E4897" w14:paraId="35539AB1" w14:textId="77777777">
        <w:trPr>
          <w:cantSplit/>
          <w:trHeight w:val="645"/>
          <w:tblHeader/>
        </w:trPr>
        <w:tc>
          <w:tcPr>
            <w:tcW w:w="247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58F0AAE4"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Investors</w:t>
            </w:r>
          </w:p>
        </w:tc>
        <w:tc>
          <w:tcPr>
            <w:tcW w:w="511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23D8D97A"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Provide funding and monitor project performance and profitability.</w:t>
            </w:r>
          </w:p>
        </w:tc>
        <w:tc>
          <w:tcPr>
            <w:tcW w:w="175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511BDF55"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Medium</w:t>
            </w:r>
          </w:p>
        </w:tc>
      </w:tr>
      <w:tr w:rsidR="006E4897" w14:paraId="7598C5B6" w14:textId="77777777">
        <w:trPr>
          <w:cantSplit/>
          <w:trHeight w:val="645"/>
          <w:tblHeader/>
        </w:trPr>
        <w:tc>
          <w:tcPr>
            <w:tcW w:w="247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636257D5"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NGOs &amp; Community Organisations</w:t>
            </w:r>
          </w:p>
        </w:tc>
        <w:tc>
          <w:tcPr>
            <w:tcW w:w="511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4ED076EC"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Advocate for digital inclusion, ensuring accessibility of health solutions.</w:t>
            </w:r>
          </w:p>
        </w:tc>
        <w:tc>
          <w:tcPr>
            <w:tcW w:w="175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2E6F0ED5"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Low–Medium</w:t>
            </w:r>
          </w:p>
        </w:tc>
      </w:tr>
    </w:tbl>
    <w:p w14:paraId="00E5CA23" w14:textId="77777777" w:rsidR="006E4897" w:rsidRDefault="0007408C">
      <w:pPr>
        <w:pStyle w:val="Titlu3"/>
        <w:spacing w:before="0" w:after="0" w:line="360" w:lineRule="auto"/>
        <w:jc w:val="center"/>
        <w:rPr>
          <w:rFonts w:ascii="Times New Roman" w:eastAsia="Times New Roman" w:hAnsi="Times New Roman" w:cs="Times New Roman"/>
          <w:b/>
          <w:color w:val="000000"/>
          <w:sz w:val="24"/>
          <w:szCs w:val="24"/>
        </w:rPr>
      </w:pPr>
      <w:bookmarkStart w:id="23" w:name="_heading=h.mrz2pzfxi7uv" w:colFirst="0" w:colLast="0"/>
      <w:bookmarkEnd w:id="23"/>
      <w:r>
        <w:rPr>
          <w:rFonts w:ascii="Times New Roman" w:eastAsia="Times New Roman" w:hAnsi="Times New Roman" w:cs="Times New Roman"/>
          <w:b/>
          <w:color w:val="000000"/>
          <w:sz w:val="24"/>
          <w:szCs w:val="24"/>
        </w:rPr>
        <w:t>Table 6:  External Stakeholders</w:t>
      </w:r>
    </w:p>
    <w:p w14:paraId="0A884D4D"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(Source: Self-Generated)</w:t>
      </w:r>
    </w:p>
    <w:p w14:paraId="2A0A3960" w14:textId="77777777" w:rsidR="006E4897" w:rsidRDefault="0007408C">
      <w:pPr>
        <w:pStyle w:val="Titlu3"/>
        <w:spacing w:before="0" w:after="0" w:line="360" w:lineRule="auto"/>
        <w:jc w:val="both"/>
        <w:rPr>
          <w:rFonts w:ascii="Times New Roman" w:eastAsia="Times New Roman" w:hAnsi="Times New Roman" w:cs="Times New Roman"/>
          <w:b/>
          <w:color w:val="000000"/>
          <w:sz w:val="24"/>
          <w:szCs w:val="24"/>
        </w:rPr>
      </w:pPr>
      <w:bookmarkStart w:id="24" w:name="_heading=h.i1mdlhx8uzl5" w:colFirst="0" w:colLast="0"/>
      <w:bookmarkEnd w:id="24"/>
      <w:r>
        <w:rPr>
          <w:rFonts w:ascii="Times New Roman" w:eastAsia="Times New Roman" w:hAnsi="Times New Roman" w:cs="Times New Roman"/>
          <w:b/>
          <w:color w:val="000000"/>
          <w:sz w:val="24"/>
          <w:szCs w:val="24"/>
        </w:rPr>
        <w:t>4.2.1 External Stakeholders' Roles &amp; Responsibilities</w:t>
      </w:r>
    </w:p>
    <w:p w14:paraId="6547D1E8"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The customers are the basis of the project, and they take the device, engage in pilot testing, and decide whether the market will be a success.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Their response allows them to create value, but the issue of privacy of their data and sharing sensitive health information is a challenge.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 xml:space="preserve">Compliance with safety and data protection is guaranteed by regulatory bodies such as MHRA and EU authorities, which increase the credibility and trust in the consumer, but long approval procedures can delay the launch </w:t>
      </w:r>
      <w:r>
        <w:rPr>
          <w:rFonts w:ascii="Times New Roman" w:eastAsia="Times New Roman" w:hAnsi="Times New Roman" w:cs="Times New Roman"/>
          <w:color w:val="000000"/>
          <w:sz w:val="24"/>
          <w:szCs w:val="24"/>
        </w:rPr>
        <w:t>(Charalambous, 2021)</w:t>
      </w:r>
      <w:r>
        <w:rPr>
          <w:rFonts w:ascii="Times New Roman" w:eastAsia="Times New Roman" w:hAnsi="Times New Roman" w:cs="Times New Roman"/>
          <w:color w:val="111111"/>
          <w:sz w:val="24"/>
          <w:szCs w:val="24"/>
        </w:rPr>
        <w: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Hardware and software are supplied by suppliers who are essential in helping to develop efficiently but the dependency on a third-party vendor can always lead to disruption in the supply chain.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 xml:space="preserve">Development, marketing, and distribution are financed by the investors to make it sustainable and strategically grow </w:t>
      </w:r>
      <w:r>
        <w:rPr>
          <w:rFonts w:ascii="Times New Roman" w:eastAsia="Times New Roman" w:hAnsi="Times New Roman" w:cs="Times New Roman"/>
          <w:color w:val="000000"/>
          <w:sz w:val="24"/>
          <w:szCs w:val="24"/>
        </w:rPr>
        <w:t>(Acharya and Rani, 2021)</w:t>
      </w:r>
      <w:r>
        <w:rPr>
          <w:rFonts w:ascii="Times New Roman" w:eastAsia="Times New Roman" w:hAnsi="Times New Roman" w:cs="Times New Roman"/>
          <w:color w:val="111111"/>
          <w:sz w:val="24"/>
          <w:szCs w:val="24"/>
        </w:rPr>
        <w: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They are essential and any lack of support at the initial stages or change in regulations might lead to a lack of confidence.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 xml:space="preserve">All customers, regulators, suppliers, and investors are important in the innovation, compliance, efficiency in its operations, and financial sustainability with a certain benefit and risk with threats that must be well addressed to ensure that the wearable device is successful </w:t>
      </w:r>
      <w:r>
        <w:rPr>
          <w:rFonts w:ascii="Times New Roman" w:eastAsia="Times New Roman" w:hAnsi="Times New Roman" w:cs="Times New Roman"/>
          <w:color w:val="000000"/>
          <w:sz w:val="24"/>
          <w:szCs w:val="24"/>
        </w:rPr>
        <w:t xml:space="preserve">(Mukati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2023)</w:t>
      </w:r>
      <w:r>
        <w:rPr>
          <w:rFonts w:ascii="Times New Roman" w:eastAsia="Times New Roman" w:hAnsi="Times New Roman" w:cs="Times New Roman"/>
          <w:color w:val="111111"/>
          <w:sz w:val="24"/>
          <w:szCs w:val="24"/>
        </w:rPr>
        <w:t>.</w:t>
      </w:r>
    </w:p>
    <w:p w14:paraId="0F4C920E" w14:textId="77777777" w:rsidR="006E4897" w:rsidRDefault="0007408C">
      <w:pPr>
        <w:pStyle w:val="Titlu2"/>
        <w:spacing w:before="0" w:after="0" w:line="360" w:lineRule="auto"/>
        <w:jc w:val="both"/>
        <w:rPr>
          <w:rFonts w:ascii="Times New Roman" w:eastAsia="Times New Roman" w:hAnsi="Times New Roman" w:cs="Times New Roman"/>
          <w:b/>
          <w:sz w:val="26"/>
          <w:szCs w:val="26"/>
        </w:rPr>
      </w:pPr>
      <w:bookmarkStart w:id="25" w:name="_heading=h.qk73r87bo4zm" w:colFirst="0" w:colLast="0"/>
      <w:bookmarkEnd w:id="25"/>
      <w:r>
        <w:rPr>
          <w:rFonts w:ascii="Times New Roman" w:eastAsia="Times New Roman" w:hAnsi="Times New Roman" w:cs="Times New Roman"/>
          <w:b/>
          <w:sz w:val="26"/>
          <w:szCs w:val="26"/>
        </w:rPr>
        <w:t>4.4 Benefits and Challenges—Theoretical Lens</w:t>
      </w:r>
    </w:p>
    <w:p w14:paraId="078BDA03"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111111"/>
          <w:sz w:val="24"/>
          <w:szCs w:val="24"/>
        </w:rPr>
        <w:t>The stakeholder theory developed by Freeman focuses on making value for all stakeholders, not just the shareholders.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Vodafone focuses on balancing the profit of investors and the social value, whereas the Salience Model created by Mitchell is based on power, legitimacy, and urgency, which determine the proper governing of the entities, trust, and successful results of the project in the long term (ScienceDirect, 2024).</w:t>
      </w:r>
      <w:r>
        <w:br w:type="page"/>
      </w:r>
    </w:p>
    <w:p w14:paraId="1B375E0A" w14:textId="77777777" w:rsidR="006E4897" w:rsidRDefault="0007408C">
      <w:pPr>
        <w:pStyle w:val="Titlu2"/>
        <w:spacing w:before="0" w:after="0" w:line="360" w:lineRule="auto"/>
        <w:jc w:val="both"/>
        <w:rPr>
          <w:rFonts w:ascii="Times New Roman" w:eastAsia="Times New Roman" w:hAnsi="Times New Roman" w:cs="Times New Roman"/>
          <w:b/>
          <w:sz w:val="26"/>
          <w:szCs w:val="26"/>
        </w:rPr>
      </w:pPr>
      <w:bookmarkStart w:id="26" w:name="_heading=h.mpn2f6w29iyo" w:colFirst="0" w:colLast="0"/>
      <w:bookmarkEnd w:id="26"/>
      <w:r>
        <w:rPr>
          <w:rFonts w:ascii="Times New Roman" w:eastAsia="Times New Roman" w:hAnsi="Times New Roman" w:cs="Times New Roman"/>
          <w:b/>
          <w:sz w:val="26"/>
          <w:szCs w:val="26"/>
        </w:rPr>
        <w:t xml:space="preserve">4.5 Frameworks, Models &amp; Theories for Stakeholder Engagement </w:t>
      </w:r>
    </w:p>
    <w:p w14:paraId="361F5AE8"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111111"/>
          <w:sz w:val="24"/>
          <w:szCs w:val="24"/>
        </w:rPr>
        <w:t xml:space="preserve">Vodafone should implement systematic structures that promote accountability, excellent communication, and teamwork to control the different stakeholder expectations </w:t>
      </w:r>
      <w:r>
        <w:rPr>
          <w:rFonts w:ascii="Times New Roman" w:eastAsia="Times New Roman" w:hAnsi="Times New Roman" w:cs="Times New Roman"/>
          <w:color w:val="000000"/>
          <w:sz w:val="24"/>
          <w:szCs w:val="24"/>
        </w:rPr>
        <w:t xml:space="preserve">(Elei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w:t>
      </w:r>
      <w:r>
        <w:rPr>
          <w:rFonts w:ascii="Times New Roman" w:eastAsia="Times New Roman" w:hAnsi="Times New Roman" w:cs="Times New Roman"/>
          <w:color w:val="111111"/>
          <w:sz w:val="24"/>
          <w:szCs w:val="24"/>
        </w:rPr>
        <w:t>.</w:t>
      </w:r>
    </w:p>
    <w:p w14:paraId="6BEF55BD" w14:textId="77777777" w:rsidR="006E4897" w:rsidRDefault="0007408C">
      <w:pPr>
        <w:pStyle w:val="Titlu3"/>
        <w:spacing w:before="0" w:after="0" w:line="360" w:lineRule="auto"/>
        <w:jc w:val="both"/>
        <w:rPr>
          <w:rFonts w:ascii="Times New Roman" w:eastAsia="Times New Roman" w:hAnsi="Times New Roman" w:cs="Times New Roman"/>
          <w:b/>
          <w:color w:val="000000"/>
          <w:sz w:val="24"/>
          <w:szCs w:val="24"/>
        </w:rPr>
      </w:pPr>
      <w:bookmarkStart w:id="27" w:name="_heading=h.ejpi4fqdvzep" w:colFirst="0" w:colLast="0"/>
      <w:bookmarkEnd w:id="27"/>
      <w:r>
        <w:rPr>
          <w:rFonts w:ascii="Times New Roman" w:eastAsia="Times New Roman" w:hAnsi="Times New Roman" w:cs="Times New Roman"/>
          <w:b/>
          <w:color w:val="000000"/>
          <w:sz w:val="24"/>
          <w:szCs w:val="24"/>
        </w:rPr>
        <w:t>4.5.1 Stakeholder Matrix</w:t>
      </w:r>
    </w:p>
    <w:p w14:paraId="57B91D3C"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111111"/>
          <w:sz w:val="24"/>
          <w:szCs w:val="24"/>
        </w:rPr>
        <w:t>Stakeholders are prioritised using the Power/Interest grid of Mendelow:</w:t>
      </w:r>
    </w:p>
    <w:p w14:paraId="73A35E16"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drawing>
          <wp:inline distT="114300" distB="114300" distL="114300" distR="114300" wp14:anchorId="4FCE0B86" wp14:editId="2E9CF3D0">
            <wp:extent cx="3802132" cy="3471863"/>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3802132" cy="3471863"/>
                    </a:xfrm>
                    <a:prstGeom prst="rect">
                      <a:avLst/>
                    </a:prstGeom>
                    <a:ln/>
                  </pic:spPr>
                </pic:pic>
              </a:graphicData>
            </a:graphic>
          </wp:inline>
        </w:drawing>
      </w:r>
    </w:p>
    <w:p w14:paraId="5D5D6348" w14:textId="77777777" w:rsidR="006E4897" w:rsidRDefault="0007408C">
      <w:pPr>
        <w:pStyle w:val="Titlu3"/>
        <w:spacing w:before="0" w:after="0" w:line="360" w:lineRule="auto"/>
        <w:jc w:val="center"/>
        <w:rPr>
          <w:rFonts w:ascii="Times New Roman" w:eastAsia="Times New Roman" w:hAnsi="Times New Roman" w:cs="Times New Roman"/>
          <w:b/>
          <w:color w:val="000000"/>
          <w:sz w:val="24"/>
          <w:szCs w:val="24"/>
        </w:rPr>
      </w:pPr>
      <w:bookmarkStart w:id="28" w:name="_heading=h.g1dacjr6nk8" w:colFirst="0" w:colLast="0"/>
      <w:bookmarkEnd w:id="28"/>
      <w:r>
        <w:rPr>
          <w:rFonts w:ascii="Times New Roman" w:eastAsia="Times New Roman" w:hAnsi="Times New Roman" w:cs="Times New Roman"/>
          <w:b/>
          <w:color w:val="000000"/>
          <w:sz w:val="24"/>
          <w:szCs w:val="24"/>
        </w:rPr>
        <w:t>Fig 1: Stakeholder Matrix</w:t>
      </w:r>
    </w:p>
    <w:p w14:paraId="62B6B392"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Self-Generated)</w:t>
      </w:r>
    </w:p>
    <w:p w14:paraId="1613CFE4" w14:textId="77777777" w:rsidR="006E4897" w:rsidRDefault="0007408C">
      <w:pPr>
        <w:numPr>
          <w:ilvl w:val="0"/>
          <w:numId w:val="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High Power</w:t>
      </w:r>
      <w:r>
        <w:rPr>
          <w:rFonts w:ascii="Times New Roman" w:eastAsia="Times New Roman" w:hAnsi="Times New Roman" w:cs="Times New Roman"/>
          <w:b/>
          <w:sz w:val="24"/>
          <w:szCs w:val="24"/>
        </w:rPr>
        <w:t>/High</w:t>
      </w:r>
      <w:r>
        <w:rPr>
          <w:rFonts w:ascii="Times New Roman" w:eastAsia="Times New Roman" w:hAnsi="Times New Roman" w:cs="Times New Roman"/>
          <w:b/>
          <w:color w:val="000000"/>
          <w:sz w:val="24"/>
          <w:szCs w:val="24"/>
        </w:rPr>
        <w:t xml:space="preserve"> Interest (Manage Closely)</w:t>
      </w:r>
    </w:p>
    <w:p w14:paraId="111B2E3B" w14:textId="77777777" w:rsidR="006E4897" w:rsidRDefault="0007408C">
      <w:pPr>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111111"/>
          <w:sz w:val="24"/>
          <w:szCs w:val="24"/>
        </w:rPr>
        <w:t>Healthcare Providers, Regulators, Executive Board.</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These groups are very influential and interested in strategic results.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 xml:space="preserve">They have to be actively coordinated in order to integrate business missions with legal regulations, medical innovation, and corporate strategy </w:t>
      </w:r>
      <w:r>
        <w:rPr>
          <w:rFonts w:ascii="Times New Roman" w:eastAsia="Times New Roman" w:hAnsi="Times New Roman" w:cs="Times New Roman"/>
          <w:color w:val="000000"/>
          <w:sz w:val="24"/>
          <w:szCs w:val="24"/>
        </w:rPr>
        <w:t xml:space="preserve">(Zobaed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2021).</w:t>
      </w:r>
    </w:p>
    <w:p w14:paraId="5AC93D16" w14:textId="77777777" w:rsidR="006E4897" w:rsidRDefault="0007408C">
      <w:pPr>
        <w:numPr>
          <w:ilvl w:val="0"/>
          <w:numId w:val="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High Power / Low Interest (Keep Satisfied)</w:t>
      </w:r>
    </w:p>
    <w:p w14:paraId="753962E9" w14:textId="77777777" w:rsidR="006E4897" w:rsidRDefault="0007408C">
      <w:pPr>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Investors, Government Agencies, and Strategic Partners. While these stakeholders hold considerable influence, their day-to-day interest is relatively limited. Regular reporting and high-level updates are sufficient to maintain their support (Yathiraju and Mohapatra, 2023).</w:t>
      </w:r>
    </w:p>
    <w:p w14:paraId="35947064" w14:textId="77777777" w:rsidR="006E4897" w:rsidRDefault="0007408C">
      <w:pPr>
        <w:numPr>
          <w:ilvl w:val="0"/>
          <w:numId w:val="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Low Power / High Interest (Keep Informed)</w:t>
      </w:r>
    </w:p>
    <w:p w14:paraId="1AA88DD0" w14:textId="77777777" w:rsidR="006E4897" w:rsidRDefault="0007408C">
      <w:pPr>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Customers, Product Development &amp; R&amp;D Teams, and Marketing &amp; Sales Teams. Although these groups do not possess significant decision-making power, they are highly invested in outcomes. Continuous engagement ensures their input drives product development and market adoption (Singh and Kaur, 2024).</w:t>
      </w:r>
    </w:p>
    <w:p w14:paraId="4F55241A" w14:textId="77777777" w:rsidR="006E4897" w:rsidRDefault="0007408C">
      <w:pPr>
        <w:numPr>
          <w:ilvl w:val="0"/>
          <w:numId w:val="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Low Power / Low Interest (Monitor / Minimal Effort)</w:t>
      </w:r>
    </w:p>
    <w:p w14:paraId="1056D47D" w14:textId="77777777" w:rsidR="006E4897" w:rsidRDefault="0007408C">
      <w:pPr>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NGOs, Suppliers, and Local Communities. These groups have limited influence and interest but still require periodic communication to maintain transparency and mitigate reputational risks (Lima, 2021).</w:t>
      </w:r>
    </w:p>
    <w:p w14:paraId="6E22671F" w14:textId="77777777" w:rsidR="006E4897" w:rsidRDefault="0007408C">
      <w:pPr>
        <w:pStyle w:val="Titlu2"/>
        <w:spacing w:before="0" w:after="0" w:line="360" w:lineRule="auto"/>
        <w:jc w:val="both"/>
        <w:rPr>
          <w:rFonts w:ascii="Times New Roman" w:eastAsia="Times New Roman" w:hAnsi="Times New Roman" w:cs="Times New Roman"/>
          <w:b/>
          <w:sz w:val="26"/>
          <w:szCs w:val="26"/>
        </w:rPr>
      </w:pPr>
      <w:bookmarkStart w:id="29" w:name="_heading=h.wqljr1yolqdd" w:colFirst="0" w:colLast="0"/>
      <w:bookmarkEnd w:id="29"/>
      <w:r>
        <w:rPr>
          <w:rFonts w:ascii="Times New Roman" w:eastAsia="Times New Roman" w:hAnsi="Times New Roman" w:cs="Times New Roman"/>
          <w:b/>
          <w:sz w:val="26"/>
          <w:szCs w:val="26"/>
        </w:rPr>
        <w:t>4.6 Engagement Plan</w:t>
      </w:r>
    </w:p>
    <w:tbl>
      <w:tblPr>
        <w:tblStyle w:val="ad"/>
        <w:tblW w:w="9075" w:type="dxa"/>
        <w:tblInd w:w="285" w:type="dxa"/>
        <w:tblBorders>
          <w:top w:val="nil"/>
          <w:left w:val="nil"/>
          <w:bottom w:val="nil"/>
          <w:right w:val="nil"/>
          <w:insideH w:val="nil"/>
          <w:insideV w:val="nil"/>
        </w:tblBorders>
        <w:tblLayout w:type="fixed"/>
        <w:tblLook w:val="0600" w:firstRow="0" w:lastRow="0" w:firstColumn="0" w:lastColumn="0" w:noHBand="1" w:noVBand="1"/>
      </w:tblPr>
      <w:tblGrid>
        <w:gridCol w:w="2460"/>
        <w:gridCol w:w="6615"/>
      </w:tblGrid>
      <w:tr w:rsidR="006E4897" w14:paraId="35E98212" w14:textId="77777777">
        <w:trPr>
          <w:cantSplit/>
          <w:trHeight w:val="360"/>
          <w:tblHeader/>
        </w:trPr>
        <w:tc>
          <w:tcPr>
            <w:tcW w:w="2460" w:type="dxa"/>
            <w:tcBorders>
              <w:top w:val="single" w:sz="4" w:space="0" w:color="284E3F"/>
              <w:left w:val="single" w:sz="4" w:space="0" w:color="284E3F"/>
              <w:bottom w:val="single" w:sz="4" w:space="0" w:color="000000"/>
              <w:right w:val="single" w:sz="4" w:space="0" w:color="356854"/>
            </w:tcBorders>
            <w:shd w:val="clear" w:color="auto" w:fill="356854"/>
            <w:tcMar>
              <w:top w:w="40" w:type="dxa"/>
              <w:left w:w="120" w:type="dxa"/>
              <w:bottom w:w="40" w:type="dxa"/>
              <w:right w:w="120" w:type="dxa"/>
            </w:tcMar>
            <w:vAlign w:val="center"/>
          </w:tcPr>
          <w:p w14:paraId="38DAF471"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Stakeholder Group</w:t>
            </w:r>
          </w:p>
        </w:tc>
        <w:tc>
          <w:tcPr>
            <w:tcW w:w="6615" w:type="dxa"/>
            <w:tcBorders>
              <w:top w:val="single" w:sz="4" w:space="0" w:color="284E3F"/>
              <w:left w:val="single" w:sz="4" w:space="0" w:color="CCCCCC"/>
              <w:bottom w:val="single" w:sz="4" w:space="0" w:color="000000"/>
              <w:right w:val="single" w:sz="4" w:space="0" w:color="284E3F"/>
            </w:tcBorders>
            <w:shd w:val="clear" w:color="auto" w:fill="356854"/>
            <w:tcMar>
              <w:top w:w="40" w:type="dxa"/>
              <w:left w:w="120" w:type="dxa"/>
              <w:bottom w:w="40" w:type="dxa"/>
              <w:right w:w="120" w:type="dxa"/>
            </w:tcMar>
            <w:vAlign w:val="center"/>
          </w:tcPr>
          <w:p w14:paraId="42E06758"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Engagement Approach</w:t>
            </w:r>
          </w:p>
        </w:tc>
      </w:tr>
      <w:tr w:rsidR="006E4897" w14:paraId="095EAF89" w14:textId="77777777">
        <w:trPr>
          <w:cantSplit/>
          <w:trHeight w:val="915"/>
          <w:tblHeader/>
        </w:trPr>
        <w:tc>
          <w:tcPr>
            <w:tcW w:w="246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5A2FC3FB"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Executive Board</w:t>
            </w:r>
          </w:p>
        </w:tc>
        <w:tc>
          <w:tcPr>
            <w:tcW w:w="661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757E4D0C" w14:textId="77777777" w:rsidR="006E4897" w:rsidRDefault="0007408C">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Monthly strategic reviews and performance dashboards to ensure alignment with corporate objectives.</w:t>
            </w:r>
          </w:p>
        </w:tc>
      </w:tr>
      <w:tr w:rsidR="006E4897" w14:paraId="49B1E5B1" w14:textId="77777777">
        <w:trPr>
          <w:cantSplit/>
          <w:trHeight w:val="645"/>
          <w:tblHeader/>
        </w:trPr>
        <w:tc>
          <w:tcPr>
            <w:tcW w:w="2460"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1080DD16"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Regulators</w:t>
            </w:r>
          </w:p>
        </w:tc>
        <w:tc>
          <w:tcPr>
            <w:tcW w:w="661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3AAE3EF4" w14:textId="77777777" w:rsidR="006E4897" w:rsidRDefault="0007408C">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Structured compliance reporting, regular audits, and consultation on policy shifts.</w:t>
            </w:r>
          </w:p>
        </w:tc>
      </w:tr>
      <w:tr w:rsidR="006E4897" w14:paraId="68FAE8CD" w14:textId="77777777">
        <w:trPr>
          <w:cantSplit/>
          <w:trHeight w:val="915"/>
          <w:tblHeader/>
        </w:trPr>
        <w:tc>
          <w:tcPr>
            <w:tcW w:w="246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48C582FA"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Healthcare Providers</w:t>
            </w:r>
          </w:p>
        </w:tc>
        <w:tc>
          <w:tcPr>
            <w:tcW w:w="661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5C3E9C31" w14:textId="77777777" w:rsidR="006E4897" w:rsidRDefault="0007408C">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Joint innovation workshops, pilot programmes, and tailored technology demonstrations.</w:t>
            </w:r>
          </w:p>
        </w:tc>
      </w:tr>
      <w:tr w:rsidR="006E4897" w14:paraId="29D25E04" w14:textId="77777777">
        <w:trPr>
          <w:cantSplit/>
          <w:trHeight w:val="645"/>
          <w:tblHeader/>
        </w:trPr>
        <w:tc>
          <w:tcPr>
            <w:tcW w:w="2460"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7CC1FAFA"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Customers</w:t>
            </w:r>
          </w:p>
        </w:tc>
        <w:tc>
          <w:tcPr>
            <w:tcW w:w="661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38C64859" w14:textId="77777777" w:rsidR="006E4897" w:rsidRDefault="0007408C">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Pre-launch surveys, focus groups, and beta-testing initiatives to validate user needs.</w:t>
            </w:r>
          </w:p>
        </w:tc>
      </w:tr>
      <w:tr w:rsidR="006E4897" w14:paraId="39AFC447" w14:textId="77777777">
        <w:trPr>
          <w:cantSplit/>
          <w:trHeight w:val="645"/>
          <w:tblHeader/>
        </w:trPr>
        <w:tc>
          <w:tcPr>
            <w:tcW w:w="246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066D9793"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R&amp;D &amp; Marketing Teams</w:t>
            </w:r>
          </w:p>
        </w:tc>
        <w:tc>
          <w:tcPr>
            <w:tcW w:w="661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355C86E5" w14:textId="77777777" w:rsidR="006E4897" w:rsidRDefault="0007408C">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Daily stand-ups and agile sprint reviews to coordinate product development.</w:t>
            </w:r>
          </w:p>
        </w:tc>
      </w:tr>
      <w:tr w:rsidR="006E4897" w14:paraId="082FF098" w14:textId="77777777">
        <w:trPr>
          <w:cantSplit/>
          <w:trHeight w:val="645"/>
          <w:tblHeader/>
        </w:trPr>
        <w:tc>
          <w:tcPr>
            <w:tcW w:w="2460"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27099D67"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Suppliers</w:t>
            </w:r>
          </w:p>
        </w:tc>
        <w:tc>
          <w:tcPr>
            <w:tcW w:w="661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36E84871" w14:textId="77777777" w:rsidR="006E4897" w:rsidRDefault="0007408C">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Bi-weekly coordination calls to ensure efficiency across the supply chain.</w:t>
            </w:r>
          </w:p>
        </w:tc>
      </w:tr>
      <w:tr w:rsidR="006E4897" w14:paraId="2209CF3F" w14:textId="77777777">
        <w:trPr>
          <w:cantSplit/>
          <w:trHeight w:val="645"/>
          <w:tblHeader/>
        </w:trPr>
        <w:tc>
          <w:tcPr>
            <w:tcW w:w="2460"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322DAD05"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Investors &amp; Strategic Partners</w:t>
            </w:r>
          </w:p>
        </w:tc>
        <w:tc>
          <w:tcPr>
            <w:tcW w:w="6615" w:type="dxa"/>
            <w:tcBorders>
              <w:top w:val="single" w:sz="4" w:space="0" w:color="000000"/>
              <w:left w:val="single" w:sz="4" w:space="0" w:color="000000"/>
              <w:bottom w:val="single" w:sz="4" w:space="0" w:color="000000"/>
              <w:right w:val="single" w:sz="4" w:space="0" w:color="000000"/>
            </w:tcBorders>
            <w:shd w:val="clear" w:color="auto" w:fill="FFFFFF"/>
            <w:tcMar>
              <w:top w:w="40" w:type="dxa"/>
              <w:left w:w="120" w:type="dxa"/>
              <w:bottom w:w="40" w:type="dxa"/>
              <w:right w:w="120" w:type="dxa"/>
            </w:tcMar>
            <w:vAlign w:val="center"/>
          </w:tcPr>
          <w:p w14:paraId="1D535C54" w14:textId="77777777" w:rsidR="006E4897" w:rsidRDefault="0007408C">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Quarterly briefings tied to KPIs, focusing on financial returns and strategic alignment.</w:t>
            </w:r>
          </w:p>
        </w:tc>
      </w:tr>
      <w:tr w:rsidR="006E4897" w14:paraId="565BCDE4" w14:textId="77777777">
        <w:trPr>
          <w:cantSplit/>
          <w:trHeight w:val="157"/>
          <w:tblHeader/>
        </w:trPr>
        <w:tc>
          <w:tcPr>
            <w:tcW w:w="2460"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6D60575C"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0"/>
                <w:szCs w:val="20"/>
              </w:rPr>
            </w:pPr>
            <w:r>
              <w:rPr>
                <w:rFonts w:ascii="Times New Roman" w:eastAsia="Times New Roman" w:hAnsi="Times New Roman" w:cs="Times New Roman"/>
                <w:b/>
                <w:color w:val="000000"/>
                <w:sz w:val="24"/>
                <w:szCs w:val="24"/>
              </w:rPr>
              <w:t>Local Communities &amp; NGOs</w:t>
            </w:r>
          </w:p>
        </w:tc>
        <w:tc>
          <w:tcPr>
            <w:tcW w:w="661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24045C76" w14:textId="77777777" w:rsidR="006E4897" w:rsidRDefault="0007408C">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Annual sustainability and CSR updates to reinforce corporate responsibility.</w:t>
            </w:r>
          </w:p>
        </w:tc>
      </w:tr>
    </w:tbl>
    <w:p w14:paraId="1AF6986B" w14:textId="77777777" w:rsidR="006E4897" w:rsidRDefault="0007408C">
      <w:pPr>
        <w:pStyle w:val="Titlu3"/>
        <w:spacing w:before="0" w:after="0" w:line="360" w:lineRule="auto"/>
        <w:jc w:val="center"/>
        <w:rPr>
          <w:rFonts w:ascii="Times New Roman" w:eastAsia="Times New Roman" w:hAnsi="Times New Roman" w:cs="Times New Roman"/>
          <w:b/>
          <w:color w:val="000000"/>
          <w:sz w:val="24"/>
          <w:szCs w:val="24"/>
        </w:rPr>
      </w:pPr>
      <w:bookmarkStart w:id="30" w:name="_heading=h.euyrl7hbii3a" w:colFirst="0" w:colLast="0"/>
      <w:bookmarkEnd w:id="30"/>
      <w:r>
        <w:rPr>
          <w:rFonts w:ascii="Times New Roman" w:eastAsia="Times New Roman" w:hAnsi="Times New Roman" w:cs="Times New Roman"/>
          <w:b/>
          <w:color w:val="000000"/>
          <w:sz w:val="24"/>
          <w:szCs w:val="24"/>
        </w:rPr>
        <w:t>Table 7:  Engagement Plan</w:t>
      </w:r>
    </w:p>
    <w:p w14:paraId="01420CA1" w14:textId="77777777" w:rsidR="006E4897" w:rsidRDefault="0007408C">
      <w:pPr>
        <w:pBdr>
          <w:top w:val="nil"/>
          <w:left w:val="nil"/>
          <w:bottom w:val="nil"/>
          <w:right w:val="nil"/>
          <w:between w:val="nil"/>
        </w:pBdr>
        <w:spacing w:line="360" w:lineRule="auto"/>
        <w:jc w:val="center"/>
        <w:rPr>
          <w:color w:val="000000"/>
        </w:rPr>
      </w:pPr>
      <w:r>
        <w:rPr>
          <w:rFonts w:ascii="Times New Roman" w:eastAsia="Times New Roman" w:hAnsi="Times New Roman" w:cs="Times New Roman"/>
          <w:color w:val="000000"/>
          <w:sz w:val="24"/>
          <w:szCs w:val="24"/>
        </w:rPr>
        <w:t>(Source: Self-Generated)</w:t>
      </w:r>
    </w:p>
    <w:p w14:paraId="5DEB221A" w14:textId="77777777" w:rsidR="006E4897" w:rsidRDefault="0007408C">
      <w:pPr>
        <w:pStyle w:val="Titlu2"/>
        <w:spacing w:before="0" w:after="0" w:line="360" w:lineRule="auto"/>
        <w:jc w:val="both"/>
        <w:rPr>
          <w:rFonts w:ascii="Times New Roman" w:eastAsia="Times New Roman" w:hAnsi="Times New Roman" w:cs="Times New Roman"/>
          <w:b/>
          <w:sz w:val="26"/>
          <w:szCs w:val="26"/>
        </w:rPr>
      </w:pPr>
      <w:bookmarkStart w:id="31" w:name="_heading=h.sllpqixrbho4" w:colFirst="0" w:colLast="0"/>
      <w:bookmarkEnd w:id="31"/>
      <w:r>
        <w:rPr>
          <w:rFonts w:ascii="Times New Roman" w:eastAsia="Times New Roman" w:hAnsi="Times New Roman" w:cs="Times New Roman"/>
          <w:b/>
          <w:sz w:val="26"/>
          <w:szCs w:val="26"/>
        </w:rPr>
        <w:t>4.7 Communication Plan</w:t>
      </w:r>
    </w:p>
    <w:p w14:paraId="20882055"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Stakeholder engagement is based on effective communication, which reduces the risk of conflict or non-engagement. The stakeholder theory of value creation developed by Freeman is implemented at Vodafone, and it involves transparency, trust, and mutual benefit </w:t>
      </w:r>
      <w:r>
        <w:rPr>
          <w:rFonts w:ascii="Times New Roman" w:eastAsia="Times New Roman" w:hAnsi="Times New Roman" w:cs="Times New Roman"/>
          <w:color w:val="111111"/>
          <w:sz w:val="24"/>
          <w:szCs w:val="24"/>
        </w:rPr>
        <w:t>(ScienceDirect, 2024)</w:t>
      </w:r>
      <w:r>
        <w:rPr>
          <w:rFonts w:ascii="Times New Roman" w:eastAsia="Times New Roman" w:hAnsi="Times New Roman" w:cs="Times New Roman"/>
          <w:color w:val="000000"/>
          <w:sz w:val="24"/>
          <w:szCs w:val="24"/>
        </w:rPr>
        <w:t xml:space="preserve">. Regulatory reporting, investor briefings, and board reporting are some of the formal mechanisms that are conducted to uphold compliance and governance (Dang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2023). Collaboration and learning are encouraged through interactive methods, such as co-design, focus groups, and pilot feedback. Online technologies such as secure dashboards, mobile applications, and internal solutions maintain the real-time updated teams and regulators, help to increase responsiveness, develop trust, cultivate relationships, and promote long-term organisational resilience and value to stakeholders (Bargarai and Keti, 2025).</w:t>
      </w:r>
    </w:p>
    <w:p w14:paraId="214D1680" w14:textId="77777777" w:rsidR="006E4897" w:rsidRDefault="0007408C">
      <w:pPr>
        <w:pStyle w:val="Titlu2"/>
        <w:spacing w:before="0" w:after="0" w:line="360" w:lineRule="auto"/>
        <w:jc w:val="both"/>
        <w:rPr>
          <w:rFonts w:ascii="Times New Roman" w:eastAsia="Times New Roman" w:hAnsi="Times New Roman" w:cs="Times New Roman"/>
          <w:b/>
          <w:sz w:val="24"/>
          <w:szCs w:val="24"/>
        </w:rPr>
      </w:pPr>
      <w:bookmarkStart w:id="32" w:name="_heading=h.6rrgrutkciw8" w:colFirst="0" w:colLast="0"/>
      <w:bookmarkEnd w:id="32"/>
      <w:r>
        <w:rPr>
          <w:rFonts w:ascii="Times New Roman" w:eastAsia="Times New Roman" w:hAnsi="Times New Roman" w:cs="Times New Roman"/>
          <w:b/>
          <w:sz w:val="24"/>
          <w:szCs w:val="24"/>
        </w:rPr>
        <w:t>4.8 RACI Matrix</w:t>
      </w:r>
    </w:p>
    <w:tbl>
      <w:tblPr>
        <w:tblStyle w:val="ae"/>
        <w:tblW w:w="9375" w:type="dxa"/>
        <w:tblInd w:w="20" w:type="dxa"/>
        <w:tblBorders>
          <w:top w:val="nil"/>
          <w:left w:val="nil"/>
          <w:bottom w:val="nil"/>
          <w:right w:val="nil"/>
          <w:insideH w:val="nil"/>
          <w:insideV w:val="nil"/>
        </w:tblBorders>
        <w:tblLayout w:type="fixed"/>
        <w:tblLook w:val="0600" w:firstRow="0" w:lastRow="0" w:firstColumn="0" w:lastColumn="0" w:noHBand="1" w:noVBand="1"/>
      </w:tblPr>
      <w:tblGrid>
        <w:gridCol w:w="2730"/>
        <w:gridCol w:w="2100"/>
        <w:gridCol w:w="1680"/>
        <w:gridCol w:w="1440"/>
        <w:gridCol w:w="1425"/>
      </w:tblGrid>
      <w:tr w:rsidR="006E4897" w14:paraId="7992FDAA" w14:textId="77777777">
        <w:trPr>
          <w:cantSplit/>
          <w:trHeight w:val="360"/>
          <w:tblHeader/>
        </w:trPr>
        <w:tc>
          <w:tcPr>
            <w:tcW w:w="2730"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2564FA21"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Task</w:t>
            </w:r>
          </w:p>
        </w:tc>
        <w:tc>
          <w:tcPr>
            <w:tcW w:w="2100"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2DDC7E5C"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Responsible (R)</w:t>
            </w:r>
          </w:p>
        </w:tc>
        <w:tc>
          <w:tcPr>
            <w:tcW w:w="1680"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7EE85600"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Accountable (A)</w:t>
            </w:r>
          </w:p>
        </w:tc>
        <w:tc>
          <w:tcPr>
            <w:tcW w:w="1440"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32384240"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Consulted (C)</w:t>
            </w:r>
          </w:p>
        </w:tc>
        <w:tc>
          <w:tcPr>
            <w:tcW w:w="1425" w:type="dxa"/>
            <w:tcBorders>
              <w:top w:val="single" w:sz="4" w:space="0" w:color="000000"/>
              <w:left w:val="single" w:sz="4" w:space="0" w:color="000000"/>
              <w:bottom w:val="single" w:sz="4" w:space="0" w:color="000000"/>
              <w:right w:val="single" w:sz="4" w:space="0" w:color="000000"/>
            </w:tcBorders>
            <w:shd w:val="clear" w:color="auto" w:fill="356854"/>
            <w:tcMar>
              <w:top w:w="40" w:type="dxa"/>
              <w:left w:w="120" w:type="dxa"/>
              <w:bottom w:w="40" w:type="dxa"/>
              <w:right w:w="120" w:type="dxa"/>
            </w:tcMar>
            <w:vAlign w:val="center"/>
          </w:tcPr>
          <w:p w14:paraId="33525BA8"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b/>
                <w:color w:val="FFFFFF"/>
                <w:sz w:val="24"/>
                <w:szCs w:val="24"/>
              </w:rPr>
              <w:t>Informed (I)</w:t>
            </w:r>
          </w:p>
        </w:tc>
      </w:tr>
      <w:tr w:rsidR="006E4897" w14:paraId="5945A05F" w14:textId="77777777">
        <w:trPr>
          <w:cantSplit/>
          <w:trHeight w:val="645"/>
          <w:tblHeader/>
        </w:trPr>
        <w:tc>
          <w:tcPr>
            <w:tcW w:w="2730" w:type="dxa"/>
            <w:tcBorders>
              <w:top w:val="single" w:sz="4" w:space="0" w:color="000000"/>
              <w:left w:val="single" w:sz="4" w:space="0" w:color="000000"/>
              <w:bottom w:val="single" w:sz="4" w:space="0" w:color="000000"/>
              <w:right w:val="single" w:sz="4" w:space="0" w:color="000000"/>
            </w:tcBorders>
            <w:shd w:val="clear" w:color="auto" w:fill="F4CCCC"/>
            <w:tcMar>
              <w:top w:w="40" w:type="dxa"/>
              <w:left w:w="120" w:type="dxa"/>
              <w:bottom w:w="40" w:type="dxa"/>
              <w:right w:w="120" w:type="dxa"/>
            </w:tcMar>
            <w:vAlign w:val="center"/>
          </w:tcPr>
          <w:p w14:paraId="171A6775"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Product Design &amp; Testing</w:t>
            </w:r>
          </w:p>
        </w:tc>
        <w:tc>
          <w:tcPr>
            <w:tcW w:w="2100" w:type="dxa"/>
            <w:tcBorders>
              <w:top w:val="single" w:sz="4" w:space="0" w:color="000000"/>
              <w:left w:val="single" w:sz="4" w:space="0" w:color="000000"/>
              <w:bottom w:val="single" w:sz="4" w:space="0" w:color="000000"/>
              <w:right w:val="single" w:sz="4" w:space="0" w:color="000000"/>
            </w:tcBorders>
            <w:shd w:val="clear" w:color="auto" w:fill="FFFF00"/>
            <w:tcMar>
              <w:top w:w="40" w:type="dxa"/>
              <w:left w:w="120" w:type="dxa"/>
              <w:bottom w:w="40" w:type="dxa"/>
              <w:right w:w="120" w:type="dxa"/>
            </w:tcMar>
            <w:vAlign w:val="center"/>
          </w:tcPr>
          <w:p w14:paraId="6AFFC15A"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R&amp;D Team</w:t>
            </w:r>
          </w:p>
        </w:tc>
        <w:tc>
          <w:tcPr>
            <w:tcW w:w="1680" w:type="dxa"/>
            <w:tcBorders>
              <w:top w:val="single" w:sz="4" w:space="0" w:color="000000"/>
              <w:left w:val="single" w:sz="4" w:space="0" w:color="000000"/>
              <w:bottom w:val="single" w:sz="4" w:space="0" w:color="000000"/>
              <w:right w:val="single" w:sz="4" w:space="0" w:color="000000"/>
            </w:tcBorders>
            <w:shd w:val="clear" w:color="auto" w:fill="00FFFF"/>
            <w:tcMar>
              <w:top w:w="40" w:type="dxa"/>
              <w:left w:w="120" w:type="dxa"/>
              <w:bottom w:w="40" w:type="dxa"/>
              <w:right w:w="120" w:type="dxa"/>
            </w:tcMar>
            <w:vAlign w:val="center"/>
          </w:tcPr>
          <w:p w14:paraId="70A98F55"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Project Manager</w:t>
            </w:r>
          </w:p>
        </w:tc>
        <w:tc>
          <w:tcPr>
            <w:tcW w:w="1440" w:type="dxa"/>
            <w:tcBorders>
              <w:top w:val="single" w:sz="4" w:space="0" w:color="000000"/>
              <w:left w:val="single" w:sz="4" w:space="0" w:color="000000"/>
              <w:bottom w:val="single" w:sz="4" w:space="0" w:color="000000"/>
              <w:right w:val="single" w:sz="4" w:space="0" w:color="000000"/>
            </w:tcBorders>
            <w:shd w:val="clear" w:color="auto" w:fill="EAD1DC"/>
            <w:tcMar>
              <w:top w:w="40" w:type="dxa"/>
              <w:left w:w="120" w:type="dxa"/>
              <w:bottom w:w="40" w:type="dxa"/>
              <w:right w:w="120" w:type="dxa"/>
            </w:tcMar>
            <w:vAlign w:val="center"/>
          </w:tcPr>
          <w:p w14:paraId="33EC9076"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Healthcare Providers</w:t>
            </w:r>
          </w:p>
        </w:tc>
        <w:tc>
          <w:tcPr>
            <w:tcW w:w="1425" w:type="dxa"/>
            <w:tcBorders>
              <w:top w:val="single" w:sz="4" w:space="0" w:color="000000"/>
              <w:left w:val="single" w:sz="4" w:space="0" w:color="000000"/>
              <w:bottom w:val="single" w:sz="4" w:space="0" w:color="000000"/>
              <w:right w:val="single" w:sz="4" w:space="0" w:color="000000"/>
            </w:tcBorders>
            <w:shd w:val="clear" w:color="auto" w:fill="D9EAD3"/>
            <w:tcMar>
              <w:top w:w="40" w:type="dxa"/>
              <w:left w:w="120" w:type="dxa"/>
              <w:bottom w:w="40" w:type="dxa"/>
              <w:right w:w="120" w:type="dxa"/>
            </w:tcMar>
            <w:vAlign w:val="center"/>
          </w:tcPr>
          <w:p w14:paraId="156EDDF4"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Executive Board</w:t>
            </w:r>
          </w:p>
        </w:tc>
      </w:tr>
      <w:tr w:rsidR="006E4897" w14:paraId="2EB117DF" w14:textId="77777777">
        <w:trPr>
          <w:cantSplit/>
          <w:trHeight w:val="360"/>
          <w:tblHeader/>
        </w:trPr>
        <w:tc>
          <w:tcPr>
            <w:tcW w:w="2730" w:type="dxa"/>
            <w:tcBorders>
              <w:top w:val="single" w:sz="4" w:space="0" w:color="000000"/>
              <w:left w:val="single" w:sz="4" w:space="0" w:color="000000"/>
              <w:bottom w:val="single" w:sz="4" w:space="0" w:color="000000"/>
              <w:right w:val="single" w:sz="4" w:space="0" w:color="000000"/>
            </w:tcBorders>
            <w:shd w:val="clear" w:color="auto" w:fill="F4CCCC"/>
            <w:tcMar>
              <w:top w:w="40" w:type="dxa"/>
              <w:left w:w="120" w:type="dxa"/>
              <w:bottom w:w="40" w:type="dxa"/>
              <w:right w:w="120" w:type="dxa"/>
            </w:tcMar>
            <w:vAlign w:val="center"/>
          </w:tcPr>
          <w:p w14:paraId="5F264855"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Regulatory Approval</w:t>
            </w:r>
          </w:p>
        </w:tc>
        <w:tc>
          <w:tcPr>
            <w:tcW w:w="2100" w:type="dxa"/>
            <w:tcBorders>
              <w:top w:val="single" w:sz="4" w:space="0" w:color="000000"/>
              <w:left w:val="single" w:sz="4" w:space="0" w:color="000000"/>
              <w:bottom w:val="single" w:sz="4" w:space="0" w:color="000000"/>
              <w:right w:val="single" w:sz="4" w:space="0" w:color="000000"/>
            </w:tcBorders>
            <w:shd w:val="clear" w:color="auto" w:fill="00FF00"/>
            <w:tcMar>
              <w:top w:w="40" w:type="dxa"/>
              <w:left w:w="120" w:type="dxa"/>
              <w:bottom w:w="40" w:type="dxa"/>
              <w:right w:w="120" w:type="dxa"/>
            </w:tcMar>
            <w:vAlign w:val="center"/>
          </w:tcPr>
          <w:p w14:paraId="5AB1CD54"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Compliance/Legal</w:t>
            </w:r>
          </w:p>
        </w:tc>
        <w:tc>
          <w:tcPr>
            <w:tcW w:w="1680" w:type="dxa"/>
            <w:tcBorders>
              <w:top w:val="single" w:sz="4" w:space="0" w:color="000000"/>
              <w:left w:val="single" w:sz="4" w:space="0" w:color="000000"/>
              <w:bottom w:val="single" w:sz="4" w:space="0" w:color="000000"/>
              <w:right w:val="single" w:sz="4" w:space="0" w:color="000000"/>
            </w:tcBorders>
            <w:shd w:val="clear" w:color="auto" w:fill="C9DAF8"/>
            <w:tcMar>
              <w:top w:w="40" w:type="dxa"/>
              <w:left w:w="120" w:type="dxa"/>
              <w:bottom w:w="40" w:type="dxa"/>
              <w:right w:w="120" w:type="dxa"/>
            </w:tcMar>
            <w:vAlign w:val="center"/>
          </w:tcPr>
          <w:p w14:paraId="721EF14B"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Executive Board</w:t>
            </w:r>
          </w:p>
        </w:tc>
        <w:tc>
          <w:tcPr>
            <w:tcW w:w="1440" w:type="dxa"/>
            <w:tcBorders>
              <w:top w:val="single" w:sz="4" w:space="0" w:color="000000"/>
              <w:left w:val="single" w:sz="4" w:space="0" w:color="000000"/>
              <w:bottom w:val="single" w:sz="4" w:space="0" w:color="000000"/>
              <w:right w:val="single" w:sz="4" w:space="0" w:color="000000"/>
            </w:tcBorders>
            <w:shd w:val="clear" w:color="auto" w:fill="FFF2CC"/>
            <w:tcMar>
              <w:top w:w="40" w:type="dxa"/>
              <w:left w:w="120" w:type="dxa"/>
              <w:bottom w:w="40" w:type="dxa"/>
              <w:right w:w="120" w:type="dxa"/>
            </w:tcMar>
            <w:vAlign w:val="center"/>
          </w:tcPr>
          <w:p w14:paraId="281BCC06"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Regulators</w:t>
            </w:r>
          </w:p>
        </w:tc>
        <w:tc>
          <w:tcPr>
            <w:tcW w:w="142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4D6ECCBC"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Investors</w:t>
            </w:r>
          </w:p>
        </w:tc>
      </w:tr>
      <w:tr w:rsidR="006E4897" w14:paraId="68EFF880" w14:textId="77777777">
        <w:trPr>
          <w:cantSplit/>
          <w:trHeight w:val="360"/>
          <w:tblHeader/>
        </w:trPr>
        <w:tc>
          <w:tcPr>
            <w:tcW w:w="2730" w:type="dxa"/>
            <w:tcBorders>
              <w:top w:val="single" w:sz="4" w:space="0" w:color="000000"/>
              <w:left w:val="single" w:sz="4" w:space="0" w:color="000000"/>
              <w:bottom w:val="single" w:sz="4" w:space="0" w:color="000000"/>
              <w:right w:val="single" w:sz="4" w:space="0" w:color="000000"/>
            </w:tcBorders>
            <w:shd w:val="clear" w:color="auto" w:fill="F4CCCC"/>
            <w:tcMar>
              <w:top w:w="40" w:type="dxa"/>
              <w:left w:w="120" w:type="dxa"/>
              <w:bottom w:w="40" w:type="dxa"/>
              <w:right w:w="120" w:type="dxa"/>
            </w:tcMar>
            <w:vAlign w:val="center"/>
          </w:tcPr>
          <w:p w14:paraId="5AED9C1A"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Marketing Campaign</w:t>
            </w:r>
          </w:p>
        </w:tc>
        <w:tc>
          <w:tcPr>
            <w:tcW w:w="2100" w:type="dxa"/>
            <w:tcBorders>
              <w:top w:val="single" w:sz="4" w:space="0" w:color="000000"/>
              <w:left w:val="single" w:sz="4" w:space="0" w:color="000000"/>
              <w:bottom w:val="single" w:sz="4" w:space="0" w:color="000000"/>
              <w:right w:val="single" w:sz="4" w:space="0" w:color="000000"/>
            </w:tcBorders>
            <w:shd w:val="clear" w:color="auto" w:fill="9FC5E8"/>
            <w:tcMar>
              <w:top w:w="40" w:type="dxa"/>
              <w:left w:w="120" w:type="dxa"/>
              <w:bottom w:w="40" w:type="dxa"/>
              <w:right w:w="120" w:type="dxa"/>
            </w:tcMar>
            <w:vAlign w:val="center"/>
          </w:tcPr>
          <w:p w14:paraId="688A8655"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Marketing Team</w:t>
            </w:r>
          </w:p>
        </w:tc>
        <w:tc>
          <w:tcPr>
            <w:tcW w:w="1680" w:type="dxa"/>
            <w:tcBorders>
              <w:top w:val="single" w:sz="4" w:space="0" w:color="000000"/>
              <w:left w:val="single" w:sz="4" w:space="0" w:color="000000"/>
              <w:bottom w:val="single" w:sz="4" w:space="0" w:color="000000"/>
              <w:right w:val="single" w:sz="4" w:space="0" w:color="000000"/>
            </w:tcBorders>
            <w:shd w:val="clear" w:color="auto" w:fill="D9D2E9"/>
            <w:tcMar>
              <w:top w:w="40" w:type="dxa"/>
              <w:left w:w="120" w:type="dxa"/>
              <w:bottom w:w="40" w:type="dxa"/>
              <w:right w:w="120" w:type="dxa"/>
            </w:tcMar>
            <w:vAlign w:val="center"/>
          </w:tcPr>
          <w:p w14:paraId="25505282"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CMO</w:t>
            </w:r>
          </w:p>
        </w:tc>
        <w:tc>
          <w:tcPr>
            <w:tcW w:w="1440" w:type="dxa"/>
            <w:tcBorders>
              <w:top w:val="single" w:sz="4" w:space="0" w:color="000000"/>
              <w:left w:val="single" w:sz="4" w:space="0" w:color="000000"/>
              <w:bottom w:val="single" w:sz="4" w:space="0" w:color="000000"/>
              <w:right w:val="single" w:sz="4" w:space="0" w:color="000000"/>
            </w:tcBorders>
            <w:shd w:val="clear" w:color="auto" w:fill="FCE5CD"/>
            <w:tcMar>
              <w:top w:w="40" w:type="dxa"/>
              <w:left w:w="120" w:type="dxa"/>
              <w:bottom w:w="40" w:type="dxa"/>
              <w:right w:w="120" w:type="dxa"/>
            </w:tcMar>
            <w:vAlign w:val="center"/>
          </w:tcPr>
          <w:p w14:paraId="157A00B9"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Sales Team</w:t>
            </w:r>
          </w:p>
        </w:tc>
        <w:tc>
          <w:tcPr>
            <w:tcW w:w="1425" w:type="dxa"/>
            <w:tcBorders>
              <w:top w:val="single" w:sz="4" w:space="0" w:color="000000"/>
              <w:left w:val="single" w:sz="4" w:space="0" w:color="000000"/>
              <w:bottom w:val="single" w:sz="4" w:space="0" w:color="000000"/>
              <w:right w:val="single" w:sz="4" w:space="0" w:color="000000"/>
            </w:tcBorders>
            <w:shd w:val="clear" w:color="auto" w:fill="EAD1DC"/>
            <w:tcMar>
              <w:top w:w="40" w:type="dxa"/>
              <w:left w:w="120" w:type="dxa"/>
              <w:bottom w:w="40" w:type="dxa"/>
              <w:right w:w="120" w:type="dxa"/>
            </w:tcMar>
            <w:vAlign w:val="center"/>
          </w:tcPr>
          <w:p w14:paraId="047A753B"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Customers</w:t>
            </w:r>
          </w:p>
        </w:tc>
      </w:tr>
      <w:tr w:rsidR="006E4897" w14:paraId="4B001A12" w14:textId="77777777">
        <w:trPr>
          <w:cantSplit/>
          <w:trHeight w:val="360"/>
          <w:tblHeader/>
        </w:trPr>
        <w:tc>
          <w:tcPr>
            <w:tcW w:w="2730" w:type="dxa"/>
            <w:tcBorders>
              <w:top w:val="single" w:sz="4" w:space="0" w:color="000000"/>
              <w:left w:val="single" w:sz="4" w:space="0" w:color="000000"/>
              <w:bottom w:val="single" w:sz="4" w:space="0" w:color="000000"/>
              <w:right w:val="single" w:sz="4" w:space="0" w:color="000000"/>
            </w:tcBorders>
            <w:shd w:val="clear" w:color="auto" w:fill="F4CCCC"/>
            <w:tcMar>
              <w:top w:w="40" w:type="dxa"/>
              <w:left w:w="120" w:type="dxa"/>
              <w:bottom w:w="40" w:type="dxa"/>
              <w:right w:w="120" w:type="dxa"/>
            </w:tcMar>
            <w:vAlign w:val="center"/>
          </w:tcPr>
          <w:p w14:paraId="591D3CD0"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Distribution &amp; Sales</w:t>
            </w:r>
          </w:p>
        </w:tc>
        <w:tc>
          <w:tcPr>
            <w:tcW w:w="2100" w:type="dxa"/>
            <w:tcBorders>
              <w:top w:val="single" w:sz="4" w:space="0" w:color="000000"/>
              <w:left w:val="single" w:sz="4" w:space="0" w:color="000000"/>
              <w:bottom w:val="single" w:sz="4" w:space="0" w:color="000000"/>
              <w:right w:val="single" w:sz="4" w:space="0" w:color="000000"/>
            </w:tcBorders>
            <w:shd w:val="clear" w:color="auto" w:fill="D9D2E9"/>
            <w:tcMar>
              <w:top w:w="40" w:type="dxa"/>
              <w:left w:w="120" w:type="dxa"/>
              <w:bottom w:w="40" w:type="dxa"/>
              <w:right w:w="120" w:type="dxa"/>
            </w:tcMar>
            <w:vAlign w:val="center"/>
          </w:tcPr>
          <w:p w14:paraId="51B2CA22"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Sales Team</w:t>
            </w:r>
          </w:p>
        </w:tc>
        <w:tc>
          <w:tcPr>
            <w:tcW w:w="1680"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53015AA2"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COO</w:t>
            </w:r>
          </w:p>
        </w:tc>
        <w:tc>
          <w:tcPr>
            <w:tcW w:w="1440" w:type="dxa"/>
            <w:tcBorders>
              <w:top w:val="single" w:sz="4" w:space="0" w:color="000000"/>
              <w:left w:val="single" w:sz="4" w:space="0" w:color="000000"/>
              <w:bottom w:val="single" w:sz="4" w:space="0" w:color="000000"/>
              <w:right w:val="single" w:sz="4" w:space="0" w:color="000000"/>
            </w:tcBorders>
            <w:shd w:val="clear" w:color="auto" w:fill="FFF2CC"/>
            <w:tcMar>
              <w:top w:w="40" w:type="dxa"/>
              <w:left w:w="120" w:type="dxa"/>
              <w:bottom w:w="40" w:type="dxa"/>
              <w:right w:w="120" w:type="dxa"/>
            </w:tcMar>
            <w:vAlign w:val="center"/>
          </w:tcPr>
          <w:p w14:paraId="75FEE259"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Suppliers</w:t>
            </w:r>
          </w:p>
        </w:tc>
        <w:tc>
          <w:tcPr>
            <w:tcW w:w="1425" w:type="dxa"/>
            <w:tcBorders>
              <w:top w:val="single" w:sz="4" w:space="0" w:color="000000"/>
              <w:left w:val="single" w:sz="4" w:space="0" w:color="000000"/>
              <w:bottom w:val="single" w:sz="4" w:space="0" w:color="000000"/>
              <w:right w:val="single" w:sz="4" w:space="0" w:color="000000"/>
            </w:tcBorders>
            <w:shd w:val="clear" w:color="auto" w:fill="F6F8F9"/>
            <w:tcMar>
              <w:top w:w="40" w:type="dxa"/>
              <w:left w:w="120" w:type="dxa"/>
              <w:bottom w:w="40" w:type="dxa"/>
              <w:right w:w="120" w:type="dxa"/>
            </w:tcMar>
            <w:vAlign w:val="center"/>
          </w:tcPr>
          <w:p w14:paraId="4E3E66F1"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Investors</w:t>
            </w:r>
          </w:p>
        </w:tc>
      </w:tr>
      <w:tr w:rsidR="006E4897" w14:paraId="3288051B" w14:textId="77777777">
        <w:trPr>
          <w:cantSplit/>
          <w:trHeight w:val="645"/>
          <w:tblHeader/>
        </w:trPr>
        <w:tc>
          <w:tcPr>
            <w:tcW w:w="2730" w:type="dxa"/>
            <w:tcBorders>
              <w:top w:val="single" w:sz="4" w:space="0" w:color="000000"/>
              <w:left w:val="single" w:sz="4" w:space="0" w:color="000000"/>
              <w:bottom w:val="single" w:sz="4" w:space="0" w:color="000000"/>
              <w:right w:val="single" w:sz="4" w:space="0" w:color="000000"/>
            </w:tcBorders>
            <w:shd w:val="clear" w:color="auto" w:fill="F4CCCC"/>
            <w:tcMar>
              <w:top w:w="40" w:type="dxa"/>
              <w:left w:w="120" w:type="dxa"/>
              <w:bottom w:w="40" w:type="dxa"/>
              <w:right w:w="120" w:type="dxa"/>
            </w:tcMar>
            <w:vAlign w:val="center"/>
          </w:tcPr>
          <w:p w14:paraId="5DF4FB4E"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Data Security &amp; GDPR Compliance</w:t>
            </w:r>
          </w:p>
        </w:tc>
        <w:tc>
          <w:tcPr>
            <w:tcW w:w="2100" w:type="dxa"/>
            <w:tcBorders>
              <w:top w:val="single" w:sz="4" w:space="0" w:color="000000"/>
              <w:left w:val="single" w:sz="4" w:space="0" w:color="000000"/>
              <w:bottom w:val="single" w:sz="4" w:space="0" w:color="000000"/>
              <w:right w:val="single" w:sz="4" w:space="0" w:color="000000"/>
            </w:tcBorders>
            <w:shd w:val="clear" w:color="auto" w:fill="FF9900"/>
            <w:tcMar>
              <w:top w:w="40" w:type="dxa"/>
              <w:left w:w="120" w:type="dxa"/>
              <w:bottom w:w="40" w:type="dxa"/>
              <w:right w:w="120" w:type="dxa"/>
            </w:tcMar>
            <w:vAlign w:val="center"/>
          </w:tcPr>
          <w:p w14:paraId="1A59C637"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IT &amp; Cybersecurity</w:t>
            </w:r>
          </w:p>
        </w:tc>
        <w:tc>
          <w:tcPr>
            <w:tcW w:w="1680" w:type="dxa"/>
            <w:tcBorders>
              <w:top w:val="single" w:sz="4" w:space="0" w:color="000000"/>
              <w:left w:val="single" w:sz="4" w:space="0" w:color="000000"/>
              <w:bottom w:val="single" w:sz="4" w:space="0" w:color="000000"/>
              <w:right w:val="single" w:sz="4" w:space="0" w:color="000000"/>
            </w:tcBorders>
            <w:shd w:val="clear" w:color="auto" w:fill="00FFFF"/>
            <w:tcMar>
              <w:top w:w="40" w:type="dxa"/>
              <w:left w:w="120" w:type="dxa"/>
              <w:bottom w:w="40" w:type="dxa"/>
              <w:right w:w="120" w:type="dxa"/>
            </w:tcMar>
            <w:vAlign w:val="center"/>
          </w:tcPr>
          <w:p w14:paraId="0115EE85"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CIO</w:t>
            </w:r>
          </w:p>
        </w:tc>
        <w:tc>
          <w:tcPr>
            <w:tcW w:w="1440" w:type="dxa"/>
            <w:tcBorders>
              <w:top w:val="single" w:sz="4" w:space="0" w:color="000000"/>
              <w:left w:val="single" w:sz="4" w:space="0" w:color="000000"/>
              <w:bottom w:val="single" w:sz="4" w:space="0" w:color="000000"/>
              <w:right w:val="single" w:sz="4" w:space="0" w:color="000000"/>
            </w:tcBorders>
            <w:shd w:val="clear" w:color="auto" w:fill="C9DAF8"/>
            <w:tcMar>
              <w:top w:w="40" w:type="dxa"/>
              <w:left w:w="120" w:type="dxa"/>
              <w:bottom w:w="40" w:type="dxa"/>
              <w:right w:w="120" w:type="dxa"/>
            </w:tcMar>
            <w:vAlign w:val="center"/>
          </w:tcPr>
          <w:p w14:paraId="416C232E"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Regulators</w:t>
            </w:r>
          </w:p>
        </w:tc>
        <w:tc>
          <w:tcPr>
            <w:tcW w:w="1425" w:type="dxa"/>
            <w:tcBorders>
              <w:top w:val="single" w:sz="4" w:space="0" w:color="000000"/>
              <w:left w:val="single" w:sz="4" w:space="0" w:color="000000"/>
              <w:bottom w:val="single" w:sz="4" w:space="0" w:color="000000"/>
              <w:right w:val="single" w:sz="4" w:space="0" w:color="000000"/>
            </w:tcBorders>
            <w:shd w:val="clear" w:color="auto" w:fill="EAD1DC"/>
            <w:tcMar>
              <w:top w:w="40" w:type="dxa"/>
              <w:left w:w="120" w:type="dxa"/>
              <w:bottom w:w="40" w:type="dxa"/>
              <w:right w:w="120" w:type="dxa"/>
            </w:tcMar>
            <w:vAlign w:val="center"/>
          </w:tcPr>
          <w:p w14:paraId="6C8E84C2" w14:textId="77777777" w:rsidR="006E4897" w:rsidRDefault="0007408C">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4"/>
                <w:szCs w:val="24"/>
              </w:rPr>
              <w:t>Customers</w:t>
            </w:r>
          </w:p>
        </w:tc>
      </w:tr>
    </w:tbl>
    <w:p w14:paraId="2738B59A" w14:textId="77777777" w:rsidR="006E4897" w:rsidRDefault="0007408C">
      <w:pPr>
        <w:pStyle w:val="Titlu3"/>
        <w:spacing w:before="0" w:after="0" w:line="360" w:lineRule="auto"/>
        <w:jc w:val="center"/>
        <w:rPr>
          <w:rFonts w:ascii="Times New Roman" w:eastAsia="Times New Roman" w:hAnsi="Times New Roman" w:cs="Times New Roman"/>
          <w:b/>
          <w:color w:val="000000"/>
          <w:sz w:val="24"/>
          <w:szCs w:val="24"/>
        </w:rPr>
      </w:pPr>
      <w:bookmarkStart w:id="33" w:name="_heading=h.4bi0485wgqzz" w:colFirst="0" w:colLast="0"/>
      <w:bookmarkEnd w:id="33"/>
      <w:r>
        <w:rPr>
          <w:rFonts w:ascii="Times New Roman" w:eastAsia="Times New Roman" w:hAnsi="Times New Roman" w:cs="Times New Roman"/>
          <w:b/>
          <w:color w:val="000000"/>
          <w:sz w:val="24"/>
          <w:szCs w:val="24"/>
        </w:rPr>
        <w:t>Table 8:  RACI Matrix</w:t>
      </w:r>
    </w:p>
    <w:p w14:paraId="459B91C9"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Self-Generated)</w:t>
      </w:r>
    </w:p>
    <w:p w14:paraId="7C34B8BD" w14:textId="77777777" w:rsidR="006E4897" w:rsidRDefault="0007408C">
      <w:pPr>
        <w:pStyle w:val="Titlu1"/>
        <w:spacing w:before="0" w:after="0" w:line="360" w:lineRule="auto"/>
        <w:jc w:val="both"/>
        <w:rPr>
          <w:rFonts w:ascii="Times New Roman" w:eastAsia="Times New Roman" w:hAnsi="Times New Roman" w:cs="Times New Roman"/>
          <w:b/>
          <w:sz w:val="28"/>
          <w:szCs w:val="28"/>
        </w:rPr>
      </w:pPr>
      <w:bookmarkStart w:id="34" w:name="_heading=h.pawvhjmqy9yi" w:colFirst="0" w:colLast="0"/>
      <w:bookmarkEnd w:id="34"/>
      <w:r>
        <w:br w:type="page"/>
      </w:r>
    </w:p>
    <w:p w14:paraId="0DA01A02" w14:textId="77777777" w:rsidR="006E4897" w:rsidRDefault="0007408C">
      <w:pPr>
        <w:pStyle w:val="Titlu1"/>
        <w:spacing w:before="0" w:after="0" w:line="360" w:lineRule="auto"/>
        <w:jc w:val="both"/>
        <w:rPr>
          <w:rFonts w:ascii="Times New Roman" w:eastAsia="Times New Roman" w:hAnsi="Times New Roman" w:cs="Times New Roman"/>
          <w:b/>
          <w:sz w:val="28"/>
          <w:szCs w:val="28"/>
        </w:rPr>
      </w:pPr>
      <w:bookmarkStart w:id="35" w:name="_heading=h.stw78kuvm6q5" w:colFirst="0" w:colLast="0"/>
      <w:bookmarkEnd w:id="35"/>
      <w:r>
        <w:rPr>
          <w:rFonts w:ascii="Times New Roman" w:eastAsia="Times New Roman" w:hAnsi="Times New Roman" w:cs="Times New Roman"/>
          <w:b/>
          <w:sz w:val="28"/>
          <w:szCs w:val="28"/>
        </w:rPr>
        <w:t>5.0 Stakeholder Engagement Process &amp; Conflict Management</w:t>
      </w:r>
    </w:p>
    <w:p w14:paraId="52126F0E"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111111"/>
          <w:sz w:val="24"/>
          <w:szCs w:val="24"/>
        </w:rPr>
        <w:t xml:space="preserve">As project manager, the wearable device development at Vodafone needs to involve the stakeholders within the scope of agreed expectations, effective communication, and adherence to regulatory rules via the 4Cs model, namely communication, coordination, cooperation, and collaboration, to manage all stakeholders holistically </w:t>
      </w:r>
      <w:r>
        <w:rPr>
          <w:rFonts w:ascii="Times New Roman" w:eastAsia="Times New Roman" w:hAnsi="Times New Roman" w:cs="Times New Roman"/>
          <w:color w:val="000000"/>
          <w:sz w:val="24"/>
          <w:szCs w:val="24"/>
        </w:rPr>
        <w:t>(Thakare and Verma, 2025).</w:t>
      </w:r>
    </w:p>
    <w:p w14:paraId="283B4BFF" w14:textId="77777777" w:rsidR="006E4897" w:rsidRDefault="0007408C">
      <w:pPr>
        <w:pStyle w:val="Titlu2"/>
        <w:spacing w:before="0" w:after="0" w:line="360" w:lineRule="auto"/>
        <w:jc w:val="both"/>
        <w:rPr>
          <w:rFonts w:ascii="Times New Roman" w:eastAsia="Times New Roman" w:hAnsi="Times New Roman" w:cs="Times New Roman"/>
          <w:b/>
          <w:sz w:val="26"/>
          <w:szCs w:val="26"/>
        </w:rPr>
      </w:pPr>
      <w:bookmarkStart w:id="36" w:name="_heading=h.rb8b553vnfra" w:colFirst="0" w:colLast="0"/>
      <w:bookmarkEnd w:id="36"/>
      <w:r>
        <w:rPr>
          <w:rFonts w:ascii="Times New Roman" w:eastAsia="Times New Roman" w:hAnsi="Times New Roman" w:cs="Times New Roman"/>
          <w:b/>
          <w:sz w:val="26"/>
          <w:szCs w:val="26"/>
        </w:rPr>
        <w:t>5.1 Establishing Communication Protocols</w:t>
      </w:r>
    </w:p>
    <w:p w14:paraId="05DF3C4C"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111111"/>
          <w:sz w:val="24"/>
          <w:szCs w:val="24"/>
        </w:rPr>
        <w:t>Effective stakeholder engagement involves effective communication.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 xml:space="preserve">The trust will be created by detailed updates to the executives and regulators, interactive channels with customers, and constant feedback through digital platforms, informed decision-making, and minimised uncertainty, conflict avoidance, and allowed the implementation of the project smoothly and subsequent customer satisfaction in the long term </w:t>
      </w:r>
      <w:r>
        <w:rPr>
          <w:rFonts w:ascii="Times New Roman" w:eastAsia="Times New Roman" w:hAnsi="Times New Roman" w:cs="Times New Roman"/>
          <w:color w:val="000000"/>
          <w:sz w:val="24"/>
          <w:szCs w:val="24"/>
        </w:rPr>
        <w:t>(Ashcroft, 2017).</w:t>
      </w:r>
    </w:p>
    <w:p w14:paraId="6018EE19" w14:textId="77777777" w:rsidR="006E4897" w:rsidRDefault="0007408C">
      <w:pPr>
        <w:pStyle w:val="Titlu2"/>
        <w:spacing w:before="0" w:after="0" w:line="360" w:lineRule="auto"/>
        <w:jc w:val="both"/>
        <w:rPr>
          <w:rFonts w:ascii="Times New Roman" w:eastAsia="Times New Roman" w:hAnsi="Times New Roman" w:cs="Times New Roman"/>
          <w:b/>
          <w:sz w:val="26"/>
          <w:szCs w:val="26"/>
        </w:rPr>
      </w:pPr>
      <w:bookmarkStart w:id="37" w:name="_heading=h.34anbt3ko726" w:colFirst="0" w:colLast="0"/>
      <w:bookmarkEnd w:id="37"/>
      <w:r>
        <w:rPr>
          <w:rFonts w:ascii="Times New Roman" w:eastAsia="Times New Roman" w:hAnsi="Times New Roman" w:cs="Times New Roman"/>
          <w:b/>
          <w:sz w:val="26"/>
          <w:szCs w:val="26"/>
        </w:rPr>
        <w:t>5.2 Aligning Expectations</w:t>
      </w:r>
    </w:p>
    <w:p w14:paraId="377321A7"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111111"/>
          <w:sz w:val="24"/>
          <w:szCs w:val="24"/>
        </w:rPr>
        <w:t xml:space="preserve">The interests of the stakeholders are not always compatible: the investors need profits, the regulators need to be satisfied, and the customers need to have devices which are cheap and convenient to use. As a project manager, it is important to match these expectations and project goals </w:t>
      </w:r>
      <w:r>
        <w:rPr>
          <w:rFonts w:ascii="Times New Roman" w:eastAsia="Times New Roman" w:hAnsi="Times New Roman" w:cs="Times New Roman"/>
          <w:color w:val="000000"/>
          <w:sz w:val="24"/>
          <w:szCs w:val="24"/>
        </w:rPr>
        <w:t>(Christopher, Payne and Ballantyne, 2013)</w:t>
      </w:r>
      <w:r>
        <w:rPr>
          <w:rFonts w:ascii="Times New Roman" w:eastAsia="Times New Roman" w:hAnsi="Times New Roman" w:cs="Times New Roman"/>
          <w:color w:val="111111"/>
          <w:sz w:val="24"/>
          <w:szCs w:val="24"/>
        </w:rPr>
        <w:t xml:space="preserve">. The priority of influential stakeholders such as regulators and the Executive Board is achieved with the help of expectation-setting workshops and the Mendelow Matrix. The implementation of the Stakeholder Theory developed by Freeman is a guarantee of creating value among shareholders, customers, and healthcare providers, which will result in trust and promotion in the long run (sciencedirect, 2024). Late alignment minimises conflicts, speeds and accuracy of product development, and the effective implementation of a project and stakeholder satisfaction </w:t>
      </w:r>
      <w:r>
        <w:rPr>
          <w:rFonts w:ascii="Times New Roman" w:eastAsia="Times New Roman" w:hAnsi="Times New Roman" w:cs="Times New Roman"/>
          <w:color w:val="000000"/>
          <w:sz w:val="24"/>
          <w:szCs w:val="24"/>
        </w:rPr>
        <w:t>(Charalambous, 2021)</w:t>
      </w:r>
      <w:r>
        <w:rPr>
          <w:rFonts w:ascii="Times New Roman" w:eastAsia="Times New Roman" w:hAnsi="Times New Roman" w:cs="Times New Roman"/>
          <w:color w:val="111111"/>
          <w:sz w:val="24"/>
          <w:szCs w:val="24"/>
        </w:rPr>
        <w:t>.</w:t>
      </w:r>
    </w:p>
    <w:p w14:paraId="56DEE513" w14:textId="77777777" w:rsidR="006E4897" w:rsidRDefault="0007408C">
      <w:pPr>
        <w:pStyle w:val="Titlu2"/>
        <w:spacing w:before="0" w:after="0" w:line="360" w:lineRule="auto"/>
        <w:jc w:val="both"/>
        <w:rPr>
          <w:rFonts w:ascii="Times New Roman" w:eastAsia="Times New Roman" w:hAnsi="Times New Roman" w:cs="Times New Roman"/>
          <w:b/>
          <w:sz w:val="26"/>
          <w:szCs w:val="26"/>
        </w:rPr>
      </w:pPr>
      <w:bookmarkStart w:id="38" w:name="_heading=h.jm9pv6swico" w:colFirst="0" w:colLast="0"/>
      <w:bookmarkEnd w:id="38"/>
      <w:r>
        <w:rPr>
          <w:rFonts w:ascii="Times New Roman" w:eastAsia="Times New Roman" w:hAnsi="Times New Roman" w:cs="Times New Roman"/>
          <w:b/>
          <w:sz w:val="26"/>
          <w:szCs w:val="26"/>
        </w:rPr>
        <w:t>5.3 Ensuring Regulatory Compliance</w:t>
      </w:r>
    </w:p>
    <w:p w14:paraId="4006E8D6"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Regulatory approval is necessary to launch the project, and, therefore, the compliance will be the core of the stakeholder engagement.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Vodafone will make contacts with MHRA and EU agencies and compliance teams with R&amp;D will ensure compliance with medical device standards.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 xml:space="preserve">Consultation with regulators on a regular basis predicts the possible problems, and GDPR is enforced by IT and cybersecurity departments to safeguard sensitive health information </w:t>
      </w:r>
      <w:r>
        <w:rPr>
          <w:rFonts w:ascii="Times New Roman" w:eastAsia="Times New Roman" w:hAnsi="Times New Roman" w:cs="Times New Roman"/>
          <w:color w:val="000000"/>
          <w:sz w:val="24"/>
          <w:szCs w:val="24"/>
        </w:rPr>
        <w:t>(Kadu and Singh, 2021)</w:t>
      </w:r>
      <w:r>
        <w:rPr>
          <w:rFonts w:ascii="Times New Roman" w:eastAsia="Times New Roman" w:hAnsi="Times New Roman" w:cs="Times New Roman"/>
          <w:color w:val="111111"/>
          <w:sz w:val="24"/>
          <w:szCs w:val="24"/>
        </w:rPr>
        <w: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 xml:space="preserve">The inclusion of regulatory compliance with stakeholder engagement helps to minimise the costs of time wastage, and increase the reputation of Vodafone as a responsible and trustworthy health technology provider, which makes the project run smoothly, and builds customer trust, regulatory bodies, and investors confidence </w:t>
      </w:r>
      <w:r>
        <w:rPr>
          <w:rFonts w:ascii="Times New Roman" w:eastAsia="Times New Roman" w:hAnsi="Times New Roman" w:cs="Times New Roman"/>
          <w:color w:val="000000"/>
          <w:sz w:val="24"/>
          <w:szCs w:val="24"/>
        </w:rPr>
        <w:t xml:space="preserve">(Devi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2023)</w:t>
      </w:r>
      <w:r>
        <w:rPr>
          <w:rFonts w:ascii="Times New Roman" w:eastAsia="Times New Roman" w:hAnsi="Times New Roman" w:cs="Times New Roman"/>
          <w:color w:val="111111"/>
          <w:sz w:val="24"/>
          <w:szCs w:val="24"/>
        </w:rPr>
        <w:t>.</w:t>
      </w:r>
    </w:p>
    <w:p w14:paraId="641F38E6"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56424E20" wp14:editId="48BBFA1D">
            <wp:extent cx="5731200" cy="2692400"/>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2692400"/>
                    </a:xfrm>
                    <a:prstGeom prst="rect">
                      <a:avLst/>
                    </a:prstGeom>
                    <a:ln/>
                  </pic:spPr>
                </pic:pic>
              </a:graphicData>
            </a:graphic>
          </wp:inline>
        </w:drawing>
      </w:r>
    </w:p>
    <w:p w14:paraId="1CD6C39F" w14:textId="77777777" w:rsidR="006E4897" w:rsidRDefault="0007408C">
      <w:pPr>
        <w:pStyle w:val="Titlu3"/>
        <w:spacing w:before="0" w:after="0" w:line="360" w:lineRule="auto"/>
        <w:jc w:val="center"/>
        <w:rPr>
          <w:rFonts w:ascii="Times New Roman" w:eastAsia="Times New Roman" w:hAnsi="Times New Roman" w:cs="Times New Roman"/>
          <w:b/>
          <w:color w:val="000000"/>
          <w:sz w:val="24"/>
          <w:szCs w:val="24"/>
        </w:rPr>
      </w:pPr>
      <w:bookmarkStart w:id="39" w:name="_heading=h.ne97n2hotu0j" w:colFirst="0" w:colLast="0"/>
      <w:bookmarkEnd w:id="39"/>
      <w:r>
        <w:rPr>
          <w:rFonts w:ascii="Times New Roman" w:eastAsia="Times New Roman" w:hAnsi="Times New Roman" w:cs="Times New Roman"/>
          <w:b/>
          <w:color w:val="000000"/>
          <w:sz w:val="24"/>
          <w:szCs w:val="24"/>
        </w:rPr>
        <w:t>Fig 2: 4C Framework</w:t>
      </w:r>
    </w:p>
    <w:p w14:paraId="761B6C19"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PrepLounge, 2025)</w:t>
      </w:r>
    </w:p>
    <w:p w14:paraId="150EE3E9" w14:textId="77777777" w:rsidR="006E4897" w:rsidRDefault="0007408C">
      <w:pPr>
        <w:pStyle w:val="Titlu2"/>
        <w:spacing w:before="0" w:after="0" w:line="360" w:lineRule="auto"/>
        <w:rPr>
          <w:rFonts w:ascii="Times New Roman" w:eastAsia="Times New Roman" w:hAnsi="Times New Roman" w:cs="Times New Roman"/>
          <w:b/>
          <w:sz w:val="26"/>
          <w:szCs w:val="26"/>
        </w:rPr>
      </w:pPr>
      <w:bookmarkStart w:id="40" w:name="_heading=h.ie1suyz6orbe" w:colFirst="0" w:colLast="0"/>
      <w:bookmarkEnd w:id="40"/>
      <w:r>
        <w:rPr>
          <w:rFonts w:ascii="Times New Roman" w:eastAsia="Times New Roman" w:hAnsi="Times New Roman" w:cs="Times New Roman"/>
          <w:b/>
          <w:sz w:val="26"/>
          <w:szCs w:val="26"/>
        </w:rPr>
        <w:t>5.4 Applying 4’C Model</w:t>
      </w:r>
    </w:p>
    <w:p w14:paraId="774A199D" w14:textId="77777777" w:rsidR="006E4897" w:rsidRDefault="0007408C">
      <w:pPr>
        <w:pBdr>
          <w:top w:val="nil"/>
          <w:left w:val="nil"/>
          <w:bottom w:val="nil"/>
          <w:right w:val="nil"/>
          <w:between w:val="nil"/>
        </w:pBdr>
        <w:spacing w:line="360" w:lineRule="auto"/>
        <w:jc w:val="center"/>
        <w:rPr>
          <w:color w:val="000000"/>
        </w:rPr>
      </w:pPr>
      <w:r>
        <w:rPr>
          <w:noProof/>
          <w:color w:val="000000"/>
        </w:rPr>
        <w:drawing>
          <wp:inline distT="114300" distB="114300" distL="114300" distR="114300" wp14:anchorId="6E77183A" wp14:editId="69E96646">
            <wp:extent cx="4152380" cy="2337895"/>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152380" cy="2337895"/>
                    </a:xfrm>
                    <a:prstGeom prst="rect">
                      <a:avLst/>
                    </a:prstGeom>
                    <a:ln/>
                  </pic:spPr>
                </pic:pic>
              </a:graphicData>
            </a:graphic>
          </wp:inline>
        </w:drawing>
      </w:r>
    </w:p>
    <w:p w14:paraId="70C5902C" w14:textId="77777777" w:rsidR="006E4897" w:rsidRDefault="0007408C">
      <w:pPr>
        <w:pStyle w:val="Titlu3"/>
        <w:spacing w:before="0" w:after="0" w:line="360" w:lineRule="auto"/>
        <w:jc w:val="center"/>
        <w:rPr>
          <w:rFonts w:ascii="Times New Roman" w:eastAsia="Times New Roman" w:hAnsi="Times New Roman" w:cs="Times New Roman"/>
          <w:b/>
          <w:color w:val="000000"/>
          <w:sz w:val="24"/>
          <w:szCs w:val="24"/>
        </w:rPr>
      </w:pPr>
      <w:bookmarkStart w:id="41" w:name="_heading=h.yq2dtxfq2m7j" w:colFirst="0" w:colLast="0"/>
      <w:bookmarkEnd w:id="41"/>
      <w:r>
        <w:rPr>
          <w:rFonts w:ascii="Times New Roman" w:eastAsia="Times New Roman" w:hAnsi="Times New Roman" w:cs="Times New Roman"/>
          <w:b/>
          <w:color w:val="000000"/>
          <w:sz w:val="24"/>
          <w:szCs w:val="24"/>
        </w:rPr>
        <w:t>Fig 2: Communication</w:t>
      </w:r>
    </w:p>
    <w:p w14:paraId="6638D6A7"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collidu, 2025)</w:t>
      </w:r>
    </w:p>
    <w:p w14:paraId="2D8FA973" w14:textId="77777777" w:rsidR="006E4897" w:rsidRDefault="0007408C">
      <w:pPr>
        <w:numPr>
          <w:ilvl w:val="0"/>
          <w:numId w:val="2"/>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Communication </w:t>
      </w:r>
    </w:p>
    <w:p w14:paraId="7B646003"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Engagement is built on effective communication which entails sharing information in a timely, transparent and customi</w:t>
      </w:r>
      <w:r>
        <w:rPr>
          <w:rFonts w:ascii="Times New Roman" w:eastAsia="Times New Roman" w:hAnsi="Times New Roman" w:cs="Times New Roman"/>
          <w:sz w:val="24"/>
          <w:szCs w:val="24"/>
        </w:rPr>
        <w:t>s</w:t>
      </w:r>
      <w:r>
        <w:rPr>
          <w:rFonts w:ascii="Times New Roman" w:eastAsia="Times New Roman" w:hAnsi="Times New Roman" w:cs="Times New Roman"/>
          <w:color w:val="000000"/>
          <w:sz w:val="24"/>
          <w:szCs w:val="24"/>
        </w:rPr>
        <w:t xml:space="preserve">ed manner (Zobaed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The project manager at Vodafone will use formal reports, feedback tools, and online technology such as MS Teams to have real-time interactions. Clear documentation ensures that there is no misinterpretation, creates trust, and customises information to various stakeholders: technical, financial, and regulatory, as well as reduces the conflict levels and creates alignment (Elei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w:t>
      </w:r>
    </w:p>
    <w:p w14:paraId="54C45EFB"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3A05795A" wp14:editId="7F0D3713">
            <wp:extent cx="2009775" cy="2276475"/>
            <wp:effectExtent l="0" t="0" r="0" b="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2009775" cy="2276475"/>
                    </a:xfrm>
                    <a:prstGeom prst="rect">
                      <a:avLst/>
                    </a:prstGeom>
                    <a:ln/>
                  </pic:spPr>
                </pic:pic>
              </a:graphicData>
            </a:graphic>
          </wp:inline>
        </w:drawing>
      </w:r>
    </w:p>
    <w:p w14:paraId="0C7CA1D2" w14:textId="77777777" w:rsidR="006E4897" w:rsidRDefault="0007408C">
      <w:pPr>
        <w:pStyle w:val="Titlu3"/>
        <w:spacing w:before="0" w:after="0" w:line="360" w:lineRule="auto"/>
        <w:jc w:val="center"/>
        <w:rPr>
          <w:rFonts w:ascii="Times New Roman" w:eastAsia="Times New Roman" w:hAnsi="Times New Roman" w:cs="Times New Roman"/>
          <w:b/>
          <w:color w:val="000000"/>
          <w:sz w:val="24"/>
          <w:szCs w:val="24"/>
        </w:rPr>
      </w:pPr>
      <w:bookmarkStart w:id="42" w:name="_heading=h.y7liz7128hpt" w:colFirst="0" w:colLast="0"/>
      <w:bookmarkEnd w:id="42"/>
      <w:r>
        <w:rPr>
          <w:rFonts w:ascii="Times New Roman" w:eastAsia="Times New Roman" w:hAnsi="Times New Roman" w:cs="Times New Roman"/>
          <w:b/>
          <w:color w:val="000000"/>
          <w:sz w:val="24"/>
          <w:szCs w:val="24"/>
        </w:rPr>
        <w:t>Fig 3: Coordination</w:t>
      </w:r>
    </w:p>
    <w:p w14:paraId="2458B894"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geeksforgeeks, 2025)</w:t>
      </w:r>
    </w:p>
    <w:p w14:paraId="7AADBD95" w14:textId="77777777" w:rsidR="006E4897" w:rsidRDefault="0007408C">
      <w:pPr>
        <w:numPr>
          <w:ilvl w:val="0"/>
          <w:numId w:val="3"/>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Coordination </w:t>
      </w:r>
    </w:p>
    <w:p w14:paraId="764F09B1"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Coordination ensures that different teams and partners work towards shared objectives. As project manager, I will establish integrated project schedules using digital tools such as Gantt charts to synchronise activities across R&amp;D, supply chain, and marketing (Umair et al., 2021). Hardware delivery will conform to the production deadline within the company, and marketing initiatives will be introduced simultaneously (Suhail and Pillai, 2022).</w:t>
      </w:r>
    </w:p>
    <w:p w14:paraId="5133C236"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color w:val="111111"/>
          <w:sz w:val="24"/>
          <w:szCs w:val="24"/>
        </w:rPr>
      </w:pPr>
      <w:r>
        <w:rPr>
          <w:rFonts w:ascii="Times New Roman" w:eastAsia="Times New Roman" w:hAnsi="Times New Roman" w:cs="Times New Roman"/>
          <w:noProof/>
          <w:color w:val="111111"/>
          <w:sz w:val="24"/>
          <w:szCs w:val="24"/>
        </w:rPr>
        <w:drawing>
          <wp:inline distT="114300" distB="114300" distL="114300" distR="114300" wp14:anchorId="3906DBC0" wp14:editId="5729145D">
            <wp:extent cx="2143125" cy="2143125"/>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2143125" cy="2143125"/>
                    </a:xfrm>
                    <a:prstGeom prst="rect">
                      <a:avLst/>
                    </a:prstGeom>
                    <a:ln/>
                  </pic:spPr>
                </pic:pic>
              </a:graphicData>
            </a:graphic>
          </wp:inline>
        </w:drawing>
      </w:r>
    </w:p>
    <w:p w14:paraId="49AE75A5" w14:textId="77777777" w:rsidR="006E4897" w:rsidRDefault="0007408C">
      <w:pPr>
        <w:numPr>
          <w:ilvl w:val="0"/>
          <w:numId w:val="9"/>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Cooperation </w:t>
      </w:r>
    </w:p>
    <w:p w14:paraId="44E42796"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mutual trust reflects a good, effective association between the parties of interest. To those levels or individuals who possess an interest in a firm and can influence and be influenced by activities, objectives and policies of that firm. Although there will be a partnership of selling or supplying services like this as commodities or equipment to the partners, and advertisement of the long-range partnership (Bargarai and Keti, 2025).</w:t>
      </w:r>
    </w:p>
    <w:p w14:paraId="7FCF8DDD" w14:textId="77777777" w:rsidR="006E4897" w:rsidRDefault="0007408C">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5DFF15CA" wp14:editId="1DF3D6B4">
            <wp:extent cx="3925725" cy="2857500"/>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3925725" cy="2857500"/>
                    </a:xfrm>
                    <a:prstGeom prst="rect">
                      <a:avLst/>
                    </a:prstGeom>
                    <a:ln/>
                  </pic:spPr>
                </pic:pic>
              </a:graphicData>
            </a:graphic>
          </wp:inline>
        </w:drawing>
      </w:r>
    </w:p>
    <w:p w14:paraId="58825876" w14:textId="77777777" w:rsidR="006E4897" w:rsidRDefault="0007408C">
      <w:pPr>
        <w:numPr>
          <w:ilvl w:val="0"/>
          <w:numId w:val="6"/>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Collaboration </w:t>
      </w:r>
    </w:p>
    <w:p w14:paraId="1B888667" w14:textId="77777777" w:rsidR="006E4897" w:rsidRDefault="0007408C">
      <w:p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sz w:val="24"/>
          <w:szCs w:val="24"/>
        </w:rPr>
        <w:t xml:space="preserve">To resolve the communication to the stakeholders to consume the performance and safety of the Vodafone suppliers and additionally inspire the team members and, board of directors to enhance the approaches to face the market competitors ethically. Many other stakeholders, such as customers, employees, suppliers and government regulators, creditors and investors also involved in the team to deliberate funds and programmes of interest to the firm. This connection between R&amp;D and marketing makes it possible to innovate because the development of problem-solving becomes more advanced (Casas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2021).</w:t>
      </w:r>
    </w:p>
    <w:p w14:paraId="5F98E798" w14:textId="77777777" w:rsidR="006E4897" w:rsidRDefault="006E4897">
      <w:pPr>
        <w:pStyle w:val="Titlu1"/>
        <w:spacing w:before="0" w:after="0" w:line="360" w:lineRule="auto"/>
        <w:jc w:val="both"/>
        <w:rPr>
          <w:rFonts w:ascii="Times New Roman" w:eastAsia="Times New Roman" w:hAnsi="Times New Roman" w:cs="Times New Roman"/>
          <w:b/>
          <w:sz w:val="28"/>
          <w:szCs w:val="28"/>
        </w:rPr>
      </w:pPr>
      <w:bookmarkStart w:id="43" w:name="_heading=h.vijizepxkxz0" w:colFirst="0" w:colLast="0"/>
      <w:bookmarkEnd w:id="43"/>
    </w:p>
    <w:p w14:paraId="07F9ABAE" w14:textId="77777777" w:rsidR="006E4897" w:rsidRDefault="0007408C">
      <w:pPr>
        <w:pStyle w:val="Titlu1"/>
        <w:spacing w:before="0" w:after="0" w:line="360" w:lineRule="auto"/>
        <w:jc w:val="both"/>
        <w:rPr>
          <w:rFonts w:ascii="Times New Roman" w:eastAsia="Times New Roman" w:hAnsi="Times New Roman" w:cs="Times New Roman"/>
          <w:b/>
          <w:sz w:val="28"/>
          <w:szCs w:val="28"/>
        </w:rPr>
      </w:pPr>
      <w:bookmarkStart w:id="44" w:name="_heading=h.5mo6dda0jci2" w:colFirst="0" w:colLast="0"/>
      <w:bookmarkEnd w:id="44"/>
      <w:r>
        <w:br w:type="page"/>
      </w:r>
    </w:p>
    <w:p w14:paraId="103BF68C" w14:textId="77777777" w:rsidR="006E4897" w:rsidRDefault="0007408C">
      <w:pPr>
        <w:pStyle w:val="Titlu1"/>
        <w:spacing w:before="0" w:after="0" w:line="360" w:lineRule="auto"/>
        <w:jc w:val="both"/>
        <w:rPr>
          <w:rFonts w:ascii="Times New Roman" w:eastAsia="Times New Roman" w:hAnsi="Times New Roman" w:cs="Times New Roman"/>
          <w:b/>
          <w:sz w:val="28"/>
          <w:szCs w:val="28"/>
        </w:rPr>
      </w:pPr>
      <w:bookmarkStart w:id="45" w:name="_heading=h.bgcazt309az" w:colFirst="0" w:colLast="0"/>
      <w:bookmarkEnd w:id="45"/>
      <w:r>
        <w:rPr>
          <w:rFonts w:ascii="Times New Roman" w:eastAsia="Times New Roman" w:hAnsi="Times New Roman" w:cs="Times New Roman"/>
          <w:b/>
          <w:sz w:val="28"/>
          <w:szCs w:val="28"/>
        </w:rPr>
        <w:t>6.0 Evaluation of Stakeholder Engagement Impact</w:t>
      </w:r>
    </w:p>
    <w:p w14:paraId="676E2582" w14:textId="77777777" w:rsidR="006E4897" w:rsidRDefault="0007408C">
      <w:pPr>
        <w:pStyle w:val="Titlu2"/>
        <w:spacing w:before="0" w:after="0" w:line="360" w:lineRule="auto"/>
        <w:jc w:val="both"/>
        <w:rPr>
          <w:rFonts w:ascii="Times New Roman" w:eastAsia="Times New Roman" w:hAnsi="Times New Roman" w:cs="Times New Roman"/>
          <w:b/>
          <w:sz w:val="26"/>
          <w:szCs w:val="26"/>
        </w:rPr>
      </w:pPr>
      <w:bookmarkStart w:id="46" w:name="_heading=h.3025djjqmzcg" w:colFirst="0" w:colLast="0"/>
      <w:bookmarkEnd w:id="46"/>
      <w:r>
        <w:rPr>
          <w:rFonts w:ascii="Times New Roman" w:eastAsia="Times New Roman" w:hAnsi="Times New Roman" w:cs="Times New Roman"/>
          <w:b/>
          <w:sz w:val="26"/>
          <w:szCs w:val="26"/>
        </w:rPr>
        <w:t>6.1 Business Performance Benefits</w:t>
      </w:r>
    </w:p>
    <w:p w14:paraId="07A1E577"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111111"/>
          <w:sz w:val="24"/>
          <w:szCs w:val="24"/>
        </w:rPr>
        <w:t>Stakeholder engagement builds much-needed trust and transparency with regulators and providers by having joint collaborative sessions, workshops and formal disclosures (Ellis, Gibbs and Rein, 1991). Such practices enforce Vodafone's responsibility image as a responsible partner, ease regulatory permissions and simplify long-term partnerships in regulated businesses, such as healthcare technology (Elei et al., 2023). Stakeholder engagement on a financial front culminates in investor confidence through transparent updates and assists in achieving steady funding and stability. Engaging the customers by surveys, beta running and focus groups ensures that the products are aligned with what customers require and enhances the uptake and revenue creation (Thakkar et al., 2022). All these engage the stakeholders in enhancing Vodafone's business execution owing to the increased trust, openness and cooperation of the stakeholders. A good regulator relationship enhances the compliance process but customer engagement provides innovation and customer satisfaction (NCBI, 2025). Partnerships will build operational channels, and concurrently provide the capability to take advantage of possible risks or new opportunities through IoT and healthcare solutions to have a more competitive and operationally sustainable endeavour in the long run. Apart from the financial and operational benefits, engagement culminates in Environmental, Social, and Governance (ESG) reputation strength of Vodafone.</w:t>
      </w:r>
    </w:p>
    <w:p w14:paraId="68ECB5A8" w14:textId="77777777" w:rsidR="006E4897" w:rsidRDefault="0007408C">
      <w:pPr>
        <w:pStyle w:val="Titlu2"/>
        <w:spacing w:before="0" w:after="0" w:line="360" w:lineRule="auto"/>
        <w:jc w:val="both"/>
        <w:rPr>
          <w:rFonts w:ascii="Times New Roman" w:eastAsia="Times New Roman" w:hAnsi="Times New Roman" w:cs="Times New Roman"/>
          <w:b/>
          <w:sz w:val="26"/>
          <w:szCs w:val="26"/>
        </w:rPr>
      </w:pPr>
      <w:bookmarkStart w:id="47" w:name="_heading=h.yj8hjy7d3u9v" w:colFirst="0" w:colLast="0"/>
      <w:bookmarkEnd w:id="47"/>
      <w:r>
        <w:rPr>
          <w:rFonts w:ascii="Times New Roman" w:eastAsia="Times New Roman" w:hAnsi="Times New Roman" w:cs="Times New Roman"/>
          <w:b/>
          <w:sz w:val="26"/>
          <w:szCs w:val="26"/>
        </w:rPr>
        <w:t>6.2 Challenges if Engagement Fails</w:t>
      </w:r>
    </w:p>
    <w:p w14:paraId="5C01ED68"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111111"/>
          <w:sz w:val="24"/>
          <w:szCs w:val="24"/>
        </w:rPr>
        <w:t>Stakeholder management failure may pose significant threats to Vodafone.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 xml:space="preserve">A major problem is that projects can be delayed due to the lack of a consistent communication channel with R&amp;D, suppliers, or regulators and provide incorrect priorities or compliance obstacles or bottlenecks in operations </w:t>
      </w:r>
      <w:r>
        <w:rPr>
          <w:rFonts w:ascii="Times New Roman" w:eastAsia="Times New Roman" w:hAnsi="Times New Roman" w:cs="Times New Roman"/>
          <w:color w:val="000000"/>
          <w:sz w:val="24"/>
          <w:szCs w:val="24"/>
        </w:rPr>
        <w:t>(Charalambous, 2021)</w:t>
      </w:r>
      <w:r>
        <w:rPr>
          <w:rFonts w:ascii="Times New Roman" w:eastAsia="Times New Roman" w:hAnsi="Times New Roman" w:cs="Times New Roman"/>
          <w:color w:val="111111"/>
          <w:sz w:val="24"/>
          <w:szCs w:val="24"/>
        </w:rPr>
        <w: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 xml:space="preserve">Another area of concern is reputational damage: unaddressed customer complaints, absence of transparency, or disagreements with healthcare providers can undermine brand trust and negatively affect future collaborations of regulated industries </w:t>
      </w:r>
      <w:r>
        <w:rPr>
          <w:rFonts w:ascii="Times New Roman" w:eastAsia="Times New Roman" w:hAnsi="Times New Roman" w:cs="Times New Roman"/>
          <w:color w:val="000000"/>
          <w:sz w:val="24"/>
          <w:szCs w:val="24"/>
        </w:rPr>
        <w:t>(Kadu and Singh, 2021)</w:t>
      </w:r>
      <w:r>
        <w:rPr>
          <w:rFonts w:ascii="Times New Roman" w:eastAsia="Times New Roman" w:hAnsi="Times New Roman" w:cs="Times New Roman"/>
          <w:color w:val="111111"/>
          <w:sz w:val="24"/>
          <w:szCs w:val="24"/>
        </w:rPr>
        <w: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This lack of interaction with regulators can result in more fines, sanctions or slow product adoption, especially in the area of GDPR or medical device compliance, which can help undermine a competitive edge.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Also, financial instability may arise due to lack of transparency and engagement that would lead to a decline in investor confidence.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On the internal level, low employee participation in the decision-making process may lower productivity and cooperation.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 xml:space="preserve">All these risks point to the fact that it is the structured and ongoing stakeholder engagement that allows retaining trust, preserving compliance, and protecting the long-term business performance </w:t>
      </w:r>
      <w:r>
        <w:rPr>
          <w:rFonts w:ascii="Times New Roman" w:eastAsia="Times New Roman" w:hAnsi="Times New Roman" w:cs="Times New Roman"/>
          <w:color w:val="000000"/>
          <w:sz w:val="24"/>
          <w:szCs w:val="24"/>
        </w:rPr>
        <w:t xml:space="preserve">(Manyazewal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2021).</w:t>
      </w:r>
    </w:p>
    <w:p w14:paraId="50FDA6E4" w14:textId="77777777" w:rsidR="006E4897" w:rsidRDefault="0007408C">
      <w:pPr>
        <w:pStyle w:val="Titlu2"/>
        <w:spacing w:before="0" w:after="0" w:line="360" w:lineRule="auto"/>
        <w:jc w:val="both"/>
        <w:rPr>
          <w:rFonts w:ascii="Times New Roman" w:eastAsia="Times New Roman" w:hAnsi="Times New Roman" w:cs="Times New Roman"/>
          <w:b/>
          <w:sz w:val="24"/>
          <w:szCs w:val="24"/>
        </w:rPr>
      </w:pPr>
      <w:bookmarkStart w:id="48" w:name="_heading=h.cu82todg89ki" w:colFirst="0" w:colLast="0"/>
      <w:bookmarkEnd w:id="48"/>
      <w:r>
        <w:rPr>
          <w:rFonts w:ascii="Times New Roman" w:eastAsia="Times New Roman" w:hAnsi="Times New Roman" w:cs="Times New Roman"/>
          <w:b/>
          <w:sz w:val="26"/>
          <w:szCs w:val="26"/>
        </w:rPr>
        <w:t>6.3 Recommendations for Future Stakeholder Engagement</w:t>
      </w:r>
    </w:p>
    <w:p w14:paraId="2DF85930" w14:textId="77777777" w:rsidR="006E4897" w:rsidRDefault="0007408C">
      <w:pPr>
        <w:pBdr>
          <w:top w:val="nil"/>
          <w:left w:val="nil"/>
          <w:bottom w:val="nil"/>
          <w:right w:val="nil"/>
          <w:between w:val="nil"/>
        </w:pBdr>
        <w:spacing w:line="360" w:lineRule="auto"/>
        <w:ind w:firstLine="720"/>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Recommendations 1. Strengthen Digital Stakeholder Platforms</w:t>
      </w:r>
    </w:p>
    <w:p w14:paraId="2B82508B"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111111"/>
          <w:sz w:val="24"/>
          <w:szCs w:val="24"/>
        </w:rPr>
        <w:t>Establish elaborate online channels of stakeholder interaction, which would give real-time updates, dashboards, and safe channels of communication.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Different groups of stakeholders should be served by these platforms, and all the information accessible to regulators, investors, customers, and internal teams should have an efficient way to be accessed.</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 xml:space="preserve">The better transparency, less time to spend on delays, and quicker decision-making can be achieved through increased digital interaction </w:t>
      </w:r>
      <w:r>
        <w:rPr>
          <w:rFonts w:ascii="Times New Roman" w:eastAsia="Times New Roman" w:hAnsi="Times New Roman" w:cs="Times New Roman"/>
          <w:color w:val="000000"/>
          <w:sz w:val="24"/>
          <w:szCs w:val="24"/>
        </w:rPr>
        <w:t>(Acharya and Rani, 2021; Charalambous, 2021)</w:t>
      </w:r>
      <w:r>
        <w:rPr>
          <w:rFonts w:ascii="Times New Roman" w:eastAsia="Times New Roman" w:hAnsi="Times New Roman" w:cs="Times New Roman"/>
          <w:color w:val="111111"/>
          <w:sz w:val="24"/>
          <w:szCs w:val="24"/>
        </w:rPr>
        <w:t>.</w:t>
      </w:r>
    </w:p>
    <w:p w14:paraId="4158B0A0" w14:textId="77777777" w:rsidR="006E4897" w:rsidRDefault="0007408C">
      <w:pPr>
        <w:pBdr>
          <w:top w:val="nil"/>
          <w:left w:val="nil"/>
          <w:bottom w:val="nil"/>
          <w:right w:val="nil"/>
          <w:between w:val="nil"/>
        </w:pBdr>
        <w:spacing w:line="360" w:lineRule="auto"/>
        <w:ind w:firstLine="720"/>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Recommendations 2. Establish Continuous Feedback Loops</w:t>
      </w:r>
    </w:p>
    <w:p w14:paraId="027CB296"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111111"/>
          <w:sz w:val="24"/>
          <w:szCs w:val="24"/>
        </w:rPr>
        <w:t>Integrating a mechanism of continuous feedback throughout the product development will be a good way of making sure that a concern of stakeholders and any other information is captured and is taken action upon.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 xml:space="preserve">Frequent surveys, online workshops, pilot programs, and interactive dashboards enable the stakeholders to contribute to the project decisions in advance and improve the rate of satisfaction, trust, and adoption </w:t>
      </w:r>
      <w:r>
        <w:rPr>
          <w:rFonts w:ascii="Times New Roman" w:eastAsia="Times New Roman" w:hAnsi="Times New Roman" w:cs="Times New Roman"/>
          <w:color w:val="000000"/>
          <w:sz w:val="24"/>
          <w:szCs w:val="24"/>
        </w:rPr>
        <w:t xml:space="preserve">(Mukati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2023)</w:t>
      </w:r>
      <w:r>
        <w:rPr>
          <w:rFonts w:ascii="Times New Roman" w:eastAsia="Times New Roman" w:hAnsi="Times New Roman" w:cs="Times New Roman"/>
          <w:color w:val="111111"/>
          <w:sz w:val="24"/>
          <w:szCs w:val="24"/>
        </w:rPr>
        <w: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The constant feedback also allows identifying the possible risks fast and avoiding their further development and encourages the joint solution of the problem (Umair</w:t>
      </w:r>
      <w:r>
        <w:rPr>
          <w:rFonts w:ascii="Times New Roman" w:eastAsia="Times New Roman" w:hAnsi="Times New Roman" w:cs="Times New Roman"/>
          <w:i/>
          <w:color w:val="111111"/>
          <w:sz w:val="24"/>
          <w:szCs w:val="24"/>
        </w:rPr>
        <w:t xml:space="preserve"> et al.,</w:t>
      </w:r>
      <w:r>
        <w:rPr>
          <w:rFonts w:ascii="Times New Roman" w:eastAsia="Times New Roman" w:hAnsi="Times New Roman" w:cs="Times New Roman"/>
          <w:color w:val="111111"/>
          <w:sz w:val="24"/>
          <w:szCs w:val="24"/>
        </w:rPr>
        <w:t xml:space="preserve"> 2021)</w:t>
      </w:r>
      <w:r>
        <w:rPr>
          <w:rFonts w:ascii="Times New Roman" w:eastAsia="Times New Roman" w:hAnsi="Times New Roman" w:cs="Times New Roman"/>
          <w:color w:val="000000"/>
          <w:sz w:val="24"/>
          <w:szCs w:val="24"/>
        </w:rPr>
        <w:t>.</w:t>
      </w:r>
    </w:p>
    <w:p w14:paraId="04DBCA69" w14:textId="77777777" w:rsidR="006E4897" w:rsidRDefault="0007408C">
      <w:pPr>
        <w:pBdr>
          <w:top w:val="nil"/>
          <w:left w:val="nil"/>
          <w:bottom w:val="nil"/>
          <w:right w:val="nil"/>
          <w:between w:val="nil"/>
        </w:pBdr>
        <w:spacing w:line="360" w:lineRule="auto"/>
        <w:ind w:firstLine="720"/>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Recommendations 3. Conduct Regular Impact Assessments Using KPIs</w:t>
      </w:r>
    </w:p>
    <w:p w14:paraId="7EF0CE2C"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111111"/>
          <w:sz w:val="24"/>
          <w:szCs w:val="24"/>
        </w:rPr>
        <w:t xml:space="preserve">Install systematic stakeholder engagement effectiveness monitoring using pre-specified key performance indicators (KPIs) </w:t>
      </w:r>
      <w:r>
        <w:rPr>
          <w:rFonts w:ascii="Times New Roman" w:eastAsia="Times New Roman" w:hAnsi="Times New Roman" w:cs="Times New Roman"/>
          <w:color w:val="000000"/>
          <w:sz w:val="24"/>
          <w:szCs w:val="24"/>
        </w:rPr>
        <w:t xml:space="preserve">(Elei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w:t>
      </w:r>
      <w:r>
        <w:rPr>
          <w:rFonts w:ascii="Times New Roman" w:eastAsia="Times New Roman" w:hAnsi="Times New Roman" w:cs="Times New Roman"/>
          <w:color w:val="111111"/>
          <w:sz w:val="24"/>
          <w:szCs w:val="24"/>
        </w:rPr>
        <w: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Performance indicators like satisfaction levels among stakeholders, milestones in regulatory compliance, investor trust levels, internal team cohesion levels can give a practical understanding of the performance of engagement.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111111"/>
          <w:sz w:val="24"/>
          <w:szCs w:val="24"/>
        </w:rPr>
        <w:t>Evaluation of impacts on a periodic basis enables the organisation to revise strategies, allocate resources efficiently, and be accountable to a range of stakeholders (Charalambous, 2021).</w:t>
      </w:r>
    </w:p>
    <w:p w14:paraId="77226F61" w14:textId="77777777" w:rsidR="006E4897" w:rsidRDefault="0007408C">
      <w:pPr>
        <w:pStyle w:val="Titlu1"/>
        <w:spacing w:before="0" w:after="0" w:line="360" w:lineRule="auto"/>
        <w:jc w:val="both"/>
        <w:rPr>
          <w:rFonts w:ascii="Times New Roman" w:eastAsia="Times New Roman" w:hAnsi="Times New Roman" w:cs="Times New Roman"/>
          <w:b/>
          <w:sz w:val="28"/>
          <w:szCs w:val="28"/>
        </w:rPr>
      </w:pPr>
      <w:bookmarkStart w:id="49" w:name="_heading=h.wkk35hix84ol" w:colFirst="0" w:colLast="0"/>
      <w:bookmarkEnd w:id="49"/>
      <w:r>
        <w:br w:type="page"/>
      </w:r>
    </w:p>
    <w:p w14:paraId="7F17C91B" w14:textId="77777777" w:rsidR="006E4897" w:rsidRDefault="0007408C">
      <w:pPr>
        <w:pStyle w:val="Titlu1"/>
        <w:spacing w:before="0" w:after="0" w:line="360" w:lineRule="auto"/>
        <w:jc w:val="both"/>
        <w:rPr>
          <w:rFonts w:ascii="Times New Roman" w:eastAsia="Times New Roman" w:hAnsi="Times New Roman" w:cs="Times New Roman"/>
          <w:b/>
          <w:color w:val="111111"/>
          <w:sz w:val="24"/>
          <w:szCs w:val="24"/>
        </w:rPr>
      </w:pPr>
      <w:bookmarkStart w:id="50" w:name="_heading=h.44ethtbi3vjw" w:colFirst="0" w:colLast="0"/>
      <w:bookmarkEnd w:id="50"/>
      <w:r>
        <w:rPr>
          <w:rFonts w:ascii="Times New Roman" w:eastAsia="Times New Roman" w:hAnsi="Times New Roman" w:cs="Times New Roman"/>
          <w:b/>
          <w:sz w:val="28"/>
          <w:szCs w:val="28"/>
        </w:rPr>
        <w:t>7.0 Conclusion</w:t>
      </w:r>
    </w:p>
    <w:p w14:paraId="4E8B0E2A"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111111"/>
          <w:sz w:val="24"/>
          <w:szCs w:val="24"/>
        </w:rPr>
        <w:t>In the conclusion notes, advantages of positive initiatives to communicate with stakeholders have been achieved on two levels. It has been competing with innovation over R&amp;D and Blue, care providers and consumers which cost health care faster to innovate and better product differentiation. It created trust and transparency towards the regulators and healthcare partners, and this facilitated compliance approvals, becoming less bureaucratic and easier as well. Monetarily, it had improved investor trust and long-term funding by maintaining open contact with investors and high uptake and revenue potential with customer-related programmes. The absence of dynamic engagement with professionals in NGOs, communities and stakeholders interested in sustainability had also enhanced the ESG image of Vodafone and led to the brand loyalty and social impacts in the long run, which identified the significance of diversely managed stakeholder management. As practice in this project revealed, the digital alignment platforms, dynamic feedback mechanisms, and systematic evaluation in KPI form served as requirements to facilitate performance and avoid risk. With deeply established stakeholder involvement in project management processes, Vodafone not only obtained the results of operational success but also optimised on this as a strategic move of change of innovation, competitiveness, and long-term value creation in the evolving digital health marketplace.</w:t>
      </w:r>
    </w:p>
    <w:p w14:paraId="47AB36C0"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br w:type="page"/>
      </w:r>
    </w:p>
    <w:p w14:paraId="0E604742" w14:textId="77777777" w:rsidR="006E4897" w:rsidRDefault="0007408C">
      <w:pPr>
        <w:pStyle w:val="Titlu1"/>
        <w:spacing w:before="0" w:after="0" w:line="360" w:lineRule="auto"/>
        <w:jc w:val="both"/>
        <w:rPr>
          <w:rFonts w:ascii="Times New Roman" w:eastAsia="Times New Roman" w:hAnsi="Times New Roman" w:cs="Times New Roman"/>
          <w:b/>
          <w:sz w:val="28"/>
          <w:szCs w:val="28"/>
        </w:rPr>
      </w:pPr>
      <w:bookmarkStart w:id="51" w:name="_heading=h.qbuglbco2h6d" w:colFirst="0" w:colLast="0"/>
      <w:bookmarkEnd w:id="51"/>
      <w:r>
        <w:rPr>
          <w:rFonts w:ascii="Times New Roman" w:eastAsia="Times New Roman" w:hAnsi="Times New Roman" w:cs="Times New Roman"/>
          <w:b/>
          <w:sz w:val="28"/>
          <w:szCs w:val="28"/>
        </w:rPr>
        <w:t>8.0 Reference List</w:t>
      </w:r>
    </w:p>
    <w:p w14:paraId="1E9A6AD9"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Acharya, N.V.V. and Rani, K.S. (2021). Modern Health Monitoring and Analysis Using Iot Technology. </w:t>
      </w:r>
      <w:r>
        <w:rPr>
          <w:rFonts w:ascii="Times New Roman" w:eastAsia="Times New Roman" w:hAnsi="Times New Roman" w:cs="Times New Roman"/>
          <w:i/>
          <w:color w:val="000000"/>
          <w:sz w:val="24"/>
          <w:szCs w:val="24"/>
        </w:rPr>
        <w:t>Turk. Online J. Qual. Inq.(TOJQI)</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12</w:t>
      </w:r>
      <w:r>
        <w:rPr>
          <w:rFonts w:ascii="Times New Roman" w:eastAsia="Times New Roman" w:hAnsi="Times New Roman" w:cs="Times New Roman"/>
          <w:color w:val="000000"/>
          <w:sz w:val="24"/>
          <w:szCs w:val="24"/>
        </w:rPr>
        <w:t>, pp.4961-4972.</w:t>
      </w:r>
    </w:p>
    <w:p w14:paraId="2501BF54"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Ashcroft, J. (2017) The relational lens: understanding, measuring, and managing stakeholder relationships. Cambridge: Cambridge University Press. Available at: https://www-cambridge-</w:t>
      </w:r>
    </w:p>
    <w:p w14:paraId="4F15D1B5"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Bargarai, F.A.M. and Keti, F. (2025), April. A Review of 5G Techniques in Healthcare: Understanding the Role of 5G, IoT, and AI. In </w:t>
      </w:r>
      <w:r>
        <w:rPr>
          <w:rFonts w:ascii="Times New Roman" w:eastAsia="Times New Roman" w:hAnsi="Times New Roman" w:cs="Times New Roman"/>
          <w:i/>
          <w:color w:val="000000"/>
          <w:sz w:val="24"/>
          <w:szCs w:val="24"/>
        </w:rPr>
        <w:t>2025 International Conference on Computer Science and Software Engineering (CSASE)</w:t>
      </w:r>
      <w:r>
        <w:rPr>
          <w:rFonts w:ascii="Times New Roman" w:eastAsia="Times New Roman" w:hAnsi="Times New Roman" w:cs="Times New Roman"/>
          <w:color w:val="000000"/>
          <w:sz w:val="24"/>
          <w:szCs w:val="24"/>
        </w:rPr>
        <w:t xml:space="preserve"> (pp. 168-175). IEEE.</w:t>
      </w:r>
    </w:p>
    <w:p w14:paraId="131ADE94"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Casas, R., Hermosa, A., Marco, A., Blanco, T. and Zarazaga-Soria, F.J. (2021). Real-time extensive livestock monitoring using LPWAN smart wearable and infrastructure. </w:t>
      </w:r>
      <w:r>
        <w:rPr>
          <w:rFonts w:ascii="Times New Roman" w:eastAsia="Times New Roman" w:hAnsi="Times New Roman" w:cs="Times New Roman"/>
          <w:i/>
          <w:color w:val="000000"/>
          <w:sz w:val="24"/>
          <w:szCs w:val="24"/>
        </w:rPr>
        <w:t>Applied Sciences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11</w:t>
      </w:r>
      <w:r>
        <w:rPr>
          <w:rFonts w:ascii="Times New Roman" w:eastAsia="Times New Roman" w:hAnsi="Times New Roman" w:cs="Times New Roman"/>
          <w:color w:val="000000"/>
          <w:sz w:val="24"/>
          <w:szCs w:val="24"/>
        </w:rPr>
        <w:t>(3), p.1240.</w:t>
      </w:r>
    </w:p>
    <w:p w14:paraId="08D994BB"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Charalambous, A. ed. (2021). </w:t>
      </w:r>
      <w:r>
        <w:rPr>
          <w:rFonts w:ascii="Times New Roman" w:eastAsia="Times New Roman" w:hAnsi="Times New Roman" w:cs="Times New Roman"/>
          <w:i/>
          <w:color w:val="000000"/>
          <w:sz w:val="24"/>
          <w:szCs w:val="24"/>
        </w:rPr>
        <w:t>Developing and utilizing digital technology in healthcare for assessment and monitoring</w:t>
      </w:r>
      <w:r>
        <w:rPr>
          <w:rFonts w:ascii="Times New Roman" w:eastAsia="Times New Roman" w:hAnsi="Times New Roman" w:cs="Times New Roman"/>
          <w:color w:val="000000"/>
          <w:sz w:val="24"/>
          <w:szCs w:val="24"/>
        </w:rPr>
        <w:t>. Springer Nature.</w:t>
      </w:r>
    </w:p>
    <w:p w14:paraId="1E2B8FEB"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Christopher, M., Payne, A., and Ballantyne, D. (2013). Relationship Marketing: Creating Stakeholder Value. Saint Louis: Taylor and Francis</w:t>
      </w:r>
    </w:p>
    <w:p w14:paraId="083CF6E0"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Dang, V.A., Vu Khanh, Q., Nguyen, V.H., Nguyen, T. and Nguyen, D.C. (2023). Intelligent healthcare: Integration of emerging technologies and Internet of Things for humanity. </w:t>
      </w:r>
      <w:r>
        <w:rPr>
          <w:rFonts w:ascii="Times New Roman" w:eastAsia="Times New Roman" w:hAnsi="Times New Roman" w:cs="Times New Roman"/>
          <w:i/>
          <w:color w:val="000000"/>
          <w:sz w:val="24"/>
          <w:szCs w:val="24"/>
        </w:rPr>
        <w:t>Sensors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23</w:t>
      </w:r>
      <w:r>
        <w:rPr>
          <w:rFonts w:ascii="Times New Roman" w:eastAsia="Times New Roman" w:hAnsi="Times New Roman" w:cs="Times New Roman"/>
          <w:color w:val="000000"/>
          <w:sz w:val="24"/>
          <w:szCs w:val="24"/>
        </w:rPr>
        <w:t>(9), p.4200.</w:t>
      </w:r>
    </w:p>
    <w:p w14:paraId="25D7B450"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Devi, D.H., Duraisamy, K., Armghan, A., Alsharari, M., Aliqab, K., Sorathiya, V., Das, S. and Rashid, N. (2023). 5G technology in healthcare and wearable devices: A review. </w:t>
      </w:r>
      <w:r>
        <w:rPr>
          <w:rFonts w:ascii="Times New Roman" w:eastAsia="Times New Roman" w:hAnsi="Times New Roman" w:cs="Times New Roman"/>
          <w:i/>
          <w:color w:val="000000"/>
          <w:sz w:val="24"/>
          <w:szCs w:val="24"/>
        </w:rPr>
        <w:t>Sensors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23</w:t>
      </w:r>
      <w:r>
        <w:rPr>
          <w:rFonts w:ascii="Times New Roman" w:eastAsia="Times New Roman" w:hAnsi="Times New Roman" w:cs="Times New Roman"/>
          <w:color w:val="000000"/>
          <w:sz w:val="24"/>
          <w:szCs w:val="24"/>
        </w:rPr>
        <w:t>(5), p.2519.</w:t>
      </w:r>
    </w:p>
    <w:p w14:paraId="5F2D18BC"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Elei, F.O., Ikerionwu, C.O., Erike, A.I. and Mshelia, Y.U. (2023). Transition to value-based care IoT wearable devices in maternity healthcare for low-resource countries. </w:t>
      </w:r>
      <w:r>
        <w:rPr>
          <w:rFonts w:ascii="Times New Roman" w:eastAsia="Times New Roman" w:hAnsi="Times New Roman" w:cs="Times New Roman"/>
          <w:i/>
          <w:color w:val="000000"/>
          <w:sz w:val="24"/>
          <w:szCs w:val="24"/>
        </w:rPr>
        <w:t>Int. J. Sci. Res. in Computer Science and Engineering Vol</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11</w:t>
      </w:r>
      <w:r>
        <w:rPr>
          <w:rFonts w:ascii="Times New Roman" w:eastAsia="Times New Roman" w:hAnsi="Times New Roman" w:cs="Times New Roman"/>
          <w:color w:val="000000"/>
          <w:sz w:val="24"/>
          <w:szCs w:val="24"/>
        </w:rPr>
        <w:t>(4).</w:t>
      </w:r>
    </w:p>
    <w:p w14:paraId="601ABC90"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Ellis, C.A., Gibbs, S.J. and Rein, G.L. (1991). Groupware: Some issues and experiences. Communications of the ACM, 34(1), pp.38–58. doi:10.1145/99977.99987   </w:t>
      </w:r>
    </w:p>
    <w:p w14:paraId="7CC0B919"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Kadu, A. and Singh, M. (2021), October. Comparative analysis of e-health care telemedicine system based on Internet of Medical Things and artificial intelligence. In </w:t>
      </w:r>
      <w:r>
        <w:rPr>
          <w:rFonts w:ascii="Times New Roman" w:eastAsia="Times New Roman" w:hAnsi="Times New Roman" w:cs="Times New Roman"/>
          <w:i/>
          <w:color w:val="000000"/>
          <w:sz w:val="24"/>
          <w:szCs w:val="24"/>
        </w:rPr>
        <w:t>2021 2nd International conference on smart electronics and communication (ICOSEC)</w:t>
      </w:r>
      <w:r>
        <w:rPr>
          <w:rFonts w:ascii="Times New Roman" w:eastAsia="Times New Roman" w:hAnsi="Times New Roman" w:cs="Times New Roman"/>
          <w:color w:val="000000"/>
          <w:sz w:val="24"/>
          <w:szCs w:val="24"/>
        </w:rPr>
        <w:t xml:space="preserve"> (pp. 1768-1775). IEEE.</w:t>
      </w:r>
    </w:p>
    <w:p w14:paraId="0889FDA7"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Lima, G. (2021). Necessary Steps to Accelerate the Integration of Wearable Sensors Into Recreation and Competitive Sports. </w:t>
      </w:r>
      <w:r>
        <w:rPr>
          <w:rFonts w:ascii="Times New Roman" w:eastAsia="Times New Roman" w:hAnsi="Times New Roman" w:cs="Times New Roman"/>
          <w:i/>
          <w:color w:val="000000"/>
          <w:sz w:val="24"/>
          <w:szCs w:val="24"/>
        </w:rPr>
        <w:t>Current sports medicine reports</w:t>
      </w:r>
      <w:r>
        <w:rPr>
          <w:rFonts w:ascii="Times New Roman" w:eastAsia="Times New Roman" w:hAnsi="Times New Roman" w:cs="Times New Roman"/>
          <w:color w:val="000000"/>
          <w:sz w:val="24"/>
          <w:szCs w:val="24"/>
        </w:rPr>
        <w:t>.</w:t>
      </w:r>
    </w:p>
    <w:p w14:paraId="30D4B607"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Manyazewal, T., Woldeamanuel, Y., Blumberg, H.M., Fekadu, A. and Marconi, V.C. (2021). The potential use of digital health technologies in the African context: a systematic review of evidence from Ethiopia. </w:t>
      </w:r>
      <w:r>
        <w:rPr>
          <w:rFonts w:ascii="Times New Roman" w:eastAsia="Times New Roman" w:hAnsi="Times New Roman" w:cs="Times New Roman"/>
          <w:i/>
          <w:color w:val="000000"/>
          <w:sz w:val="24"/>
          <w:szCs w:val="24"/>
        </w:rPr>
        <w:t>NPJ digital medicine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4</w:t>
      </w:r>
      <w:r>
        <w:rPr>
          <w:rFonts w:ascii="Times New Roman" w:eastAsia="Times New Roman" w:hAnsi="Times New Roman" w:cs="Times New Roman"/>
          <w:color w:val="000000"/>
          <w:sz w:val="24"/>
          <w:szCs w:val="24"/>
        </w:rPr>
        <w:t>(1), p.125.</w:t>
      </w:r>
    </w:p>
    <w:p w14:paraId="6B57F385"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Mukati, N., Namdev, N., Dilip, R., Hemalatha, N., Dhiman, V. and Sahu, B. (2023). Healthcare assistance to COVID-19 patient using internet of things (IoT) enabled technologies. </w:t>
      </w:r>
      <w:r>
        <w:rPr>
          <w:rFonts w:ascii="Times New Roman" w:eastAsia="Times New Roman" w:hAnsi="Times New Roman" w:cs="Times New Roman"/>
          <w:i/>
          <w:color w:val="000000"/>
          <w:sz w:val="24"/>
          <w:szCs w:val="24"/>
        </w:rPr>
        <w:t>Materials today: proceedings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80</w:t>
      </w:r>
      <w:r>
        <w:rPr>
          <w:rFonts w:ascii="Times New Roman" w:eastAsia="Times New Roman" w:hAnsi="Times New Roman" w:cs="Times New Roman"/>
          <w:color w:val="000000"/>
          <w:sz w:val="24"/>
          <w:szCs w:val="24"/>
        </w:rPr>
        <w:t>, pp.3777-3781.</w:t>
      </w:r>
    </w:p>
    <w:p w14:paraId="28263260"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111111"/>
          <w:sz w:val="24"/>
          <w:szCs w:val="24"/>
        </w:rPr>
        <w:t xml:space="preserve">NCBI, (2025) </w:t>
      </w:r>
      <w:r>
        <w:rPr>
          <w:rFonts w:ascii="Times New Roman" w:eastAsia="Times New Roman" w:hAnsi="Times New Roman" w:cs="Times New Roman"/>
          <w:i/>
          <w:color w:val="000000"/>
          <w:sz w:val="24"/>
          <w:szCs w:val="24"/>
        </w:rPr>
        <w:t xml:space="preserve">Medical and nursing clinician perspectives on the usability of the hospital electronic medical record: A qualitative analysis. </w:t>
      </w:r>
      <w:r>
        <w:rPr>
          <w:rFonts w:ascii="Times New Roman" w:eastAsia="Times New Roman" w:hAnsi="Times New Roman" w:cs="Times New Roman"/>
          <w:color w:val="000000"/>
          <w:sz w:val="24"/>
          <w:szCs w:val="24"/>
        </w:rPr>
        <w:t xml:space="preserve">[Online]. Available at: </w:t>
      </w:r>
      <w:hyperlink r:id="rId14">
        <w:r>
          <w:rPr>
            <w:rFonts w:ascii="Times New Roman" w:eastAsia="Times New Roman" w:hAnsi="Times New Roman" w:cs="Times New Roman"/>
            <w:color w:val="1155CC"/>
            <w:sz w:val="24"/>
            <w:szCs w:val="24"/>
            <w:u w:val="single"/>
          </w:rPr>
          <w:t>https://pmc.ncbi.nlm.nih.gov/articles/PMC11401339/</w:t>
        </w:r>
      </w:hyperlink>
      <w:r>
        <w:rPr>
          <w:rFonts w:ascii="Times New Roman" w:eastAsia="Times New Roman" w:hAnsi="Times New Roman" w:cs="Times New Roman"/>
          <w:color w:val="000000"/>
          <w:sz w:val="24"/>
          <w:szCs w:val="24"/>
        </w:rPr>
        <w:t xml:space="preserve"> [Accessed On: 24/09/2025]</w:t>
      </w:r>
    </w:p>
    <w:p w14:paraId="5C67467E"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111111"/>
          <w:sz w:val="24"/>
          <w:szCs w:val="24"/>
        </w:rPr>
        <w:t xml:space="preserve">ScienceDirect, (2024) </w:t>
      </w:r>
      <w:r>
        <w:rPr>
          <w:rFonts w:ascii="Times New Roman" w:eastAsia="Times New Roman" w:hAnsi="Times New Roman" w:cs="Times New Roman"/>
          <w:i/>
          <w:color w:val="000000"/>
          <w:sz w:val="24"/>
          <w:szCs w:val="24"/>
        </w:rPr>
        <w:t xml:space="preserve">Stakeholder theory. </w:t>
      </w:r>
      <w:r>
        <w:rPr>
          <w:rFonts w:ascii="Times New Roman" w:eastAsia="Times New Roman" w:hAnsi="Times New Roman" w:cs="Times New Roman"/>
          <w:color w:val="000000"/>
          <w:sz w:val="24"/>
          <w:szCs w:val="24"/>
        </w:rPr>
        <w:t xml:space="preserve">[Online]. Available at: </w:t>
      </w:r>
      <w:hyperlink r:id="rId15">
        <w:r>
          <w:rPr>
            <w:rFonts w:ascii="Times New Roman" w:eastAsia="Times New Roman" w:hAnsi="Times New Roman" w:cs="Times New Roman"/>
            <w:color w:val="1155CC"/>
            <w:sz w:val="24"/>
            <w:szCs w:val="24"/>
            <w:u w:val="single"/>
          </w:rPr>
          <w:t>https://www.sciencedirect.com/science/article/pii/S0148296323004629</w:t>
        </w:r>
      </w:hyperlink>
      <w:r>
        <w:rPr>
          <w:rFonts w:ascii="Times New Roman" w:eastAsia="Times New Roman" w:hAnsi="Times New Roman" w:cs="Times New Roman"/>
          <w:color w:val="000000"/>
          <w:sz w:val="24"/>
          <w:szCs w:val="24"/>
        </w:rPr>
        <w:t xml:space="preserve"> [Accessed On: 24/09/2025]</w:t>
      </w:r>
    </w:p>
    <w:p w14:paraId="010843C4"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Singh, S. and Kaur, H. (2024). Intelligent Development in Healthcare With the Internet. In </w:t>
      </w:r>
      <w:r>
        <w:rPr>
          <w:rFonts w:ascii="Times New Roman" w:eastAsia="Times New Roman" w:hAnsi="Times New Roman" w:cs="Times New Roman"/>
          <w:i/>
          <w:color w:val="000000"/>
          <w:sz w:val="24"/>
          <w:szCs w:val="24"/>
        </w:rPr>
        <w:t>Computational Intelligence and Blockchain in Biomedical and Health Informatics</w:t>
      </w:r>
      <w:r>
        <w:rPr>
          <w:rFonts w:ascii="Times New Roman" w:eastAsia="Times New Roman" w:hAnsi="Times New Roman" w:cs="Times New Roman"/>
          <w:color w:val="000000"/>
          <w:sz w:val="24"/>
          <w:szCs w:val="24"/>
        </w:rPr>
        <w:t xml:space="preserve"> (pp. 169-185). CRC Press.</w:t>
      </w:r>
    </w:p>
    <w:p w14:paraId="351C7093"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Suhail, I. and Pillai, S. (2022), March. IoT enabled applications for Healthcare decisions. In </w:t>
      </w:r>
      <w:r>
        <w:rPr>
          <w:rFonts w:ascii="Times New Roman" w:eastAsia="Times New Roman" w:hAnsi="Times New Roman" w:cs="Times New Roman"/>
          <w:i/>
          <w:color w:val="000000"/>
          <w:sz w:val="24"/>
          <w:szCs w:val="24"/>
        </w:rPr>
        <w:t>2022 International Conference on Decision Aid Sciences and Applications (DASA)</w:t>
      </w:r>
      <w:r>
        <w:rPr>
          <w:rFonts w:ascii="Times New Roman" w:eastAsia="Times New Roman" w:hAnsi="Times New Roman" w:cs="Times New Roman"/>
          <w:color w:val="000000"/>
          <w:sz w:val="24"/>
          <w:szCs w:val="24"/>
        </w:rPr>
        <w:t xml:space="preserve"> (pp. 47-54). IEEE.</w:t>
      </w:r>
    </w:p>
    <w:p w14:paraId="1F177DFD"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Thakare, V. and Verma, P. (2025), February. A Review on Applications of IoT in Healthcare. In </w:t>
      </w:r>
      <w:r>
        <w:rPr>
          <w:rFonts w:ascii="Times New Roman" w:eastAsia="Times New Roman" w:hAnsi="Times New Roman" w:cs="Times New Roman"/>
          <w:i/>
          <w:color w:val="000000"/>
          <w:sz w:val="24"/>
          <w:szCs w:val="24"/>
        </w:rPr>
        <w:t>2025 International Conference on Electronics and Renewable Systems (ICEARS)</w:t>
      </w:r>
      <w:r>
        <w:rPr>
          <w:rFonts w:ascii="Times New Roman" w:eastAsia="Times New Roman" w:hAnsi="Times New Roman" w:cs="Times New Roman"/>
          <w:color w:val="000000"/>
          <w:sz w:val="24"/>
          <w:szCs w:val="24"/>
        </w:rPr>
        <w:t xml:space="preserve"> (pp. 793-798). IEEE.</w:t>
      </w:r>
    </w:p>
    <w:p w14:paraId="634915EF"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Thakkar, H.K., Chowdhury, S.R., Bhoi, A.K. and Barsocchi, P. (2022). Applications of wearable technologies in healthcare: An analytical study. In </w:t>
      </w:r>
      <w:r>
        <w:rPr>
          <w:rFonts w:ascii="Times New Roman" w:eastAsia="Times New Roman" w:hAnsi="Times New Roman" w:cs="Times New Roman"/>
          <w:i/>
          <w:color w:val="000000"/>
          <w:sz w:val="24"/>
          <w:szCs w:val="24"/>
        </w:rPr>
        <w:t>5G IoT and edge computing for smart healthcare</w:t>
      </w:r>
      <w:r>
        <w:rPr>
          <w:rFonts w:ascii="Times New Roman" w:eastAsia="Times New Roman" w:hAnsi="Times New Roman" w:cs="Times New Roman"/>
          <w:color w:val="000000"/>
          <w:sz w:val="24"/>
          <w:szCs w:val="24"/>
        </w:rPr>
        <w:t xml:space="preserve"> (pp. 279-299). Academic Press.</w:t>
      </w:r>
    </w:p>
    <w:p w14:paraId="05DB4ACE"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Umair, M., Cheema, M.A., Cheema, O., Li, H. and Lu, H. (2021). Impact of COVID-19 on IoT adoption in healthcare, smart homes, smart buildings, smart cities, transportation and industrial IoT. </w:t>
      </w:r>
      <w:r>
        <w:rPr>
          <w:rFonts w:ascii="Times New Roman" w:eastAsia="Times New Roman" w:hAnsi="Times New Roman" w:cs="Times New Roman"/>
          <w:i/>
          <w:color w:val="000000"/>
          <w:sz w:val="24"/>
          <w:szCs w:val="24"/>
        </w:rPr>
        <w:t>Sensors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21</w:t>
      </w:r>
      <w:r>
        <w:rPr>
          <w:rFonts w:ascii="Times New Roman" w:eastAsia="Times New Roman" w:hAnsi="Times New Roman" w:cs="Times New Roman"/>
          <w:color w:val="000000"/>
          <w:sz w:val="24"/>
          <w:szCs w:val="24"/>
        </w:rPr>
        <w:t>(11), p.3838.</w:t>
      </w:r>
    </w:p>
    <w:p w14:paraId="48D17BF4"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Vodafone, (2025). Vodafone annual report. [Online]. Available at: </w:t>
      </w:r>
      <w:hyperlink r:id="rId16">
        <w:r>
          <w:rPr>
            <w:rFonts w:ascii="Times New Roman" w:eastAsia="Times New Roman" w:hAnsi="Times New Roman" w:cs="Times New Roman"/>
            <w:color w:val="1155CC"/>
            <w:sz w:val="24"/>
            <w:szCs w:val="24"/>
            <w:u w:val="single"/>
          </w:rPr>
          <w:t>https://reports.investors.vodafone.com/view/897876789</w:t>
        </w:r>
      </w:hyperlink>
      <w:r>
        <w:rPr>
          <w:rFonts w:ascii="Times New Roman" w:eastAsia="Times New Roman" w:hAnsi="Times New Roman" w:cs="Times New Roman"/>
          <w:color w:val="000000"/>
          <w:sz w:val="24"/>
          <w:szCs w:val="24"/>
        </w:rPr>
        <w:t xml:space="preserve"> [Accessed on: 23/09/2025]</w:t>
      </w:r>
    </w:p>
    <w:p w14:paraId="278D258B"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Yathiraju, N. and Mohapatra, A. (2023). The Implications of IoT in the Modern Healthcare Industry post COVID-19. </w:t>
      </w:r>
      <w:r>
        <w:rPr>
          <w:rFonts w:ascii="Times New Roman" w:eastAsia="Times New Roman" w:hAnsi="Times New Roman" w:cs="Times New Roman"/>
          <w:i/>
          <w:color w:val="000000"/>
          <w:sz w:val="24"/>
          <w:szCs w:val="24"/>
        </w:rPr>
        <w:t>International Journal of Smart Sensor and Adhoc Network</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3</w:t>
      </w:r>
      <w:r>
        <w:rPr>
          <w:rFonts w:ascii="Times New Roman" w:eastAsia="Times New Roman" w:hAnsi="Times New Roman" w:cs="Times New Roman"/>
          <w:color w:val="000000"/>
          <w:sz w:val="24"/>
          <w:szCs w:val="24"/>
        </w:rPr>
        <w:t>(4).</w:t>
      </w:r>
    </w:p>
    <w:p w14:paraId="6CE62088"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Zehrung, R., Huang, L., Lee, B. and Choe, E.K. (2021). Investigating opportunities to support kids' agency and well-being: a review of kids' wearables. </w:t>
      </w:r>
      <w:r>
        <w:rPr>
          <w:rFonts w:ascii="Times New Roman" w:eastAsia="Times New Roman" w:hAnsi="Times New Roman" w:cs="Times New Roman"/>
          <w:i/>
          <w:color w:val="000000"/>
          <w:sz w:val="24"/>
          <w:szCs w:val="24"/>
        </w:rPr>
        <w:t>arXiv preprint arXiv:2104.05979</w:t>
      </w:r>
      <w:r>
        <w:rPr>
          <w:rFonts w:ascii="Times New Roman" w:eastAsia="Times New Roman" w:hAnsi="Times New Roman" w:cs="Times New Roman"/>
          <w:color w:val="000000"/>
          <w:sz w:val="24"/>
          <w:szCs w:val="24"/>
        </w:rPr>
        <w:t>.</w:t>
      </w:r>
    </w:p>
    <w:p w14:paraId="537AF5D8" w14:textId="77777777" w:rsidR="006E4897" w:rsidRDefault="0007408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Zobaed, S.M., Hassan, M., Islam, M.U. and Haque, M.E. (2021). Deep learning in IOT-based healthcare applications. In </w:t>
      </w:r>
      <w:r>
        <w:rPr>
          <w:rFonts w:ascii="Times New Roman" w:eastAsia="Times New Roman" w:hAnsi="Times New Roman" w:cs="Times New Roman"/>
          <w:i/>
          <w:color w:val="000000"/>
          <w:sz w:val="24"/>
          <w:szCs w:val="24"/>
        </w:rPr>
        <w:t>Deep Learning for Internet of Things Infrastructure</w:t>
      </w:r>
      <w:r>
        <w:rPr>
          <w:rFonts w:ascii="Times New Roman" w:eastAsia="Times New Roman" w:hAnsi="Times New Roman" w:cs="Times New Roman"/>
          <w:color w:val="000000"/>
          <w:sz w:val="24"/>
          <w:szCs w:val="24"/>
        </w:rPr>
        <w:t xml:space="preserve"> (pp. 183-200). CRC Press.</w:t>
      </w:r>
    </w:p>
    <w:p w14:paraId="2F3643A6" w14:textId="77777777" w:rsidR="006E4897" w:rsidRDefault="006E4897">
      <w:pPr>
        <w:pBdr>
          <w:top w:val="nil"/>
          <w:left w:val="nil"/>
          <w:bottom w:val="nil"/>
          <w:right w:val="nil"/>
          <w:between w:val="nil"/>
        </w:pBdr>
        <w:spacing w:line="360" w:lineRule="auto"/>
        <w:jc w:val="both"/>
      </w:pPr>
    </w:p>
    <w:sectPr w:rsidR="006E4897">
      <w:footerReference w:type="defaul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7E6F19" w14:textId="77777777" w:rsidR="00761328" w:rsidRDefault="00761328">
      <w:pPr>
        <w:spacing w:line="240" w:lineRule="auto"/>
      </w:pPr>
      <w:r>
        <w:separator/>
      </w:r>
    </w:p>
  </w:endnote>
  <w:endnote w:type="continuationSeparator" w:id="0">
    <w:p w14:paraId="12371101" w14:textId="77777777" w:rsidR="00761328" w:rsidRDefault="007613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roman"/>
    <w:pitch w:val="default"/>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178B0F" w14:textId="77777777" w:rsidR="006E4897" w:rsidRDefault="0007408C">
    <w:pPr>
      <w:pBdr>
        <w:top w:val="nil"/>
        <w:left w:val="nil"/>
        <w:bottom w:val="nil"/>
        <w:right w:val="nil"/>
        <w:between w:val="nil"/>
      </w:pBdr>
      <w:jc w:val="right"/>
      <w:rPr>
        <w:rFonts w:ascii="Times New Roman" w:eastAsia="Times New Roman" w:hAnsi="Times New Roman" w:cs="Times New Roman"/>
        <w:b/>
        <w:color w:val="000000"/>
      </w:rPr>
    </w:pPr>
    <w:r>
      <w:rPr>
        <w:rFonts w:ascii="Times New Roman" w:eastAsia="Times New Roman" w:hAnsi="Times New Roman" w:cs="Times New Roman"/>
        <w:b/>
        <w:color w:val="000000"/>
      </w:rPr>
      <w:fldChar w:fldCharType="begin"/>
    </w:r>
    <w:r>
      <w:rPr>
        <w:rFonts w:ascii="Times New Roman" w:eastAsia="Times New Roman" w:hAnsi="Times New Roman" w:cs="Times New Roman"/>
        <w:b/>
        <w:color w:val="000000"/>
      </w:rPr>
      <w:instrText>PAGE</w:instrText>
    </w:r>
    <w:r>
      <w:rPr>
        <w:rFonts w:ascii="Times New Roman" w:eastAsia="Times New Roman" w:hAnsi="Times New Roman" w:cs="Times New Roman"/>
        <w:b/>
        <w:color w:val="000000"/>
      </w:rPr>
      <w:fldChar w:fldCharType="separate"/>
    </w:r>
    <w:r w:rsidR="00C40A50">
      <w:rPr>
        <w:rFonts w:ascii="Times New Roman" w:eastAsia="Times New Roman" w:hAnsi="Times New Roman" w:cs="Times New Roman"/>
        <w:b/>
        <w:noProof/>
        <w:color w:val="000000"/>
      </w:rPr>
      <w:t>1</w:t>
    </w:r>
    <w:r>
      <w:rPr>
        <w:rFonts w:ascii="Times New Roman" w:eastAsia="Times New Roman" w:hAnsi="Times New Roman" w:cs="Times New Roman"/>
        <w:b/>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8869CF" w14:textId="77777777" w:rsidR="00761328" w:rsidRDefault="00761328">
      <w:pPr>
        <w:spacing w:line="240" w:lineRule="auto"/>
      </w:pPr>
      <w:r>
        <w:separator/>
      </w:r>
    </w:p>
  </w:footnote>
  <w:footnote w:type="continuationSeparator" w:id="0">
    <w:p w14:paraId="223FB8C7" w14:textId="77777777" w:rsidR="00761328" w:rsidRDefault="0076132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1F583F"/>
    <w:multiLevelType w:val="multilevel"/>
    <w:tmpl w:val="43CA30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E97841"/>
    <w:multiLevelType w:val="multilevel"/>
    <w:tmpl w:val="4B9E76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394717"/>
    <w:multiLevelType w:val="multilevel"/>
    <w:tmpl w:val="125839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9DB3301"/>
    <w:multiLevelType w:val="multilevel"/>
    <w:tmpl w:val="D682DD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CC47D27"/>
    <w:multiLevelType w:val="multilevel"/>
    <w:tmpl w:val="24E854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645184A"/>
    <w:multiLevelType w:val="multilevel"/>
    <w:tmpl w:val="FF8C5F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C5B4072"/>
    <w:multiLevelType w:val="multilevel"/>
    <w:tmpl w:val="333A93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237711A"/>
    <w:multiLevelType w:val="multilevel"/>
    <w:tmpl w:val="922AF8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6CF3CEE"/>
    <w:multiLevelType w:val="multilevel"/>
    <w:tmpl w:val="6FC413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46974120">
    <w:abstractNumId w:val="2"/>
  </w:num>
  <w:num w:numId="2" w16cid:durableId="1540317615">
    <w:abstractNumId w:val="6"/>
  </w:num>
  <w:num w:numId="3" w16cid:durableId="342247441">
    <w:abstractNumId w:val="4"/>
  </w:num>
  <w:num w:numId="4" w16cid:durableId="833229805">
    <w:abstractNumId w:val="0"/>
  </w:num>
  <w:num w:numId="5" w16cid:durableId="19933897">
    <w:abstractNumId w:val="1"/>
  </w:num>
  <w:num w:numId="6" w16cid:durableId="1261642929">
    <w:abstractNumId w:val="3"/>
  </w:num>
  <w:num w:numId="7" w16cid:durableId="654067448">
    <w:abstractNumId w:val="8"/>
  </w:num>
  <w:num w:numId="8" w16cid:durableId="197399280">
    <w:abstractNumId w:val="7"/>
  </w:num>
  <w:num w:numId="9" w16cid:durableId="7065659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4897"/>
    <w:rsid w:val="0007408C"/>
    <w:rsid w:val="001D4161"/>
    <w:rsid w:val="003227CB"/>
    <w:rsid w:val="006E4897"/>
    <w:rsid w:val="00761328"/>
    <w:rsid w:val="009D5DAF"/>
    <w:rsid w:val="00C40A50"/>
    <w:rsid w:val="00D13DFC"/>
    <w:rsid w:val="00F47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EC367"/>
  <w15:docId w15:val="{E4270DC9-28F8-4F9B-A7C1-5AEFAFE94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pBdr>
        <w:top w:val="nil"/>
        <w:left w:val="nil"/>
        <w:bottom w:val="nil"/>
        <w:right w:val="nil"/>
        <w:between w:val="nil"/>
      </w:pBdr>
      <w:spacing w:before="400" w:after="120"/>
      <w:outlineLvl w:val="0"/>
    </w:pPr>
    <w:rPr>
      <w:color w:val="000000"/>
      <w:sz w:val="40"/>
      <w:szCs w:val="40"/>
    </w:rPr>
  </w:style>
  <w:style w:type="paragraph" w:styleId="Titlu2">
    <w:name w:val="heading 2"/>
    <w:basedOn w:val="Normal"/>
    <w:next w:val="Normal"/>
    <w:uiPriority w:val="9"/>
    <w:unhideWhenUsed/>
    <w:qFormat/>
    <w:pPr>
      <w:keepNext/>
      <w:keepLines/>
      <w:pBdr>
        <w:top w:val="nil"/>
        <w:left w:val="nil"/>
        <w:bottom w:val="nil"/>
        <w:right w:val="nil"/>
        <w:between w:val="nil"/>
      </w:pBdr>
      <w:spacing w:before="360" w:after="120"/>
      <w:outlineLvl w:val="1"/>
    </w:pPr>
    <w:rPr>
      <w:color w:val="000000"/>
      <w:sz w:val="32"/>
      <w:szCs w:val="32"/>
    </w:rPr>
  </w:style>
  <w:style w:type="paragraph" w:styleId="Titlu3">
    <w:name w:val="heading 3"/>
    <w:basedOn w:val="Normal"/>
    <w:next w:val="Normal"/>
    <w:uiPriority w:val="9"/>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Titlu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table" w:customStyle="1" w:styleId="TableNormal0">
    <w:name w:val="TableNormal"/>
    <w:rsid w:val="000D4561"/>
    <w:tblPr>
      <w:tblCellMar>
        <w:top w:w="100" w:type="dxa"/>
        <w:left w:w="100" w:type="dxa"/>
        <w:bottom w:w="100" w:type="dxa"/>
        <w:right w:w="100" w:type="dxa"/>
      </w:tblCellMar>
    </w:tblPr>
  </w:style>
  <w:style w:type="paragraph" w:customStyle="1" w:styleId="Normal1">
    <w:name w:val="Normal1"/>
    <w:rsid w:val="000D4561"/>
  </w:style>
  <w:style w:type="table" w:customStyle="1" w:styleId="a">
    <w:basedOn w:val="TableNormal0"/>
    <w:rsid w:val="000D4561"/>
    <w:tblPr>
      <w:tblStyleRowBandSize w:val="1"/>
      <w:tblStyleColBandSize w:val="1"/>
    </w:tblPr>
  </w:style>
  <w:style w:type="table" w:customStyle="1" w:styleId="a0">
    <w:basedOn w:val="TableNormal0"/>
    <w:rsid w:val="000D4561"/>
    <w:tblPr>
      <w:tblStyleRowBandSize w:val="1"/>
      <w:tblStyleColBandSize w:val="1"/>
    </w:tblPr>
  </w:style>
  <w:style w:type="table" w:customStyle="1" w:styleId="a1">
    <w:basedOn w:val="TableNormal0"/>
    <w:rsid w:val="000D4561"/>
    <w:tblPr>
      <w:tblStyleRowBandSize w:val="1"/>
      <w:tblStyleColBandSize w:val="1"/>
    </w:tblPr>
  </w:style>
  <w:style w:type="table" w:customStyle="1" w:styleId="a2">
    <w:basedOn w:val="TableNormal0"/>
    <w:rsid w:val="000D4561"/>
    <w:tblPr>
      <w:tblStyleRowBandSize w:val="1"/>
      <w:tblStyleColBandSize w:val="1"/>
    </w:tblPr>
  </w:style>
  <w:style w:type="table" w:customStyle="1" w:styleId="a3">
    <w:basedOn w:val="TableNormal0"/>
    <w:rsid w:val="000D4561"/>
    <w:tblPr>
      <w:tblStyleRowBandSize w:val="1"/>
      <w:tblStyleColBandSize w:val="1"/>
    </w:tblPr>
  </w:style>
  <w:style w:type="table" w:customStyle="1" w:styleId="a4">
    <w:basedOn w:val="TableNormal0"/>
    <w:rsid w:val="000D4561"/>
    <w:tblPr>
      <w:tblStyleRowBandSize w:val="1"/>
      <w:tblStyleColBandSize w:val="1"/>
    </w:tblPr>
  </w:style>
  <w:style w:type="table" w:customStyle="1" w:styleId="a5">
    <w:basedOn w:val="TableNormal0"/>
    <w:rsid w:val="000D4561"/>
    <w:tblPr>
      <w:tblStyleRowBandSize w:val="1"/>
      <w:tblStyleColBandSize w:val="1"/>
    </w:tblPr>
  </w:style>
  <w:style w:type="table" w:customStyle="1" w:styleId="a6">
    <w:basedOn w:val="TableNormal0"/>
    <w:rsid w:val="000D4561"/>
    <w:tblPr>
      <w:tblStyleRowBandSize w:val="1"/>
      <w:tblStyleColBandSize w:val="1"/>
    </w:tblPr>
  </w:style>
  <w:style w:type="paragraph" w:styleId="TextnBalon">
    <w:name w:val="Balloon Text"/>
    <w:basedOn w:val="Normal"/>
    <w:link w:val="TextnBalonCaracter"/>
    <w:uiPriority w:val="99"/>
    <w:semiHidden/>
    <w:unhideWhenUsed/>
    <w:rsid w:val="00BB1C20"/>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B1C20"/>
    <w:rPr>
      <w:rFonts w:ascii="Tahoma" w:hAnsi="Tahoma" w:cs="Tahoma"/>
      <w:sz w:val="16"/>
      <w:szCs w:val="16"/>
    </w:rPr>
  </w:style>
  <w:style w:type="character" w:styleId="Referincomentariu">
    <w:name w:val="annotation reference"/>
    <w:basedOn w:val="Fontdeparagrafimplicit"/>
    <w:uiPriority w:val="99"/>
    <w:semiHidden/>
    <w:unhideWhenUsed/>
    <w:rsid w:val="00466E7F"/>
    <w:rPr>
      <w:sz w:val="16"/>
      <w:szCs w:val="16"/>
    </w:rPr>
  </w:style>
  <w:style w:type="paragraph" w:styleId="Textcomentariu">
    <w:name w:val="annotation text"/>
    <w:basedOn w:val="Normal"/>
    <w:link w:val="TextcomentariuCaracter"/>
    <w:uiPriority w:val="99"/>
    <w:semiHidden/>
    <w:unhideWhenUsed/>
    <w:rsid w:val="00466E7F"/>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466E7F"/>
    <w:rPr>
      <w:sz w:val="20"/>
      <w:szCs w:val="20"/>
    </w:rPr>
  </w:style>
  <w:style w:type="paragraph" w:styleId="SubiectComentariu">
    <w:name w:val="annotation subject"/>
    <w:basedOn w:val="Textcomentariu"/>
    <w:next w:val="Textcomentariu"/>
    <w:link w:val="SubiectComentariuCaracter"/>
    <w:uiPriority w:val="99"/>
    <w:semiHidden/>
    <w:unhideWhenUsed/>
    <w:rsid w:val="00466E7F"/>
    <w:rPr>
      <w:b/>
      <w:bCs/>
    </w:rPr>
  </w:style>
  <w:style w:type="character" w:customStyle="1" w:styleId="SubiectComentariuCaracter">
    <w:name w:val="Subiect Comentariu Caracter"/>
    <w:basedOn w:val="TextcomentariuCaracter"/>
    <w:link w:val="SubiectComentariu"/>
    <w:uiPriority w:val="99"/>
    <w:semiHidden/>
    <w:rsid w:val="00466E7F"/>
    <w:rPr>
      <w:b/>
      <w:bCs/>
      <w:sz w:val="20"/>
      <w:szCs w:val="20"/>
    </w:rPr>
  </w:style>
  <w:style w:type="paragraph" w:styleId="Subtitlu">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7">
    <w:basedOn w:val="TabelNormal"/>
    <w:tblPr>
      <w:tblStyleRowBandSize w:val="1"/>
      <w:tblStyleColBandSize w:val="1"/>
      <w:tblCellMar>
        <w:top w:w="100" w:type="dxa"/>
        <w:left w:w="100" w:type="dxa"/>
        <w:bottom w:w="100" w:type="dxa"/>
        <w:right w:w="100" w:type="dxa"/>
      </w:tblCellMar>
    </w:tblPr>
  </w:style>
  <w:style w:type="table" w:customStyle="1" w:styleId="a8">
    <w:basedOn w:val="TabelNormal"/>
    <w:tblPr>
      <w:tblStyleRowBandSize w:val="1"/>
      <w:tblStyleColBandSize w:val="1"/>
      <w:tblCellMar>
        <w:top w:w="100" w:type="dxa"/>
        <w:left w:w="100" w:type="dxa"/>
        <w:bottom w:w="100" w:type="dxa"/>
        <w:right w:w="100" w:type="dxa"/>
      </w:tblCellMar>
    </w:tblPr>
  </w:style>
  <w:style w:type="table" w:customStyle="1" w:styleId="a9">
    <w:basedOn w:val="TabelNormal"/>
    <w:tblPr>
      <w:tblStyleRowBandSize w:val="1"/>
      <w:tblStyleColBandSize w:val="1"/>
      <w:tblCellMar>
        <w:top w:w="100" w:type="dxa"/>
        <w:left w:w="100" w:type="dxa"/>
        <w:bottom w:w="100" w:type="dxa"/>
        <w:right w:w="100" w:type="dxa"/>
      </w:tblCellMar>
    </w:tblPr>
  </w:style>
  <w:style w:type="table" w:customStyle="1" w:styleId="aa">
    <w:basedOn w:val="TabelNormal"/>
    <w:tblPr>
      <w:tblStyleRowBandSize w:val="1"/>
      <w:tblStyleColBandSize w:val="1"/>
      <w:tblCellMar>
        <w:top w:w="100" w:type="dxa"/>
        <w:left w:w="100" w:type="dxa"/>
        <w:bottom w:w="100" w:type="dxa"/>
        <w:right w:w="100" w:type="dxa"/>
      </w:tblCellMar>
    </w:tblPr>
  </w:style>
  <w:style w:type="table" w:customStyle="1" w:styleId="ab">
    <w:basedOn w:val="TabelNormal"/>
    <w:tblPr>
      <w:tblStyleRowBandSize w:val="1"/>
      <w:tblStyleColBandSize w:val="1"/>
      <w:tblCellMar>
        <w:top w:w="100" w:type="dxa"/>
        <w:left w:w="100" w:type="dxa"/>
        <w:bottom w:w="100" w:type="dxa"/>
        <w:right w:w="100" w:type="dxa"/>
      </w:tblCellMar>
    </w:tblPr>
  </w:style>
  <w:style w:type="table" w:customStyle="1" w:styleId="ac">
    <w:basedOn w:val="TabelNormal"/>
    <w:tblPr>
      <w:tblStyleRowBandSize w:val="1"/>
      <w:tblStyleColBandSize w:val="1"/>
      <w:tblCellMar>
        <w:top w:w="100" w:type="dxa"/>
        <w:left w:w="100" w:type="dxa"/>
        <w:bottom w:w="100" w:type="dxa"/>
        <w:right w:w="100" w:type="dxa"/>
      </w:tblCellMar>
    </w:tblPr>
  </w:style>
  <w:style w:type="table" w:customStyle="1" w:styleId="ad">
    <w:basedOn w:val="TabelNormal"/>
    <w:tblPr>
      <w:tblStyleRowBandSize w:val="1"/>
      <w:tblStyleColBandSize w:val="1"/>
      <w:tblCellMar>
        <w:top w:w="100" w:type="dxa"/>
        <w:left w:w="100" w:type="dxa"/>
        <w:bottom w:w="100" w:type="dxa"/>
        <w:right w:w="100" w:type="dxa"/>
      </w:tblCellMar>
    </w:tblPr>
  </w:style>
  <w:style w:type="table" w:customStyle="1" w:styleId="ae">
    <w:basedOn w:val="Tabel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reports.investors.vodafone.com/view/897876789"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hyperlink" Target="https://www.sciencedirect.com/science/article/pii/S0148296323004629" TargetMode="External" /><Relationship Id="rId10" Type="http://schemas.openxmlformats.org/officeDocument/2006/relationships/image" Target="media/image3.pn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pmc.ncbi.nlm.nih.gov/articles/PMC11401339/"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hVRxPWcnZy9A1rWltwNeMKi4XA==">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5751</Words>
  <Characters>33360</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Busu</cp:lastModifiedBy>
  <cp:revision>2</cp:revision>
  <dcterms:created xsi:type="dcterms:W3CDTF">2025-10-12T20:37:00Z</dcterms:created>
  <dcterms:modified xsi:type="dcterms:W3CDTF">2025-10-12T20:37:00Z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be5ceec7-90d8-4dd6-bf57-9759772a8697</vt:lpwstr>
  </property>
</Properties>
</file>